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52A4C" w:rsidRPr="00ED6163" w:rsidP="00252A4C" w14:paraId="7C9E90BE" w14:textId="77777777">
      <w:pPr>
        <w:jc w:val="center"/>
        <w:rPr>
          <w:b/>
          <w:szCs w:val="22"/>
        </w:rPr>
      </w:pPr>
      <w:r w:rsidRPr="00ED6163">
        <w:rPr>
          <w:b/>
          <w:szCs w:val="22"/>
        </w:rPr>
        <w:t>Before the</w:t>
      </w:r>
    </w:p>
    <w:p w:rsidR="00252A4C" w:rsidRPr="00ED6163" w:rsidP="00252A4C" w14:paraId="6A23C6C0" w14:textId="77777777">
      <w:pPr>
        <w:jc w:val="center"/>
        <w:rPr>
          <w:b/>
          <w:bCs/>
          <w:caps/>
          <w:szCs w:val="22"/>
        </w:rPr>
      </w:pPr>
      <w:r w:rsidRPr="00ED6163">
        <w:rPr>
          <w:b/>
          <w:bCs/>
          <w:caps/>
          <w:szCs w:val="22"/>
        </w:rPr>
        <w:t>F</w:t>
      </w:r>
      <w:r w:rsidRPr="00ED6163">
        <w:rPr>
          <w:b/>
          <w:bCs/>
          <w:szCs w:val="22"/>
        </w:rPr>
        <w:t>ederal Communications Commission</w:t>
      </w:r>
    </w:p>
    <w:p w:rsidR="00252A4C" w:rsidRPr="00ED6163" w:rsidP="00252A4C" w14:paraId="798CAC28" w14:textId="77777777">
      <w:pPr>
        <w:jc w:val="center"/>
        <w:rPr>
          <w:b/>
          <w:bCs/>
          <w:caps/>
          <w:szCs w:val="22"/>
        </w:rPr>
      </w:pPr>
      <w:r w:rsidRPr="00ED6163">
        <w:rPr>
          <w:b/>
          <w:bCs/>
          <w:szCs w:val="22"/>
        </w:rPr>
        <w:t>Washington, D.C. 20554</w:t>
      </w:r>
    </w:p>
    <w:p w:rsidR="00252A4C" w:rsidRPr="00ED6163" w:rsidP="00252A4C" w14:paraId="24B576C4" w14:textId="77777777">
      <w:pPr>
        <w:rPr>
          <w:szCs w:val="22"/>
        </w:rPr>
      </w:pPr>
    </w:p>
    <w:p w:rsidR="00252A4C" w:rsidRPr="00ED6163" w:rsidP="00252A4C" w14:paraId="6099F6F9" w14:textId="77777777">
      <w:pPr>
        <w:rPr>
          <w:szCs w:val="22"/>
        </w:rPr>
      </w:pPr>
    </w:p>
    <w:tbl>
      <w:tblPr>
        <w:tblW w:w="0" w:type="auto"/>
        <w:tblLayout w:type="fixed"/>
        <w:tblLook w:val="0000"/>
      </w:tblPr>
      <w:tblGrid>
        <w:gridCol w:w="4698"/>
        <w:gridCol w:w="630"/>
        <w:gridCol w:w="4248"/>
      </w:tblGrid>
      <w:tr w14:paraId="73931AA4" w14:textId="77777777" w:rsidTr="001B13DA">
        <w:tblPrEx>
          <w:tblW w:w="0" w:type="auto"/>
          <w:tblLayout w:type="fixed"/>
          <w:tblLook w:val="0000"/>
        </w:tblPrEx>
        <w:tc>
          <w:tcPr>
            <w:tcW w:w="4698" w:type="dxa"/>
          </w:tcPr>
          <w:p w:rsidR="00252A4C" w:rsidRPr="00ED6163" w:rsidP="001B13DA" w14:paraId="0DA48A06" w14:textId="77777777">
            <w:pPr>
              <w:tabs>
                <w:tab w:val="center" w:pos="4680"/>
              </w:tabs>
              <w:suppressAutoHyphens/>
              <w:rPr>
                <w:spacing w:val="-2"/>
                <w:szCs w:val="22"/>
              </w:rPr>
            </w:pPr>
            <w:r w:rsidRPr="00ED6163">
              <w:rPr>
                <w:spacing w:val="-2"/>
                <w:szCs w:val="22"/>
              </w:rPr>
              <w:t>In the Matter of</w:t>
            </w:r>
          </w:p>
          <w:p w:rsidR="00252A4C" w:rsidRPr="00ED6163" w:rsidP="001B13DA" w14:paraId="7C4FBA4E" w14:textId="77777777">
            <w:pPr>
              <w:tabs>
                <w:tab w:val="center" w:pos="4680"/>
              </w:tabs>
              <w:suppressAutoHyphens/>
              <w:rPr>
                <w:spacing w:val="-2"/>
                <w:szCs w:val="22"/>
              </w:rPr>
            </w:pPr>
          </w:p>
          <w:p w:rsidR="00252A4C" w:rsidRPr="00ED6163" w:rsidP="001B13DA" w14:paraId="19AB3009" w14:textId="77777777">
            <w:pPr>
              <w:tabs>
                <w:tab w:val="center" w:pos="4680"/>
              </w:tabs>
              <w:suppressAutoHyphens/>
              <w:rPr>
                <w:spacing w:val="-2"/>
                <w:szCs w:val="22"/>
              </w:rPr>
            </w:pPr>
            <w:r w:rsidRPr="00ED6163">
              <w:rPr>
                <w:spacing w:val="-2"/>
                <w:szCs w:val="22"/>
              </w:rPr>
              <w:t>Establishing the Digital Opportunity Data Collection</w:t>
            </w:r>
          </w:p>
          <w:p w:rsidR="00252A4C" w:rsidRPr="00ED6163" w:rsidP="001B13DA" w14:paraId="575E79BF" w14:textId="77777777">
            <w:pPr>
              <w:tabs>
                <w:tab w:val="center" w:pos="4680"/>
              </w:tabs>
              <w:suppressAutoHyphens/>
              <w:rPr>
                <w:spacing w:val="-2"/>
                <w:szCs w:val="22"/>
              </w:rPr>
            </w:pPr>
          </w:p>
          <w:p w:rsidR="00252A4C" w:rsidRPr="00ED6163" w:rsidP="001B13DA" w14:paraId="5E71823B" w14:textId="77777777">
            <w:pPr>
              <w:tabs>
                <w:tab w:val="center" w:pos="4680"/>
              </w:tabs>
              <w:suppressAutoHyphens/>
              <w:rPr>
                <w:spacing w:val="-2"/>
                <w:szCs w:val="22"/>
              </w:rPr>
            </w:pPr>
            <w:r w:rsidRPr="00ED6163">
              <w:rPr>
                <w:spacing w:val="-2"/>
                <w:szCs w:val="22"/>
              </w:rPr>
              <w:t>Modernizing the FCC Form 477 Data Program</w:t>
            </w:r>
          </w:p>
          <w:p w:rsidR="00252A4C" w:rsidRPr="00ED6163" w:rsidP="001B13DA" w14:paraId="439DF636" w14:textId="77777777">
            <w:pPr>
              <w:tabs>
                <w:tab w:val="center" w:pos="4680"/>
              </w:tabs>
              <w:suppressAutoHyphens/>
              <w:rPr>
                <w:spacing w:val="-2"/>
                <w:szCs w:val="22"/>
              </w:rPr>
            </w:pPr>
          </w:p>
        </w:tc>
        <w:tc>
          <w:tcPr>
            <w:tcW w:w="630" w:type="dxa"/>
          </w:tcPr>
          <w:p w:rsidR="00252A4C" w:rsidRPr="00ED6163" w:rsidP="001B13DA" w14:paraId="1DFB5B39" w14:textId="77777777">
            <w:pPr>
              <w:tabs>
                <w:tab w:val="center" w:pos="4680"/>
              </w:tabs>
              <w:suppressAutoHyphens/>
              <w:rPr>
                <w:b/>
                <w:spacing w:val="-2"/>
                <w:szCs w:val="22"/>
              </w:rPr>
            </w:pPr>
            <w:r w:rsidRPr="00ED6163">
              <w:rPr>
                <w:b/>
                <w:spacing w:val="-2"/>
                <w:szCs w:val="22"/>
              </w:rPr>
              <w:t>)</w:t>
            </w:r>
          </w:p>
          <w:p w:rsidR="00252A4C" w:rsidRPr="00ED6163" w:rsidP="001B13DA" w14:paraId="4EE758DF" w14:textId="77777777">
            <w:pPr>
              <w:tabs>
                <w:tab w:val="center" w:pos="4680"/>
              </w:tabs>
              <w:suppressAutoHyphens/>
              <w:rPr>
                <w:b/>
                <w:spacing w:val="-2"/>
                <w:szCs w:val="22"/>
              </w:rPr>
            </w:pPr>
            <w:r w:rsidRPr="00ED6163">
              <w:rPr>
                <w:b/>
                <w:spacing w:val="-2"/>
                <w:szCs w:val="22"/>
              </w:rPr>
              <w:t>)</w:t>
            </w:r>
          </w:p>
          <w:p w:rsidR="00252A4C" w:rsidRPr="00ED6163" w:rsidP="001B13DA" w14:paraId="1C494193" w14:textId="77777777">
            <w:pPr>
              <w:tabs>
                <w:tab w:val="center" w:pos="4680"/>
              </w:tabs>
              <w:suppressAutoHyphens/>
              <w:rPr>
                <w:b/>
                <w:spacing w:val="-2"/>
                <w:szCs w:val="22"/>
              </w:rPr>
            </w:pPr>
            <w:r w:rsidRPr="00ED6163">
              <w:rPr>
                <w:b/>
                <w:spacing w:val="-2"/>
                <w:szCs w:val="22"/>
              </w:rPr>
              <w:t>)</w:t>
            </w:r>
          </w:p>
          <w:p w:rsidR="00252A4C" w:rsidRPr="00ED6163" w:rsidP="001B13DA" w14:paraId="416560B8" w14:textId="77777777">
            <w:pPr>
              <w:tabs>
                <w:tab w:val="center" w:pos="4680"/>
              </w:tabs>
              <w:suppressAutoHyphens/>
              <w:rPr>
                <w:b/>
                <w:spacing w:val="-2"/>
                <w:szCs w:val="22"/>
              </w:rPr>
            </w:pPr>
            <w:r w:rsidRPr="00ED6163">
              <w:rPr>
                <w:b/>
                <w:spacing w:val="-2"/>
                <w:szCs w:val="22"/>
              </w:rPr>
              <w:t>)</w:t>
            </w:r>
          </w:p>
          <w:p w:rsidR="00252A4C" w:rsidRPr="00ED6163" w:rsidP="001B13DA" w14:paraId="693C5526" w14:textId="77777777">
            <w:pPr>
              <w:tabs>
                <w:tab w:val="center" w:pos="4680"/>
              </w:tabs>
              <w:suppressAutoHyphens/>
              <w:rPr>
                <w:b/>
                <w:spacing w:val="-2"/>
                <w:szCs w:val="22"/>
              </w:rPr>
            </w:pPr>
            <w:r w:rsidRPr="00ED6163">
              <w:rPr>
                <w:b/>
                <w:spacing w:val="-2"/>
                <w:szCs w:val="22"/>
              </w:rPr>
              <w:t>)</w:t>
            </w:r>
          </w:p>
          <w:p w:rsidR="00252A4C" w:rsidRPr="00ED6163" w:rsidP="001B13DA" w14:paraId="4A9B78A2" w14:textId="77777777">
            <w:pPr>
              <w:tabs>
                <w:tab w:val="center" w:pos="4680"/>
              </w:tabs>
              <w:suppressAutoHyphens/>
              <w:rPr>
                <w:b/>
                <w:spacing w:val="-2"/>
                <w:szCs w:val="22"/>
              </w:rPr>
            </w:pPr>
            <w:r w:rsidRPr="00ED6163">
              <w:rPr>
                <w:b/>
                <w:spacing w:val="-2"/>
                <w:szCs w:val="22"/>
              </w:rPr>
              <w:t>)</w:t>
            </w:r>
          </w:p>
          <w:p w:rsidR="00252A4C" w:rsidRPr="00ED6163" w:rsidP="001B13DA" w14:paraId="496FB2EC" w14:textId="77777777">
            <w:pPr>
              <w:tabs>
                <w:tab w:val="center" w:pos="4680"/>
              </w:tabs>
              <w:suppressAutoHyphens/>
              <w:rPr>
                <w:spacing w:val="-2"/>
                <w:szCs w:val="22"/>
              </w:rPr>
            </w:pPr>
            <w:r w:rsidRPr="00ED6163">
              <w:rPr>
                <w:spacing w:val="-2"/>
                <w:szCs w:val="22"/>
              </w:rPr>
              <w:t>)</w:t>
            </w:r>
          </w:p>
          <w:p w:rsidR="00252A4C" w:rsidRPr="00ED6163" w:rsidP="001B13DA" w14:paraId="5D2FD9EE" w14:textId="77777777">
            <w:pPr>
              <w:tabs>
                <w:tab w:val="center" w:pos="4680"/>
              </w:tabs>
              <w:suppressAutoHyphens/>
              <w:rPr>
                <w:spacing w:val="-2"/>
                <w:szCs w:val="22"/>
              </w:rPr>
            </w:pPr>
          </w:p>
        </w:tc>
        <w:tc>
          <w:tcPr>
            <w:tcW w:w="4248" w:type="dxa"/>
          </w:tcPr>
          <w:p w:rsidR="00252A4C" w:rsidRPr="00ED6163" w:rsidP="001B13DA" w14:paraId="0FC86345" w14:textId="77777777">
            <w:pPr>
              <w:tabs>
                <w:tab w:val="center" w:pos="4680"/>
              </w:tabs>
              <w:suppressAutoHyphens/>
              <w:rPr>
                <w:spacing w:val="-2"/>
                <w:szCs w:val="22"/>
              </w:rPr>
            </w:pPr>
          </w:p>
          <w:p w:rsidR="00252A4C" w:rsidRPr="00ED6163" w:rsidP="001B13DA" w14:paraId="1594FF72" w14:textId="77777777">
            <w:pPr>
              <w:tabs>
                <w:tab w:val="center" w:pos="4680"/>
              </w:tabs>
              <w:suppressAutoHyphens/>
              <w:rPr>
                <w:spacing w:val="-2"/>
                <w:szCs w:val="22"/>
              </w:rPr>
            </w:pPr>
          </w:p>
          <w:p w:rsidR="00252A4C" w:rsidRPr="00ED6163" w:rsidP="001B13DA" w14:paraId="101886CB" w14:textId="77777777">
            <w:pPr>
              <w:tabs>
                <w:tab w:val="center" w:pos="4680"/>
              </w:tabs>
              <w:suppressAutoHyphens/>
              <w:rPr>
                <w:spacing w:val="-2"/>
                <w:szCs w:val="22"/>
              </w:rPr>
            </w:pPr>
            <w:r w:rsidRPr="00ED6163">
              <w:rPr>
                <w:spacing w:val="-2"/>
                <w:szCs w:val="22"/>
              </w:rPr>
              <w:t>WC Docket No. 19-195</w:t>
            </w:r>
          </w:p>
          <w:p w:rsidR="00252A4C" w:rsidRPr="00ED6163" w:rsidP="001B13DA" w14:paraId="17F7CD13" w14:textId="77777777">
            <w:pPr>
              <w:tabs>
                <w:tab w:val="center" w:pos="4680"/>
              </w:tabs>
              <w:suppressAutoHyphens/>
              <w:rPr>
                <w:spacing w:val="-2"/>
                <w:szCs w:val="22"/>
              </w:rPr>
            </w:pPr>
          </w:p>
          <w:p w:rsidR="00252A4C" w:rsidRPr="00ED6163" w:rsidP="001B13DA" w14:paraId="188315A4" w14:textId="77777777">
            <w:pPr>
              <w:tabs>
                <w:tab w:val="center" w:pos="4680"/>
              </w:tabs>
              <w:suppressAutoHyphens/>
              <w:rPr>
                <w:spacing w:val="-2"/>
                <w:szCs w:val="22"/>
              </w:rPr>
            </w:pPr>
          </w:p>
          <w:p w:rsidR="00252A4C" w:rsidRPr="00ED6163" w:rsidP="001B13DA" w14:paraId="77E1EFD8" w14:textId="77777777">
            <w:pPr>
              <w:tabs>
                <w:tab w:val="center" w:pos="4680"/>
              </w:tabs>
              <w:suppressAutoHyphens/>
              <w:rPr>
                <w:spacing w:val="-2"/>
                <w:szCs w:val="22"/>
              </w:rPr>
            </w:pPr>
            <w:r w:rsidRPr="00ED6163">
              <w:rPr>
                <w:spacing w:val="-2"/>
                <w:szCs w:val="22"/>
              </w:rPr>
              <w:t>WC Docket No. 11-10</w:t>
            </w:r>
          </w:p>
          <w:p w:rsidR="00252A4C" w:rsidRPr="00ED6163" w:rsidP="001B13DA" w14:paraId="31BB254F" w14:textId="77777777">
            <w:pPr>
              <w:tabs>
                <w:tab w:val="center" w:pos="4680"/>
              </w:tabs>
              <w:suppressAutoHyphens/>
              <w:rPr>
                <w:spacing w:val="-2"/>
                <w:szCs w:val="22"/>
              </w:rPr>
            </w:pPr>
          </w:p>
        </w:tc>
      </w:tr>
    </w:tbl>
    <w:p w:rsidR="00252A4C" w:rsidRPr="00ED6163" w:rsidP="00252A4C" w14:paraId="6D7208B3" w14:textId="77777777">
      <w:pPr>
        <w:jc w:val="center"/>
        <w:rPr>
          <w:b/>
          <w:bCs/>
          <w:caps/>
          <w:szCs w:val="22"/>
        </w:rPr>
      </w:pPr>
      <w:r w:rsidRPr="00ED6163">
        <w:rPr>
          <w:b/>
          <w:bCs/>
          <w:caps/>
          <w:szCs w:val="22"/>
        </w:rPr>
        <w:t>report and order and SECOND FURTHER NOTICE OF PROPOSED RULEMAKING</w:t>
      </w:r>
    </w:p>
    <w:p w:rsidR="00252A4C" w:rsidRPr="00ED6163" w:rsidP="00252A4C" w14:paraId="4AC4B66F" w14:textId="77777777">
      <w:pPr>
        <w:tabs>
          <w:tab w:val="left" w:pos="-720"/>
        </w:tabs>
        <w:suppressAutoHyphens/>
        <w:rPr>
          <w:spacing w:val="-2"/>
          <w:szCs w:val="22"/>
        </w:rPr>
      </w:pPr>
    </w:p>
    <w:p w:rsidR="00252A4C" w:rsidRPr="00ED6163" w:rsidP="00252A4C" w14:paraId="7797A074" w14:textId="77777777">
      <w:pPr>
        <w:tabs>
          <w:tab w:val="left" w:pos="720"/>
          <w:tab w:val="right" w:pos="9360"/>
        </w:tabs>
        <w:suppressAutoHyphens/>
        <w:rPr>
          <w:b/>
          <w:spacing w:val="-2"/>
          <w:szCs w:val="22"/>
        </w:rPr>
      </w:pPr>
      <w:r w:rsidRPr="00ED6163">
        <w:rPr>
          <w:b/>
          <w:spacing w:val="-2"/>
          <w:szCs w:val="22"/>
        </w:rPr>
        <w:t xml:space="preserve">Adopted: </w:t>
      </w:r>
      <w:r>
        <w:rPr>
          <w:b/>
          <w:spacing w:val="-2"/>
          <w:szCs w:val="22"/>
        </w:rPr>
        <w:t>August 1, 2019</w:t>
      </w:r>
      <w:r w:rsidRPr="00ED6163">
        <w:rPr>
          <w:b/>
          <w:spacing w:val="-2"/>
          <w:szCs w:val="22"/>
        </w:rPr>
        <w:tab/>
        <w:t xml:space="preserve">Released: </w:t>
      </w:r>
      <w:r>
        <w:rPr>
          <w:b/>
          <w:spacing w:val="-2"/>
          <w:szCs w:val="22"/>
        </w:rPr>
        <w:t xml:space="preserve">August </w:t>
      </w:r>
      <w:r w:rsidR="00AD6D65">
        <w:rPr>
          <w:b/>
          <w:spacing w:val="-2"/>
          <w:szCs w:val="22"/>
        </w:rPr>
        <w:t>6</w:t>
      </w:r>
      <w:r>
        <w:rPr>
          <w:b/>
          <w:spacing w:val="-2"/>
          <w:szCs w:val="22"/>
        </w:rPr>
        <w:t>, 2019</w:t>
      </w:r>
    </w:p>
    <w:p w:rsidR="00252A4C" w:rsidRPr="00ED6163" w:rsidP="00252A4C" w14:paraId="0EF38412" w14:textId="77777777">
      <w:pPr>
        <w:tabs>
          <w:tab w:val="left" w:pos="720"/>
          <w:tab w:val="right" w:pos="9360"/>
        </w:tabs>
        <w:suppressAutoHyphens/>
        <w:rPr>
          <w:b/>
          <w:spacing w:val="-2"/>
          <w:szCs w:val="22"/>
        </w:rPr>
      </w:pPr>
    </w:p>
    <w:p w:rsidR="00252A4C" w:rsidRPr="00ED6163" w:rsidP="00252A4C" w14:paraId="2F1E58D1" w14:textId="77777777">
      <w:pPr>
        <w:autoSpaceDE w:val="0"/>
        <w:autoSpaceDN w:val="0"/>
        <w:adjustRightInd w:val="0"/>
        <w:rPr>
          <w:rFonts w:eastAsia="Calibri"/>
          <w:b/>
          <w:bCs/>
          <w:snapToGrid/>
          <w:kern w:val="0"/>
          <w:szCs w:val="22"/>
        </w:rPr>
      </w:pPr>
      <w:r w:rsidRPr="00ED6163">
        <w:rPr>
          <w:rFonts w:eastAsia="Calibri"/>
          <w:b/>
          <w:bCs/>
          <w:snapToGrid/>
          <w:kern w:val="0"/>
          <w:szCs w:val="22"/>
        </w:rPr>
        <w:t>Comment Date: [30 days after publication in the Federal Register]</w:t>
      </w:r>
    </w:p>
    <w:p w:rsidR="00252A4C" w:rsidRPr="00ED6163" w:rsidP="00252A4C" w14:paraId="3A421F32" w14:textId="77777777">
      <w:pPr>
        <w:tabs>
          <w:tab w:val="left" w:pos="720"/>
          <w:tab w:val="right" w:pos="9360"/>
        </w:tabs>
        <w:suppressAutoHyphens/>
        <w:rPr>
          <w:b/>
          <w:spacing w:val="-2"/>
          <w:szCs w:val="22"/>
        </w:rPr>
      </w:pPr>
      <w:r w:rsidRPr="00ED6163">
        <w:rPr>
          <w:rFonts w:eastAsia="Calibri"/>
          <w:b/>
          <w:bCs/>
          <w:snapToGrid/>
          <w:kern w:val="0"/>
          <w:szCs w:val="22"/>
        </w:rPr>
        <w:t xml:space="preserve">Reply Comment Date: [45 days after publication in the Federal </w:t>
      </w:r>
      <w:r w:rsidRPr="00ED6163">
        <w:rPr>
          <w:rFonts w:eastAsia="Calibri"/>
          <w:b/>
          <w:bCs/>
          <w:snapToGrid/>
          <w:kern w:val="0"/>
          <w:szCs w:val="22"/>
        </w:rPr>
        <w:t>Register]</w:t>
      </w:r>
    </w:p>
    <w:p w:rsidR="00252A4C" w:rsidRPr="00ED6163" w:rsidP="00252A4C" w14:paraId="15B38FC4" w14:textId="77777777">
      <w:pPr>
        <w:tabs>
          <w:tab w:val="left" w:pos="720"/>
          <w:tab w:val="right" w:pos="9360"/>
        </w:tabs>
        <w:suppressAutoHyphens/>
        <w:rPr>
          <w:b/>
          <w:spacing w:val="-2"/>
          <w:szCs w:val="22"/>
        </w:rPr>
      </w:pPr>
    </w:p>
    <w:p w:rsidR="00252A4C" w:rsidRPr="00ED6163" w:rsidP="00C46D3C" w14:paraId="249F1A70" w14:textId="77777777">
      <w:pPr>
        <w:tabs>
          <w:tab w:val="left" w:pos="720"/>
          <w:tab w:val="right" w:leader="dot" w:pos="9360"/>
        </w:tabs>
        <w:suppressAutoHyphens/>
        <w:rPr>
          <w:b/>
          <w:spacing w:val="-2"/>
          <w:szCs w:val="22"/>
        </w:rPr>
      </w:pPr>
      <w:r>
        <w:t xml:space="preserve">By the Commission: Chairman Pai and Commissioners </w:t>
      </w:r>
      <w:r>
        <w:t>O’Rielly</w:t>
      </w:r>
      <w:r>
        <w:t xml:space="preserve"> and Carr issuing separate statements; Commissioners </w:t>
      </w:r>
      <w:r>
        <w:t>Rosenworcel</w:t>
      </w:r>
      <w:r>
        <w:t xml:space="preserve"> and Starks approving in part, dissenting in part, and issuing separate statements.</w:t>
      </w:r>
    </w:p>
    <w:p w:rsidR="00252A4C" w:rsidP="00252A4C" w14:paraId="06C5F210" w14:textId="77777777">
      <w:pPr>
        <w:pStyle w:val="TOCTitle"/>
      </w:pPr>
      <w:bookmarkStart w:id="0" w:name="TOChere"/>
      <w:bookmarkStart w:id="1" w:name="_Toc514235968"/>
      <w:bookmarkStart w:id="2" w:name="_Toc514660719"/>
      <w:bookmarkStart w:id="3" w:name="_Toc514923444"/>
      <w:bookmarkStart w:id="4" w:name="_Toc515899470"/>
      <w:bookmarkStart w:id="5" w:name="_Toc515980728"/>
      <w:bookmarkStart w:id="6" w:name="_Toc516763994"/>
      <w:bookmarkStart w:id="7" w:name="_Toc517714202"/>
      <w:bookmarkStart w:id="8" w:name="_Toc518303460"/>
      <w:bookmarkStart w:id="9" w:name="_Toc518743826"/>
      <w:bookmarkStart w:id="10" w:name="_Toc519009859"/>
      <w:bookmarkStart w:id="11" w:name="_Toc520326939"/>
      <w:bookmarkStart w:id="12" w:name="_Toc520810141"/>
      <w:bookmarkStart w:id="13" w:name="_Toc520830173"/>
      <w:bookmarkStart w:id="14" w:name="_Toc12632383"/>
      <w:bookmarkStart w:id="15" w:name="_Toc12632815"/>
      <w:bookmarkStart w:id="16" w:name="_Toc13665582"/>
      <w:bookmarkStart w:id="17" w:name="_Toc13665769"/>
      <w:bookmarkStart w:id="18" w:name="_Toc510773977"/>
      <w:bookmarkStart w:id="19" w:name="_Toc511405692"/>
      <w:bookmarkStart w:id="20" w:name="_Toc513211266"/>
      <w:bookmarkStart w:id="21" w:name="_Toc513565437"/>
      <w:r>
        <w:t>Table of Contents</w:t>
      </w:r>
    </w:p>
    <w:p w:rsidR="00252A4C" w:rsidP="00252A4C" w14:paraId="72E40C34" w14:textId="77777777">
      <w:pPr>
        <w:pStyle w:val="Paratitle"/>
      </w:pPr>
      <w:r>
        <w:t>Heading</w:t>
      </w:r>
      <w:r>
        <w:tab/>
        <w:t>Paragraph #</w:t>
      </w:r>
      <w:bookmarkStart w:id="22" w:name="start_here"/>
      <w:bookmarkEnd w:id="22"/>
    </w:p>
    <w:p w:rsidR="00252A4C" w:rsidRPr="00596AFC" w:rsidP="00252A4C" w14:paraId="31B5102B" w14:textId="77777777">
      <w:pPr>
        <w:pStyle w:val="TOC1"/>
        <w:rPr>
          <w:rFonts w:ascii="Calibri" w:hAnsi="Calibri"/>
          <w:caps w:val="0"/>
          <w:kern w:val="0"/>
        </w:rPr>
      </w:pPr>
      <w:r w:rsidRPr="00CD66E4">
        <w:t>I</w:t>
      </w:r>
      <w:r w:rsidRPr="00CD66E4">
        <w:t>.</w:t>
      </w:r>
      <w:r w:rsidRPr="00596AFC">
        <w:rPr>
          <w:rFonts w:ascii="Calibri" w:hAnsi="Calibri"/>
          <w:caps w:val="0"/>
          <w:kern w:val="0"/>
        </w:rPr>
        <w:tab/>
      </w:r>
      <w:r w:rsidRPr="00CD66E4">
        <w:t>INTRODUCTION</w:t>
      </w:r>
      <w:r>
        <w:tab/>
        <w:t>1</w:t>
      </w:r>
    </w:p>
    <w:p w:rsidR="00252A4C" w:rsidRPr="00596AFC" w:rsidP="00252A4C" w14:paraId="0A39FD0B" w14:textId="77777777">
      <w:pPr>
        <w:pStyle w:val="TOC1"/>
        <w:rPr>
          <w:rFonts w:ascii="Calibri" w:hAnsi="Calibri"/>
          <w:caps w:val="0"/>
          <w:kern w:val="0"/>
        </w:rPr>
      </w:pPr>
      <w:r w:rsidRPr="00CD66E4">
        <w:t>II.</w:t>
      </w:r>
      <w:r w:rsidRPr="00596AFC">
        <w:rPr>
          <w:rFonts w:ascii="Calibri" w:hAnsi="Calibri"/>
          <w:caps w:val="0"/>
          <w:kern w:val="0"/>
        </w:rPr>
        <w:tab/>
      </w:r>
      <w:r w:rsidRPr="00CD66E4">
        <w:t>Background</w:t>
      </w:r>
      <w:r>
        <w:tab/>
        <w:t>5</w:t>
      </w:r>
    </w:p>
    <w:p w:rsidR="00252A4C" w:rsidRPr="00596AFC" w:rsidP="00252A4C" w14:paraId="6DAD440B" w14:textId="77777777">
      <w:pPr>
        <w:pStyle w:val="TOC1"/>
        <w:rPr>
          <w:rFonts w:ascii="Calibri" w:hAnsi="Calibri"/>
          <w:caps w:val="0"/>
          <w:kern w:val="0"/>
        </w:rPr>
      </w:pPr>
      <w:r w:rsidRPr="00CD66E4">
        <w:t>III.</w:t>
      </w:r>
      <w:r w:rsidRPr="00596AFC">
        <w:rPr>
          <w:rFonts w:ascii="Calibri" w:hAnsi="Calibri"/>
          <w:caps w:val="0"/>
          <w:kern w:val="0"/>
        </w:rPr>
        <w:tab/>
      </w:r>
      <w:r w:rsidRPr="00CD66E4">
        <w:t>Report and Order</w:t>
      </w:r>
      <w:r>
        <w:tab/>
        <w:t>10</w:t>
      </w:r>
    </w:p>
    <w:p w:rsidR="00252A4C" w:rsidRPr="00596AFC" w:rsidP="00252A4C" w14:paraId="2B184AEA" w14:textId="77777777">
      <w:pPr>
        <w:pStyle w:val="TOC2"/>
        <w:tabs>
          <w:tab w:val="left" w:pos="360"/>
        </w:tabs>
        <w:rPr>
          <w:rFonts w:ascii="Calibri" w:hAnsi="Calibri"/>
          <w:kern w:val="0"/>
        </w:rPr>
      </w:pPr>
      <w:r>
        <w:t>A.</w:t>
      </w:r>
      <w:r w:rsidRPr="00596AFC">
        <w:rPr>
          <w:rFonts w:ascii="Calibri" w:hAnsi="Calibri"/>
          <w:kern w:val="0"/>
        </w:rPr>
        <w:tab/>
      </w:r>
      <w:r>
        <w:t>Establishing Granular Maps of Fixed Broadband Service Availability</w:t>
      </w:r>
      <w:r>
        <w:tab/>
        <w:t>12</w:t>
      </w:r>
    </w:p>
    <w:p w:rsidR="00252A4C" w:rsidRPr="00596AFC" w:rsidP="00252A4C" w14:paraId="5DFEC2A8" w14:textId="77777777">
      <w:pPr>
        <w:pStyle w:val="TOC2"/>
        <w:tabs>
          <w:tab w:val="left" w:pos="360"/>
        </w:tabs>
        <w:rPr>
          <w:rFonts w:ascii="Calibri" w:hAnsi="Calibri"/>
          <w:kern w:val="0"/>
        </w:rPr>
      </w:pPr>
      <w:r>
        <w:t>B.</w:t>
      </w:r>
      <w:r w:rsidRPr="00596AFC">
        <w:rPr>
          <w:rFonts w:ascii="Calibri" w:hAnsi="Calibri"/>
          <w:kern w:val="0"/>
        </w:rPr>
        <w:tab/>
      </w:r>
      <w:r>
        <w:t>Improving the Existing Form 477 Data Collection</w:t>
      </w:r>
      <w:r>
        <w:tab/>
        <w:t>35</w:t>
      </w:r>
    </w:p>
    <w:p w:rsidR="00252A4C" w:rsidRPr="00596AFC" w:rsidP="00252A4C" w14:paraId="117E8418" w14:textId="77777777">
      <w:pPr>
        <w:pStyle w:val="TOC1"/>
        <w:rPr>
          <w:rFonts w:ascii="Calibri" w:hAnsi="Calibri"/>
          <w:caps w:val="0"/>
          <w:kern w:val="0"/>
        </w:rPr>
      </w:pPr>
      <w:r w:rsidRPr="00CD66E4">
        <w:t>IV.</w:t>
      </w:r>
      <w:r w:rsidRPr="00596AFC">
        <w:rPr>
          <w:rFonts w:ascii="Calibri" w:hAnsi="Calibri"/>
          <w:caps w:val="0"/>
          <w:kern w:val="0"/>
        </w:rPr>
        <w:tab/>
      </w:r>
      <w:r w:rsidRPr="00CD66E4">
        <w:t>SECOND FURTHER NOTICE OF PROPOSED RULEMAKIng</w:t>
      </w:r>
      <w:r>
        <w:tab/>
        <w:t>76</w:t>
      </w:r>
    </w:p>
    <w:p w:rsidR="00252A4C" w:rsidRPr="00596AFC" w:rsidP="00252A4C" w14:paraId="3D9E571F" w14:textId="77777777">
      <w:pPr>
        <w:pStyle w:val="TOC2"/>
        <w:tabs>
          <w:tab w:val="left" w:pos="360"/>
        </w:tabs>
        <w:rPr>
          <w:rFonts w:ascii="Calibri" w:hAnsi="Calibri"/>
          <w:kern w:val="0"/>
        </w:rPr>
      </w:pPr>
      <w:r>
        <w:t>A.</w:t>
      </w:r>
      <w:r w:rsidRPr="00596AFC">
        <w:rPr>
          <w:rFonts w:ascii="Calibri" w:hAnsi="Calibri"/>
          <w:kern w:val="0"/>
        </w:rPr>
        <w:tab/>
      </w:r>
      <w:r>
        <w:t>Improving Broadband Data</w:t>
      </w:r>
      <w:r>
        <w:tab/>
        <w:t>77</w:t>
      </w:r>
    </w:p>
    <w:p w:rsidR="00252A4C" w:rsidRPr="00596AFC" w:rsidP="00252A4C" w14:paraId="7E812842" w14:textId="77777777">
      <w:pPr>
        <w:pStyle w:val="TOC3"/>
        <w:tabs>
          <w:tab w:val="left" w:pos="360"/>
        </w:tabs>
        <w:rPr>
          <w:rFonts w:ascii="Calibri" w:hAnsi="Calibri"/>
          <w:kern w:val="0"/>
        </w:rPr>
      </w:pPr>
      <w:r>
        <w:t>1.</w:t>
      </w:r>
      <w:r w:rsidRPr="00596AFC">
        <w:rPr>
          <w:rFonts w:ascii="Calibri" w:hAnsi="Calibri"/>
          <w:kern w:val="0"/>
        </w:rPr>
        <w:tab/>
      </w:r>
      <w:r>
        <w:t>Additional Technical Standards for Fixed Broadband Reporting</w:t>
      </w:r>
      <w:r>
        <w:tab/>
        <w:t>78</w:t>
      </w:r>
    </w:p>
    <w:p w:rsidR="00252A4C" w:rsidRPr="00596AFC" w:rsidP="00252A4C" w14:paraId="3BF270AD" w14:textId="77777777">
      <w:pPr>
        <w:pStyle w:val="TOC3"/>
        <w:tabs>
          <w:tab w:val="left" w:pos="360"/>
        </w:tabs>
        <w:rPr>
          <w:rFonts w:ascii="Calibri" w:hAnsi="Calibri"/>
          <w:kern w:val="0"/>
        </w:rPr>
      </w:pPr>
      <w:r>
        <w:t>2.</w:t>
      </w:r>
      <w:r w:rsidRPr="00596AFC">
        <w:rPr>
          <w:rFonts w:ascii="Calibri" w:hAnsi="Calibri"/>
          <w:kern w:val="0"/>
        </w:rPr>
        <w:tab/>
      </w:r>
      <w:r>
        <w:t>Use of Crowdsourcing</w:t>
      </w:r>
      <w:r>
        <w:tab/>
        <w:t>88</w:t>
      </w:r>
    </w:p>
    <w:p w:rsidR="00252A4C" w:rsidRPr="00596AFC" w:rsidP="00252A4C" w14:paraId="5ED96AB2" w14:textId="77777777">
      <w:pPr>
        <w:pStyle w:val="TOC3"/>
        <w:tabs>
          <w:tab w:val="left" w:pos="360"/>
        </w:tabs>
        <w:rPr>
          <w:rFonts w:ascii="Calibri" w:hAnsi="Calibri"/>
          <w:kern w:val="0"/>
        </w:rPr>
      </w:pPr>
      <w:r>
        <w:t>3.</w:t>
      </w:r>
      <w:r w:rsidRPr="00596AFC">
        <w:rPr>
          <w:rFonts w:ascii="Calibri" w:hAnsi="Calibri"/>
          <w:kern w:val="0"/>
        </w:rPr>
        <w:tab/>
      </w:r>
      <w:r w:rsidRPr="00CD66E4">
        <w:rPr>
          <w:snapToGrid/>
        </w:rPr>
        <w:t>Incorporating</w:t>
      </w:r>
      <w:r>
        <w:t xml:space="preserve"> Location Information into the Digital Opportunity Data Collection</w:t>
      </w:r>
      <w:r>
        <w:tab/>
        <w:t>99</w:t>
      </w:r>
    </w:p>
    <w:p w:rsidR="00252A4C" w:rsidRPr="00596AFC" w:rsidP="00252A4C" w14:paraId="55DF244D" w14:textId="77777777">
      <w:pPr>
        <w:pStyle w:val="TOC2"/>
        <w:tabs>
          <w:tab w:val="left" w:pos="360"/>
        </w:tabs>
        <w:rPr>
          <w:rFonts w:ascii="Calibri" w:hAnsi="Calibri"/>
          <w:kern w:val="0"/>
        </w:rPr>
      </w:pPr>
      <w:r>
        <w:t>B.</w:t>
      </w:r>
      <w:r w:rsidRPr="00596AFC">
        <w:rPr>
          <w:rFonts w:ascii="Calibri" w:hAnsi="Calibri"/>
          <w:kern w:val="0"/>
        </w:rPr>
        <w:tab/>
      </w:r>
      <w:r>
        <w:t>Improving Mobile Broadband and Voice Data</w:t>
      </w:r>
      <w:r>
        <w:tab/>
        <w:t>112</w:t>
      </w:r>
    </w:p>
    <w:p w:rsidR="00252A4C" w:rsidRPr="00596AFC" w:rsidP="00252A4C" w14:paraId="6C807E8E" w14:textId="77777777">
      <w:pPr>
        <w:pStyle w:val="TOC2"/>
        <w:tabs>
          <w:tab w:val="left" w:pos="360"/>
        </w:tabs>
        <w:rPr>
          <w:rFonts w:ascii="Calibri" w:hAnsi="Calibri"/>
          <w:kern w:val="0"/>
        </w:rPr>
      </w:pPr>
      <w:r>
        <w:t>C.</w:t>
      </w:r>
      <w:r w:rsidRPr="00596AFC">
        <w:rPr>
          <w:rFonts w:ascii="Calibri" w:hAnsi="Calibri"/>
          <w:kern w:val="0"/>
        </w:rPr>
        <w:tab/>
      </w:r>
      <w:r>
        <w:t>Sunsetting the Form 477 Broadband Deployment Data Collection</w:t>
      </w:r>
      <w:r>
        <w:tab/>
        <w:t>135</w:t>
      </w:r>
    </w:p>
    <w:p w:rsidR="00252A4C" w:rsidRPr="00596AFC" w:rsidP="00252A4C" w14:paraId="1883EC99" w14:textId="77777777">
      <w:pPr>
        <w:pStyle w:val="TOC1"/>
        <w:rPr>
          <w:rFonts w:ascii="Calibri" w:hAnsi="Calibri"/>
          <w:caps w:val="0"/>
          <w:snapToGrid/>
          <w:kern w:val="0"/>
          <w:szCs w:val="22"/>
        </w:rPr>
      </w:pPr>
      <w:r>
        <w:t>V.</w:t>
      </w:r>
      <w:r w:rsidRPr="00596AFC">
        <w:rPr>
          <w:rFonts w:ascii="Calibri" w:hAnsi="Calibri"/>
          <w:caps w:val="0"/>
          <w:snapToGrid/>
          <w:kern w:val="0"/>
          <w:szCs w:val="22"/>
        </w:rPr>
        <w:tab/>
      </w:r>
      <w:r>
        <w:t>PROCEDURAL MATTERS</w:t>
      </w:r>
      <w:r>
        <w:tab/>
        <w:t>136</w:t>
      </w:r>
    </w:p>
    <w:p w:rsidR="00252A4C" w:rsidRPr="00596AFC" w:rsidP="00252A4C" w14:paraId="18186959" w14:textId="77777777">
      <w:pPr>
        <w:pStyle w:val="TOC1"/>
        <w:rPr>
          <w:rFonts w:ascii="Calibri" w:hAnsi="Calibri"/>
          <w:caps w:val="0"/>
          <w:snapToGrid/>
          <w:kern w:val="0"/>
          <w:szCs w:val="22"/>
        </w:rPr>
      </w:pPr>
      <w:r>
        <w:t>VI.</w:t>
      </w:r>
      <w:r w:rsidRPr="00596AFC">
        <w:rPr>
          <w:rFonts w:ascii="Calibri" w:hAnsi="Calibri"/>
          <w:caps w:val="0"/>
          <w:snapToGrid/>
          <w:kern w:val="0"/>
          <w:szCs w:val="22"/>
        </w:rPr>
        <w:tab/>
      </w:r>
      <w:r>
        <w:t>ORDERING CLAUSES</w:t>
      </w:r>
      <w:r>
        <w:tab/>
        <w:t>143</w:t>
      </w:r>
    </w:p>
    <w:p w:rsidR="00252A4C" w:rsidRPr="00596AFC" w:rsidP="00252A4C" w14:paraId="7B8E44E9" w14:textId="77777777">
      <w:pPr>
        <w:pStyle w:val="TOC1"/>
        <w:tabs>
          <w:tab w:val="clear" w:pos="360"/>
        </w:tabs>
        <w:ind w:left="720"/>
        <w:rPr>
          <w:rFonts w:ascii="Calibri" w:hAnsi="Calibri"/>
          <w:caps w:val="0"/>
          <w:kern w:val="0"/>
        </w:rPr>
      </w:pPr>
      <w:r w:rsidRPr="00CD66E4">
        <w:t>APPENDIX A</w:t>
      </w:r>
      <w:r>
        <w:t xml:space="preserve"> – FINAL Rules</w:t>
      </w:r>
    </w:p>
    <w:p w:rsidR="00252A4C" w:rsidRPr="00596AFC" w:rsidP="00252A4C" w14:paraId="1BF686B9" w14:textId="77777777">
      <w:pPr>
        <w:pStyle w:val="TOC1"/>
        <w:tabs>
          <w:tab w:val="clear" w:pos="360"/>
        </w:tabs>
        <w:ind w:left="720"/>
        <w:rPr>
          <w:rFonts w:ascii="Calibri" w:hAnsi="Calibri"/>
          <w:caps w:val="0"/>
          <w:kern w:val="0"/>
        </w:rPr>
      </w:pPr>
      <w:r w:rsidRPr="00CD66E4">
        <w:t>APPENDIX B</w:t>
      </w:r>
      <w:r>
        <w:t xml:space="preserve"> – final regulatory flexibilty analysis </w:t>
      </w:r>
    </w:p>
    <w:p w:rsidR="00252A4C" w:rsidRPr="00947E6A" w:rsidP="00252A4C" w14:paraId="5B9B2638" w14:textId="77777777">
      <w:pPr>
        <w:pStyle w:val="TOC1"/>
        <w:tabs>
          <w:tab w:val="clear" w:pos="360"/>
        </w:tabs>
        <w:ind w:left="720"/>
      </w:pPr>
      <w:r w:rsidRPr="00CD66E4">
        <w:t>APPENDIX C</w:t>
      </w:r>
      <w:r>
        <w:t xml:space="preserve"> – initial regulatory flexibility analysis </w:t>
      </w:r>
    </w:p>
    <w:p w:rsidR="00252A4C" w:rsidRPr="00947E6A" w:rsidP="00252A4C" w14:paraId="6A162954" w14:textId="77777777"/>
    <w:p w:rsidR="00252A4C" w:rsidRPr="00947E6A" w:rsidP="00252A4C" w14:paraId="6F3C6670" w14:textId="77777777">
      <w:pPr>
        <w:pStyle w:val="Heading1"/>
        <w:tabs>
          <w:tab w:val="num" w:pos="720"/>
        </w:tabs>
        <w:rPr>
          <w:rFonts w:ascii="Times New Roman" w:hAnsi="Times New Roman"/>
        </w:rPr>
      </w:pPr>
      <w:bookmarkStart w:id="23" w:name="_Toc15501950"/>
      <w:bookmarkEnd w:id="0"/>
      <w:r w:rsidRPr="00947E6A">
        <w:rPr>
          <w:rFonts w:ascii="Times New Roman" w:hAnsi="Times New Roman"/>
        </w:rPr>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23"/>
      <w:r w:rsidRPr="00947E6A">
        <w:rPr>
          <w:rFonts w:ascii="Times New Roman" w:hAnsi="Times New Roman"/>
        </w:rPr>
        <w:t xml:space="preserve"> </w:t>
      </w:r>
    </w:p>
    <w:p w:rsidR="00252A4C" w:rsidRPr="00ED6163" w:rsidP="00410009" w14:paraId="7B32B83E" w14:textId="77777777">
      <w:pPr>
        <w:pStyle w:val="ParaNum"/>
      </w:pPr>
      <w:bookmarkStart w:id="24" w:name="_Toc515899472"/>
      <w:bookmarkStart w:id="25" w:name="_Toc515980730"/>
      <w:bookmarkStart w:id="26" w:name="_Toc516763996"/>
      <w:bookmarkStart w:id="27" w:name="_Toc517714204"/>
      <w:bookmarkStart w:id="28" w:name="_Toc518303462"/>
      <w:bookmarkStart w:id="29" w:name="_Toc518743828"/>
      <w:bookmarkStart w:id="30" w:name="_Toc519009861"/>
      <w:bookmarkStart w:id="31" w:name="_Toc520326941"/>
      <w:bookmarkStart w:id="32" w:name="_Toc520810143"/>
      <w:bookmarkStart w:id="33" w:name="_Toc520830175"/>
      <w:bookmarkEnd w:id="18"/>
      <w:bookmarkEnd w:id="19"/>
      <w:bookmarkEnd w:id="20"/>
      <w:bookmarkEnd w:id="21"/>
      <w:r w:rsidRPr="00ED6163">
        <w:t>Accurate broadband deployment data is critical to the Commission’s efforts to bridge the digital divide.</w:t>
      </w:r>
      <w:r w:rsidRPr="00ED6163">
        <w:rPr>
          <w:rStyle w:val="CommentReference"/>
          <w:sz w:val="22"/>
          <w:szCs w:val="22"/>
        </w:rPr>
        <w:t xml:space="preserve"> </w:t>
      </w:r>
      <w:r w:rsidRPr="00ED6163">
        <w:t xml:space="preserve"> Effectively targeting federal and state spending efforts to bring broadband to those areas </w:t>
      </w:r>
      <w:r w:rsidRPr="00ED6163">
        <w:t>most in need of it means understanding where broadband is available and where it is not.</w:t>
      </w:r>
      <w:r>
        <w:rPr>
          <w:rStyle w:val="FootnoteReference"/>
          <w:sz w:val="22"/>
        </w:rPr>
        <w:footnoteReference w:id="3"/>
      </w:r>
      <w:r w:rsidRPr="00ED6163">
        <w:t xml:space="preserve">  The census-block level fixed broadband service availability reporting the Commission currently requires has been an effective tool for helping the Commission target</w:t>
      </w:r>
      <w:r w:rsidRPr="00ED6163">
        <w:t xml:space="preserve"> universal service support to the least-served areas of the country, but has made it difficult for the Commission to direct funding to the “gaps” in broadband coverage—those areas where some, but not all, homes and businesses have access to modern communic</w:t>
      </w:r>
      <w:r w:rsidRPr="00ED6163">
        <w:t xml:space="preserve">ations services. </w:t>
      </w:r>
    </w:p>
    <w:p w:rsidR="00252A4C" w:rsidRPr="00ED6163" w:rsidP="00410009" w14:paraId="63D30F8B" w14:textId="77777777">
      <w:pPr>
        <w:pStyle w:val="ParaNum"/>
      </w:pPr>
      <w:r w:rsidRPr="00ED6163">
        <w:t xml:space="preserve">We therefore initiate a new data collection, the Digital Opportunity Data Collection, that is distinct from the existing Form 477 collection and that will gather geospatial broadband service availability data </w:t>
      </w:r>
      <w:r w:rsidRPr="00D60B92">
        <w:t>specifically</w:t>
      </w:r>
      <w:r w:rsidRPr="00ED6163">
        <w:t xml:space="preserve"> targeted toward </w:t>
      </w:r>
      <w:r w:rsidRPr="00ED6163">
        <w:t>advancing our universal service goals.  Pursuant to the Digital Opportunity Data Collection, we require all broadband service providers to submit granular maps of the areas where they have broadband-capable networks and make service available.  Given the C</w:t>
      </w:r>
      <w:r w:rsidRPr="00ED6163">
        <w:t>ommission’s ongoing investigation into the coverage maps of one or more major mobile operators,</w:t>
      </w:r>
      <w:r>
        <w:rPr>
          <w:rStyle w:val="FootnoteReference"/>
          <w:sz w:val="22"/>
        </w:rPr>
        <w:footnoteReference w:id="4"/>
      </w:r>
      <w:r w:rsidRPr="00ED6163">
        <w:t xml:space="preserve"> we limit the new data collection obligations to fixed broadband providers at present and seek comment on how best to incorporate mobile wireless coverage data</w:t>
      </w:r>
      <w:r w:rsidRPr="00ED6163">
        <w:t xml:space="preserve"> into the Digital Opportunity Data Collection.  </w:t>
      </w:r>
    </w:p>
    <w:p w:rsidR="00252A4C" w:rsidRPr="00ED6163" w:rsidP="00410009" w14:paraId="33082C6D" w14:textId="77777777">
      <w:pPr>
        <w:pStyle w:val="ParaNum"/>
      </w:pPr>
      <w:r w:rsidRPr="00ED6163">
        <w:t xml:space="preserve">Service providers—who are uniquely situated to know where their own networks are deployed—must determine in the first instance the availability of broadband in their service areas, taking into account their </w:t>
      </w:r>
      <w:r w:rsidRPr="00ED6163">
        <w:t xml:space="preserve">individual circumstances and their on-the-ground knowledge and experience.  At the same time, to complement this granular broadband availability data, we adopt a process to begin collecting public input, sometimes known as “crowdsourcing,” on the accuracy </w:t>
      </w:r>
      <w:r w:rsidRPr="00ED6163">
        <w:t>of service providers’ broadband deployment data.  Through this new tool, State, local, and Tribal governmental entities and members of the public will be able to submit fixed broadband availability data, leveraging their experience concerning service avail</w:t>
      </w:r>
      <w:r w:rsidRPr="00ED6163">
        <w:t xml:space="preserve">ability.  In addition, because we leave in place for now the existing Form 477 data collection, we make targeted changes to reduce reporting burdens for all providers by removing and clarifying certain requirements and modifying the collection.  </w:t>
      </w:r>
    </w:p>
    <w:p w:rsidR="00252A4C" w:rsidRPr="00ED6163" w:rsidP="00410009" w14:paraId="5B9D1EC6" w14:textId="77777777">
      <w:pPr>
        <w:pStyle w:val="ParaNum"/>
      </w:pPr>
      <w:r w:rsidRPr="00ED6163">
        <w:t>In the Se</w:t>
      </w:r>
      <w:r w:rsidRPr="00ED6163">
        <w:t>cond Further Notice of Proposed Rulemaking (</w:t>
      </w:r>
      <w:r w:rsidRPr="00ED6163">
        <w:rPr>
          <w:i/>
        </w:rPr>
        <w:t>Second Notice</w:t>
      </w:r>
      <w:r w:rsidRPr="00ED6163">
        <w:t xml:space="preserve">), we seek comment on certain aspects of the Digital Opportunity Data Collection to enhance the accuracy and usefulness of broadband deployment reporting.  We also seek comment on ways that we can </w:t>
      </w:r>
      <w:r>
        <w:t>de</w:t>
      </w:r>
      <w:r>
        <w:t>velop location-specific data that could be overlaid onto the polygon-based</w:t>
      </w:r>
      <w:r w:rsidRPr="00ED6163">
        <w:t xml:space="preserve"> data in this new data collection</w:t>
      </w:r>
      <w:r>
        <w:t xml:space="preserve"> </w:t>
      </w:r>
      <w:r w:rsidRPr="00DB4346">
        <w:t>to precisely identify the homes and small businesses that have and do not have access to broadband services</w:t>
      </w:r>
      <w:r>
        <w:t>.</w:t>
      </w:r>
      <w:r w:rsidRPr="00ED6163">
        <w:t xml:space="preserve">  With respect to mobile wireless covera</w:t>
      </w:r>
      <w:r w:rsidRPr="00ED6163">
        <w:t>ge, we seek comment on how to align the Digital Opportunity Data Collection with changes in mobile broadband deployment technology, markets, and policy needs.  The questions asked, and proposals made</w:t>
      </w:r>
      <w:r>
        <w:t>,</w:t>
      </w:r>
      <w:r w:rsidRPr="00ED6163">
        <w:t xml:space="preserve"> in the </w:t>
      </w:r>
      <w:r w:rsidRPr="00ED6163">
        <w:rPr>
          <w:i/>
        </w:rPr>
        <w:t xml:space="preserve">Second Notice </w:t>
      </w:r>
      <w:r w:rsidRPr="00ED6163">
        <w:t>build a framework for addressing t</w:t>
      </w:r>
      <w:r w:rsidRPr="00ED6163">
        <w:t xml:space="preserve">hese and other issues.  Finally, the </w:t>
      </w:r>
      <w:r w:rsidRPr="00ED6163">
        <w:rPr>
          <w:i/>
        </w:rPr>
        <w:t>Second Notice</w:t>
      </w:r>
      <w:r w:rsidRPr="00ED6163">
        <w:t xml:space="preserve"> seeks comment on how we can improve the satellite broadband deployment data given the unique characteristics of satellites.</w:t>
      </w:r>
    </w:p>
    <w:p w:rsidR="00252A4C" w:rsidRPr="00947E6A" w:rsidP="00252A4C" w14:paraId="35B26F37" w14:textId="77777777">
      <w:pPr>
        <w:pStyle w:val="Heading1"/>
        <w:tabs>
          <w:tab w:val="num" w:pos="720"/>
        </w:tabs>
        <w:rPr>
          <w:rFonts w:ascii="Times New Roman" w:hAnsi="Times New Roman"/>
        </w:rPr>
      </w:pPr>
      <w:bookmarkStart w:id="34" w:name="_Toc517714203"/>
      <w:bookmarkStart w:id="35" w:name="_Toc518303461"/>
      <w:bookmarkStart w:id="36" w:name="_Toc518743827"/>
      <w:bookmarkStart w:id="37" w:name="_Toc519009860"/>
      <w:bookmarkStart w:id="38" w:name="_Toc520326940"/>
      <w:bookmarkStart w:id="39" w:name="_Toc520810142"/>
      <w:bookmarkStart w:id="40" w:name="_Toc520830174"/>
      <w:bookmarkStart w:id="41" w:name="_Toc12376428"/>
      <w:bookmarkStart w:id="42" w:name="_Toc12632384"/>
      <w:bookmarkStart w:id="43" w:name="_Toc12632816"/>
      <w:bookmarkStart w:id="44" w:name="_Toc13665583"/>
      <w:bookmarkStart w:id="45" w:name="_Toc13665770"/>
      <w:bookmarkStart w:id="46" w:name="_Toc15501951"/>
      <w:r w:rsidRPr="00947E6A">
        <w:rPr>
          <w:rFonts w:ascii="Times New Roman" w:hAnsi="Times New Roman"/>
        </w:rPr>
        <w:t>Background</w:t>
      </w:r>
      <w:bookmarkEnd w:id="34"/>
      <w:bookmarkEnd w:id="35"/>
      <w:bookmarkEnd w:id="36"/>
      <w:bookmarkEnd w:id="37"/>
      <w:bookmarkEnd w:id="38"/>
      <w:bookmarkEnd w:id="39"/>
      <w:bookmarkEnd w:id="40"/>
      <w:bookmarkEnd w:id="41"/>
      <w:bookmarkEnd w:id="42"/>
      <w:bookmarkEnd w:id="43"/>
      <w:bookmarkEnd w:id="44"/>
      <w:bookmarkEnd w:id="45"/>
      <w:bookmarkEnd w:id="46"/>
    </w:p>
    <w:p w:rsidR="00252A4C" w:rsidRPr="00ED6163" w:rsidP="009018DC" w14:paraId="1961704B" w14:textId="77777777">
      <w:pPr>
        <w:pStyle w:val="ParaNum"/>
        <w:widowControl/>
      </w:pPr>
      <w:r w:rsidRPr="00ED6163">
        <w:t xml:space="preserve">First established in 2000, the Commission’s Form 477 began as a </w:t>
      </w:r>
      <w:r w:rsidRPr="00ED6163">
        <w:t>collection of subscription and connection data for local telephone and broadband services that helped the Commission to, among other things, meet statutory annual reporting obligations and monitor local voice competition.</w:t>
      </w:r>
      <w:r>
        <w:rPr>
          <w:rStyle w:val="FootnoteReference"/>
          <w:sz w:val="22"/>
        </w:rPr>
        <w:footnoteReference w:id="5"/>
      </w:r>
      <w:r w:rsidRPr="00ED6163">
        <w:t xml:space="preserve">  Over time, the Form 477 data co</w:t>
      </w:r>
      <w:r w:rsidRPr="00ED6163">
        <w:t>llection has evolved into the primary data source for many Commission actions, including reporting to Congress and the public about the availability of broadband services, informing transaction reviews, and supporting our universal service policies.</w:t>
      </w:r>
      <w:r>
        <w:rPr>
          <w:rStyle w:val="FootnoteReference"/>
          <w:sz w:val="22"/>
        </w:rPr>
        <w:footnoteReference w:id="6"/>
      </w:r>
      <w:r w:rsidRPr="00ED6163">
        <w:t xml:space="preserve">  At </w:t>
      </w:r>
      <w:r w:rsidRPr="00ED6163">
        <w:t>the same time, it has become increasingly clear that the fixed and mobile broadband deployment data collected on the Form 477 are not sufficient to understanding where universal service support should be targeted and supporting the imperative of our broadb</w:t>
      </w:r>
      <w:r w:rsidRPr="00ED6163">
        <w:t>and-deployment policy goals.</w:t>
      </w:r>
      <w:r>
        <w:rPr>
          <w:rStyle w:val="FootnoteReference"/>
          <w:sz w:val="22"/>
        </w:rPr>
        <w:footnoteReference w:id="7"/>
      </w:r>
      <w:r w:rsidRPr="00ED6163">
        <w:t xml:space="preserve">  </w:t>
      </w:r>
    </w:p>
    <w:p w:rsidR="00252A4C" w:rsidRPr="00ED6163" w:rsidP="00410009" w14:paraId="4A1DA285" w14:textId="77777777">
      <w:pPr>
        <w:pStyle w:val="ParaNum"/>
      </w:pPr>
      <w:r w:rsidRPr="00ED6163">
        <w:t>For purposes of broadband deployment reporting, the Commission currently requires fixed providers to report the census blocks in which their broadband service is available.</w:t>
      </w:r>
      <w:r>
        <w:rPr>
          <w:rStyle w:val="FootnoteReference"/>
          <w:sz w:val="22"/>
        </w:rPr>
        <w:footnoteReference w:id="8"/>
      </w:r>
      <w:r w:rsidRPr="00ED6163">
        <w:t xml:space="preserve">  Fixed broadband connections are available in a </w:t>
      </w:r>
      <w:r w:rsidRPr="00ED6163">
        <w:t xml:space="preserve">census block “if the provider does, or could, within a service interval that is typical for that kind of connection—that is, without an extraordinary commitment of resources—provision two-way data transmission to and from the Internet with </w:t>
      </w:r>
      <w:r w:rsidRPr="00ED6163">
        <w:rPr>
          <w:i/>
        </w:rPr>
        <w:t>advertised</w:t>
      </w:r>
      <w:r w:rsidRPr="00ED6163">
        <w:t xml:space="preserve"> speed</w:t>
      </w:r>
      <w:r w:rsidRPr="00ED6163">
        <w:t xml:space="preserve">s exceeding 200 kbps in at least one direction to </w:t>
      </w:r>
      <w:r w:rsidRPr="00ED6163">
        <w:rPr>
          <w:i/>
        </w:rPr>
        <w:t>end-user premises</w:t>
      </w:r>
      <w:r w:rsidRPr="00ED6163">
        <w:t xml:space="preserve"> in the census block.”</w:t>
      </w:r>
      <w:r>
        <w:rPr>
          <w:rStyle w:val="FootnoteReference"/>
          <w:sz w:val="22"/>
        </w:rPr>
        <w:footnoteReference w:id="9"/>
      </w:r>
      <w:r w:rsidRPr="00ED6163">
        <w:t xml:space="preserve">  However, census-block based fixed deployment data have limitations—providers report whether or not fixed broadband service is available in at least some part of ea</w:t>
      </w:r>
      <w:r w:rsidRPr="00ED6163">
        <w:t>ch census block, but not whether there is availability at all areas within a block.</w:t>
      </w:r>
      <w:r>
        <w:rPr>
          <w:rStyle w:val="FootnoteReference"/>
          <w:sz w:val="22"/>
        </w:rPr>
        <w:footnoteReference w:id="10"/>
      </w:r>
      <w:r w:rsidRPr="00ED6163">
        <w:t xml:space="preserve">  </w:t>
      </w:r>
    </w:p>
    <w:p w:rsidR="00252A4C" w:rsidRPr="00ED6163" w:rsidP="00410009" w14:paraId="6DF0A7C6" w14:textId="77777777">
      <w:pPr>
        <w:pStyle w:val="ParaNum"/>
      </w:pPr>
      <w:r w:rsidRPr="00ED6163">
        <w:t>Providers of fixed voice and broadband service report on their end-user subscriptions by submitting the total number of connections in each census tract in which they p</w:t>
      </w:r>
      <w:r w:rsidRPr="00ED6163">
        <w:t>rovide service.</w:t>
      </w:r>
      <w:r>
        <w:rPr>
          <w:rStyle w:val="FootnoteReference"/>
          <w:sz w:val="22"/>
        </w:rPr>
        <w:footnoteReference w:id="11"/>
      </w:r>
      <w:r w:rsidRPr="00ED6163">
        <w:t xml:space="preserve">  Providers </w:t>
      </w:r>
      <w:r w:rsidRPr="00ED6163">
        <w:t>of mobile voice and broadband service report their total subscribers for each state in which they provide service to customers.</w:t>
      </w:r>
      <w:r>
        <w:rPr>
          <w:rStyle w:val="FootnoteReference"/>
          <w:sz w:val="22"/>
        </w:rPr>
        <w:footnoteReference w:id="12"/>
      </w:r>
      <w:r w:rsidRPr="00ED6163">
        <w:t xml:space="preserve">  Facilities-based providers of mobile broadband service report on deployment by submitting, for e</w:t>
      </w:r>
      <w:r w:rsidRPr="00ED6163">
        <w:t>ach technology and frequency band employed, polygons in geographic information system (GIS) mapping files that digitally represent the geographic areas in which a customer could expect to receive the minimum speed the service provider advertises for that a</w:t>
      </w:r>
      <w:r w:rsidRPr="00ED6163">
        <w:t>rea.</w:t>
      </w:r>
      <w:r>
        <w:rPr>
          <w:rStyle w:val="FootnoteReference"/>
          <w:sz w:val="22"/>
        </w:rPr>
        <w:footnoteReference w:id="13"/>
      </w:r>
      <w:r w:rsidRPr="00ED6163">
        <w:t xml:space="preserve">  In addition, mobile service providers must report the census tracts in which their service is advertised and available to potential customers.</w:t>
      </w:r>
      <w:r>
        <w:rPr>
          <w:rStyle w:val="FootnoteReference"/>
          <w:sz w:val="22"/>
        </w:rPr>
        <w:footnoteReference w:id="14"/>
      </w:r>
    </w:p>
    <w:p w:rsidR="00252A4C" w:rsidRPr="00ED6163" w:rsidP="00410009" w14:paraId="44614081" w14:textId="77777777">
      <w:pPr>
        <w:pStyle w:val="ParaNum"/>
      </w:pPr>
      <w:r w:rsidRPr="00ED6163">
        <w:t xml:space="preserve">In establishing the Form 477 as its primary vehicle for collecting information about the deployment of </w:t>
      </w:r>
      <w:r w:rsidRPr="00ED6163">
        <w:t xml:space="preserve">broadband services, the Commission predicted that the data from the Form 477 would “materially improve” its ability to develop, evaluate, and revise broadband policy, as well as provide valuable benchmarks for Congress, the Commission, other policymakers, </w:t>
      </w:r>
      <w:r w:rsidRPr="00ED6163">
        <w:t>and consumers.</w:t>
      </w:r>
      <w:r>
        <w:rPr>
          <w:rStyle w:val="FootnoteReference"/>
          <w:sz w:val="22"/>
        </w:rPr>
        <w:footnoteReference w:id="15"/>
      </w:r>
      <w:r w:rsidRPr="00ED6163">
        <w:t xml:space="preserve">  In its comments in this proceeding, the National Telecommunications and Information Administration (NTIA) states that its analysts “routinely refer to the Commission’s Form 477 data, including both deployment and subscription data, to hel</w:t>
      </w:r>
      <w:r w:rsidRPr="00ED6163">
        <w:t>p inform policymakers and enhance [its] technical support of broadband infrastructure investment.”</w:t>
      </w:r>
      <w:r>
        <w:rPr>
          <w:rStyle w:val="FootnoteReference"/>
          <w:sz w:val="22"/>
        </w:rPr>
        <w:footnoteReference w:id="16"/>
      </w:r>
      <w:r w:rsidRPr="00ED6163">
        <w:t xml:space="preserve">  The Commission has used aggregate broadband data reported by providers on Form 477 to, among other things: (1) meet our statutory obligation to annually r</w:t>
      </w:r>
      <w:r w:rsidRPr="00ED6163">
        <w:t xml:space="preserve">eport on the state of broadband availability; (2) </w:t>
      </w:r>
      <w:bookmarkStart w:id="47" w:name="_Hlk11331614"/>
      <w:r w:rsidRPr="00ED6163">
        <w:t>update our universal service policies and monitor whether our universal service goals are being achieved in a cost-effective manner</w:t>
      </w:r>
      <w:bookmarkEnd w:id="47"/>
      <w:r w:rsidRPr="00ED6163">
        <w:t>; (3) meet our public safety obligations; and (4) maintain coverage maps to</w:t>
      </w:r>
      <w:r w:rsidRPr="00ED6163">
        <w:t xml:space="preserve"> inform stakeholders, including industry and the public.</w:t>
      </w:r>
      <w:r>
        <w:rPr>
          <w:rStyle w:val="FootnoteReference"/>
          <w:sz w:val="22"/>
        </w:rPr>
        <w:footnoteReference w:id="17"/>
      </w:r>
    </w:p>
    <w:p w:rsidR="00252A4C" w:rsidRPr="00ED6163" w:rsidP="00410009" w14:paraId="61F46C27" w14:textId="77777777">
      <w:pPr>
        <w:pStyle w:val="ParaNum"/>
      </w:pPr>
      <w:r w:rsidRPr="00ED6163">
        <w:t xml:space="preserve">In an effort to collect and develop better quality, more useful, and more granular broadband deployment data, the Commission adopted the </w:t>
      </w:r>
      <w:r w:rsidRPr="00ED6163">
        <w:rPr>
          <w:i/>
        </w:rPr>
        <w:t>2017 Data Collection Improvement FNPRM</w:t>
      </w:r>
      <w:r w:rsidRPr="00ED6163">
        <w:t xml:space="preserve"> in August 2017.</w:t>
      </w:r>
      <w:r>
        <w:rPr>
          <w:rStyle w:val="FootnoteReference"/>
          <w:sz w:val="22"/>
        </w:rPr>
        <w:footnoteReference w:id="18"/>
      </w:r>
      <w:r w:rsidRPr="00ED6163">
        <w:t xml:space="preserve">  In</w:t>
      </w:r>
      <w:r w:rsidRPr="00ED6163">
        <w:t xml:space="preserve"> the </w:t>
      </w:r>
      <w:r w:rsidRPr="00ED6163">
        <w:rPr>
          <w:i/>
        </w:rPr>
        <w:t>2017 Data Collection Improvement FNPRM</w:t>
      </w:r>
      <w:r w:rsidRPr="00ED6163">
        <w:t>, the Commission sought comment on: (1) ways in which the Commission might increase the quality and accuracy of the broadband information we collect; and (2) ways in which the Commission might streamline its broad</w:t>
      </w:r>
      <w:r w:rsidRPr="00ED6163">
        <w:t>band reporting requirements and thereby reduce the burdens on filers.</w:t>
      </w:r>
      <w:r>
        <w:rPr>
          <w:rStyle w:val="FootnoteReference"/>
          <w:sz w:val="22"/>
        </w:rPr>
        <w:footnoteReference w:id="19"/>
      </w:r>
      <w:r w:rsidRPr="00ED6163">
        <w:t xml:space="preserve">  The Commission also noted that one of its primary objectives </w:t>
      </w:r>
      <w:r w:rsidRPr="00ED6163">
        <w:t>is to ensure that the data collected will be closely aligned with the uses to which they will be put, and sought comment o</w:t>
      </w:r>
      <w:r w:rsidRPr="00ED6163">
        <w:t>n those uses to inform our analysis.</w:t>
      </w:r>
      <w:r>
        <w:rPr>
          <w:rStyle w:val="FootnoteReference"/>
          <w:sz w:val="22"/>
        </w:rPr>
        <w:footnoteReference w:id="20"/>
      </w:r>
      <w:r w:rsidRPr="00ED6163">
        <w:t xml:space="preserve">  In response, we received a voluminous amount of comments, reply comments, and ex </w:t>
      </w:r>
      <w:r w:rsidRPr="00ED6163">
        <w:t>parte</w:t>
      </w:r>
      <w:r w:rsidRPr="00ED6163">
        <w:t xml:space="preserve"> presentations with specific recommendations on how best to improve our broadband reporting process.</w:t>
      </w:r>
    </w:p>
    <w:p w:rsidR="00252A4C" w:rsidRPr="00947E6A" w:rsidP="00252A4C" w14:paraId="78E60575" w14:textId="77777777">
      <w:pPr>
        <w:pStyle w:val="Heading1"/>
        <w:tabs>
          <w:tab w:val="num" w:pos="720"/>
        </w:tabs>
        <w:rPr>
          <w:rFonts w:ascii="Times New Roman" w:hAnsi="Times New Roman"/>
        </w:rPr>
      </w:pPr>
      <w:bookmarkStart w:id="48" w:name="_Toc12632385"/>
      <w:bookmarkStart w:id="49" w:name="_Toc12632817"/>
      <w:bookmarkStart w:id="50" w:name="_Toc13665584"/>
      <w:bookmarkStart w:id="51" w:name="_Toc13665771"/>
      <w:bookmarkStart w:id="52" w:name="_Toc15501952"/>
      <w:r w:rsidRPr="00947E6A">
        <w:rPr>
          <w:rFonts w:ascii="Times New Roman" w:hAnsi="Times New Roman"/>
        </w:rPr>
        <w:t>Report and Order</w:t>
      </w:r>
      <w:bookmarkEnd w:id="24"/>
      <w:bookmarkEnd w:id="25"/>
      <w:bookmarkEnd w:id="26"/>
      <w:bookmarkEnd w:id="27"/>
      <w:bookmarkEnd w:id="28"/>
      <w:bookmarkEnd w:id="29"/>
      <w:bookmarkEnd w:id="30"/>
      <w:bookmarkEnd w:id="31"/>
      <w:bookmarkEnd w:id="32"/>
      <w:bookmarkEnd w:id="33"/>
      <w:bookmarkEnd w:id="48"/>
      <w:bookmarkEnd w:id="49"/>
      <w:bookmarkEnd w:id="50"/>
      <w:bookmarkEnd w:id="51"/>
      <w:bookmarkEnd w:id="52"/>
    </w:p>
    <w:p w:rsidR="00252A4C" w:rsidRPr="00ED6163" w:rsidP="00410009" w14:paraId="2B6C4BEC" w14:textId="77777777">
      <w:pPr>
        <w:pStyle w:val="ParaNum"/>
      </w:pPr>
      <w:r w:rsidRPr="00ED6163">
        <w:t>As the recor</w:t>
      </w:r>
      <w:r w:rsidRPr="00ED6163">
        <w:t>d in this proceeding amply demonstrates, there is a compelling and immediate need to develop granular, high-quality fixed broadband deployment data to improve our ability to target support from our Universal Service Fund (USF) programs.  It has become incr</w:t>
      </w:r>
      <w:r w:rsidRPr="00ED6163">
        <w:t>easingly clear that the fixed and mobile broadband deployment data collected on the Form 477 are not sufficient to support the specific imperative of our USF policy goals</w:t>
      </w:r>
      <w:bookmarkStart w:id="53" w:name="_Hlk13564975"/>
      <w:r w:rsidRPr="00ED6163">
        <w:t>.</w:t>
      </w:r>
      <w:r>
        <w:rPr>
          <w:rStyle w:val="FootnoteReference"/>
          <w:sz w:val="22"/>
        </w:rPr>
        <w:footnoteReference w:id="21"/>
      </w:r>
      <w:bookmarkEnd w:id="53"/>
      <w:r w:rsidRPr="00ED6163">
        <w:t xml:space="preserve">  We conclude that in order to continue to advance our statutory universal service </w:t>
      </w:r>
      <w:r w:rsidRPr="00ED6163">
        <w:t xml:space="preserve">obligations, it is necessary to create a new data collection, calculated to produce broadband deployment maps that will allow the Commission to precisely target scarce universal service dollars to where broadband service is lacking.  In the </w:t>
      </w:r>
      <w:r w:rsidRPr="00ED6163">
        <w:rPr>
          <w:i/>
        </w:rPr>
        <w:t>2017 Data Colle</w:t>
      </w:r>
      <w:r w:rsidRPr="00ED6163">
        <w:rPr>
          <w:i/>
        </w:rPr>
        <w:t>ction Improvement FNPRM</w:t>
      </w:r>
      <w:r w:rsidRPr="00ED6163">
        <w:t>, the Commission sought comment on requiring more granularity in fixed broadband deployment data, noting that it collected location-level data from recipients of USF funding to assess whether they are meeting their buildout requireme</w:t>
      </w:r>
      <w:r w:rsidRPr="00ED6163">
        <w:t>nts, and that this more granular data had been “extremely useful” in understanding issues surrounding fixed broadband deployment in these contexts.</w:t>
      </w:r>
      <w:r>
        <w:rPr>
          <w:rStyle w:val="FootnoteReference"/>
          <w:sz w:val="22"/>
        </w:rPr>
        <w:footnoteReference w:id="22"/>
      </w:r>
      <w:r w:rsidRPr="00ED6163">
        <w:t xml:space="preserve">  We find that establishing a new collection requiring fixed providers to submit maps of the areas in which</w:t>
      </w:r>
      <w:r w:rsidRPr="00ED6163">
        <w:t xml:space="preserve"> their service is available is the best way to meet those needs expeditiously.</w:t>
      </w:r>
      <w:r>
        <w:rPr>
          <w:rStyle w:val="FootnoteReference"/>
          <w:sz w:val="22"/>
        </w:rPr>
        <w:footnoteReference w:id="23"/>
      </w:r>
    </w:p>
    <w:p w:rsidR="00252A4C" w:rsidRPr="00ED6163" w:rsidP="00410009" w14:paraId="74A95E4B" w14:textId="77777777">
      <w:pPr>
        <w:pStyle w:val="ParaNum"/>
      </w:pPr>
      <w:r w:rsidRPr="00ED6163">
        <w:t xml:space="preserve">We therefore direct the Universal Service Administrative Company (USAC), under the oversight of the Commission’s Office of Economics and Analytics (OEA), the Wireline </w:t>
      </w:r>
      <w:r w:rsidRPr="00ED6163">
        <w:t xml:space="preserve">Competition Bureau (WCB), Wireless Telecommunications Bureau (WTB), and the International Bureau (IB), to develop a new portal to accept broadband coverage maps (polygons) from fixed providers, as well as public feedback on the accuracy of these broadband </w:t>
      </w:r>
      <w:r w:rsidRPr="00ED6163">
        <w:t>maps.</w:t>
      </w:r>
      <w:r>
        <w:rPr>
          <w:rStyle w:val="FootnoteReference"/>
          <w:sz w:val="22"/>
        </w:rPr>
        <w:footnoteReference w:id="24"/>
      </w:r>
      <w:r w:rsidRPr="00ED6163">
        <w:t xml:space="preserve">  For the time being, we leave the current Form 477 in place, subject to several modifications that eliminate collection of unnecessary data, and seek comment on whether we should sunset some or all of the Form 477 deployment collection.</w:t>
      </w:r>
      <w:r w:rsidRPr="00054B91">
        <w:t xml:space="preserve"> </w:t>
      </w:r>
      <w:r>
        <w:t xml:space="preserve"> We believe the Form 477 deployment data will continue to be a useful reference point for its existing purposes as well as in relation to the new Digital Opportunity Data Collection.  Accordingly, we generally preserve the Form 477 instructions for submitt</w:t>
      </w:r>
      <w:r>
        <w:t xml:space="preserve">ing fixed broadband deployment data, except as may be required to implement the streamlining and other changes set forth below.  </w:t>
      </w:r>
    </w:p>
    <w:p w:rsidR="00252A4C" w:rsidRPr="00ED6163" w:rsidP="00252A4C" w14:paraId="209360FA" w14:textId="77777777">
      <w:pPr>
        <w:pStyle w:val="Heading2"/>
        <w:rPr>
          <w:szCs w:val="22"/>
        </w:rPr>
      </w:pPr>
      <w:bookmarkStart w:id="54" w:name="_Toc13665585"/>
      <w:bookmarkStart w:id="55" w:name="_Toc13665772"/>
      <w:bookmarkStart w:id="56" w:name="_Toc15501953"/>
      <w:r w:rsidRPr="00ED6163">
        <w:rPr>
          <w:szCs w:val="22"/>
        </w:rPr>
        <w:t>Establishing Granular Maps of Fixed Broadband Service Availability</w:t>
      </w:r>
      <w:bookmarkEnd w:id="54"/>
      <w:bookmarkEnd w:id="55"/>
      <w:bookmarkEnd w:id="56"/>
    </w:p>
    <w:p w:rsidR="00252A4C" w:rsidRPr="00ED6163" w:rsidP="00410009" w14:paraId="50FC28DE" w14:textId="77777777">
      <w:pPr>
        <w:pStyle w:val="ParaNum"/>
      </w:pPr>
      <w:r w:rsidRPr="00ED6163">
        <w:t>We require all fixed providers</w:t>
      </w:r>
      <w:r>
        <w:rPr>
          <w:rStyle w:val="FootnoteReference"/>
          <w:sz w:val="22"/>
        </w:rPr>
        <w:footnoteReference w:id="25"/>
      </w:r>
      <w:r w:rsidRPr="00947E6A">
        <w:t xml:space="preserve"> </w:t>
      </w:r>
      <w:r w:rsidRPr="00ED6163">
        <w:t>to submit broadband covera</w:t>
      </w:r>
      <w:r w:rsidRPr="00ED6163">
        <w:t>ge polygons depicting the areas where they actually have broadband-capable networks and make fixed broadband service available to end-user locations.  The filings must reflect the maximum download and upload speeds actually made available in each area, the</w:t>
      </w:r>
      <w:r w:rsidRPr="00ED6163">
        <w:t xml:space="preserve"> technology used to provide the service, and a differentiation between residential-only, business-only, or residential-and-business broadband services.</w:t>
      </w:r>
      <w:r>
        <w:rPr>
          <w:rStyle w:val="FootnoteReference"/>
          <w:sz w:val="22"/>
        </w:rPr>
        <w:footnoteReference w:id="26"/>
      </w:r>
      <w:r w:rsidRPr="00ED6163">
        <w:t xml:space="preserve">  Fixed providers in the new collection must submit a broadband coverage polygon for each combination o</w:t>
      </w:r>
      <w:r w:rsidRPr="00ED6163">
        <w:t>f download speed, upload speed, and technology.  Where fixed providers offer different maximum speeds to residential and business customers, even if using the same network facilities, they must file separate polygons.  Where the offered speed varies by loc</w:t>
      </w:r>
      <w:r w:rsidRPr="00ED6163">
        <w:t>ation or distance from network facilities, fixed providers must submit separate polygons to reflect those differing maximum offered speeds.</w:t>
      </w:r>
    </w:p>
    <w:p w:rsidR="00252A4C" w:rsidRPr="00ED6163" w:rsidP="00410009" w14:paraId="74B8A283" w14:textId="77777777">
      <w:pPr>
        <w:pStyle w:val="ParaNum"/>
      </w:pPr>
      <w:r w:rsidRPr="00ED6163">
        <w:t>For purposes of the Digital Opportunity Data Collection, service is actually available in an area if the reporting f</w:t>
      </w:r>
      <w:r w:rsidRPr="00ED6163">
        <w:t>ixed provider has a current broadband connection or it could provide such a connection within ten business days of a customer request</w:t>
      </w:r>
      <w:r>
        <w:t>,</w:t>
      </w:r>
      <w:r w:rsidRPr="00ED6163">
        <w:t xml:space="preserve"> without an extraordinary commitment of resources</w:t>
      </w:r>
      <w:r>
        <w:t>,</w:t>
      </w:r>
      <w:r w:rsidRPr="00ED6163">
        <w:t xml:space="preserve"> </w:t>
      </w:r>
      <w:r>
        <w:t>and without</w:t>
      </w:r>
      <w:r w:rsidRPr="00ED6163">
        <w:t xml:space="preserve"> </w:t>
      </w:r>
      <w:r>
        <w:t xml:space="preserve">construction charges or </w:t>
      </w:r>
      <w:r w:rsidRPr="00ED6163">
        <w:t xml:space="preserve">fees exceeding an ordinary service </w:t>
      </w:r>
      <w:r w:rsidRPr="00ED6163">
        <w:t>activation fee.</w:t>
      </w:r>
      <w:r>
        <w:rPr>
          <w:rStyle w:val="FootnoteReference"/>
          <w:sz w:val="22"/>
        </w:rPr>
        <w:footnoteReference w:id="27"/>
      </w:r>
      <w:r w:rsidRPr="00ED6163">
        <w:t xml:space="preserve">  The filer must be able to establish a connection within this timeframe to every end-user location contained in </w:t>
      </w:r>
      <w:r w:rsidRPr="00ED6163">
        <w:t>the reported broadband coverage polygon.  Under this standard, a fixed provider must have fiber or cable in place proximate, i</w:t>
      </w:r>
      <w:r w:rsidRPr="00ED6163">
        <w:t>f not connected, to the locations within its reported polygons—for example, we expect a residence would be included only if the utility pole or conduit on the right of way adjacent to the residence is already wired and awaiting just a drop cable; additiona</w:t>
      </w:r>
      <w:r w:rsidRPr="00ED6163">
        <w:t>l buildout of the network would represent an extraordinary commitment of resources.  A fixed wireless provider must have already installed enough base stations to cover and meet reasonably anticipated customer capacity demands; the installation of an addit</w:t>
      </w:r>
      <w:r w:rsidRPr="00ED6163">
        <w:t xml:space="preserve">ional </w:t>
      </w:r>
      <w:r>
        <w:t>base station</w:t>
      </w:r>
      <w:r w:rsidRPr="00ED6163">
        <w:t>, for example, would constitute an extraordinary commitment of resources.  Fixed broadband services are not actually available for purposes of the Digital Opportunity Data Collection in any area where the filer does not meet this standard</w:t>
      </w:r>
      <w:r w:rsidRPr="00ED6163">
        <w:t>.</w:t>
      </w:r>
    </w:p>
    <w:p w:rsidR="00252A4C" w:rsidRPr="00ED6163" w:rsidP="00410009" w14:paraId="6A3F81EF" w14:textId="77777777">
      <w:pPr>
        <w:pStyle w:val="ParaNum"/>
      </w:pPr>
      <w:r w:rsidRPr="00ED6163">
        <w:t>Although we agree with commenters that it would be ideal for providers to have more precise technical standards to follow in determining whether fixed broadband is available in an area (for example, defining availability based on specific proximity to ne</w:t>
      </w:r>
      <w:r w:rsidRPr="00ED6163">
        <w:t>twork facilities),</w:t>
      </w:r>
      <w:r>
        <w:rPr>
          <w:rStyle w:val="FootnoteReference"/>
          <w:sz w:val="22"/>
        </w:rPr>
        <w:footnoteReference w:id="28"/>
      </w:r>
      <w:r w:rsidRPr="00ED6163">
        <w:t xml:space="preserve"> we find insufficient evidence currently in the record to prescribe such technical standards.  Without additional information, we risk setting under- and over-inclusive technical standards, likely to result in the drawing of less accura</w:t>
      </w:r>
      <w:r w:rsidRPr="00ED6163">
        <w:t>te maps.</w:t>
      </w:r>
      <w:r>
        <w:rPr>
          <w:vertAlign w:val="superscript"/>
        </w:rPr>
        <w:footnoteReference w:id="29"/>
      </w:r>
      <w:r w:rsidRPr="00ED6163">
        <w:t xml:space="preserve">  We therefore seek comment in the </w:t>
      </w:r>
      <w:r w:rsidRPr="00ED6163">
        <w:rPr>
          <w:i/>
        </w:rPr>
        <w:t>Second Notice</w:t>
      </w:r>
      <w:r w:rsidRPr="00ED6163">
        <w:t xml:space="preserve"> about what standards fixed providers should use to establish the broadband coverage polygons.</w:t>
      </w:r>
    </w:p>
    <w:p w:rsidR="00252A4C" w:rsidRPr="00ED6163" w:rsidP="009018DC" w14:paraId="2168A1E4" w14:textId="77777777">
      <w:pPr>
        <w:pStyle w:val="ParaNum"/>
        <w:widowControl/>
      </w:pPr>
      <w:r w:rsidRPr="00ED6163">
        <w:t>We direct OEA to oversee USAC in developing the new online portal and the filing processes that will en</w:t>
      </w:r>
      <w:r w:rsidRPr="00ED6163">
        <w:t>able fixed providers to submit broadband coverage polygons.</w:t>
      </w:r>
      <w:r>
        <w:rPr>
          <w:rStyle w:val="FootnoteReference"/>
          <w:sz w:val="22"/>
        </w:rPr>
        <w:footnoteReference w:id="30"/>
      </w:r>
      <w:r w:rsidRPr="00ED6163">
        <w:t xml:space="preserve">  We also direct OEA, </w:t>
      </w:r>
      <w:r>
        <w:t xml:space="preserve">in consultation with </w:t>
      </w:r>
      <w:r w:rsidRPr="00ED6163">
        <w:t xml:space="preserve">WCB, IB, WTB, and USAC, to carry out the implementation details of the new collection including (but not limited to): (1) </w:t>
      </w:r>
      <w:r>
        <w:t>publishing complete instructio</w:t>
      </w:r>
      <w:r>
        <w:t xml:space="preserve">ns for filing data and </w:t>
      </w:r>
      <w:r w:rsidRPr="00ED6163">
        <w:t>issuing an order</w:t>
      </w:r>
      <w:r>
        <w:t xml:space="preserve">, based on the record received in response to the </w:t>
      </w:r>
      <w:r>
        <w:rPr>
          <w:i/>
        </w:rPr>
        <w:t>Second Notice</w:t>
      </w:r>
      <w:r>
        <w:t>,</w:t>
      </w:r>
      <w:r w:rsidRPr="00ED6163">
        <w:t xml:space="preserve"> </w:t>
      </w:r>
      <w:r>
        <w:t xml:space="preserve">that </w:t>
      </w:r>
      <w:r w:rsidRPr="00ED6163">
        <w:t>designat</w:t>
      </w:r>
      <w:r>
        <w:t>es</w:t>
      </w:r>
      <w:r w:rsidRPr="00ED6163">
        <w:t xml:space="preserve"> the precise specifications for the broadband coverage polygons, subject to the constraints laid out herein; (2) modifying (as needed) th</w:t>
      </w:r>
      <w:r w:rsidRPr="00ED6163">
        <w:t xml:space="preserve">e list of fixed-broadband technologies that should be reported in the new </w:t>
      </w:r>
      <w:r w:rsidRPr="00ED6163">
        <w:t>collection; and (3) defining the GIS compatible file format(s) in which fixed providers will be required to submit their polygons, taking into account any potential burdens on filers</w:t>
      </w:r>
      <w:r w:rsidRPr="00ED6163">
        <w:t>.</w:t>
      </w:r>
      <w:r>
        <w:rPr>
          <w:vertAlign w:val="superscript"/>
        </w:rPr>
        <w:footnoteReference w:id="31"/>
      </w:r>
    </w:p>
    <w:p w:rsidR="00252A4C" w:rsidRPr="00ED6163" w:rsidP="00410009" w14:paraId="4617692A" w14:textId="77777777">
      <w:pPr>
        <w:pStyle w:val="ParaNum"/>
      </w:pPr>
      <w:r w:rsidRPr="00ED6163">
        <w:t>This new data collection will take effect after</w:t>
      </w:r>
      <w:r>
        <w:t xml:space="preserve"> the release of the order designating</w:t>
      </w:r>
      <w:r w:rsidRPr="00ED6163">
        <w:t xml:space="preserve"> the </w:t>
      </w:r>
      <w:r>
        <w:t>specifications for</w:t>
      </w:r>
      <w:r w:rsidRPr="00ED6163">
        <w:t xml:space="preserve"> the </w:t>
      </w:r>
      <w:r>
        <w:t>coverage polygons,</w:t>
      </w:r>
      <w:r w:rsidRPr="00ED6163">
        <w:t xml:space="preserve"> and </w:t>
      </w:r>
      <w:r>
        <w:t xml:space="preserve">after OEA </w:t>
      </w:r>
      <w:r w:rsidRPr="00ED6163">
        <w:t xml:space="preserve">issues a </w:t>
      </w:r>
      <w:r>
        <w:t>public</w:t>
      </w:r>
      <w:r w:rsidRPr="00ED6163">
        <w:t xml:space="preserve"> notice announcing the availability of the new collection platform and the reporting deadlin</w:t>
      </w:r>
      <w:r w:rsidRPr="00ED6163">
        <w:t xml:space="preserve">es.  </w:t>
      </w:r>
      <w:bookmarkStart w:id="57" w:name="_Hlk13229813"/>
      <w:r w:rsidRPr="00ED6163">
        <w:t xml:space="preserve">Fixed broadband service providers must file initial service availability reports within six months of </w:t>
      </w:r>
      <w:r>
        <w:t xml:space="preserve">the public </w:t>
      </w:r>
      <w:r w:rsidRPr="00ED6163">
        <w:t>notice announcing availability of the new collection platform.</w:t>
      </w:r>
      <w:r>
        <w:rPr>
          <w:rStyle w:val="FootnoteReference"/>
          <w:sz w:val="22"/>
        </w:rPr>
        <w:footnoteReference w:id="32"/>
      </w:r>
      <w:r w:rsidRPr="00ED6163">
        <w:t xml:space="preserve">  Fixed providers also must submit updates within six months of completing</w:t>
      </w:r>
      <w:r w:rsidRPr="00ED6163">
        <w:t xml:space="preserve"> new broadband deployments; making changes to (including upgrading or discontinuing) existing offerings;</w:t>
      </w:r>
      <w:r>
        <w:rPr>
          <w:rStyle w:val="FootnoteReference"/>
          <w:sz w:val="22"/>
        </w:rPr>
        <w:footnoteReference w:id="33"/>
      </w:r>
      <w:r w:rsidRPr="00ED6163">
        <w:t xml:space="preserve"> or otherwise acquiring new, or selling existing, broadband-capable network facilities that affect the data submitted on their Digital Opportunity Dat</w:t>
      </w:r>
      <w:r w:rsidRPr="00ED6163">
        <w:t>a Collection filings.</w:t>
      </w:r>
      <w:r>
        <w:rPr>
          <w:rStyle w:val="FootnoteReference"/>
          <w:sz w:val="22"/>
        </w:rPr>
        <w:footnoteReference w:id="34"/>
      </w:r>
      <w:r w:rsidRPr="00ED6163">
        <w:t xml:space="preserve">  </w:t>
      </w:r>
      <w:bookmarkEnd w:id="57"/>
      <w:r w:rsidRPr="00ED6163">
        <w:t>Service providers that become subject to filing requirements subsequent to the initial filing deadline must file initial service availability reports within six months of becoming so obligated and must report data from that initial</w:t>
      </w:r>
      <w:r w:rsidRPr="00ED6163">
        <w:t xml:space="preserve"> period.  Failure to timely file the new collection data may lead to enforcement action and/or penalties as set forth in the Communications Act and other applicable laws.  In addition, fixed providers must revise their filings any time they discover a sign</w:t>
      </w:r>
      <w:r w:rsidRPr="00ED6163">
        <w:t>ificant reporting error in the original broadband deployment data that they submit.</w:t>
      </w:r>
      <w:r>
        <w:rPr>
          <w:rStyle w:val="FootnoteReference"/>
          <w:sz w:val="22"/>
        </w:rPr>
        <w:footnoteReference w:id="35"/>
      </w:r>
      <w:r w:rsidRPr="00ED6163">
        <w:t xml:space="preserve">  An appropriate official of each filer must include with any filing a certification that the filer’s service availability data is true and accurate to the best of the certifying official’s knowledge and must report the title of the certifying official.  F</w:t>
      </w:r>
      <w:r w:rsidRPr="00ED6163">
        <w:t xml:space="preserve">ilers must additionally certify on or before June 30 of each calendar year that as of December 31 of the previous year, all of the filer’s service availability data </w:t>
      </w:r>
      <w:r w:rsidRPr="00ED6163">
        <w:t>continues to be accurate, taking into account the filer’s data that has been updated during</w:t>
      </w:r>
      <w:r w:rsidRPr="00ED6163">
        <w:t xml:space="preserve"> the calendar year.  </w:t>
      </w:r>
    </w:p>
    <w:p w:rsidR="00252A4C" w:rsidRPr="00ED6163" w:rsidP="00410009" w14:paraId="0B2A5916" w14:textId="77777777">
      <w:pPr>
        <w:pStyle w:val="ParaNum"/>
      </w:pPr>
      <w:r w:rsidRPr="00ED6163">
        <w:t>In order to ensure an accurate and detailed picture of broadband deployment, we require all fixed providers to make the required Digital Opportunity Data Collection filings, although we direct WCB, in coordination with OEA, WTB, and I</w:t>
      </w:r>
      <w:r w:rsidRPr="00ED6163">
        <w:t>B, to determine whether any category of very small fixed providers (e.g., those with less than 250 subscribers  and who are not eligible telecommunications carriers (ETCs) under the USF program) should have additional time in filing their initial reports.</w:t>
      </w:r>
      <w:r>
        <w:rPr>
          <w:rStyle w:val="FootnoteReference"/>
          <w:sz w:val="22"/>
        </w:rPr>
        <w:footnoteReference w:id="36"/>
      </w:r>
      <w:r w:rsidRPr="00ED6163">
        <w:t xml:space="preserve">  We note that any service provider must nevertheless timely file in order to be eligible to participate in any USF program and those that fail to file in a timely manner risk their service areas being deemed unserved in future USF decisions.</w:t>
      </w:r>
    </w:p>
    <w:p w:rsidR="00252A4C" w:rsidRPr="00ED6163" w:rsidP="00410009" w14:paraId="72A858E3" w14:textId="77777777">
      <w:pPr>
        <w:pStyle w:val="ParaNum"/>
      </w:pPr>
      <w:r w:rsidRPr="00ED6163">
        <w:rPr>
          <w:i/>
        </w:rPr>
        <w:t>Incorporatin</w:t>
      </w:r>
      <w:r w:rsidRPr="00ED6163">
        <w:rPr>
          <w:i/>
        </w:rPr>
        <w:t xml:space="preserve">g Public Input into Broadband Coverage Maps.  </w:t>
      </w:r>
      <w:r w:rsidRPr="00ED6163">
        <w:t>Collecting broadband coverage polygons will allow fixed providers to apply their expertise concerning their networks and service areas to define their service coverages in the first instance.  However, input fr</w:t>
      </w:r>
      <w:r w:rsidRPr="00ED6163">
        <w:t>om the people who live and work in the areas that a service provider purports to serve also plays a vital role in ensuring the quality of these maps, helping to identify areas where the data submitted do not align with the reality on the ground.</w:t>
      </w:r>
      <w:r>
        <w:rPr>
          <w:rStyle w:val="FootnoteReference"/>
          <w:sz w:val="22"/>
        </w:rPr>
        <w:footnoteReference w:id="37"/>
      </w:r>
      <w:r w:rsidRPr="00ED6163">
        <w:t xml:space="preserve">  We ther</w:t>
      </w:r>
      <w:r w:rsidRPr="00ED6163">
        <w:t xml:space="preserve">efore direct OEA to work with USAC to create an online portal for local, state, and Tribal governmental entities and members of the public to review and dispute the broadband coverage polygons filed by fixed providers under the new collection.  This input </w:t>
      </w:r>
      <w:r w:rsidRPr="00ED6163">
        <w:t xml:space="preserve">will identify locations where a member of the public or a governmental entity indicates that the fixed provider is not able to provision broadband service despite the location being within a broadband coverage polygon.  We also seek comment in the </w:t>
      </w:r>
      <w:r w:rsidRPr="00ED6163">
        <w:rPr>
          <w:i/>
        </w:rPr>
        <w:t>Second N</w:t>
      </w:r>
      <w:r w:rsidRPr="00ED6163">
        <w:rPr>
          <w:i/>
        </w:rPr>
        <w:t>otice</w:t>
      </w:r>
      <w:r w:rsidRPr="00ED6163">
        <w:t xml:space="preserve"> about the types of data to be collected through this portal, how to treat crowdsourced data, and the procedures that fixed providers should follow if their broadband coverage polygons are disputed.</w:t>
      </w:r>
    </w:p>
    <w:p w:rsidR="00252A4C" w:rsidRPr="00ED6163" w:rsidP="00410009" w14:paraId="3F66E9A3" w14:textId="77777777">
      <w:pPr>
        <w:pStyle w:val="ParaNum"/>
      </w:pPr>
      <w:r w:rsidRPr="00ED6163">
        <w:t>We believe that public input on fixed broadband serv</w:t>
      </w:r>
      <w:r w:rsidRPr="00ED6163">
        <w:t>ice coverage will be most effective if some types of data collected in this process are routinely made available to the public.  We therefore direct USAC to make public the information about the location that is the subject of the dispute—including the str</w:t>
      </w:r>
      <w:r w:rsidRPr="00ED6163">
        <w:t>eet address and/or coordinates (latitude and longitude) provided by the complainant, along with the name of the service provider(s) and any relevant details concerning the basis for challenging the reported fixed broadband coverage.</w:t>
      </w:r>
    </w:p>
    <w:p w:rsidR="00252A4C" w:rsidRPr="00ED6163" w:rsidP="00410009" w14:paraId="6A1DDEB7" w14:textId="77777777">
      <w:pPr>
        <w:pStyle w:val="ParaNum"/>
      </w:pPr>
      <w:r w:rsidRPr="00ED6163">
        <w:t xml:space="preserve">We direct USAC to make </w:t>
      </w:r>
      <w:r w:rsidRPr="00ED6163">
        <w:t xml:space="preserve">the crowdsourced data publicly available as soon as is practical after submission and direct OEA to work with USAC to establish an appropriate method for doing so.  We do not specify a timeline for making such data publicly available but expect that there </w:t>
      </w:r>
      <w:r w:rsidRPr="00ED6163">
        <w:t>will be regular releases of crowdsourcing data.  We direct USAC not to make publicly available private information</w:t>
      </w:r>
      <w:r>
        <w:rPr>
          <w:rStyle w:val="FootnoteReference"/>
          <w:sz w:val="22"/>
        </w:rPr>
        <w:footnoteReference w:id="38"/>
      </w:r>
      <w:r w:rsidRPr="00ED6163">
        <w:t xml:space="preserve"> submitted with the challenges.  USAC may share such information (for example with the fixed provider about whom the dispute is being made) </w:t>
      </w:r>
      <w:r w:rsidRPr="00ED6163">
        <w:t>only to the extent it will be helpful to improve the quality of fixed broadband data reporting.  We also direct USAC to develop mechanisms in the new platform to prevent malicious or unreliable filings, including automated mass filings.</w:t>
      </w:r>
    </w:p>
    <w:p w:rsidR="00252A4C" w:rsidRPr="00ED6163" w:rsidP="00410009" w14:paraId="16F5FDC8" w14:textId="77777777">
      <w:pPr>
        <w:pStyle w:val="ParaNum"/>
      </w:pPr>
      <w:r w:rsidRPr="00ED6163">
        <w:rPr>
          <w:i/>
        </w:rPr>
        <w:t>Benefits of Reporti</w:t>
      </w:r>
      <w:r w:rsidRPr="00ED6163">
        <w:rPr>
          <w:i/>
        </w:rPr>
        <w:t>ng Service Availability Maps Clearly Outweigh the Filing Burdens on Fixed Providers</w:t>
      </w:r>
      <w:r w:rsidRPr="00ED6163">
        <w:t>.</w:t>
      </w:r>
      <w:r w:rsidRPr="00ED6163">
        <w:rPr>
          <w:i/>
        </w:rPr>
        <w:t xml:space="preserve">  </w:t>
      </w:r>
      <w:r w:rsidRPr="00ED6163">
        <w:t xml:space="preserve">In establishing the Digital Opportunity Data Collection, we are cognizant of the need to </w:t>
      </w:r>
      <w:r w:rsidRPr="00ED6163">
        <w:t>ensure that the benefits resulting from use of the data outweigh the reporting bu</w:t>
      </w:r>
      <w:r w:rsidRPr="00ED6163">
        <w:t>rdens imposed on filers.</w:t>
      </w:r>
      <w:r>
        <w:rPr>
          <w:rStyle w:val="FootnoteReference"/>
          <w:sz w:val="22"/>
        </w:rPr>
        <w:footnoteReference w:id="39"/>
      </w:r>
      <w:r w:rsidRPr="00ED6163">
        <w:t xml:space="preserve">  We agree with commenters who contend that broadband coverage polygons will allow more granular analysis than the census-block data currently collected in the Form 477—and will do so with reasonable costs and burdens on fixed providers.</w:t>
      </w:r>
      <w:r>
        <w:rPr>
          <w:rStyle w:val="FootnoteReference"/>
          <w:sz w:val="22"/>
        </w:rPr>
        <w:footnoteReference w:id="40"/>
      </w:r>
      <w:r w:rsidRPr="00ED6163">
        <w:t xml:space="preserve">  We find that th</w:t>
      </w:r>
      <w:r w:rsidRPr="00ED6163">
        <w:t xml:space="preserve">e approach we adopt, in which fixed providers will create broadband coverage polygons that depict their actual service areas, would, as NCTA asserts, “be a significant improvement over census-block reporting because </w:t>
      </w:r>
      <w:r w:rsidRPr="00ED6163">
        <w:rPr>
          <w:i/>
          <w:iCs/>
        </w:rPr>
        <w:t xml:space="preserve">unserved </w:t>
      </w:r>
      <w:r w:rsidRPr="00ED6163">
        <w:t>areas within served census bloc</w:t>
      </w:r>
      <w:r w:rsidRPr="00ED6163">
        <w:t>ks would no longer be counted as served.”</w:t>
      </w:r>
      <w:r>
        <w:rPr>
          <w:rStyle w:val="FootnoteReference"/>
          <w:sz w:val="22"/>
        </w:rPr>
        <w:footnoteReference w:id="41"/>
      </w:r>
      <w:r w:rsidRPr="00ED6163">
        <w:t xml:space="preserve">  In turn, more granular data about areas where broadband is available will enable us to target unserved locations more precisely, especially in many rural areas that continue to lack broadband service.</w:t>
      </w:r>
      <w:r>
        <w:rPr>
          <w:rStyle w:val="FootnoteReference"/>
          <w:sz w:val="22"/>
        </w:rPr>
        <w:footnoteReference w:id="42"/>
      </w:r>
      <w:r w:rsidRPr="00ED6163">
        <w:t xml:space="preserve">  </w:t>
      </w:r>
    </w:p>
    <w:p w:rsidR="00252A4C" w:rsidRPr="00ED6163" w:rsidP="00410009" w14:paraId="76159953" w14:textId="77777777">
      <w:pPr>
        <w:pStyle w:val="ParaNum"/>
      </w:pPr>
      <w:r w:rsidRPr="00ED6163">
        <w:t>For no</w:t>
      </w:r>
      <w:r w:rsidRPr="00ED6163">
        <w:t>w, we continue to maintain the collection of fixed broadband deployment data on Form 477 in census-block format.</w:t>
      </w:r>
      <w:r>
        <w:rPr>
          <w:rStyle w:val="FootnoteReference"/>
          <w:sz w:val="22"/>
        </w:rPr>
        <w:footnoteReference w:id="43"/>
      </w:r>
      <w:r w:rsidRPr="00ED6163">
        <w:t xml:space="preserve">  While there will be additional reporting burdens for fixed providers to supply broadband deployment data as part of the new collection and t</w:t>
      </w:r>
      <w:r w:rsidRPr="00ED6163">
        <w:t xml:space="preserve">hrough the Form 477, this approach will ensure that we have continuous access to </w:t>
      </w:r>
      <w:r>
        <w:t xml:space="preserve">consistent </w:t>
      </w:r>
      <w:r w:rsidRPr="00ED6163">
        <w:t>broadband deployment data for the purposes for which we require it.</w:t>
      </w:r>
      <w:r>
        <w:rPr>
          <w:rStyle w:val="FootnoteReference"/>
          <w:sz w:val="22"/>
        </w:rPr>
        <w:footnoteReference w:id="44"/>
      </w:r>
      <w:r w:rsidRPr="00ED6163">
        <w:t xml:space="preserve">  Given that service providers are already accustomed to submitting census-block level data, an</w:t>
      </w:r>
      <w:r w:rsidRPr="00ED6163">
        <w:t xml:space="preserve">d the census-block data is much less detailed than their Digital Opportunity </w:t>
      </w:r>
      <w:r w:rsidRPr="00ED6163">
        <w:t>Data Collection filings will be, the burden of continuing to also file census-block level data will be minimal.</w:t>
      </w:r>
    </w:p>
    <w:p w:rsidR="00252A4C" w:rsidRPr="00947E6A" w:rsidP="00410009" w14:paraId="35A803C8" w14:textId="77777777">
      <w:pPr>
        <w:pStyle w:val="ParaNum"/>
      </w:pPr>
      <w:r w:rsidRPr="00ED6163">
        <w:t>We find that any additional burdens imposed by our new reporting ap</w:t>
      </w:r>
      <w:r w:rsidRPr="00ED6163">
        <w:t xml:space="preserve">proach will be relatively light for fixed providers in comparison to the significant benefit to be gained from more precise broadband deployment data.  As an initial matter, many fixed providers already are familiar with the use of geospatial data because </w:t>
      </w:r>
      <w:r w:rsidRPr="00ED6163">
        <w:t>of its use in other contexts by the Commission and other federal and state agencies, thus making the transition reasonably simple.</w:t>
      </w:r>
      <w:r>
        <w:rPr>
          <w:rStyle w:val="FootnoteReference"/>
          <w:sz w:val="22"/>
        </w:rPr>
        <w:footnoteReference w:id="45"/>
      </w:r>
      <w:r w:rsidRPr="00ED6163">
        <w:t xml:space="preserve">  As Connected Nation notes, some fixed providers already have either internal GIS capabilities or have vendor relationships</w:t>
      </w:r>
      <w:r w:rsidRPr="00ED6163">
        <w:t xml:space="preserve"> for the production of GIS files.</w:t>
      </w:r>
      <w:r>
        <w:rPr>
          <w:rStyle w:val="FootnoteReference"/>
          <w:sz w:val="22"/>
        </w:rPr>
        <w:footnoteReference w:id="46"/>
      </w:r>
      <w:r w:rsidRPr="00ED6163">
        <w:t xml:space="preserve">  In addition, Connected Nation suggests several online resources that can help fixed providers “create their own polygons of service availability, such as ESRI’s ArcGIS software.”</w:t>
      </w:r>
      <w:r>
        <w:rPr>
          <w:rStyle w:val="FootnoteReference"/>
          <w:sz w:val="22"/>
        </w:rPr>
        <w:footnoteReference w:id="47"/>
      </w:r>
      <w:r w:rsidRPr="00ED6163">
        <w:t xml:space="preserve">  Connected Nation expresses concern, h</w:t>
      </w:r>
      <w:r w:rsidRPr="00ED6163">
        <w:t>owever, that small service providers will struggle to comply with the new polygon-based reporting requirements unless they get some assistance in the generation of accurate broadband coverage polygons.</w:t>
      </w:r>
      <w:r>
        <w:rPr>
          <w:rStyle w:val="FootnoteReference"/>
          <w:sz w:val="22"/>
        </w:rPr>
        <w:footnoteReference w:id="48"/>
      </w:r>
      <w:r w:rsidRPr="00ED6163">
        <w:t xml:space="preserve">  To lessen the burdens on all fixed providers, </w:t>
      </w:r>
      <w:r>
        <w:t>we di</w:t>
      </w:r>
      <w:r>
        <w:t>rect OEA to oversee</w:t>
      </w:r>
      <w:r w:rsidRPr="00ED6163">
        <w:t xml:space="preserve"> USAC </w:t>
      </w:r>
      <w:r>
        <w:t>in</w:t>
      </w:r>
      <w:r w:rsidRPr="00ED6163">
        <w:t xml:space="preserve"> </w:t>
      </w:r>
      <w:r>
        <w:t>making</w:t>
      </w:r>
      <w:r w:rsidRPr="00ED6163">
        <w:t xml:space="preserve"> service</w:t>
      </w:r>
      <w:r>
        <w:t>-</w:t>
      </w:r>
      <w:r w:rsidRPr="00ED6163">
        <w:t xml:space="preserve">desk help available, as well as </w:t>
      </w:r>
      <w:r>
        <w:t xml:space="preserve">providing </w:t>
      </w:r>
      <w:r w:rsidRPr="00ED6163">
        <w:t>clear instructions on the form for the new collection, to aid filers in preparing their broadband coverage polygons.</w:t>
      </w:r>
      <w:r>
        <w:rPr>
          <w:rStyle w:val="FootnoteReference"/>
          <w:sz w:val="22"/>
        </w:rPr>
        <w:footnoteReference w:id="49"/>
      </w:r>
      <w:r w:rsidRPr="00ED6163">
        <w:t xml:space="preserve">  We disagree with commenters, such as the Broadband </w:t>
      </w:r>
      <w:r w:rsidRPr="00ED6163">
        <w:t>Mapping Coalition, who contend that a map-based approach is a burdensome and insufficient fix to the problem of fixed broadband mapping.</w:t>
      </w:r>
      <w:r>
        <w:rPr>
          <w:rStyle w:val="FootnoteReference"/>
          <w:sz w:val="22"/>
        </w:rPr>
        <w:footnoteReference w:id="50"/>
      </w:r>
      <w:r w:rsidRPr="00ED6163">
        <w:t xml:space="preserve">  We also disagree with </w:t>
      </w:r>
      <w:r w:rsidRPr="00ED6163">
        <w:t>Alexicon</w:t>
      </w:r>
      <w:r w:rsidRPr="00ED6163">
        <w:t>, which argues that small fixed providers be allowed to report broadband deployment su</w:t>
      </w:r>
      <w:r w:rsidRPr="00ED6163">
        <w:t>bject to a certain margin of error.</w:t>
      </w:r>
      <w:r>
        <w:rPr>
          <w:rStyle w:val="FootnoteReference"/>
          <w:sz w:val="22"/>
        </w:rPr>
        <w:footnoteReference w:id="51"/>
      </w:r>
      <w:r w:rsidRPr="00ED6163">
        <w:t xml:space="preserve">  </w:t>
      </w:r>
      <w:r>
        <w:t>Although</w:t>
      </w:r>
      <w:r w:rsidRPr="00ED6163">
        <w:t xml:space="preserve"> we recognize the burdens imposed on small fixed providers (and all fixed providers) as a result of the Digital Opportunity Data Collection, we find that such burdens are outweighed by the need for more granul</w:t>
      </w:r>
      <w:r w:rsidRPr="00ED6163">
        <w:t>ar and precise fixed broadband deployment data</w:t>
      </w:r>
      <w:r>
        <w:t>—</w:t>
      </w:r>
      <w:r w:rsidRPr="00ED6163">
        <w:t>especially in rural areas where smaller providers are more likely to be providing service.</w:t>
      </w:r>
    </w:p>
    <w:p w:rsidR="00252A4C" w:rsidRPr="00ED6163" w:rsidP="00410009" w14:paraId="09A5E89A" w14:textId="77777777">
      <w:pPr>
        <w:pStyle w:val="ParaNum"/>
      </w:pPr>
      <w:r w:rsidRPr="00ED6163">
        <w:t xml:space="preserve">With regard to the benefits to be realized from the new collection, we find that the adoption of polygon-based reporting will enable crowdsourcing and similar approaches to act as a check </w:t>
      </w:r>
      <w:r w:rsidRPr="00ED6163">
        <w:t>on the deployment data submitted by fixed providers, which is not po</w:t>
      </w:r>
      <w:r w:rsidRPr="00ED6163">
        <w:t>ssible with census-block reporting.</w:t>
      </w:r>
      <w:r>
        <w:rPr>
          <w:rStyle w:val="FootnoteReference"/>
          <w:sz w:val="22"/>
        </w:rPr>
        <w:footnoteReference w:id="52"/>
      </w:r>
      <w:r w:rsidRPr="00ED6163">
        <w:t xml:space="preserve">  Rather than listing the census blocks where a fixed provider’s broadband service is available, broadband coverage polygons will show the actual service areas covered by fixed broadband providers.</w:t>
      </w:r>
      <w:r>
        <w:rPr>
          <w:rStyle w:val="FootnoteReference"/>
          <w:sz w:val="22"/>
        </w:rPr>
        <w:footnoteReference w:id="53"/>
      </w:r>
      <w:r w:rsidRPr="00ED6163">
        <w:t xml:space="preserve">  This, in turn, wil</w:t>
      </w:r>
      <w:r w:rsidRPr="00ED6163">
        <w:t>l result in more precise information about where fixed broadband is available.</w:t>
      </w:r>
      <w:r>
        <w:rPr>
          <w:rStyle w:val="FootnoteReference"/>
          <w:sz w:val="22"/>
        </w:rPr>
        <w:footnoteReference w:id="54"/>
      </w:r>
      <w:r w:rsidRPr="00ED6163">
        <w:t xml:space="preserve">  The use of crowdsourcing to verify the polygon coverage areas submitted by fixed providers will further improve the validity of broadband deployment data.</w:t>
      </w:r>
      <w:r>
        <w:rPr>
          <w:rStyle w:val="FootnoteReference"/>
          <w:sz w:val="22"/>
        </w:rPr>
        <w:footnoteReference w:id="55"/>
      </w:r>
    </w:p>
    <w:p w:rsidR="00252A4C" w:rsidRPr="00ED6163" w:rsidP="00410009" w14:paraId="3CD9005C" w14:textId="77777777">
      <w:pPr>
        <w:pStyle w:val="ParaNum"/>
      </w:pPr>
      <w:r w:rsidRPr="00ED6163">
        <w:t xml:space="preserve">Another critical </w:t>
      </w:r>
      <w:r w:rsidRPr="00ED6163">
        <w:t xml:space="preserve">benefit of transitioning to a polygon-based reporting format is the speed in which such a solution can be implemented.  We are mindful of concerns voiced by commenters such as </w:t>
      </w:r>
      <w:r w:rsidRPr="00ED6163">
        <w:t>USTelecom</w:t>
      </w:r>
      <w:r w:rsidRPr="00ED6163">
        <w:t xml:space="preserve"> that without a database of broadband-addressable locations (which </w:t>
      </w:r>
      <w:r w:rsidRPr="00ED6163">
        <w:t>USTe</w:t>
      </w:r>
      <w:r w:rsidRPr="00ED6163">
        <w:t>lecom</w:t>
      </w:r>
      <w:r w:rsidRPr="00ED6163">
        <w:t xml:space="preserve"> terms a “Broadband Serviceable Location Fabric”), broadband coverage polygons provide no information on how many, and which, specific locations in the service area do not actually have service available.</w:t>
      </w:r>
      <w:r>
        <w:rPr>
          <w:rStyle w:val="FootnoteReference"/>
          <w:sz w:val="22"/>
        </w:rPr>
        <w:footnoteReference w:id="56"/>
      </w:r>
      <w:r w:rsidRPr="00ED6163">
        <w:t xml:space="preserve">  However, we disagree with the Broadband Map</w:t>
      </w:r>
      <w:r w:rsidRPr="00ED6163">
        <w:t>ping Coalition that the submission of coverage polygons should wait until after a process has been established to identify and geolocate all of the broadband serviceable locations that exist in a given area.</w:t>
      </w:r>
      <w:r>
        <w:rPr>
          <w:rStyle w:val="FootnoteReference"/>
          <w:sz w:val="22"/>
        </w:rPr>
        <w:footnoteReference w:id="57"/>
      </w:r>
      <w:r w:rsidRPr="00ED6163">
        <w:t xml:space="preserve">  Instead, we agree with commenters, such as Co</w:t>
      </w:r>
      <w:r w:rsidRPr="00ED6163">
        <w:t>nnected Nation, that GIS data such as polygons will “provide significant granularity without the need to first create an underlying dataset of structures/locations with which the data can be paired.”</w:t>
      </w:r>
      <w:r>
        <w:rPr>
          <w:rStyle w:val="FootnoteReference"/>
          <w:sz w:val="22"/>
        </w:rPr>
        <w:footnoteReference w:id="58"/>
      </w:r>
      <w:r w:rsidRPr="00ED6163">
        <w:t xml:space="preserve"> </w:t>
      </w:r>
    </w:p>
    <w:p w:rsidR="00252A4C" w:rsidRPr="00ED6163" w:rsidP="00410009" w14:paraId="6BEFADE6" w14:textId="77777777">
      <w:pPr>
        <w:pStyle w:val="ParaNum"/>
      </w:pPr>
      <w:r w:rsidRPr="00ED6163">
        <w:t>We agree with commenters who argue that timing is cru</w:t>
      </w:r>
      <w:r w:rsidRPr="00ED6163">
        <w:t>cial in getting more granular fixed broadband deployment data.</w:t>
      </w:r>
      <w:r>
        <w:rPr>
          <w:rStyle w:val="FootnoteReference"/>
          <w:sz w:val="22"/>
        </w:rPr>
        <w:footnoteReference w:id="59"/>
      </w:r>
      <w:r w:rsidRPr="00ED6163">
        <w:t xml:space="preserve">  We also agree that the mandatory collection of broadband coverage polygons best achieves the objectives of greater granularity in fixed broadband reporting within the shortest timeframe.</w:t>
      </w:r>
      <w:r>
        <w:rPr>
          <w:rStyle w:val="FootnoteReference"/>
          <w:sz w:val="22"/>
        </w:rPr>
        <w:footnoteReference w:id="60"/>
      </w:r>
      <w:r w:rsidRPr="00ED6163">
        <w:t xml:space="preserve">  </w:t>
      </w:r>
      <w:r w:rsidRPr="00ED6163">
        <w:t xml:space="preserve">As Connected Nation states, “implementing a system based on shapefile reporting </w:t>
      </w:r>
      <w:r w:rsidRPr="00ED6163">
        <w:t xml:space="preserve">would most likely result in the creation of a new more granular National Broadband Map in the shortest amount of time so that Federal agencies can more quickly utilize the map </w:t>
      </w:r>
      <w:r w:rsidRPr="00ED6163">
        <w:t>to guide funding decisions and support broadband buildout to the places that still desperately need it.”</w:t>
      </w:r>
      <w:r>
        <w:rPr>
          <w:rStyle w:val="FootnoteReference"/>
          <w:sz w:val="22"/>
        </w:rPr>
        <w:footnoteReference w:id="61"/>
      </w:r>
      <w:r w:rsidRPr="00ED6163">
        <w:t xml:space="preserve">  We find that collecting broadband coverage polygons offers the best approach to more granular broadband deployment data, and that we have an opportu</w:t>
      </w:r>
      <w:r w:rsidRPr="00ED6163">
        <w:t>nity to move forward quickly to significantly improve the data collection in the near term.</w:t>
      </w:r>
      <w:r>
        <w:rPr>
          <w:rStyle w:val="FootnoteReference"/>
          <w:sz w:val="22"/>
        </w:rPr>
        <w:footnoteReference w:id="62"/>
      </w:r>
    </w:p>
    <w:p w:rsidR="00252A4C" w:rsidRPr="00ED6163" w:rsidP="00410009" w14:paraId="64EF40A5" w14:textId="77777777">
      <w:pPr>
        <w:pStyle w:val="ParaNum"/>
      </w:pPr>
      <w:r w:rsidRPr="00ED6163">
        <w:rPr>
          <w:i/>
        </w:rPr>
        <w:t>Public Availability of Service Availability Data</w:t>
      </w:r>
      <w:r w:rsidRPr="00ED6163">
        <w:t xml:space="preserve">.  We agree with NTIA that the Commission should release broadband deployment datasets with more public </w:t>
      </w:r>
      <w:r w:rsidRPr="00ED6163">
        <w:t>information, particularly “with tables, charts and maps, granular visualization tools for both localized areas and specific technologies, and other mechanisms that summarize the information.”</w:t>
      </w:r>
      <w:r>
        <w:rPr>
          <w:rStyle w:val="FootnoteReference"/>
          <w:sz w:val="22"/>
        </w:rPr>
        <w:footnoteReference w:id="63"/>
      </w:r>
      <w:r w:rsidRPr="00ED6163">
        <w:t xml:space="preserve">  To better allow for crowdsourcing, mapping, and other uses of</w:t>
      </w:r>
      <w:r w:rsidRPr="00ED6163">
        <w:t xml:space="preserve"> fixed broadband deployment data, all service provider information filed as part of the Digital Opportunity Data Collection will be presumed to be non-confidential unless the Commission specifically directs that it be withheld.</w:t>
      </w:r>
      <w:r>
        <w:rPr>
          <w:rStyle w:val="FootnoteReference"/>
          <w:sz w:val="22"/>
        </w:rPr>
        <w:footnoteReference w:id="64"/>
      </w:r>
      <w:r w:rsidRPr="00ED6163">
        <w:t xml:space="preserve">  Filers seeking confidenti</w:t>
      </w:r>
      <w:r w:rsidRPr="00ED6163">
        <w:t>al treatment of data submitted as part of the new collection must submit a request that the data be treated as confidential, along with the reasons for withholding the information from the public.</w:t>
      </w:r>
      <w:r>
        <w:rPr>
          <w:vertAlign w:val="superscript"/>
        </w:rPr>
        <w:footnoteReference w:id="65"/>
      </w:r>
      <w:r w:rsidRPr="00ED6163">
        <w:t xml:space="preserve">  The Commission will make decisions regarding non-disclos</w:t>
      </w:r>
      <w:r w:rsidRPr="00ED6163">
        <w:t>ure of confidential information.</w:t>
      </w:r>
      <w:r>
        <w:rPr>
          <w:vertAlign w:val="superscript"/>
        </w:rPr>
        <w:footnoteReference w:id="66"/>
      </w:r>
      <w:r w:rsidRPr="00ED6163">
        <w:t xml:space="preserve">  We find that this approach strikes an appropriate balance between the protection of confidential information and the need for public disclosure of fixed broadband deployment data to help with crucial crowdsourcing functi</w:t>
      </w:r>
      <w:r w:rsidRPr="00ED6163">
        <w:t>onality and mapping capabilities.</w:t>
      </w:r>
    </w:p>
    <w:p w:rsidR="00252A4C" w:rsidRPr="00ED6163" w:rsidP="00410009" w14:paraId="498FEFF4" w14:textId="77777777">
      <w:pPr>
        <w:pStyle w:val="ParaNum"/>
      </w:pPr>
      <w:bookmarkStart w:id="58" w:name="_Hlk13517027"/>
      <w:r w:rsidRPr="00ED6163">
        <w:rPr>
          <w:i/>
        </w:rPr>
        <w:t>USAC Verification of Broadband Coverage Maps</w:t>
      </w:r>
      <w:r w:rsidRPr="00ED6163">
        <w:t>.  In addition to incorporating feedback from state, local, and Tribal governmental entities, along with the public, we conclude that we must also take steps to independently ver</w:t>
      </w:r>
      <w:r w:rsidRPr="00ED6163">
        <w:t>ify coverage data submitted by service providers.</w:t>
      </w:r>
      <w:r>
        <w:rPr>
          <w:rStyle w:val="FootnoteReference"/>
          <w:sz w:val="22"/>
        </w:rPr>
        <w:footnoteReference w:id="67"/>
      </w:r>
      <w:r w:rsidRPr="00ED6163">
        <w:t xml:space="preserve">  As part of its Connect America Fund (CAF) responsibility, USAC maintains the High Cost Universal Broadband (HUBB) portal.  CAF support recipients report through the HUBB portal latitude and longitude coo</w:t>
      </w:r>
      <w:r w:rsidRPr="00ED6163">
        <w:t>rdinates, address, deployment date, speed, and number of units for every location where service is available.  This information forms the foundation for the Connect America Fund Broadband Map.</w:t>
      </w:r>
      <w:r>
        <w:rPr>
          <w:rStyle w:val="FootnoteReference"/>
          <w:sz w:val="22"/>
        </w:rPr>
        <w:footnoteReference w:id="68"/>
      </w:r>
      <w:r w:rsidRPr="00ED6163">
        <w:t xml:space="preserve">  We direct USAC to </w:t>
      </w:r>
      <w:r w:rsidRPr="00ED6163">
        <w:t>integrate the geolocation data contained i</w:t>
      </w:r>
      <w:r w:rsidRPr="00ED6163">
        <w:t>n the HUBB with the broadband coverage polygons submitted pursuant to the Digital Opportunity Data Collection.  Doing so will benefit our overall understanding of how high-cost support dollars are used in conjunction with overall broadband deployment and w</w:t>
      </w:r>
      <w:r w:rsidRPr="00ED6163">
        <w:t>ill aid the data collection verification effort.</w:t>
      </w:r>
    </w:p>
    <w:p w:rsidR="00252A4C" w:rsidRPr="00ED6163" w:rsidP="00410009" w14:paraId="31F540B4" w14:textId="77777777">
      <w:pPr>
        <w:pStyle w:val="ParaNum"/>
      </w:pPr>
      <w:r w:rsidRPr="00ED6163">
        <w:t>In the CAF context, USAC performs real-time validation of the CAF data submitted to the HUBB through a series of automated checks of the information (e.g., that the latitude/longitude falls within an eligibl</w:t>
      </w:r>
      <w:r w:rsidRPr="00ED6163">
        <w:t>e area and that the location is not a duplicate of one already submitted).  The HUBB also provides USAC the platform to conduct verification reviews to “substantiate broadband deployment and confirm that carriers are in fact building out service that meets</w:t>
      </w:r>
      <w:r w:rsidRPr="00ED6163">
        <w:t xml:space="preserve"> the FCC's minimum performance standards to the locations reported.”</w:t>
      </w:r>
      <w:r>
        <w:rPr>
          <w:rStyle w:val="FootnoteReference"/>
          <w:sz w:val="22"/>
        </w:rPr>
        <w:footnoteReference w:id="69"/>
      </w:r>
      <w:r w:rsidRPr="00ED6163">
        <w:t xml:space="preserve">  Many elements of the process USAC uses for the CAF could potentially be used for verifying broadband deployment data as part of the Digital Opportunity Data Collection.</w:t>
      </w:r>
      <w:r>
        <w:rPr>
          <w:rStyle w:val="FootnoteReference"/>
          <w:sz w:val="22"/>
        </w:rPr>
        <w:footnoteReference w:id="70"/>
      </w:r>
      <w:r w:rsidRPr="00ED6163">
        <w:t xml:space="preserve">  We therefore</w:t>
      </w:r>
      <w:r w:rsidRPr="00ED6163">
        <w:t xml:space="preserve"> direct USAC to propose and submit a plan to OEA for independently verifying the fixed broadband coverage polygons filed pursuant to the Digital Opportunity Data Collection.  The verification process it proposes to use could parallel how USAC currently ver</w:t>
      </w:r>
      <w:r w:rsidRPr="00ED6163">
        <w:t>ifies deployment data submitted by CAF support recipients in the HUBB.  USAC should propose other appropriate means of verifying the accuracy of filers’ broadband coverage polygons, including site visits.</w:t>
      </w:r>
      <w:r>
        <w:rPr>
          <w:rStyle w:val="FootnoteReference"/>
          <w:sz w:val="22"/>
        </w:rPr>
        <w:footnoteReference w:id="71"/>
      </w:r>
      <w:r w:rsidRPr="00ED6163">
        <w:t xml:space="preserve"> </w:t>
      </w:r>
    </w:p>
    <w:bookmarkEnd w:id="58"/>
    <w:p w:rsidR="00252A4C" w:rsidRPr="00947E6A" w:rsidP="00410009" w14:paraId="28C003CC" w14:textId="77777777">
      <w:pPr>
        <w:pStyle w:val="ParaNum"/>
      </w:pPr>
      <w:r>
        <w:rPr>
          <w:i/>
        </w:rPr>
        <w:t>Incorporating</w:t>
      </w:r>
      <w:r w:rsidRPr="00947E6A">
        <w:rPr>
          <w:i/>
        </w:rPr>
        <w:t xml:space="preserve"> </w:t>
      </w:r>
      <w:r w:rsidRPr="00ED6163">
        <w:rPr>
          <w:i/>
        </w:rPr>
        <w:t>Location</w:t>
      </w:r>
      <w:r>
        <w:rPr>
          <w:i/>
        </w:rPr>
        <w:t>-Specific Data into the Di</w:t>
      </w:r>
      <w:r>
        <w:rPr>
          <w:i/>
        </w:rPr>
        <w:t>gital Opportunity Database</w:t>
      </w:r>
      <w:r w:rsidRPr="00ED6163">
        <w:t>.</w:t>
      </w:r>
      <w:r w:rsidRPr="00ED6163">
        <w:rPr>
          <w:i/>
        </w:rPr>
        <w:t xml:space="preserve">  </w:t>
      </w:r>
      <w:r w:rsidRPr="00ED6163">
        <w:t xml:space="preserve">We note that our decision to require broadband coverage area maps does not preclude the use of location-specific coverage data in the future.  We agree with </w:t>
      </w:r>
      <w:r w:rsidRPr="00ED6163">
        <w:t>USTelecom</w:t>
      </w:r>
      <w:r w:rsidRPr="00ED6163">
        <w:t xml:space="preserve"> and NTCA that we “should not adopt an ‘either/or’ approach t</w:t>
      </w:r>
      <w:r w:rsidRPr="00ED6163">
        <w:t>o improvements to data collection, but should both adopt shapefiles as a reporting methodology and move forward towards a uniform national dataset on top of which carriers can report broadband availability (via shapefile or other potential methods).”</w:t>
      </w:r>
      <w:r>
        <w:rPr>
          <w:rStyle w:val="FootnoteReference"/>
          <w:sz w:val="22"/>
        </w:rPr>
        <w:footnoteReference w:id="72"/>
      </w:r>
      <w:r w:rsidRPr="00ED6163">
        <w:t xml:space="preserve">  As</w:t>
      </w:r>
      <w:r w:rsidRPr="00ED6163">
        <w:t xml:space="preserve"> a result, we intend to pursue a multi-faceted approach that also incorporates location-specific data into the Digital Opportunity Data Collection, informed by input received in response to the </w:t>
      </w:r>
      <w:r w:rsidRPr="00ED6163">
        <w:rPr>
          <w:i/>
        </w:rPr>
        <w:t xml:space="preserve">Second Notice </w:t>
      </w:r>
      <w:r w:rsidRPr="00ED6163">
        <w:t>on the best way to implement such an approach.</w:t>
      </w:r>
      <w:r>
        <w:rPr>
          <w:rStyle w:val="FootnoteReference"/>
          <w:sz w:val="22"/>
        </w:rPr>
        <w:footnoteReference w:id="73"/>
      </w:r>
      <w:r w:rsidRPr="00ED6163">
        <w:t xml:space="preserve">  We agree with NTCA that the submission of broadband coverage polygons “would certainly improve granularity in the near-term . . . but another significant benefit is the prospect of integrating this approach seamlessly with broader, longer-term efforts t</w:t>
      </w:r>
      <w:r w:rsidRPr="00ED6163">
        <w:t>o identify availability or lack thereof on a location basis.”</w:t>
      </w:r>
      <w:r>
        <w:rPr>
          <w:rStyle w:val="FootnoteReference"/>
          <w:sz w:val="22"/>
        </w:rPr>
        <w:footnoteReference w:id="74"/>
      </w:r>
      <w:r w:rsidRPr="00ED6163">
        <w:t xml:space="preserve">  Location-based proposals such as the one put forth by the Broadband </w:t>
      </w:r>
      <w:r w:rsidRPr="00ED6163">
        <w:t>Mapping Coalition</w:t>
      </w:r>
      <w:r>
        <w:rPr>
          <w:rStyle w:val="FootnoteReference"/>
          <w:sz w:val="22"/>
        </w:rPr>
        <w:footnoteReference w:id="75"/>
      </w:r>
      <w:r w:rsidRPr="00ED6163">
        <w:t xml:space="preserve"> are “designed to produce the most accurate, precise data available, and be a flexible, long-term soluti</w:t>
      </w:r>
      <w:r w:rsidRPr="00ED6163">
        <w:t>on” to the problem of fixed broadband deployment accuracy and granularity.</w:t>
      </w:r>
      <w:r>
        <w:rPr>
          <w:rStyle w:val="FootnoteReference"/>
          <w:sz w:val="22"/>
        </w:rPr>
        <w:footnoteReference w:id="76"/>
      </w:r>
      <w:r w:rsidRPr="00ED6163">
        <w:t xml:space="preserve">  </w:t>
      </w:r>
    </w:p>
    <w:p w:rsidR="00252A4C" w:rsidRPr="00ED6163" w:rsidP="00410009" w14:paraId="695E6ABF" w14:textId="77777777">
      <w:pPr>
        <w:pStyle w:val="ParaNum"/>
      </w:pPr>
      <w:r w:rsidRPr="00ED6163">
        <w:t xml:space="preserve">While </w:t>
      </w:r>
      <w:r>
        <w:t xml:space="preserve">we intend to pursue development of </w:t>
      </w:r>
      <w:r w:rsidRPr="00ED6163">
        <w:t>a location</w:t>
      </w:r>
      <w:r>
        <w:t>-specific</w:t>
      </w:r>
      <w:r w:rsidRPr="00ED6163">
        <w:t xml:space="preserve"> data</w:t>
      </w:r>
      <w:r>
        <w:t>base</w:t>
      </w:r>
      <w:r w:rsidRPr="00ED6163">
        <w:t>,</w:t>
      </w:r>
      <w:r>
        <w:rPr>
          <w:rStyle w:val="FootnoteReference"/>
          <w:sz w:val="22"/>
        </w:rPr>
        <w:footnoteReference w:id="77"/>
      </w:r>
      <w:r w:rsidRPr="00ED6163">
        <w:t xml:space="preserve"> we will not delay implementation of the new data collection while we make a determination of how best to</w:t>
      </w:r>
      <w:r w:rsidRPr="00ED6163">
        <w:t xml:space="preserve"> incorporate location-specific data.</w:t>
      </w:r>
      <w:r>
        <w:rPr>
          <w:rStyle w:val="FootnoteReference"/>
          <w:sz w:val="22"/>
        </w:rPr>
        <w:footnoteReference w:id="78"/>
      </w:r>
      <w:r w:rsidRPr="00ED6163">
        <w:t xml:space="preserve">  We agree with commenters like ACA who argue that location-specific reporting will impose substantial costs and complexity on fixed broadband providers, especially smaller providers, and will take significant time to </w:t>
      </w:r>
      <w:r w:rsidRPr="00ED6163">
        <w:t>complete.</w:t>
      </w:r>
      <w:r>
        <w:rPr>
          <w:rStyle w:val="FootnoteReference"/>
          <w:sz w:val="22"/>
        </w:rPr>
        <w:footnoteReference w:id="79"/>
      </w:r>
      <w:r w:rsidRPr="00ED6163">
        <w:t xml:space="preserve">  As a result, we find it is prudent to take this next step to improve the fixed broadband deployment data we collect in the near term.</w:t>
      </w:r>
      <w:r>
        <w:rPr>
          <w:rStyle w:val="FootnoteReference"/>
          <w:sz w:val="22"/>
        </w:rPr>
        <w:footnoteReference w:id="80"/>
      </w:r>
      <w:r w:rsidRPr="00ED6163">
        <w:t xml:space="preserve">  As a means of moving the location-based process forward as we work to establish our polygon-based approach</w:t>
      </w:r>
      <w:r w:rsidRPr="00ED6163">
        <w:t xml:space="preserve">, we seek comment in the </w:t>
      </w:r>
      <w:r w:rsidRPr="00ED6163">
        <w:rPr>
          <w:i/>
        </w:rPr>
        <w:t xml:space="preserve">Second Notice </w:t>
      </w:r>
      <w:r w:rsidRPr="00ED6163">
        <w:t>on the best and fastest way to implement a location-based approach to fixed broadband deployment reporting, including whether to run such a process in parallel, or closely aligned, with the establishment of the new on</w:t>
      </w:r>
      <w:r w:rsidRPr="00ED6163">
        <w:t>line portal for the Digital Opportunity Data Collection.</w:t>
      </w:r>
      <w:r>
        <w:rPr>
          <w:rStyle w:val="FootnoteReference"/>
          <w:sz w:val="22"/>
        </w:rPr>
        <w:footnoteReference w:id="81"/>
      </w:r>
    </w:p>
    <w:p w:rsidR="00252A4C" w:rsidRPr="00ED6163" w:rsidP="00410009" w14:paraId="6631FFB8" w14:textId="77777777">
      <w:pPr>
        <w:pStyle w:val="ParaNum"/>
      </w:pPr>
      <w:r w:rsidRPr="00ED6163">
        <w:rPr>
          <w:i/>
        </w:rPr>
        <w:t>Alternatives Not Adopted</w:t>
      </w:r>
      <w:r w:rsidRPr="00ED6163">
        <w:t>.</w:t>
      </w:r>
      <w:r w:rsidRPr="00ED6163">
        <w:rPr>
          <w:i/>
        </w:rPr>
        <w:t xml:space="preserve">  </w:t>
      </w:r>
      <w:r w:rsidRPr="00ED6163">
        <w:t>We decline to adopt the approach set forth by Comcast and ACA to collect fixed broadband deployment data at the street segment level.</w:t>
      </w:r>
      <w:r>
        <w:rPr>
          <w:rStyle w:val="FootnoteReference"/>
          <w:sz w:val="22"/>
        </w:rPr>
        <w:footnoteReference w:id="82"/>
      </w:r>
      <w:r w:rsidRPr="00ED6163">
        <w:t xml:space="preserve">  According to ACA, while large pro</w:t>
      </w:r>
      <w:r w:rsidRPr="00ED6163">
        <w:t>viders have the capability and resources to collect broadband deployment data at a more granular level, smaller providers will face much greater burdens reporting deployment data with more precision.</w:t>
      </w:r>
      <w:r>
        <w:rPr>
          <w:rStyle w:val="FootnoteReference"/>
          <w:sz w:val="22"/>
        </w:rPr>
        <w:footnoteReference w:id="83"/>
      </w:r>
      <w:r w:rsidRPr="00ED6163">
        <w:t xml:space="preserve">  We find that a street-level approach to fixed broadba</w:t>
      </w:r>
      <w:r w:rsidRPr="00ED6163">
        <w:t xml:space="preserve">nd deployment reporting has the same problem with </w:t>
      </w:r>
      <w:r w:rsidRPr="00ED6163">
        <w:t>granularity as the current census-block approach, especially in rural areas.</w:t>
      </w:r>
      <w:r>
        <w:rPr>
          <w:rStyle w:val="FootnoteReference"/>
          <w:sz w:val="22"/>
        </w:rPr>
        <w:footnoteReference w:id="84"/>
      </w:r>
      <w:r w:rsidRPr="00ED6163">
        <w:t xml:space="preserve">  Specifically, fixed providers claiming broadband service availability on an entire street, when only part of the street actually is served, would overstate broadband deployment much more so than a GIS file-based approach.</w:t>
      </w:r>
      <w:r>
        <w:rPr>
          <w:rStyle w:val="FootnoteReference"/>
          <w:sz w:val="22"/>
        </w:rPr>
        <w:footnoteReference w:id="85"/>
      </w:r>
      <w:r w:rsidRPr="00ED6163">
        <w:t xml:space="preserve">  We also agree with WISPA that</w:t>
      </w:r>
      <w:r w:rsidRPr="00ED6163">
        <w:t xml:space="preserve"> a street-segment approach is not appropriate for fixed wireless providers, as streets and roads do not dictate how or where fixed wireless service is constructed, and consequently where service is provided and where it is available.</w:t>
      </w:r>
      <w:r>
        <w:rPr>
          <w:rStyle w:val="FootnoteReference"/>
          <w:sz w:val="22"/>
        </w:rPr>
        <w:footnoteReference w:id="86"/>
      </w:r>
      <w:r w:rsidRPr="00ED6163">
        <w:t xml:space="preserve">  Finally, given the </w:t>
      </w:r>
      <w:r w:rsidRPr="00ED6163">
        <w:t>familiarity that fixed providers have with GIS files, we find that is the better approach.</w:t>
      </w:r>
      <w:r>
        <w:rPr>
          <w:rStyle w:val="FootnoteReference"/>
          <w:sz w:val="22"/>
        </w:rPr>
        <w:footnoteReference w:id="87"/>
      </w:r>
    </w:p>
    <w:p w:rsidR="00252A4C" w:rsidRPr="00ED6163" w:rsidP="00410009" w14:paraId="272C29FC" w14:textId="77777777">
      <w:pPr>
        <w:pStyle w:val="ParaNum"/>
      </w:pPr>
      <w:r w:rsidRPr="00ED6163">
        <w:t>In addition, we find that NTIA’s recommendation to collect sub-census-block level broadband deployment data only for larger census blocks does not go far enough.</w:t>
      </w:r>
      <w:r>
        <w:rPr>
          <w:rStyle w:val="FootnoteReference"/>
          <w:sz w:val="22"/>
        </w:rPr>
        <w:footnoteReference w:id="88"/>
      </w:r>
      <w:r w:rsidRPr="00ED6163">
        <w:t xml:space="preserve">  While we understand NTIA’s desire to keep burdens low for filers, especially for small providers, we find that it is crucial to determine unserved broadband areas wherever they may be—in large, medium, or small census blocks.</w:t>
      </w:r>
      <w:r>
        <w:rPr>
          <w:rStyle w:val="FootnoteReference"/>
          <w:sz w:val="22"/>
        </w:rPr>
        <w:footnoteReference w:id="89"/>
      </w:r>
      <w:r w:rsidRPr="00ED6163">
        <w:t xml:space="preserve">  We do not agree with NTIA</w:t>
      </w:r>
      <w:r w:rsidRPr="00ED6163">
        <w:t>’s assertion that we should only require more granular broadband deployment reporting in large census blocks—deployment data are critical for all areas and will allow federal and state governments (and providers) to determine with better particularity wher</w:t>
      </w:r>
      <w:r w:rsidRPr="00ED6163">
        <w:t>e broadband funding and buildout is most needed.</w:t>
      </w:r>
      <w:r>
        <w:rPr>
          <w:rStyle w:val="FootnoteReference"/>
          <w:sz w:val="22"/>
        </w:rPr>
        <w:footnoteReference w:id="90"/>
      </w:r>
      <w:r w:rsidRPr="00ED6163">
        <w:t xml:space="preserve">  In fact, the data suggest that there are likely unserved locations within even small blocks that are reported as served on Form 477.</w:t>
      </w:r>
      <w:r>
        <w:rPr>
          <w:rStyle w:val="FootnoteReference"/>
          <w:sz w:val="22"/>
        </w:rPr>
        <w:footnoteReference w:id="91"/>
      </w:r>
      <w:r w:rsidRPr="00ED6163">
        <w:t xml:space="preserve">  Granular reporting for all areas also would reduce customer confusio</w:t>
      </w:r>
      <w:r w:rsidRPr="00ED6163">
        <w:t>n when attempting to determine broadband availability on a map produced from GIS-based data.</w:t>
      </w:r>
      <w:r>
        <w:rPr>
          <w:rStyle w:val="FootnoteReference"/>
          <w:sz w:val="22"/>
        </w:rPr>
        <w:footnoteReference w:id="92"/>
      </w:r>
    </w:p>
    <w:p w:rsidR="00252A4C" w:rsidRPr="00ED6163" w:rsidP="00410009" w14:paraId="645370DA" w14:textId="77777777">
      <w:pPr>
        <w:pStyle w:val="ParaNum"/>
      </w:pPr>
      <w:r w:rsidRPr="00ED6163">
        <w:t>We also decline to adopt Connected Nation’s proposal to establish a neutral, third-party clearinghouse for the collection of fixed broadband deployment data.</w:t>
      </w:r>
      <w:r>
        <w:rPr>
          <w:rStyle w:val="FootnoteReference"/>
          <w:sz w:val="22"/>
        </w:rPr>
        <w:footnoteReference w:id="93"/>
      </w:r>
      <w:r w:rsidRPr="00ED6163">
        <w:t xml:space="preserve">  </w:t>
      </w:r>
      <w:r w:rsidRPr="00ED6163">
        <w:t xml:space="preserve">We conclude that such a clearinghouse would be largely redundant in light of the revised framework for collecting and reporting fixed deployment data that we adopt in this </w:t>
      </w:r>
      <w:r w:rsidRPr="00ED6163">
        <w:rPr>
          <w:i/>
        </w:rPr>
        <w:t>Report and Order</w:t>
      </w:r>
      <w:r w:rsidRPr="00ED6163">
        <w:t xml:space="preserve">. </w:t>
      </w:r>
    </w:p>
    <w:p w:rsidR="00252A4C" w:rsidRPr="00ED6163" w:rsidP="00252A4C" w14:paraId="701D3FE5" w14:textId="77777777">
      <w:pPr>
        <w:pStyle w:val="Heading2"/>
        <w:rPr>
          <w:szCs w:val="22"/>
        </w:rPr>
      </w:pPr>
      <w:bookmarkStart w:id="60" w:name="_Toc12632388"/>
      <w:bookmarkStart w:id="61" w:name="_Toc12632820"/>
      <w:bookmarkStart w:id="62" w:name="_Toc13665586"/>
      <w:bookmarkStart w:id="63" w:name="_Toc13665773"/>
      <w:bookmarkStart w:id="64" w:name="_Toc15501954"/>
      <w:r w:rsidRPr="00ED6163">
        <w:rPr>
          <w:szCs w:val="22"/>
        </w:rPr>
        <w:t>Improving the Existing Form 477 Data Collection</w:t>
      </w:r>
      <w:bookmarkEnd w:id="60"/>
      <w:bookmarkEnd w:id="61"/>
      <w:bookmarkEnd w:id="62"/>
      <w:bookmarkEnd w:id="63"/>
      <w:bookmarkEnd w:id="64"/>
    </w:p>
    <w:p w:rsidR="00252A4C" w:rsidRPr="00ED6163" w:rsidP="00410009" w14:paraId="2D293931" w14:textId="77777777">
      <w:pPr>
        <w:pStyle w:val="ParaNum"/>
      </w:pPr>
      <w:r w:rsidRPr="00ED6163">
        <w:t>As USAC begins un</w:t>
      </w:r>
      <w:r w:rsidRPr="00ED6163">
        <w:t xml:space="preserve">dertaking the Digital Opportunity Data Collection, we will continue to use Form 477 for certain intended uses, such as evaluating local telephone competition, gathering broadband deployment and voice subscription data, and collecting certain public safety </w:t>
      </w:r>
      <w:r w:rsidRPr="00ED6163">
        <w:t xml:space="preserve">information.  However, we propose in the </w:t>
      </w:r>
      <w:r w:rsidRPr="00ED6163">
        <w:rPr>
          <w:i/>
        </w:rPr>
        <w:t>Second Notice</w:t>
      </w:r>
      <w:r w:rsidRPr="00ED6163">
        <w:t xml:space="preserve"> to transition the collection of mobile broadband-capable network deployment data to the same USAC-administered portal created for fixed data and seek comment on sunsetting Form 477.  We maintain the Commission’s current Form 477 data collection for mobile</w:t>
      </w:r>
      <w:r w:rsidRPr="00ED6163">
        <w:t xml:space="preserve"> broadband and voice data in the interim and take several actions to reduce the burden on service providers required to submit the form.  </w:t>
      </w:r>
    </w:p>
    <w:p w:rsidR="00252A4C" w:rsidRPr="00ED6163" w:rsidP="00410009" w14:paraId="2183D02A" w14:textId="77777777">
      <w:pPr>
        <w:pStyle w:val="ParaNum"/>
      </w:pPr>
      <w:r w:rsidRPr="00947E6A">
        <w:t>Publish Minimum Advertised or Expected Speed Data and Provider-Specific Coverage Data for Mobile Broadband Services.</w:t>
      </w:r>
      <w:r w:rsidRPr="00ED6163">
        <w:t xml:space="preserve"> </w:t>
      </w:r>
      <w:r w:rsidRPr="00ED6163">
        <w:t xml:space="preserve"> We adopt our proposal from the </w:t>
      </w:r>
      <w:r w:rsidRPr="00947E6A">
        <w:t xml:space="preserve">2017 Data Collection Improvement FNPRM </w:t>
      </w:r>
      <w:r w:rsidRPr="00ED6163">
        <w:t>to no longer treat as confidential service providers’ minimum advertised or expected speed data for mobile broadband services.</w:t>
      </w:r>
      <w:r>
        <w:rPr>
          <w:rStyle w:val="FootnoteReference"/>
          <w:sz w:val="22"/>
        </w:rPr>
        <w:footnoteReference w:id="94"/>
      </w:r>
      <w:r w:rsidRPr="00ED6163">
        <w:t xml:space="preserve">  After review of the record and considering what service</w:t>
      </w:r>
      <w:r w:rsidRPr="00ED6163">
        <w:t xml:space="preserve"> providers already make public on their websites, we conclude that minimum advertised or expected speed data filed for mobile broadband services will not be treated as confidential and, therefore, such data will be publicly released for all subsequent fili</w:t>
      </w:r>
      <w:r w:rsidRPr="00ED6163">
        <w:t xml:space="preserve">ngs.  Currently, the bulk of the speed data that providers file relating to minimum advertised or expected speeds is treated as confidential because most, if not all, providers choose to check the non-disclosure box that is available to them on the form.  </w:t>
      </w:r>
      <w:r w:rsidRPr="00ED6163">
        <w:t>This box allows providers to claim confidential treatment for what is otherwise publicly available speed information.</w:t>
      </w:r>
      <w:r>
        <w:rPr>
          <w:rStyle w:val="FootnoteReference"/>
          <w:sz w:val="22"/>
        </w:rPr>
        <w:footnoteReference w:id="95"/>
      </w:r>
      <w:r w:rsidRPr="00ED6163">
        <w:t xml:space="preserve">  Doing so, however, unnecessarily limits the ability of consumers and policy makers to effectively analyze the data submitted.  </w:t>
      </w:r>
    </w:p>
    <w:p w:rsidR="00252A4C" w:rsidRPr="00ED6163" w:rsidP="00410009" w14:paraId="58D59A0C" w14:textId="77777777">
      <w:pPr>
        <w:pStyle w:val="ParaNum"/>
      </w:pPr>
      <w:r w:rsidRPr="00ED6163">
        <w:t>We also</w:t>
      </w:r>
      <w:r w:rsidRPr="00ED6163">
        <w:t xml:space="preserve"> conclude that provider-specific coverage data will be publicly released for all subsequent Form 477 filings.  This action is necessary to ensure that consumers can easily use the information that is disclosed to the public, including minimum advertised or</w:t>
      </w:r>
      <w:r w:rsidRPr="00ED6163">
        <w:t xml:space="preserve"> expected speed data, because such information is only beneficial if consumers know where service coverage is available.  Because the Commission already makes provider-specific coverage data publicly available on its website by publishing each provider’s s</w:t>
      </w:r>
      <w:r w:rsidRPr="00ED6163">
        <w:t>hapefiles, filers will no longer be permitted to request confidential treatment for such information upon filing.</w:t>
      </w:r>
      <w:r>
        <w:rPr>
          <w:rStyle w:val="FootnoteReference"/>
          <w:sz w:val="22"/>
        </w:rPr>
        <w:footnoteReference w:id="96"/>
      </w:r>
    </w:p>
    <w:p w:rsidR="00252A4C" w:rsidRPr="00ED6163" w:rsidP="00410009" w14:paraId="1583A072" w14:textId="77777777">
      <w:pPr>
        <w:pStyle w:val="ParaNum"/>
      </w:pPr>
      <w:r w:rsidRPr="00ED6163">
        <w:t>We expect that disclosing minimum advertised or expected speed data, combined with already publicly available coverage information, will ser</w:t>
      </w:r>
      <w:r w:rsidRPr="00ED6163">
        <w:t xml:space="preserve">ve the public interest by promoting a more informed, transparent, and efficient marketplace.  The dissemination of such information will allow consumers to determine what services are offered in specific geographic areas.  It will also enable consumers to </w:t>
      </w:r>
      <w:r w:rsidRPr="00ED6163">
        <w:t>compare competing service offerings and make informed decisions regarding service plans and providers.</w:t>
      </w:r>
      <w:r>
        <w:rPr>
          <w:rStyle w:val="FootnoteReference"/>
          <w:sz w:val="22"/>
        </w:rPr>
        <w:footnoteReference w:id="97"/>
      </w:r>
      <w:r w:rsidRPr="00ED6163">
        <w:t xml:space="preserve">  In addition, it will provide consumers with the opportunity to review the data to ensure its accuracy.</w:t>
      </w:r>
      <w:r>
        <w:rPr>
          <w:rStyle w:val="FootnoteReference"/>
          <w:sz w:val="22"/>
        </w:rPr>
        <w:footnoteReference w:id="98"/>
      </w:r>
      <w:r w:rsidRPr="00ED6163">
        <w:t xml:space="preserve">  </w:t>
      </w:r>
    </w:p>
    <w:p w:rsidR="00252A4C" w:rsidRPr="00ED6163" w:rsidP="00410009" w14:paraId="75AEDFF8" w14:textId="77777777">
      <w:pPr>
        <w:pStyle w:val="ParaNum"/>
      </w:pPr>
      <w:r w:rsidRPr="00ED6163">
        <w:t>We are not persuaded that this coverage and</w:t>
      </w:r>
      <w:r w:rsidRPr="00ED6163">
        <w:t xml:space="preserve"> speed data is competitively sensitive.  Providers routinely publish and advertise the expected upload and download speeds they offer.</w:t>
      </w:r>
      <w:r>
        <w:rPr>
          <w:rStyle w:val="FootnoteReference"/>
          <w:sz w:val="22"/>
        </w:rPr>
        <w:footnoteReference w:id="99"/>
      </w:r>
      <w:r w:rsidRPr="00ED6163">
        <w:rPr>
          <w:color w:val="FF0000"/>
        </w:rPr>
        <w:t xml:space="preserve">  </w:t>
      </w:r>
      <w:r w:rsidRPr="00ED6163">
        <w:t>Because coverage and speed data are already publicly available, we find that such information is not commercially sens</w:t>
      </w:r>
      <w:r w:rsidRPr="00ED6163">
        <w:t>itive, and conclude that its public release will not cause competitive harm to service providers.  Most commenters agree that service providers often publicize this information by including it on their websites or in their advertising materials,</w:t>
      </w:r>
      <w:r>
        <w:rPr>
          <w:rStyle w:val="FootnoteReference"/>
          <w:sz w:val="22"/>
        </w:rPr>
        <w:footnoteReference w:id="100"/>
      </w:r>
      <w:r w:rsidRPr="00ED6163">
        <w:t xml:space="preserve"> which sh</w:t>
      </w:r>
      <w:r w:rsidRPr="00ED6163">
        <w:t>ows that they do not consider such information to be confidential or commercially sensitive.</w:t>
      </w:r>
      <w:r>
        <w:rPr>
          <w:rStyle w:val="FootnoteReference"/>
          <w:sz w:val="22"/>
        </w:rPr>
        <w:footnoteReference w:id="101"/>
      </w:r>
      <w:r w:rsidRPr="00ED6163">
        <w:t xml:space="preserve">    </w:t>
      </w:r>
    </w:p>
    <w:p w:rsidR="00252A4C" w:rsidRPr="00ED6163" w:rsidP="009018DC" w14:paraId="50D333E4" w14:textId="77777777">
      <w:pPr>
        <w:pStyle w:val="ParaNum"/>
        <w:widowControl/>
      </w:pPr>
      <w:r w:rsidRPr="00ED6163">
        <w:t>When balancing the public and private interests at stake, we conclude that public release of these data will not result in competitive harm and that the publ</w:t>
      </w:r>
      <w:r w:rsidRPr="00ED6163">
        <w:t>ic interest in releasing coverage and speed information substantially outweighs any interest that service providers have in keeping confidential information that is already publicly available.</w:t>
      </w:r>
      <w:r>
        <w:rPr>
          <w:rStyle w:val="FootnoteReference"/>
          <w:sz w:val="22"/>
        </w:rPr>
        <w:footnoteReference w:id="102"/>
      </w:r>
      <w:r w:rsidRPr="00ED6163">
        <w:t xml:space="preserve">  Accordingly, going forward we will publish nationwide, provider-specific coverage maps depicting minimum advertised or expected speed data.</w:t>
      </w:r>
      <w:r>
        <w:rPr>
          <w:rStyle w:val="FootnoteReference"/>
          <w:sz w:val="22"/>
        </w:rPr>
        <w:footnoteReference w:id="103"/>
      </w:r>
    </w:p>
    <w:p w:rsidR="00252A4C" w:rsidRPr="00ED6163" w:rsidP="00410009" w14:paraId="517A82FA" w14:textId="77777777">
      <w:pPr>
        <w:pStyle w:val="ParaNum"/>
      </w:pPr>
      <w:r w:rsidRPr="00ED6163">
        <w:rPr>
          <w:i/>
        </w:rPr>
        <w:t>Eliminating Requirement to Report Broadband Network Coverage by Spectrum Band.</w:t>
      </w:r>
      <w:r w:rsidRPr="00ED6163">
        <w:t xml:space="preserve">  Under the current Form 477 repor</w:t>
      </w:r>
      <w:r w:rsidRPr="00ED6163">
        <w:t>ting framework, mobile facilities-based providers are required to submit separate coverage maps depicting their broadband network coverage areas for each transmission technology and each frequency band.</w:t>
      </w:r>
      <w:r>
        <w:rPr>
          <w:rStyle w:val="FootnoteReference"/>
          <w:sz w:val="22"/>
        </w:rPr>
        <w:footnoteReference w:id="104"/>
      </w:r>
      <w:r w:rsidRPr="00ED6163">
        <w:t xml:space="preserve">  Eliminating this requirement is necessary to enhan</w:t>
      </w:r>
      <w:r w:rsidRPr="00ED6163">
        <w:t>ce focus on aspects of the data that are more important while decreasing burdens, so we therefore eliminate this unnecessary requirement.</w:t>
      </w:r>
      <w:r>
        <w:rPr>
          <w:rStyle w:val="FootnoteReference"/>
          <w:sz w:val="22"/>
        </w:rPr>
        <w:footnoteReference w:id="105"/>
      </w:r>
    </w:p>
    <w:p w:rsidR="00252A4C" w:rsidRPr="00ED6163" w:rsidP="00410009" w14:paraId="63FF7FCB" w14:textId="77777777">
      <w:pPr>
        <w:pStyle w:val="ParaNum"/>
      </w:pPr>
      <w:r w:rsidRPr="00ED6163">
        <w:t>The Commission had hoped that collecting deployment information by spectrum band would enable it “to analyze deploym</w:t>
      </w:r>
      <w:r w:rsidRPr="00ED6163">
        <w:t>ent in different spectrum bands,” but that has not come to pass.</w:t>
      </w:r>
      <w:r>
        <w:rPr>
          <w:rStyle w:val="FootnoteReference"/>
          <w:sz w:val="22"/>
        </w:rPr>
        <w:footnoteReference w:id="106"/>
      </w:r>
      <w:r w:rsidRPr="00ED6163">
        <w:t xml:space="preserve">  We agree with commenters that eliminating this requirement will streamline the reporting process and reduce the number of coverage maps (and the associated underlying data processing) that</w:t>
      </w:r>
      <w:r w:rsidRPr="00ED6163">
        <w:t xml:space="preserve"> reporting entities must submit.</w:t>
      </w:r>
      <w:r>
        <w:rPr>
          <w:rStyle w:val="FootnoteReference"/>
          <w:sz w:val="22"/>
        </w:rPr>
        <w:footnoteReference w:id="107"/>
      </w:r>
      <w:r w:rsidRPr="00ED6163">
        <w:t xml:space="preserve">  As Verizon notes, the Commission usually requests band-specific information directly from licensees in the context of analyzing build-out and license renewal representations, and does not look at the current data collect</w:t>
      </w:r>
      <w:r w:rsidRPr="00ED6163">
        <w:t>ed.</w:t>
      </w:r>
      <w:r>
        <w:rPr>
          <w:rStyle w:val="FootnoteReference"/>
          <w:sz w:val="22"/>
        </w:rPr>
        <w:footnoteReference w:id="108"/>
      </w:r>
      <w:r w:rsidRPr="00ED6163">
        <w:t xml:space="preserve">  The burdens of submitting these data outweigh the benefits, particularly in light of the Commission’s limited use of these data.</w:t>
      </w:r>
      <w:r>
        <w:rPr>
          <w:rStyle w:val="FootnoteReference"/>
          <w:sz w:val="22"/>
        </w:rPr>
        <w:footnoteReference w:id="109"/>
      </w:r>
      <w:r w:rsidRPr="00ED6163">
        <w:t xml:space="preserve">    </w:t>
      </w:r>
    </w:p>
    <w:p w:rsidR="00252A4C" w:rsidRPr="00ED6163" w:rsidP="00410009" w14:paraId="5BD679D1" w14:textId="77777777">
      <w:pPr>
        <w:pStyle w:val="ParaNum"/>
      </w:pPr>
      <w:r w:rsidRPr="00ED6163">
        <w:t>We disagree that the Commission and consumer advocates may find it difficult to monitor providers’ buildout requir</w:t>
      </w:r>
      <w:r w:rsidRPr="00ED6163">
        <w:t>ements without this information.</w:t>
      </w:r>
      <w:r>
        <w:rPr>
          <w:rStyle w:val="FootnoteReference"/>
          <w:sz w:val="22"/>
        </w:rPr>
        <w:footnoteReference w:id="110"/>
      </w:r>
      <w:r w:rsidRPr="00ED6163">
        <w:t xml:space="preserve">  We are also not persuaded by Institute for Local Self-Reliance’s (ILSR) unsupported argument that we should continue to collect </w:t>
      </w:r>
      <w:r w:rsidRPr="00ED6163">
        <w:t>information that might be useful in the future.</w:t>
      </w:r>
      <w:r>
        <w:rPr>
          <w:rStyle w:val="FootnoteReference"/>
          <w:sz w:val="22"/>
        </w:rPr>
        <w:footnoteReference w:id="111"/>
      </w:r>
      <w:r w:rsidRPr="00ED6163">
        <w:t xml:space="preserve">  ILSR provides no meaningful examples of h</w:t>
      </w:r>
      <w:r w:rsidRPr="00ED6163">
        <w:t>ow the Commission might use these data.  We also disagree with ILSR’s claim that information on deployment by spectrum band is “essential” to determine if mobile providers are offering mobile broadband service of 10 Mbps download and 1 Mbps upload.</w:t>
      </w:r>
      <w:r>
        <w:rPr>
          <w:rStyle w:val="FootnoteReference"/>
          <w:sz w:val="22"/>
        </w:rPr>
        <w:footnoteReference w:id="112"/>
      </w:r>
      <w:r w:rsidRPr="00ED6163">
        <w:t xml:space="preserve">  Mobi</w:t>
      </w:r>
      <w:r w:rsidRPr="00ED6163">
        <w:t>le broadband service providers already separately provide deployment data, including information on minimum advertised speeds.  Moreover, given that service providers are deploying technologies (e.g., LTE) in multiple bands,</w:t>
      </w:r>
      <w:r>
        <w:rPr>
          <w:rStyle w:val="FootnoteReference"/>
          <w:sz w:val="22"/>
        </w:rPr>
        <w:footnoteReference w:id="113"/>
      </w:r>
      <w:r w:rsidRPr="00ED6163">
        <w:t xml:space="preserve"> we find this information is e</w:t>
      </w:r>
      <w:r w:rsidRPr="00ED6163">
        <w:t xml:space="preserve">ven less useful today than it was in 2013 when we originally imposed this requirement.  We should not impose collection burdens based solely on the possibility that we might use the information at some point in the future.  </w:t>
      </w:r>
    </w:p>
    <w:p w:rsidR="00252A4C" w:rsidRPr="00ED6163" w:rsidP="00410009" w14:paraId="4E0C366B" w14:textId="77777777">
      <w:pPr>
        <w:pStyle w:val="ParaNum"/>
        <w:rPr>
          <w:spacing w:val="-1"/>
        </w:rPr>
      </w:pPr>
      <w:r w:rsidRPr="00ED6163">
        <w:rPr>
          <w:i/>
        </w:rPr>
        <w:t>Adding a 5G-NR Technology Code.</w:t>
      </w:r>
      <w:r w:rsidRPr="00ED6163">
        <w:rPr>
          <w:i/>
        </w:rPr>
        <w:t xml:space="preserve">  </w:t>
      </w:r>
      <w:r w:rsidRPr="00ED6163">
        <w:t xml:space="preserve">In the </w:t>
      </w:r>
      <w:r w:rsidRPr="00ED6163">
        <w:rPr>
          <w:i/>
        </w:rPr>
        <w:t>2017 Data Collection Improvement FNPRM</w:t>
      </w:r>
      <w:r w:rsidRPr="00ED6163">
        <w:t>, the Commission sought comment on whether it should require separate reporting of 5G mobile broadband deployment and, if so, whether and how it should define 5G for the purposes of the Form 477 data collectio</w:t>
      </w:r>
      <w:r w:rsidRPr="00ED6163">
        <w:t>n.</w:t>
      </w:r>
      <w:r>
        <w:rPr>
          <w:rStyle w:val="FootnoteReference"/>
          <w:sz w:val="22"/>
        </w:rPr>
        <w:footnoteReference w:id="114"/>
      </w:r>
      <w:r w:rsidRPr="00ED6163">
        <w:t xml:space="preserve">  Given the industry’s increasing deployment of 5G and our goal of facilitating 5G services to consumers, we will now require providers to report 5G technology deployments as part of their filings.</w:t>
      </w:r>
      <w:r>
        <w:rPr>
          <w:rStyle w:val="FootnoteReference"/>
          <w:sz w:val="22"/>
        </w:rPr>
        <w:footnoteReference w:id="115"/>
      </w:r>
      <w:r w:rsidRPr="00ED6163">
        <w:t xml:space="preserve">  Gathering 5G deployment data for all areas of the count</w:t>
      </w:r>
      <w:r w:rsidRPr="00ED6163">
        <w:t>ry as well as creating 5G deployment maps based on such data is necessary so that consumers can understand where they can receive such services and to help guide us for future policies on 5G technology.</w:t>
      </w:r>
      <w:r>
        <w:rPr>
          <w:rStyle w:val="FootnoteReference"/>
          <w:sz w:val="22"/>
        </w:rPr>
        <w:footnoteReference w:id="116"/>
      </w:r>
      <w:r w:rsidRPr="00ED6163">
        <w:t xml:space="preserve">  We find that adding 5G technology deployments to o</w:t>
      </w:r>
      <w:r w:rsidRPr="00ED6163">
        <w:t>ur mobile broadband data collection and maps—and specifically defining it for purposes of Form 477 collection—is consistent with the Commission’s goal of tailoring its policies to evolution in technologies.</w:t>
      </w:r>
      <w:r>
        <w:rPr>
          <w:rStyle w:val="FootnoteReference"/>
          <w:sz w:val="22"/>
        </w:rPr>
        <w:footnoteReference w:id="117"/>
      </w:r>
      <w:r w:rsidRPr="00ED6163">
        <w:t xml:space="preserve">  We therefore adopt the 5G-NR (New Radio) techn</w:t>
      </w:r>
      <w:r w:rsidRPr="00ED6163">
        <w:t>ology standards developed by the 3rd Generation Partnership Project (3GPP)</w:t>
      </w:r>
      <w:r>
        <w:rPr>
          <w:rStyle w:val="FootnoteReference"/>
          <w:sz w:val="22"/>
        </w:rPr>
        <w:footnoteReference w:id="118"/>
      </w:r>
      <w:r w:rsidRPr="00ED6163">
        <w:t xml:space="preserve"> with Release 15 and require providers to submit 5G deployment data that meet the specifications of Release 15 (or any successor release that may be adopted by the Commission’s Bur</w:t>
      </w:r>
      <w:r w:rsidRPr="00ED6163">
        <w:t>eaus).</w:t>
      </w:r>
      <w:r>
        <w:rPr>
          <w:rStyle w:val="FootnoteReference"/>
          <w:sz w:val="22"/>
        </w:rPr>
        <w:footnoteReference w:id="119"/>
      </w:r>
      <w:r w:rsidRPr="00ED6163">
        <w:t xml:space="preserve">   </w:t>
      </w:r>
    </w:p>
    <w:p w:rsidR="00252A4C" w:rsidRPr="00ED6163" w:rsidP="00410009" w14:paraId="45908B80" w14:textId="77777777">
      <w:pPr>
        <w:pStyle w:val="ParaNum"/>
        <w:rPr>
          <w:spacing w:val="-1"/>
        </w:rPr>
      </w:pPr>
      <w:r w:rsidRPr="00ED6163">
        <w:t>We disagree with some commenters’ claims that requiring submission of 5G deployment data would lead to inconsistent results based on an absence of 5G industry standards.</w:t>
      </w:r>
      <w:r>
        <w:rPr>
          <w:vertAlign w:val="superscript"/>
        </w:rPr>
        <w:footnoteReference w:id="120"/>
      </w:r>
      <w:r w:rsidRPr="00ED6163">
        <w:t xml:space="preserve">  The 3GPP 5G-NR technology standards provide adequate guidance for filer</w:t>
      </w:r>
      <w:r w:rsidRPr="00ED6163">
        <w:t>s to determine which deployments meet the 5G-NR technology definition.</w:t>
      </w:r>
      <w:r>
        <w:rPr>
          <w:vertAlign w:val="superscript"/>
        </w:rPr>
        <w:footnoteReference w:id="121"/>
      </w:r>
      <w:r w:rsidRPr="00ED6163">
        <w:t xml:space="preserve">  We reject CTIA’s suggestion that providers be allowed to voluntarily report 5G deployments.</w:t>
      </w:r>
      <w:r>
        <w:rPr>
          <w:vertAlign w:val="superscript"/>
        </w:rPr>
        <w:footnoteReference w:id="122"/>
      </w:r>
      <w:r w:rsidRPr="00ED6163">
        <w:t xml:space="preserve">  To ensure that both the Commission and consumers have an accurate account of 5G deploym</w:t>
      </w:r>
      <w:r w:rsidRPr="00ED6163">
        <w:t>ents, we will make such submissions mandatory.</w:t>
      </w:r>
      <w:r>
        <w:rPr>
          <w:vertAlign w:val="superscript"/>
        </w:rPr>
        <w:footnoteReference w:id="123"/>
      </w:r>
    </w:p>
    <w:p w:rsidR="00252A4C" w:rsidRPr="00ED6163" w:rsidP="00410009" w14:paraId="5544852A" w14:textId="77777777">
      <w:pPr>
        <w:pStyle w:val="ParaNum"/>
      </w:pPr>
      <w:r w:rsidRPr="00ED6163">
        <w:rPr>
          <w:i/>
        </w:rPr>
        <w:t xml:space="preserve">Eliminating Outdated Technology Codes.  </w:t>
      </w:r>
      <w:r w:rsidRPr="00ED6163">
        <w:t xml:space="preserve">In the </w:t>
      </w:r>
      <w:r w:rsidRPr="00ED6163">
        <w:rPr>
          <w:i/>
        </w:rPr>
        <w:t>2017 Data Collection Improvement FNPRM</w:t>
      </w:r>
      <w:r w:rsidRPr="00ED6163">
        <w:t>,</w:t>
      </w:r>
      <w:r w:rsidRPr="00ED6163">
        <w:rPr>
          <w:i/>
        </w:rPr>
        <w:t xml:space="preserve"> </w:t>
      </w:r>
      <w:r w:rsidRPr="00ED6163">
        <w:t>the Commission sought comment on whether to eliminate or modify the requirement that mobile broadband providers report c</w:t>
      </w:r>
      <w:r w:rsidRPr="00ED6163">
        <w:t>overage information for each technology deployed in their networks.</w:t>
      </w:r>
      <w:r>
        <w:rPr>
          <w:rStyle w:val="FootnoteReference"/>
          <w:sz w:val="22"/>
        </w:rPr>
        <w:footnoteReference w:id="124"/>
      </w:r>
      <w:r w:rsidRPr="00ED6163">
        <w:t xml:space="preserve">  Specifically, the Commission asked whether reporting entities should provide coverage maps for four categories of technology—3G, 4G non-LTE, 4G LTE, and 5G—rather than the nine mobile broadband technology codes that it currently uses and, if so, how the </w:t>
      </w:r>
      <w:r w:rsidRPr="00ED6163">
        <w:t>Commission should define these four categories.</w:t>
      </w:r>
      <w:r>
        <w:rPr>
          <w:rStyle w:val="FootnoteReference"/>
          <w:sz w:val="22"/>
        </w:rPr>
        <w:footnoteReference w:id="125"/>
      </w:r>
      <w:r w:rsidRPr="00ED6163">
        <w:t xml:space="preserve">  Based on our experience with data gathered under the nine different mobile broadband technologies that the form specifies and on commenters’ support for limiting the number of technologies, we modify</w:t>
      </w:r>
      <w:r w:rsidRPr="00ED6163">
        <w:rPr>
          <w:i/>
        </w:rPr>
        <w:t xml:space="preserve"> </w:t>
      </w:r>
      <w:r w:rsidRPr="00ED6163">
        <w:t>the r</w:t>
      </w:r>
      <w:r w:rsidRPr="00ED6163">
        <w:t>equirement to limit the required submission to four categories of technology—“5G-NR (New Radio),” “LTE (Long Term Evolution),” “CDMA-based,” and “GSM-based.”</w:t>
      </w:r>
      <w:r>
        <w:rPr>
          <w:vertAlign w:val="superscript"/>
        </w:rPr>
        <w:footnoteReference w:id="126"/>
      </w:r>
      <w:r w:rsidRPr="00ED6163">
        <w:t xml:space="preserve">   </w:t>
      </w:r>
    </w:p>
    <w:p w:rsidR="00252A4C" w:rsidRPr="00ED6163" w:rsidP="00410009" w14:paraId="40B58A07" w14:textId="77777777">
      <w:pPr>
        <w:pStyle w:val="ParaNum"/>
      </w:pPr>
      <w:r w:rsidRPr="00ED6163">
        <w:t>For broadband data submissions going forward, 5G-NR reported technology should comply with in</w:t>
      </w:r>
      <w:r w:rsidRPr="00ED6163">
        <w:t>dustry standards for 5G as adopted by 3GPP.</w:t>
      </w:r>
      <w:r>
        <w:rPr>
          <w:rStyle w:val="FootnoteReference"/>
          <w:sz w:val="22"/>
        </w:rPr>
        <w:footnoteReference w:id="127"/>
      </w:r>
      <w:r w:rsidRPr="00ED6163">
        <w:t xml:space="preserve">  Similarly, we adopt the LTE standards developed by 3GPP in Release 8 through Release 14, and deployment reported under LTE should be consistent with such standards.</w:t>
      </w:r>
      <w:r>
        <w:rPr>
          <w:rStyle w:val="FootnoteReference"/>
          <w:sz w:val="22"/>
        </w:rPr>
        <w:footnoteReference w:id="128"/>
      </w:r>
      <w:r w:rsidRPr="00ED6163">
        <w:t xml:space="preserve">  The “CDMA-based” category aggregates the </w:t>
      </w:r>
      <w:r w:rsidRPr="00ED6163">
        <w:t xml:space="preserve">CDMA and </w:t>
      </w:r>
      <w:r w:rsidRPr="00ED6163">
        <w:t>EVDO/EVDO Rev A categories in the current form, and the “GSM-based” category combines the GSM, WCDMA/UMTS/HSPA, and HSPA+ categories.</w:t>
      </w:r>
      <w:r>
        <w:rPr>
          <w:rStyle w:val="FootnoteReference"/>
          <w:sz w:val="22"/>
        </w:rPr>
        <w:footnoteReference w:id="129"/>
      </w:r>
      <w:r w:rsidRPr="00ED6163">
        <w:t xml:space="preserve">  We will eliminate collection of deployment data under the Analog and WiMAX categories because both technologie</w:t>
      </w:r>
      <w:r w:rsidRPr="00ED6163">
        <w:t>s are no longer in widespread use and have been decommissioned by several mobile providers.</w:t>
      </w:r>
      <w:r>
        <w:rPr>
          <w:rStyle w:val="FootnoteReference"/>
          <w:sz w:val="22"/>
        </w:rPr>
        <w:footnoteReference w:id="130"/>
      </w:r>
      <w:r w:rsidRPr="00ED6163">
        <w:t xml:space="preserve">  The categories we adopt today will more meaningfully reflect information that is useful to consumers.  </w:t>
      </w:r>
    </w:p>
    <w:p w:rsidR="00252A4C" w:rsidRPr="00ED6163" w:rsidP="00410009" w14:paraId="0F7D0C5B" w14:textId="77777777">
      <w:pPr>
        <w:pStyle w:val="ParaNum"/>
      </w:pPr>
      <w:r w:rsidRPr="00ED6163">
        <w:t xml:space="preserve">Several commenters suggest modifications to the proposal </w:t>
      </w:r>
      <w:r w:rsidRPr="00ED6163">
        <w:t xml:space="preserve">in the </w:t>
      </w:r>
      <w:r w:rsidRPr="00ED6163">
        <w:rPr>
          <w:i/>
        </w:rPr>
        <w:t>2017 Data Collection Improvement FNPRM</w:t>
      </w:r>
      <w:r w:rsidRPr="00ED6163">
        <w:t>.</w:t>
      </w:r>
      <w:r>
        <w:rPr>
          <w:vertAlign w:val="superscript"/>
        </w:rPr>
        <w:footnoteReference w:id="131"/>
      </w:r>
      <w:r w:rsidRPr="00ED6163">
        <w:t xml:space="preserve">  We reject AT&amp;T’s suggestion that we require “providers to file coverage maps for only three technology categories, 3G/4G, 4G LTE and 5G.”</w:t>
      </w:r>
      <w:r>
        <w:rPr>
          <w:vertAlign w:val="superscript"/>
        </w:rPr>
        <w:footnoteReference w:id="132"/>
      </w:r>
      <w:r w:rsidRPr="00ED6163">
        <w:t xml:space="preserve">  As some commenters observe, modifying the requirement will fail t</w:t>
      </w:r>
      <w:r w:rsidRPr="00ED6163">
        <w:t>o capture deployment of mobile technologies that predate LTE and 5G when parts of the country are still reliant on such technologies.</w:t>
      </w:r>
      <w:r>
        <w:rPr>
          <w:vertAlign w:val="superscript"/>
        </w:rPr>
        <w:footnoteReference w:id="133"/>
      </w:r>
      <w:r w:rsidRPr="00ED6163">
        <w:t xml:space="preserve">  To address in part the concerns of GCI, Connected Nation, and the CPUC, we do not adopt AT&amp;T’s proposal.  Instead, we m</w:t>
      </w:r>
      <w:r w:rsidRPr="00ED6163">
        <w:t xml:space="preserve">odify the proposal from the </w:t>
      </w:r>
      <w:r w:rsidRPr="00ED6163">
        <w:rPr>
          <w:i/>
        </w:rPr>
        <w:t>2017 Data Collection Improvement FNPRM</w:t>
      </w:r>
      <w:r w:rsidRPr="00ED6163">
        <w:t xml:space="preserve"> to retain aggregated collection under the “CDMA-based” and “GSM-based” categories of mobile broadband deployment data under technologies that predate LTE and 5G-NR (with the exception of Wi</w:t>
      </w:r>
      <w:r w:rsidRPr="00ED6163">
        <w:t>MAX and Analog) because important uses remain for such data.</w:t>
      </w:r>
      <w:r>
        <w:rPr>
          <w:vertAlign w:val="superscript"/>
        </w:rPr>
        <w:footnoteReference w:id="134"/>
      </w:r>
      <w:r w:rsidRPr="00ED6163">
        <w:t xml:space="preserve">  Aggregated collection under the “CDMA-based” and “GSM-based” categories, combined with collection of LTE and 5G-NR deployment, will ensure that areas of the country covered by at least 3G tech</w:t>
      </w:r>
      <w:r w:rsidRPr="00ED6163">
        <w:t>nology and entirely unserved areas of the country are captured, and will allow the Commission and other policymakers to evaluate those areas most in need.</w:t>
      </w:r>
      <w:r>
        <w:rPr>
          <w:vertAlign w:val="superscript"/>
        </w:rPr>
        <w:footnoteReference w:id="135"/>
      </w:r>
      <w:r w:rsidRPr="00ED6163">
        <w:t xml:space="preserve">  </w:t>
      </w:r>
    </w:p>
    <w:p w:rsidR="00252A4C" w:rsidRPr="00ED6163" w:rsidP="009018DC" w14:paraId="4B4FC26B" w14:textId="77777777">
      <w:pPr>
        <w:pStyle w:val="ParaNum"/>
        <w:widowControl/>
      </w:pPr>
      <w:r w:rsidRPr="00ED6163">
        <w:t>Given the extent of LTE deployment across the country, the importance of capturing mobile broadba</w:t>
      </w:r>
      <w:r w:rsidRPr="00ED6163">
        <w:t>nd deployment data under nine technology codes has been significantly reduced.</w:t>
      </w:r>
      <w:r>
        <w:rPr>
          <w:vertAlign w:val="superscript"/>
        </w:rPr>
        <w:footnoteReference w:id="136"/>
      </w:r>
      <w:r w:rsidRPr="00ED6163">
        <w:t xml:space="preserve">  In 2017, “approximately 92% of the U.S. population lived in census blocks with LTE coverage by at least four service providers,” “AT&amp;T and Verizon each provided LTE coverage to census blocks containing approximately 98% of the population, T-Mobile provid</w:t>
      </w:r>
      <w:r w:rsidRPr="00ED6163">
        <w:t>ed LTE coverage to approximately 96% of the population, while Sprint provided LTE coverage to approximately 91% of the population.”</w:t>
      </w:r>
      <w:r>
        <w:rPr>
          <w:rStyle w:val="FootnoteReference"/>
          <w:sz w:val="22"/>
        </w:rPr>
        <w:footnoteReference w:id="137"/>
      </w:r>
      <w:r w:rsidRPr="00ED6163">
        <w:t xml:space="preserve">  Thus, with providers’ increased reliance on LTE to provide mobile broadband across the country, capturing mobile broadban</w:t>
      </w:r>
      <w:r w:rsidRPr="00ED6163">
        <w:t>d deployment under nine technology codes has become outdated and unnecessary.</w:t>
      </w:r>
      <w:r>
        <w:rPr>
          <w:vertAlign w:val="superscript"/>
        </w:rPr>
        <w:footnoteReference w:id="138"/>
      </w:r>
      <w:r w:rsidRPr="00ED6163">
        <w:t xml:space="preserve">  The four codes that we adopt in this item will reduce burdens on filers while providing adequate information for the Commission to continue to “assess the wireless marketplace</w:t>
      </w:r>
      <w:r w:rsidRPr="00ED6163">
        <w:t xml:space="preserve"> to ensure that our spectrum and competition policies accommodate growing demand and evolving technologies in the provision of mobile broadband services.”</w:t>
      </w:r>
      <w:r>
        <w:rPr>
          <w:vertAlign w:val="superscript"/>
        </w:rPr>
        <w:footnoteReference w:id="139"/>
      </w:r>
    </w:p>
    <w:p w:rsidR="00252A4C" w:rsidRPr="00ED6163" w:rsidP="00410009" w14:paraId="4DE26806" w14:textId="77777777">
      <w:pPr>
        <w:pStyle w:val="ParaNum"/>
      </w:pPr>
      <w:r w:rsidRPr="00ED6163">
        <w:t>The new 5G-NR, LTE, CDMA-based, and GSM-based technology codes also lessen the likelihood that file</w:t>
      </w:r>
      <w:r w:rsidRPr="00ED6163">
        <w:t>rs may adopt and file under their own definitions of technology deployments, leading to confusion and decreasing the usefulness of the data gathered.</w:t>
      </w:r>
      <w:r>
        <w:rPr>
          <w:vertAlign w:val="superscript"/>
        </w:rPr>
        <w:footnoteReference w:id="140"/>
      </w:r>
      <w:r w:rsidRPr="00ED6163">
        <w:t xml:space="preserve">  Given that there are industry standards for 5G technology and LTE, we find it unnecessary to continue t</w:t>
      </w:r>
      <w:r w:rsidRPr="00ED6163">
        <w:t>o require individual submissions under each of the previous nine codes.</w:t>
      </w:r>
      <w:r>
        <w:rPr>
          <w:vertAlign w:val="superscript"/>
        </w:rPr>
        <w:footnoteReference w:id="141"/>
      </w:r>
      <w:r w:rsidRPr="00ED6163">
        <w:t xml:space="preserve"> </w:t>
      </w:r>
    </w:p>
    <w:p w:rsidR="00252A4C" w:rsidRPr="00ED6163" w:rsidP="00410009" w14:paraId="01BD9044" w14:textId="77777777">
      <w:pPr>
        <w:pStyle w:val="ParaNum"/>
      </w:pPr>
      <w:r w:rsidRPr="00ED6163">
        <w:t>Finally, requiring deployment data to be submitted under four, instead of nine, technology codes will ease burdens on filers who must currently submit shapefiles for each technology</w:t>
      </w:r>
      <w:r w:rsidRPr="00ED6163">
        <w:t>.</w:t>
      </w:r>
      <w:r>
        <w:rPr>
          <w:vertAlign w:val="superscript"/>
        </w:rPr>
        <w:footnoteReference w:id="142"/>
      </w:r>
      <w:r w:rsidRPr="00ED6163">
        <w:t xml:space="preserve">  We find that the limited usefulness and practical application of the nine technology codes that Form 477 currently requires do not outweigh the burdens that they generate for filers.</w:t>
      </w:r>
      <w:r>
        <w:rPr>
          <w:vertAlign w:val="superscript"/>
        </w:rPr>
        <w:footnoteReference w:id="143"/>
      </w:r>
    </w:p>
    <w:p w:rsidR="00252A4C" w:rsidRPr="00ED6163" w:rsidP="00410009" w14:paraId="60542B43" w14:textId="77777777">
      <w:pPr>
        <w:pStyle w:val="ParaNum"/>
      </w:pPr>
      <w:r w:rsidRPr="00ED6163">
        <w:rPr>
          <w:i/>
        </w:rPr>
        <w:t>Simplifying Mobile Voice Deployment Data Collection</w:t>
      </w:r>
      <w:r w:rsidRPr="00ED6163">
        <w:t>.  We eliminate</w:t>
      </w:r>
      <w:r w:rsidRPr="00ED6163">
        <w:t xml:space="preserve"> the requirement to submit mobile voice data by spectrum band for the same reasons that we eliminate this requirement for mobile broadband data: </w:t>
      </w:r>
      <w:r>
        <w:t xml:space="preserve"> T</w:t>
      </w:r>
      <w:r w:rsidRPr="00ED6163">
        <w:t xml:space="preserve">he Commission has yet to use this spectrum band information in its mobile </w:t>
      </w:r>
      <w:r w:rsidRPr="00ED6163">
        <w:t>voice coverage analysis and the req</w:t>
      </w:r>
      <w:r w:rsidRPr="00ED6163">
        <w:t>uirement poses an additional burden on filers.  We also streamline the technology filing requirement to four main voice-technology categories: 5G-NR, Voice-over-LTE (VoLTE), GSM-based, and CDMA-based.</w:t>
      </w:r>
      <w:r>
        <w:rPr>
          <w:rStyle w:val="FootnoteReference"/>
          <w:sz w:val="22"/>
        </w:rPr>
        <w:footnoteReference w:id="144"/>
      </w:r>
      <w:r w:rsidRPr="00ED6163">
        <w:t xml:space="preserve">  GSM-based voice technologies include GSM or a subseq</w:t>
      </w:r>
      <w:r w:rsidRPr="00ED6163">
        <w:t>uent generation of GSM, such as the current technology codes GSM, WCDMA/UMTS/HSPA, and HSPA+.</w:t>
      </w:r>
      <w:r>
        <w:rPr>
          <w:rStyle w:val="FootnoteReference"/>
          <w:sz w:val="22"/>
        </w:rPr>
        <w:footnoteReference w:id="145"/>
      </w:r>
      <w:r w:rsidRPr="00ED6163">
        <w:t xml:space="preserve">  CDMA-based voice technologies include CDMA or a subsequent generation of CDMA, such as the current technology codes CDMA and EVDO/EVDO Rev A.</w:t>
      </w:r>
      <w:r>
        <w:rPr>
          <w:rStyle w:val="FootnoteReference"/>
          <w:sz w:val="22"/>
        </w:rPr>
        <w:footnoteReference w:id="146"/>
      </w:r>
      <w:r w:rsidRPr="00ED6163">
        <w:t xml:space="preserve">  </w:t>
      </w:r>
    </w:p>
    <w:p w:rsidR="00252A4C" w:rsidRPr="00ED6163" w:rsidP="00410009" w14:paraId="180C89C7" w14:textId="77777777">
      <w:pPr>
        <w:pStyle w:val="ParaNum"/>
      </w:pPr>
      <w:r w:rsidRPr="00ED6163">
        <w:t xml:space="preserve">In </w:t>
      </w:r>
      <w:r w:rsidRPr="00ED6163">
        <w:t>filing nationwide voice-service coverage data, facilities-based mobile voice providers are required to submit shapefiles representing geographic coverage by technology (e.g., LTE, CDMA, analog) and spectrum band of the service providers’ voice coverage.</w:t>
      </w:r>
      <w:r>
        <w:rPr>
          <w:rStyle w:val="FootnoteReference"/>
          <w:sz w:val="22"/>
        </w:rPr>
        <w:footnoteReference w:id="147"/>
      </w:r>
      <w:r w:rsidRPr="00ED6163">
        <w:t xml:space="preserve"> </w:t>
      </w:r>
      <w:r w:rsidRPr="00ED6163">
        <w:t xml:space="preserve"> In the </w:t>
      </w:r>
      <w:r w:rsidRPr="00ED6163">
        <w:rPr>
          <w:i/>
        </w:rPr>
        <w:t>2017 Data Collection Improvement FNPRM</w:t>
      </w:r>
      <w:r w:rsidRPr="00947E6A">
        <w:t>,</w:t>
      </w:r>
      <w:r w:rsidRPr="00ED6163">
        <w:rPr>
          <w:i/>
        </w:rPr>
        <w:t xml:space="preserve"> </w:t>
      </w:r>
      <w:r w:rsidRPr="00ED6163">
        <w:t>the Commission, while noting the importance of tracking where mobile voice services are available to consumers, sought comment on how it might streamline this collection.</w:t>
      </w:r>
      <w:r>
        <w:rPr>
          <w:rStyle w:val="FootnoteReference"/>
          <w:sz w:val="22"/>
        </w:rPr>
        <w:footnoteReference w:id="148"/>
      </w:r>
      <w:r w:rsidRPr="00ED6163">
        <w:t xml:space="preserve">  Specifically, the Commission asked</w:t>
      </w:r>
      <w:r w:rsidRPr="00ED6163">
        <w:t xml:space="preserve"> whether it should eliminate the submission of voice coverage by both technology and spectrum band</w:t>
      </w:r>
      <w:r>
        <w:rPr>
          <w:rStyle w:val="FootnoteReference"/>
          <w:sz w:val="22"/>
        </w:rPr>
        <w:footnoteReference w:id="149"/>
      </w:r>
      <w:r w:rsidRPr="00ED6163">
        <w:t xml:space="preserve"> and whether it should continue to collect data for VoLTE separately.</w:t>
      </w:r>
      <w:r>
        <w:rPr>
          <w:rStyle w:val="FootnoteReference"/>
          <w:sz w:val="22"/>
        </w:rPr>
        <w:footnoteReference w:id="150"/>
      </w:r>
      <w:r w:rsidRPr="00ED6163">
        <w:t xml:space="preserve">  </w:t>
      </w:r>
    </w:p>
    <w:p w:rsidR="00252A4C" w:rsidRPr="00ED6163" w:rsidP="00410009" w14:paraId="340E5902" w14:textId="77777777">
      <w:pPr>
        <w:pStyle w:val="ParaNum"/>
      </w:pPr>
      <w:r w:rsidRPr="00ED6163">
        <w:t xml:space="preserve">In the </w:t>
      </w:r>
      <w:r w:rsidRPr="00ED6163">
        <w:rPr>
          <w:i/>
        </w:rPr>
        <w:t>2013 Form 477 Order</w:t>
      </w:r>
      <w:r w:rsidRPr="00ED6163">
        <w:t>, the Commission stated that voice deployment data filed</w:t>
      </w:r>
      <w:r w:rsidRPr="00ED6163">
        <w:t xml:space="preserve"> by spectrum band and technology type would (1) enable the Commission to analyze the extent of deployment in different spectrum bands; (2) help the Commission project market trends and adjust its spectrum and competition policies; and (3) assist in the Com</w:t>
      </w:r>
      <w:r w:rsidRPr="00ED6163">
        <w:t>mission’s efforts in the areas of emergency response and disaster relief by identifying the providers that typically serve an affected area.</w:t>
      </w:r>
      <w:r>
        <w:rPr>
          <w:rStyle w:val="FootnoteReference"/>
          <w:sz w:val="22"/>
        </w:rPr>
        <w:footnoteReference w:id="151"/>
      </w:r>
      <w:r w:rsidRPr="00ED6163">
        <w:t xml:space="preserve">  The Commission no longer finds it useful, however, to examine voice deployment data by spectrum band for the pur</w:t>
      </w:r>
      <w:r w:rsidRPr="00ED6163">
        <w:t>pose of adjusting its spectrum and competition policies, because service providers currently deploy voice and broadband technologies across multiple bands.</w:t>
      </w:r>
      <w:r>
        <w:rPr>
          <w:rStyle w:val="FootnoteReference"/>
          <w:sz w:val="22"/>
        </w:rPr>
        <w:footnoteReference w:id="152"/>
      </w:r>
      <w:r w:rsidRPr="00ED6163">
        <w:t xml:space="preserve">  We also address the Commission’s need to determine which provider’s networks are available during</w:t>
      </w:r>
      <w:r w:rsidRPr="00ED6163">
        <w:t xml:space="preserve"> an emergency, by retaining the requirement to submit data for VoLTE deployment.  For example, VoLTE data coverage information demonstrates comprehensive technological compatibility among providers and aids the Commission in identifying where networks are </w:t>
      </w:r>
      <w:r w:rsidRPr="00ED6163">
        <w:t xml:space="preserve">available during natural disasters.           </w:t>
      </w:r>
    </w:p>
    <w:p w:rsidR="00252A4C" w:rsidRPr="00ED6163" w:rsidP="00410009" w14:paraId="257960AB" w14:textId="77777777">
      <w:pPr>
        <w:pStyle w:val="ParaNum"/>
      </w:pPr>
      <w:r w:rsidRPr="00ED6163">
        <w:t>Multiple commenters observe that several maps must be generated to meet this filing requirement, with little corresponding benefit.</w:t>
      </w:r>
      <w:r>
        <w:rPr>
          <w:rStyle w:val="FootnoteReference"/>
          <w:sz w:val="22"/>
        </w:rPr>
        <w:footnoteReference w:id="153"/>
      </w:r>
      <w:r w:rsidRPr="00ED6163">
        <w:t xml:space="preserve">  In balancing these interests, we find that more streamlined coverage maps </w:t>
      </w:r>
      <w:r w:rsidRPr="00ED6163">
        <w:t>depicting each provider’s nationwide voice coverage area based on the technology categories outlined above allows consumers (and the Commission) to know where they can receive voice service from a given provider.  We agree with the argument that continuing</w:t>
      </w:r>
      <w:r w:rsidRPr="00ED6163">
        <w:t xml:space="preserve"> a separate collection for certain voice technologies is necessary because, for instance, consumers with a GSM-only </w:t>
      </w:r>
      <w:r w:rsidRPr="00ED6163">
        <w:t>phone may not be able to complete a call when roaming in an area where only CDMA is available.</w:t>
      </w:r>
      <w:r>
        <w:rPr>
          <w:rStyle w:val="FootnoteReference"/>
          <w:sz w:val="22"/>
        </w:rPr>
        <w:footnoteReference w:id="154"/>
      </w:r>
      <w:r w:rsidRPr="00ED6163">
        <w:t xml:space="preserve">  Providers have or will soon sunset their o</w:t>
      </w:r>
      <w:r w:rsidRPr="00ED6163">
        <w:t>lder voice technologies, replacing them with VoLTE networks.</w:t>
      </w:r>
      <w:r>
        <w:rPr>
          <w:vertAlign w:val="superscript"/>
        </w:rPr>
        <w:footnoteReference w:id="155"/>
      </w:r>
      <w:r w:rsidRPr="00ED6163">
        <w:t xml:space="preserve">  However, continuing to collect the voice technology deployment data we outline in this order is necessary for tracking where remaining legacy voice technologies are decommissioned, to ensure t</w:t>
      </w:r>
      <w:r w:rsidRPr="00ED6163">
        <w:t xml:space="preserve">hat coverage gaps in mobile calling do not arise.  </w:t>
      </w:r>
    </w:p>
    <w:p w:rsidR="00252A4C" w:rsidRPr="00ED6163" w:rsidP="00410009" w14:paraId="3C7E49C7" w14:textId="77777777">
      <w:pPr>
        <w:pStyle w:val="ParaNum"/>
      </w:pPr>
      <w:r w:rsidRPr="00ED6163">
        <w:t xml:space="preserve">While we are streamlining the filing of voice-deployment data, we find facilities-based mobile-voice providers should continue to submit VoLTE-deployment data and going forward submit 5G voice deployment </w:t>
      </w:r>
      <w:r w:rsidRPr="00ED6163">
        <w:t>data under the new 5G-NR category.</w:t>
      </w:r>
      <w:r>
        <w:rPr>
          <w:rStyle w:val="FootnoteReference"/>
          <w:sz w:val="22"/>
        </w:rPr>
        <w:footnoteReference w:id="156"/>
      </w:r>
      <w:r w:rsidRPr="00ED6163">
        <w:t xml:space="preserve">  These data are valuable because they represent potential universal technical compatibility among mobile-voice providers, which could significantly aid emergency response and other efforts facilitated by such compatibil</w:t>
      </w:r>
      <w:r w:rsidRPr="00ED6163">
        <w:t>ity.</w:t>
      </w:r>
      <w:r>
        <w:rPr>
          <w:rStyle w:val="FootnoteReference"/>
          <w:sz w:val="22"/>
        </w:rPr>
        <w:footnoteReference w:id="157"/>
      </w:r>
      <w:r w:rsidRPr="00ED6163">
        <w:t xml:space="preserve">  For example, VoLTE coverage could better facilitate a customer’s ability to complete a 911 call while roaming, particularly in rural areas where other voice technologies are not available.</w:t>
      </w:r>
      <w:r>
        <w:rPr>
          <w:rStyle w:val="FootnoteReference"/>
          <w:sz w:val="22"/>
        </w:rPr>
        <w:footnoteReference w:id="158"/>
      </w:r>
      <w:r w:rsidRPr="00ED6163">
        <w:t xml:space="preserve">  VoLTE is not yet ubiquitous.</w:t>
      </w:r>
      <w:r>
        <w:rPr>
          <w:rStyle w:val="FootnoteReference"/>
          <w:sz w:val="22"/>
        </w:rPr>
        <w:footnoteReference w:id="159"/>
      </w:r>
      <w:r w:rsidRPr="00ED6163">
        <w:t xml:space="preserve">  The filing of 5G-NR and VoLTE coverage data will allow the Commission to monitor how these deployments fill-in and expand upon the current voice-coverage footprint.  We direct OEA, in consultation with </w:t>
      </w:r>
      <w:r>
        <w:t xml:space="preserve">WCB and </w:t>
      </w:r>
      <w:r w:rsidRPr="00ED6163">
        <w:t>WTB to change which mobile voice service tec</w:t>
      </w:r>
      <w:r w:rsidRPr="00ED6163">
        <w:t>hnology data are collected going forward, as they evolve.</w:t>
      </w:r>
    </w:p>
    <w:p w:rsidR="00252A4C" w:rsidRPr="00ED6163" w:rsidP="00410009" w14:paraId="53E11FF9" w14:textId="77777777">
      <w:pPr>
        <w:pStyle w:val="ParaNum"/>
      </w:pPr>
      <w:bookmarkStart w:id="65" w:name="_Hlk11677593"/>
      <w:r w:rsidRPr="00ED6163">
        <w:rPr>
          <w:i/>
        </w:rPr>
        <w:t>Collect Mobile Broadband and Voice Subscription Data at the Census Tract Level.</w:t>
      </w:r>
      <w:r w:rsidRPr="00ED6163">
        <w:t xml:space="preserve">  Facilities-based mobile-broadband and voice providers are currently required to submit their subscriber numbers by st</w:t>
      </w:r>
      <w:r w:rsidRPr="00ED6163">
        <w:t>ate.</w:t>
      </w:r>
      <w:r>
        <w:rPr>
          <w:rStyle w:val="FootnoteReference"/>
          <w:sz w:val="22"/>
        </w:rPr>
        <w:footnoteReference w:id="160"/>
      </w:r>
      <w:r w:rsidRPr="00ED6163">
        <w:t xml:space="preserve">  </w:t>
      </w:r>
      <w:bookmarkEnd w:id="65"/>
      <w:r w:rsidRPr="00ED6163">
        <w:t>Providers must include their own prepaid and postpaid customers in addition to those of resellers.</w:t>
      </w:r>
      <w:r>
        <w:rPr>
          <w:rStyle w:val="FootnoteReference"/>
          <w:sz w:val="22"/>
        </w:rPr>
        <w:footnoteReference w:id="161"/>
      </w:r>
      <w:r w:rsidRPr="00ED6163">
        <w:t xml:space="preserve">  Currently, providers are instructed to assign a subscriber to a particular state based on the area code of the device’s phone number or “by using </w:t>
      </w:r>
      <w:r w:rsidRPr="00ED6163">
        <w:t>some other method that best reflects the subscriber’s locations, such as billing address or place of primary use address.”</w:t>
      </w:r>
      <w:r>
        <w:rPr>
          <w:rStyle w:val="FootnoteReference"/>
          <w:sz w:val="22"/>
        </w:rPr>
        <w:footnoteReference w:id="162"/>
      </w:r>
    </w:p>
    <w:p w:rsidR="00252A4C" w:rsidRPr="00ED6163" w:rsidP="00410009" w14:paraId="7E9474A3" w14:textId="77777777">
      <w:pPr>
        <w:pStyle w:val="ParaNum"/>
      </w:pPr>
      <w:r w:rsidRPr="00ED6163">
        <w:t xml:space="preserve">To provide more granular data, the </w:t>
      </w:r>
      <w:r w:rsidRPr="00ED6163">
        <w:rPr>
          <w:i/>
        </w:rPr>
        <w:t>2017 Data Collection Improvement FNPRM</w:t>
      </w:r>
      <w:r w:rsidRPr="00ED6163">
        <w:t xml:space="preserve"> proposed changing the subscribership data by requiring se</w:t>
      </w:r>
      <w:r w:rsidRPr="00ED6163">
        <w:t>rvice providers to submit subscriber data at the census-tract level, attributed to the subscriber’s billing address.</w:t>
      </w:r>
      <w:r>
        <w:rPr>
          <w:rStyle w:val="FootnoteReference"/>
          <w:sz w:val="22"/>
        </w:rPr>
        <w:footnoteReference w:id="163"/>
      </w:r>
      <w:r w:rsidRPr="00ED6163">
        <w:t xml:space="preserve">  Based on the record and the Commission’s need for more granular data, we now require mobile providers to submit broadband and voice subs</w:t>
      </w:r>
      <w:r w:rsidRPr="00ED6163">
        <w:t>criber data at the census-tract level based on the subscriber’s place of primary use for postpaid subscribers and based on the subscriber’s telephone number for prepaid and resold subscriber</w:t>
      </w:r>
      <w:r>
        <w:t>s</w:t>
      </w:r>
      <w:r w:rsidRPr="00ED6163">
        <w:t>.  We find that state-level aggregation of subscription data sign</w:t>
      </w:r>
      <w:r w:rsidRPr="00ED6163">
        <w:t>ificantly limits the data’s usefulness, and that census-tract level data would substantially improve our ability to conduct more accurate mobile competition analysis, particularly in secondary market transactions.</w:t>
      </w:r>
      <w:r>
        <w:rPr>
          <w:rStyle w:val="FootnoteReference"/>
          <w:sz w:val="22"/>
        </w:rPr>
        <w:footnoteReference w:id="164"/>
      </w:r>
      <w:r w:rsidRPr="00ED6163">
        <w:t xml:space="preserve">  </w:t>
      </w:r>
      <w:bookmarkStart w:id="66" w:name="_Hlk11154721"/>
      <w:r w:rsidRPr="00ED6163">
        <w:t>For instance, the Commission analyzes c</w:t>
      </w:r>
      <w:r w:rsidRPr="00ED6163">
        <w:t>ompetition by Cellular Market Area to determine the impact of removing a competitor in a proposed license transfer</w:t>
      </w:r>
      <w:bookmarkEnd w:id="66"/>
      <w:r w:rsidRPr="00ED6163">
        <w:t>.</w:t>
      </w:r>
      <w:r>
        <w:rPr>
          <w:rStyle w:val="FootnoteReference"/>
          <w:sz w:val="22"/>
        </w:rPr>
        <w:footnoteReference w:id="165"/>
      </w:r>
      <w:r w:rsidRPr="00ED6163">
        <w:t xml:space="preserve">  While the Commission receives subscriber data from service providers to assess competition in relevant market areas in a pending transact</w:t>
      </w:r>
      <w:r w:rsidRPr="00ED6163">
        <w:t>ion, it does not contain information about the other competitors in the market.</w:t>
      </w:r>
      <w:r>
        <w:rPr>
          <w:rStyle w:val="FootnoteReference"/>
          <w:sz w:val="22"/>
        </w:rPr>
        <w:footnoteReference w:id="166"/>
      </w:r>
      <w:r w:rsidRPr="00ED6163">
        <w:t xml:space="preserve">  Having the same census-tract level subscribership data from all providers facilitates the Commission’s ability to conduct comparative analysis in license transfer proceeding</w:t>
      </w:r>
      <w:r w:rsidRPr="00ED6163">
        <w:t xml:space="preserve">s.  </w:t>
      </w:r>
    </w:p>
    <w:p w:rsidR="00252A4C" w:rsidRPr="00ED6163" w:rsidP="00410009" w14:paraId="204B819C" w14:textId="77777777">
      <w:pPr>
        <w:pStyle w:val="ParaNum"/>
      </w:pPr>
      <w:r w:rsidRPr="00ED6163">
        <w:t xml:space="preserve">The Commission today relies on the telephone number-based Number Resource Utilization/Forecast information as a proxy for filer-submitted subscriber numbers when conducting competitive market analyses because of shortcomings in state-level subscriber </w:t>
      </w:r>
      <w:r w:rsidRPr="00ED6163">
        <w:t>data.</w:t>
      </w:r>
      <w:r>
        <w:rPr>
          <w:rStyle w:val="FootnoteReference"/>
          <w:sz w:val="22"/>
        </w:rPr>
        <w:footnoteReference w:id="167"/>
      </w:r>
      <w:r w:rsidRPr="00ED6163">
        <w:t xml:space="preserve">  Number Resource Utilization/Forecast subscriber data indicate the number of assigned phone numbers that a service provider has in a particular rate center, out of the 18,000 rate centers across the country.</w:t>
      </w:r>
      <w:r>
        <w:rPr>
          <w:rStyle w:val="FootnoteReference"/>
          <w:sz w:val="22"/>
        </w:rPr>
        <w:footnoteReference w:id="168"/>
      </w:r>
      <w:r w:rsidRPr="00ED6163">
        <w:t xml:space="preserve">  All service providers must report to the Com</w:t>
      </w:r>
      <w:r w:rsidRPr="00ED6163">
        <w:t>mission the quantity of their phone numbers assigned to end users, which permits the Commission to calculate the total number of mobile wireless subscribers.</w:t>
      </w:r>
      <w:r>
        <w:rPr>
          <w:rStyle w:val="FootnoteReference"/>
          <w:sz w:val="22"/>
        </w:rPr>
        <w:footnoteReference w:id="169"/>
      </w:r>
      <w:r w:rsidRPr="00ED6163">
        <w:t xml:space="preserve">  When a geographical analysis is required, rate center data can be associated with a geographic </w:t>
      </w:r>
      <w:r w:rsidRPr="00ED6163">
        <w:t>point within a county boundary.</w:t>
      </w:r>
      <w:r>
        <w:rPr>
          <w:rStyle w:val="FootnoteReference"/>
          <w:sz w:val="22"/>
        </w:rPr>
        <w:footnoteReference w:id="170"/>
      </w:r>
      <w:r w:rsidRPr="00ED6163">
        <w:t xml:space="preserve">  </w:t>
      </w:r>
    </w:p>
    <w:p w:rsidR="00252A4C" w:rsidRPr="00ED6163" w:rsidP="009018DC" w14:paraId="0BB802D6" w14:textId="77777777">
      <w:pPr>
        <w:pStyle w:val="ParaNum"/>
        <w:widowControl/>
      </w:pPr>
      <w:r w:rsidRPr="00ED6163">
        <w:t>Number Resource Utilization/Forecast data, however, have limitations, like providing only the quantity of mobile wireless connections that have a telephone number, rather than the number of consumers subscribed to mobile</w:t>
      </w:r>
      <w:r w:rsidRPr="00ED6163">
        <w:t xml:space="preserve"> broadband or voice service.</w:t>
      </w:r>
      <w:r>
        <w:rPr>
          <w:rStyle w:val="FootnoteReference"/>
          <w:sz w:val="22"/>
        </w:rPr>
        <w:footnoteReference w:id="171"/>
      </w:r>
      <w:r w:rsidRPr="00ED6163">
        <w:t xml:space="preserve">  If a mobile broadband or voice subscriber uses a device that does not have a telephone number assigned to it (e.g., a tablet), then that subscriber will </w:t>
      </w:r>
      <w:r w:rsidRPr="00ED6163">
        <w:t>not be recorded in Number Resource Utilization/Forecast data.</w:t>
      </w:r>
      <w:r>
        <w:rPr>
          <w:vertAlign w:val="superscript"/>
        </w:rPr>
        <w:footnoteReference w:id="172"/>
      </w:r>
      <w:r w:rsidRPr="00ED6163">
        <w:t xml:space="preserve">  These </w:t>
      </w:r>
      <w:r w:rsidRPr="00ED6163">
        <w:t>data also do not reflect when consumers move to a different state and retain the same telephone number.</w:t>
      </w:r>
      <w:r>
        <w:rPr>
          <w:rStyle w:val="FootnoteReference"/>
          <w:sz w:val="22"/>
        </w:rPr>
        <w:footnoteReference w:id="173"/>
      </w:r>
      <w:r w:rsidRPr="00ED6163">
        <w:t xml:space="preserve">    </w:t>
      </w:r>
    </w:p>
    <w:p w:rsidR="00252A4C" w:rsidRPr="00ED6163" w:rsidP="00410009" w14:paraId="2D5171F5" w14:textId="77777777">
      <w:pPr>
        <w:pStyle w:val="ParaNum"/>
      </w:pPr>
      <w:r w:rsidRPr="00ED6163">
        <w:t>We find that both the Commission’s need for more precise data for competitive analyses and the limitations of Number Resource Utilization/Forecast</w:t>
      </w:r>
      <w:r w:rsidRPr="00ED6163">
        <w:t xml:space="preserve"> data outweigh industry concerns about the burden of the collection.</w:t>
      </w:r>
      <w:r>
        <w:rPr>
          <w:rStyle w:val="FootnoteReference"/>
          <w:sz w:val="22"/>
        </w:rPr>
        <w:footnoteReference w:id="174"/>
      </w:r>
      <w:r w:rsidRPr="00ED6163">
        <w:t xml:space="preserve">  We believe that filer-supplied data at the census-tract level are superior to Number Resource Utilization/Forecast data because they are generated by the operators and based on the ope</w:t>
      </w:r>
      <w:r w:rsidRPr="00ED6163">
        <w:t>rator-determined location of its subscribers.  Use of Number Resource Utilization/Forecast data require the Commission to estimate the location of subscribers based on the rate centers associated with telephone numbers, and this can cause problems.</w:t>
      </w:r>
      <w:r>
        <w:rPr>
          <w:rStyle w:val="FootnoteReference"/>
          <w:sz w:val="22"/>
        </w:rPr>
        <w:footnoteReference w:id="175"/>
      </w:r>
      <w:r w:rsidRPr="00ED6163">
        <w:t xml:space="preserve">  Mobi</w:t>
      </w:r>
      <w:r w:rsidRPr="00ED6163">
        <w:t>le subscriber data at the census-tract level provides a dataset needed for our analyses, instead of introducing error by relying on Number Resource Utilization/Forecast data in a manner that it was not intended to be used.</w:t>
      </w:r>
    </w:p>
    <w:p w:rsidR="00252A4C" w:rsidRPr="00ED6163" w:rsidP="00410009" w14:paraId="288D8FE8" w14:textId="77777777">
      <w:pPr>
        <w:pStyle w:val="ParaNum"/>
      </w:pPr>
      <w:r w:rsidRPr="00ED6163">
        <w:t>Census-tract level reporting of m</w:t>
      </w:r>
      <w:r w:rsidRPr="00ED6163">
        <w:t>obile subscription data strikes the proper balance between more useful, granular data, while reducing artificial precision that could be introduced by getting too granular with mobile service use.  Some commenters support the requirement to file subscriber</w:t>
      </w:r>
      <w:r w:rsidRPr="00ED6163">
        <w:t xml:space="preserve"> data by census block.</w:t>
      </w:r>
      <w:r>
        <w:rPr>
          <w:rStyle w:val="FootnoteReference"/>
          <w:sz w:val="22"/>
        </w:rPr>
        <w:footnoteReference w:id="176"/>
      </w:r>
      <w:r w:rsidRPr="00ED6163">
        <w:t xml:space="preserve">  OTI states that census-block level data would help digital literacy programs better target their efforts, because many households subscribing to these programs rely on mobile broadband as their primary means of accessing the Inter</w:t>
      </w:r>
      <w:r w:rsidRPr="00ED6163">
        <w:t>net.</w:t>
      </w:r>
      <w:r>
        <w:rPr>
          <w:rStyle w:val="FootnoteReference"/>
          <w:sz w:val="22"/>
        </w:rPr>
        <w:footnoteReference w:id="177"/>
      </w:r>
      <w:r w:rsidRPr="00ED6163">
        <w:t xml:space="preserve">  Using census tracts is consistent with our previous finding that this level of granularity corresponds to actual locations and can be correlated with valuable demographic census data.</w:t>
      </w:r>
      <w:r>
        <w:rPr>
          <w:rStyle w:val="FootnoteReference"/>
          <w:sz w:val="22"/>
        </w:rPr>
        <w:footnoteReference w:id="178"/>
      </w:r>
      <w:r w:rsidRPr="00ED6163">
        <w:t xml:space="preserve">  Moreover, subscription data at the census-tract level would b</w:t>
      </w:r>
      <w:r w:rsidRPr="00ED6163">
        <w:t xml:space="preserve">e useful for analyzing competition by market and would be more useful than rate-center based Number Resource Utilization/Forecast data.  While customers are attributed to a particular address for their place of primary </w:t>
      </w:r>
      <w:r w:rsidRPr="00ED6163">
        <w:t xml:space="preserve">use, unlike fixed, the mobile nature </w:t>
      </w:r>
      <w:r w:rsidRPr="00ED6163">
        <w:t>of the service inherently makes such attribution to too small an area artificial.</w:t>
      </w:r>
      <w:r>
        <w:rPr>
          <w:rStyle w:val="FootnoteReference"/>
          <w:sz w:val="22"/>
        </w:rPr>
        <w:footnoteReference w:id="179"/>
      </w:r>
      <w:r w:rsidRPr="00ED6163">
        <w:t xml:space="preserve">  The census-tract level maintains the balance of being useful for our analyses while reducing any artificial granularity.    </w:t>
      </w:r>
    </w:p>
    <w:p w:rsidR="00252A4C" w:rsidRPr="00ED6163" w:rsidP="00410009" w14:paraId="59D69132" w14:textId="77777777">
      <w:pPr>
        <w:pStyle w:val="ParaNum"/>
      </w:pPr>
      <w:r w:rsidRPr="00ED6163">
        <w:t>We are not convinced that the burdens on repor</w:t>
      </w:r>
      <w:r w:rsidRPr="00ED6163">
        <w:t xml:space="preserve">ting entities are so high that the Commission should continue to rely on Number Resource Utilization/Forecast data.  We disagree with commenters who contend that we should continue to rely on Number Resource Utilization/Forecast data as the primary source </w:t>
      </w:r>
      <w:r w:rsidRPr="00ED6163">
        <w:t>of mobile broadband connections and voice service subscriptions.</w:t>
      </w:r>
      <w:r>
        <w:rPr>
          <w:rStyle w:val="FootnoteReference"/>
          <w:sz w:val="22"/>
        </w:rPr>
        <w:footnoteReference w:id="180"/>
      </w:r>
      <w:r w:rsidRPr="00ED6163">
        <w:t xml:space="preserve">  The Commission must move forward with a more accurate mobile subscription collection to meet its goals and track subscribership data.  Nothing in the record indicates that a census-tract c</w:t>
      </w:r>
      <w:r w:rsidRPr="00ED6163">
        <w:t>ollection is any more burdensome for mobile filers than for fixed filers,</w:t>
      </w:r>
      <w:r>
        <w:rPr>
          <w:rStyle w:val="FootnoteReference"/>
          <w:sz w:val="22"/>
        </w:rPr>
        <w:footnoteReference w:id="181"/>
      </w:r>
      <w:r w:rsidRPr="00ED6163">
        <w:t xml:space="preserve"> whom were already required to provide subscriber data at the census-tract level.</w:t>
      </w:r>
      <w:r>
        <w:rPr>
          <w:rStyle w:val="FootnoteReference"/>
          <w:sz w:val="22"/>
        </w:rPr>
        <w:footnoteReference w:id="182"/>
      </w:r>
      <w:r w:rsidRPr="00ED6163">
        <w:t xml:space="preserve">  </w:t>
      </w:r>
    </w:p>
    <w:p w:rsidR="00252A4C" w:rsidRPr="00ED6163" w:rsidP="00410009" w14:paraId="178D03CF" w14:textId="77777777">
      <w:pPr>
        <w:pStyle w:val="ParaNum"/>
      </w:pPr>
      <w:r w:rsidRPr="00ED6163">
        <w:t xml:space="preserve">To ensure consistency among submissions, we require providers to submit census tract </w:t>
      </w:r>
      <w:r w:rsidRPr="00ED6163">
        <w:t>postpaid subscribership data by “place of primary use,” which is defined in the United States Code as “the street address representative of where the customer’s use of the mobile telecommunications service primarily occurs,” and must be the “the residentia</w:t>
      </w:r>
      <w:r w:rsidRPr="00ED6163">
        <w:t>l street address or the primary business street address of the customer” and “within the licensed service area of the home service provider.”</w:t>
      </w:r>
      <w:r>
        <w:rPr>
          <w:rStyle w:val="FootnoteReference"/>
          <w:sz w:val="22"/>
        </w:rPr>
        <w:footnoteReference w:id="183"/>
      </w:r>
      <w:r w:rsidRPr="00ED6163">
        <w:t xml:space="preserve">  We find, however, that we should seek further comment on applying the place of primary use methodology to prepa</w:t>
      </w:r>
      <w:r w:rsidRPr="00ED6163">
        <w:t>id and reseller subscribers.  As explained by CTIA, many prepaid mobile providers neither collect nor use place of primary use.</w:t>
      </w:r>
      <w:r>
        <w:rPr>
          <w:rStyle w:val="FootnoteReference"/>
          <w:sz w:val="22"/>
        </w:rPr>
        <w:footnoteReference w:id="184"/>
      </w:r>
      <w:r w:rsidRPr="00ED6163">
        <w:t xml:space="preserve">  Once prepaid subscribers purchase mobile services at point-of-sale, the service provider may not communicate with or track th</w:t>
      </w:r>
      <w:r w:rsidRPr="00ED6163">
        <w:t>e subscriber.</w:t>
      </w:r>
      <w:r>
        <w:rPr>
          <w:rStyle w:val="FootnoteReference"/>
          <w:sz w:val="22"/>
        </w:rPr>
        <w:footnoteReference w:id="185"/>
      </w:r>
      <w:r w:rsidRPr="00ED6163">
        <w:t xml:space="preserve">  It would be a significant change if retailers and service providers are required to collect subscriber billing address at point-of-sale, or if providers are required to obtain customer billing address by some other means, such as by direct</w:t>
      </w:r>
      <w:r w:rsidRPr="00ED6163">
        <w:t>ly contacting the subscriber via text message or telephone call.  To ensure the Commission receives prepaid and reseller subscriber data using a consistent methodology, we find it is necessary on an interim basis to require providers to submit data that as</w:t>
      </w:r>
      <w:r w:rsidRPr="00ED6163">
        <w:t>signs those subscribers to a census tract using the subscriber’s telephone number.</w:t>
      </w:r>
    </w:p>
    <w:p w:rsidR="00252A4C" w:rsidRPr="00ED6163" w:rsidP="00410009" w14:paraId="17D7CB1B" w14:textId="77777777">
      <w:pPr>
        <w:pStyle w:val="ParaNum"/>
      </w:pPr>
      <w:r w:rsidRPr="00ED6163">
        <w:t>We find persuasive the concerns expressed by commenters that the use of billing address does not reflect where subscribers primarily use their mobile broadband and voice ser</w:t>
      </w:r>
      <w:r w:rsidRPr="00ED6163">
        <w:t>vices.</w:t>
      </w:r>
      <w:r>
        <w:rPr>
          <w:rStyle w:val="FootnoteReference"/>
          <w:sz w:val="22"/>
        </w:rPr>
        <w:footnoteReference w:id="186"/>
      </w:r>
      <w:r w:rsidRPr="00ED6163">
        <w:t xml:space="preserve">  Certain </w:t>
      </w:r>
      <w:r w:rsidRPr="00ED6163">
        <w:t>subscriber groups, such as seasonal workers, college students, business accounts, and prepaid subscribers, could be misreported if billing address is used to represent where they primarily use their service.</w:t>
      </w:r>
      <w:r>
        <w:rPr>
          <w:rStyle w:val="FootnoteReference"/>
          <w:sz w:val="22"/>
        </w:rPr>
        <w:footnoteReference w:id="187"/>
      </w:r>
      <w:r w:rsidRPr="00ED6163">
        <w:t xml:space="preserve">  The “place of primary use” </w:t>
      </w:r>
      <w:r w:rsidRPr="00ED6163">
        <w:t>best addresses all of these concerns.  This definition focuses on where the service is primarily used, not billed, and allows for inclusion of prepaid subscribers.  Facilities-based mobile service providers</w:t>
      </w:r>
      <w:r>
        <w:rPr>
          <w:rStyle w:val="FootnoteReference"/>
          <w:sz w:val="22"/>
        </w:rPr>
        <w:footnoteReference w:id="188"/>
      </w:r>
      <w:r w:rsidRPr="00ED6163">
        <w:t xml:space="preserve"> must also obtain and maintain this information </w:t>
      </w:r>
      <w:r w:rsidRPr="00ED6163">
        <w:t>for tax purposes, thus decreasing the burden of collecting and storing these subscriber data.</w:t>
      </w:r>
      <w:r>
        <w:rPr>
          <w:rStyle w:val="FootnoteReference"/>
          <w:sz w:val="22"/>
        </w:rPr>
        <w:footnoteReference w:id="189"/>
      </w:r>
      <w:r w:rsidRPr="00ED6163">
        <w:t xml:space="preserve">  To the extent that providers do not currently have a system that associates a place of primary use with a census tract,</w:t>
      </w:r>
      <w:r>
        <w:rPr>
          <w:rStyle w:val="FootnoteReference"/>
          <w:sz w:val="22"/>
        </w:rPr>
        <w:footnoteReference w:id="190"/>
      </w:r>
      <w:r w:rsidRPr="00ED6163">
        <w:t xml:space="preserve"> providers should obtain and keep this information in the normal course of business going forward.</w:t>
      </w:r>
      <w:r>
        <w:rPr>
          <w:rStyle w:val="FootnoteReference"/>
          <w:sz w:val="22"/>
        </w:rPr>
        <w:footnoteReference w:id="191"/>
      </w:r>
      <w:r w:rsidRPr="00ED6163">
        <w:t xml:space="preserve">  While the place of primary use </w:t>
      </w:r>
      <w:r w:rsidRPr="00ED6163">
        <w:t>may not reflect all locations that subscribers may use their service, we believe it is the best proxy given the benefits and burdens commenters identified.</w:t>
      </w:r>
      <w:r>
        <w:rPr>
          <w:rStyle w:val="FootnoteReference"/>
          <w:sz w:val="22"/>
        </w:rPr>
        <w:footnoteReference w:id="192"/>
      </w:r>
    </w:p>
    <w:p w:rsidR="00252A4C" w:rsidRPr="00ED6163" w:rsidP="00410009" w14:paraId="4C979968" w14:textId="77777777">
      <w:pPr>
        <w:pStyle w:val="ParaNum"/>
      </w:pPr>
      <w:bookmarkStart w:id="68" w:name="_Toc12632392"/>
      <w:bookmarkStart w:id="69" w:name="_Toc12632824"/>
      <w:r w:rsidRPr="00ED6163">
        <w:rPr>
          <w:i/>
        </w:rPr>
        <w:t>Eliminating Collection of Mobile Retail Availability</w:t>
      </w:r>
      <w:bookmarkEnd w:id="68"/>
      <w:bookmarkEnd w:id="69"/>
      <w:r w:rsidRPr="00ED6163">
        <w:t xml:space="preserve">.  We conclude it is appropriate to no longer </w:t>
      </w:r>
      <w:r w:rsidRPr="00ED6163">
        <w:t>collect census-tract level mobile retail availability data.  The current form requires facilities-based mobile broadband providers to submit a list of census tracts in which the provider advertises its mobile wireless broadband service and in which the ser</w:t>
      </w:r>
      <w:r w:rsidRPr="00ED6163">
        <w:t>vice is available to actual and potential subscribers.</w:t>
      </w:r>
      <w:r>
        <w:rPr>
          <w:rStyle w:val="FootnoteReference"/>
          <w:sz w:val="22"/>
        </w:rPr>
        <w:footnoteReference w:id="193"/>
      </w:r>
      <w:r w:rsidRPr="00ED6163">
        <w:t xml:space="preserve">  These retail availability data were used as a proxy for mobile broadband deployment data before the Commission required submission of such data.</w:t>
      </w:r>
      <w:r>
        <w:rPr>
          <w:rStyle w:val="FootnoteReference"/>
          <w:sz w:val="22"/>
        </w:rPr>
        <w:footnoteReference w:id="194"/>
      </w:r>
      <w:r w:rsidRPr="00ED6163">
        <w:t xml:space="preserve">  When the Commission began collecting deployment da</w:t>
      </w:r>
      <w:r w:rsidRPr="00ED6163">
        <w:t>ta, it decided to retain the retail availability collection,</w:t>
      </w:r>
      <w:r>
        <w:rPr>
          <w:rStyle w:val="FootnoteReference"/>
          <w:sz w:val="22"/>
        </w:rPr>
        <w:footnoteReference w:id="195"/>
      </w:r>
      <w:r w:rsidRPr="00ED6163">
        <w:t xml:space="preserve"> on the basis that such data are necessary to indicate where, within a service provider’s coverage area, the provider actually has a local retail presence.</w:t>
      </w:r>
      <w:r>
        <w:rPr>
          <w:rStyle w:val="FootnoteReference"/>
          <w:sz w:val="22"/>
        </w:rPr>
        <w:footnoteReference w:id="196"/>
      </w:r>
      <w:r w:rsidRPr="00ED6163">
        <w:t xml:space="preserve">  The Commission concluded that colle</w:t>
      </w:r>
      <w:r w:rsidRPr="00ED6163">
        <w:t>ction of retail availability data would complement the deployment data by allowing the Commission to better understand where service is “advertised and available” to subscribers within the provider’s deployment footprint.</w:t>
      </w:r>
      <w:r>
        <w:rPr>
          <w:rStyle w:val="FootnoteReference"/>
          <w:sz w:val="22"/>
        </w:rPr>
        <w:footnoteReference w:id="197"/>
      </w:r>
    </w:p>
    <w:p w:rsidR="00252A4C" w:rsidRPr="00ED6163" w:rsidP="00410009" w14:paraId="6EE5195F" w14:textId="77777777">
      <w:pPr>
        <w:pStyle w:val="ParaNum"/>
      </w:pPr>
      <w:r w:rsidRPr="00ED6163">
        <w:t xml:space="preserve">The </w:t>
      </w:r>
      <w:r w:rsidRPr="00ED6163">
        <w:rPr>
          <w:i/>
        </w:rPr>
        <w:t>2017 Data Collection Improve</w:t>
      </w:r>
      <w:r w:rsidRPr="00ED6163">
        <w:rPr>
          <w:i/>
        </w:rPr>
        <w:t xml:space="preserve">ment FNPRM </w:t>
      </w:r>
      <w:r w:rsidRPr="00ED6163">
        <w:t xml:space="preserve">proposed to eliminate the collection of retail availability data, given that, as time passed, the data did not in actuality provide useful, additional </w:t>
      </w:r>
      <w:r w:rsidRPr="00ED6163">
        <w:t>information about where service providers have a local retail presence.</w:t>
      </w:r>
      <w:r>
        <w:rPr>
          <w:vertAlign w:val="superscript"/>
        </w:rPr>
        <w:footnoteReference w:id="198"/>
      </w:r>
      <w:r w:rsidRPr="00ED6163">
        <w:t xml:space="preserve">  Based on the record</w:t>
      </w:r>
      <w:r w:rsidRPr="00ED6163">
        <w:t>, we now eliminate the mobile retail availability collection.</w:t>
      </w:r>
      <w:r>
        <w:rPr>
          <w:rStyle w:val="FootnoteReference"/>
          <w:sz w:val="22"/>
        </w:rPr>
        <w:footnoteReference w:id="199"/>
      </w:r>
      <w:r w:rsidRPr="00ED6163">
        <w:t xml:space="preserve">  We agree with commenters that this collection creates an additional filing burden but does not yield useful data.</w:t>
      </w:r>
      <w:r>
        <w:rPr>
          <w:rStyle w:val="FootnoteReference"/>
          <w:sz w:val="22"/>
        </w:rPr>
        <w:footnoteReference w:id="200"/>
      </w:r>
      <w:r w:rsidRPr="00ED6163">
        <w:t xml:space="preserve">  </w:t>
      </w:r>
    </w:p>
    <w:p w:rsidR="00252A4C" w:rsidRPr="00ED6163" w:rsidP="00410009" w14:paraId="660B559C" w14:textId="77777777">
      <w:pPr>
        <w:pStyle w:val="ParaNum"/>
      </w:pPr>
      <w:r w:rsidRPr="00ED6163">
        <w:t>We are not persuaded by those commenters that support retention or improv</w:t>
      </w:r>
      <w:r w:rsidRPr="00ED6163">
        <w:t>ement of the retail availability filing requirement.  The California PUC argues that we should continue collecting this information, but does not explain how it is useful beyond what is also collected for deployment data.</w:t>
      </w:r>
      <w:r>
        <w:rPr>
          <w:rStyle w:val="FootnoteReference"/>
          <w:sz w:val="22"/>
        </w:rPr>
        <w:footnoteReference w:id="201"/>
      </w:r>
      <w:r w:rsidRPr="00ED6163">
        <w:t xml:space="preserve">  The West Virginia Office of the</w:t>
      </w:r>
      <w:r w:rsidRPr="00ED6163">
        <w:t xml:space="preserve"> GIS State Coordinator states that we should revise the collection and require providers to submit their local retail presence, which would aid in determining how to serve consumers not located in retail service areas.</w:t>
      </w:r>
      <w:r>
        <w:rPr>
          <w:rStyle w:val="FootnoteReference"/>
          <w:sz w:val="22"/>
        </w:rPr>
        <w:footnoteReference w:id="202"/>
      </w:r>
      <w:r w:rsidRPr="00ED6163">
        <w:t xml:space="preserve">  However, most (if not all) consume</w:t>
      </w:r>
      <w:r w:rsidRPr="00ED6163">
        <w:t>rs can still subscribe to service despite the lack of a retail presence in a location, if a provider’s network covers that location.</w:t>
      </w:r>
      <w:r>
        <w:rPr>
          <w:rStyle w:val="FootnoteReference"/>
          <w:sz w:val="22"/>
        </w:rPr>
        <w:footnoteReference w:id="203"/>
      </w:r>
      <w:r w:rsidRPr="00ED6163">
        <w:t xml:space="preserve">  We find that deployment information, which service providers must continue to submit, is much more useful to consumers a</w:t>
      </w:r>
      <w:r w:rsidRPr="00ED6163">
        <w:t>nd policymakers than retail availability information, and accordingly we eliminate the mobile retail availability collection.</w:t>
      </w:r>
    </w:p>
    <w:p w:rsidR="00252A4C" w:rsidRPr="00ED6163" w:rsidP="00410009" w14:paraId="5BE02480" w14:textId="77777777">
      <w:pPr>
        <w:pStyle w:val="ParaNum"/>
      </w:pPr>
      <w:bookmarkStart w:id="70" w:name="_Hlk8990147"/>
      <w:r w:rsidRPr="00ED6163">
        <w:rPr>
          <w:i/>
        </w:rPr>
        <w:t>Eliminating the Committed Information Rate Collection for Fixed-Broadband Deployment</w:t>
      </w:r>
      <w:r w:rsidRPr="00ED6163">
        <w:t>.  Form 477 currently requires fixed providers</w:t>
      </w:r>
      <w:r w:rsidRPr="00ED6163">
        <w:t xml:space="preserve"> offering business/enterprise/government services to report the maximum downstream and upstream contractual or guaranteed data throughput rate (committed information rate) available in each reported census block.</w:t>
      </w:r>
      <w:r>
        <w:rPr>
          <w:rStyle w:val="FootnoteReference"/>
          <w:sz w:val="22"/>
        </w:rPr>
        <w:footnoteReference w:id="204"/>
      </w:r>
      <w:r w:rsidRPr="00ED6163">
        <w:t xml:space="preserve">  However, the record in this proceeding s</w:t>
      </w:r>
      <w:r w:rsidRPr="00ED6163">
        <w:t>upports discontinuing the collection of committed information rate data.  We agree with commenters such as Alaska Communications that committed information rate data is “not a useful category of data” and “imposes significant burdens”,</w:t>
      </w:r>
      <w:r>
        <w:rPr>
          <w:rStyle w:val="FootnoteReference"/>
          <w:sz w:val="22"/>
        </w:rPr>
        <w:footnoteReference w:id="205"/>
      </w:r>
      <w:r w:rsidRPr="00ED6163">
        <w:t xml:space="preserve"> and with ACA, who </w:t>
      </w:r>
      <w:r w:rsidRPr="00ED6163">
        <w:t xml:space="preserve">argues that any rationale there was to adopt the requirement no longer exists because “small- and medium-sized end-users increasingly do not distinguish” between best-efforts or committed information rate “as broadband service performance for best-efforts </w:t>
      </w:r>
      <w:r w:rsidRPr="00ED6163">
        <w:t>is enhanced.”</w:t>
      </w:r>
      <w:r>
        <w:rPr>
          <w:rStyle w:val="FootnoteReference"/>
          <w:sz w:val="22"/>
        </w:rPr>
        <w:footnoteReference w:id="206"/>
      </w:r>
      <w:r w:rsidRPr="00ED6163">
        <w:t xml:space="preserve">  Verizon also agrees with eliminating the committed information rate requirement because “relying on the maximum upload and download speed should sufficiently describe the services that are available to business customers in an area.”</w:t>
      </w:r>
      <w:r>
        <w:rPr>
          <w:rStyle w:val="FootnoteReference"/>
          <w:sz w:val="22"/>
        </w:rPr>
        <w:footnoteReference w:id="207"/>
      </w:r>
      <w:r w:rsidRPr="00ED6163">
        <w:t xml:space="preserve">  AT</w:t>
      </w:r>
      <w:r w:rsidRPr="00ED6163">
        <w:t>&amp;T supports elimination and asks that the Commission “limit the collection to the maximum best efforts speed offered, and maintain the indicators for consumer and business data.”</w:t>
      </w:r>
      <w:r>
        <w:rPr>
          <w:rStyle w:val="FootnoteReference"/>
          <w:sz w:val="22"/>
        </w:rPr>
        <w:footnoteReference w:id="208"/>
      </w:r>
      <w:r w:rsidRPr="00ED6163">
        <w:t xml:space="preserve">  Other commenters also are in agreement with eliminating the committed information rate reporting requirement.</w:t>
      </w:r>
      <w:r>
        <w:rPr>
          <w:rStyle w:val="FootnoteReference"/>
          <w:sz w:val="22"/>
        </w:rPr>
        <w:footnoteReference w:id="209"/>
      </w:r>
      <w:r w:rsidRPr="00ED6163">
        <w:t xml:space="preserve">           </w:t>
      </w:r>
    </w:p>
    <w:p w:rsidR="00252A4C" w:rsidRPr="00ED6163" w:rsidP="00410009" w14:paraId="40E532BE" w14:textId="77777777">
      <w:pPr>
        <w:pStyle w:val="ParaNum"/>
      </w:pPr>
      <w:r w:rsidRPr="00ED6163">
        <w:t>Only Windstream supports keeping the collection of committed information rate data, arguing that such data “enable the Commission t</w:t>
      </w:r>
      <w:r w:rsidRPr="00ED6163">
        <w:t>o evaluate trends in the competitive landscape for the provision of Business Data Services . . . .”</w:t>
      </w:r>
      <w:r>
        <w:rPr>
          <w:rStyle w:val="FootnoteReference"/>
          <w:sz w:val="22"/>
        </w:rPr>
        <w:footnoteReference w:id="210"/>
      </w:r>
      <w:r w:rsidRPr="00ED6163">
        <w:t xml:space="preserve">  Windstream, in fact, urges the Commission not only to keep but also to expand the collection and require reporting of the following CIR ranges at the cen</w:t>
      </w:r>
      <w:r w:rsidRPr="00ED6163">
        <w:t>sus-block level: (1) 10 Mbps and below; (2) 11 to 50 Mbps; (3) 51 to 100 Mbps; (4) 101 Mbps to 1 GB; and (5) above 1GB.</w:t>
      </w:r>
      <w:r>
        <w:rPr>
          <w:rStyle w:val="FootnoteReference"/>
          <w:sz w:val="22"/>
        </w:rPr>
        <w:footnoteReference w:id="211"/>
      </w:r>
      <w:r w:rsidRPr="00ED6163">
        <w:t xml:space="preserve">  Windstream contends that these data “are crucial for the Commission to evaluate whether its predictions prove accurate or whether dif</w:t>
      </w:r>
      <w:r w:rsidRPr="00ED6163">
        <w:t>ferent action is necessary to ensure competitive [business data service] markets.”</w:t>
      </w:r>
      <w:r>
        <w:rPr>
          <w:rStyle w:val="FootnoteReference"/>
          <w:sz w:val="22"/>
        </w:rPr>
        <w:footnoteReference w:id="212"/>
      </w:r>
      <w:r w:rsidRPr="00ED6163">
        <w:t xml:space="preserve">  </w:t>
      </w:r>
    </w:p>
    <w:p w:rsidR="00252A4C" w:rsidRPr="00ED6163" w:rsidP="00410009" w14:paraId="33D8809C" w14:textId="77777777">
      <w:pPr>
        <w:pStyle w:val="ParaNum"/>
      </w:pPr>
      <w:r w:rsidRPr="00ED6163">
        <w:t xml:space="preserve">We disagree.  Specific measures of a committed information rate </w:t>
      </w:r>
      <w:r w:rsidRPr="00ED6163">
        <w:t xml:space="preserve">are not required to evaluate the business data services market per the competitive market test that the Commission adopted in 2017 for price cap areas (prior to the </w:t>
      </w:r>
      <w:r w:rsidRPr="00ED6163">
        <w:rPr>
          <w:i/>
        </w:rPr>
        <w:t>2017 Data Collection Improvement FNPRM</w:t>
      </w:r>
      <w:r w:rsidRPr="00ED6163">
        <w:t>) and in 2018 for certain rate-of-return areas.</w:t>
      </w:r>
      <w:r>
        <w:rPr>
          <w:rStyle w:val="FootnoteReference"/>
          <w:sz w:val="22"/>
        </w:rPr>
        <w:footnoteReference w:id="213"/>
      </w:r>
      <w:r w:rsidRPr="00ED6163">
        <w:t xml:space="preserve">  Ac</w:t>
      </w:r>
      <w:r w:rsidRPr="00ED6163">
        <w:t>cordingly, discontinuing the committed information rate collection lacks any relationship to our ability to “evaluate trends in the competitive landscape for the provision of [business data services],” as Windstream claims.</w:t>
      </w:r>
      <w:r>
        <w:rPr>
          <w:rStyle w:val="FootnoteReference"/>
          <w:sz w:val="22"/>
        </w:rPr>
        <w:footnoteReference w:id="214"/>
      </w:r>
      <w:r w:rsidRPr="00ED6163">
        <w:t xml:space="preserve">  The competitive market test d</w:t>
      </w:r>
      <w:r w:rsidRPr="00ED6163">
        <w:t>epends on reported service speeds (specifically, a minimum of 10/1 Mbps).</w:t>
      </w:r>
      <w:r>
        <w:rPr>
          <w:rStyle w:val="FootnoteReference"/>
          <w:sz w:val="22"/>
        </w:rPr>
        <w:footnoteReference w:id="215"/>
      </w:r>
      <w:r w:rsidRPr="00ED6163">
        <w:t xml:space="preserve">  As long as we collect service speeds for upload and download, all the information necessary for an analysis using the competitive market test remains available.  Therefore, we dis</w:t>
      </w:r>
      <w:r w:rsidRPr="00ED6163">
        <w:t>agree with Windstream and decline to expand the collection of committed information rate data as requested.</w:t>
      </w:r>
    </w:p>
    <w:p w:rsidR="00252A4C" w:rsidRPr="00ED6163" w:rsidP="00410009" w14:paraId="13CAB57E" w14:textId="77777777">
      <w:pPr>
        <w:pStyle w:val="ParaNum"/>
      </w:pPr>
      <w:r w:rsidRPr="00ED6163">
        <w:t>Permitting Company-Specific Fixed-Voice-Subscription Data at the Study-Area Level for Incumbent Local Exchange Companies.  In the 2017 Data Collecti</w:t>
      </w:r>
      <w:r w:rsidRPr="00ED6163">
        <w:t>on Improvement FNPRM, the Commission proposed to use the Form 477 fixed voice subscription data, in conjunction with Study Area Boundary data, to develop and publish aggregated voice line counts for every rate-of-return carrier study area.</w:t>
      </w:r>
      <w:r>
        <w:rPr>
          <w:rStyle w:val="FootnoteReference"/>
          <w:sz w:val="22"/>
        </w:rPr>
        <w:footnoteReference w:id="216"/>
      </w:r>
      <w:r w:rsidRPr="00ED6163">
        <w:t xml:space="preserve">  The Commissio</w:t>
      </w:r>
      <w:r w:rsidRPr="00ED6163">
        <w:t>n’s proposal stemmed from the fact that, at the time, rate-of-return carriers switching to the Alternative Connect America Cost Model and Alaska Plan carriers were no longer required to report such data to USAC for its legacy study area boundaries.</w:t>
      </w:r>
      <w:r>
        <w:rPr>
          <w:rStyle w:val="FootnoteReference"/>
          <w:sz w:val="22"/>
        </w:rPr>
        <w:footnoteReference w:id="217"/>
      </w:r>
      <w:r w:rsidRPr="00ED6163">
        <w:t xml:space="preserve">  Howe</w:t>
      </w:r>
      <w:r w:rsidRPr="00ED6163">
        <w:t xml:space="preserve">ver, in the December 2018 Rate-of-Return Reform Order, the Commission reinstated the requirement so the Commission can </w:t>
      </w:r>
      <w:r w:rsidRPr="00ED6163">
        <w:t>once again collect the line count information (through FCC Form 507), thereby maintaining a frequently-used data set.</w:t>
      </w:r>
      <w:r>
        <w:rPr>
          <w:rStyle w:val="FootnoteReference"/>
          <w:sz w:val="22"/>
        </w:rPr>
        <w:footnoteReference w:id="218"/>
      </w:r>
      <w:r w:rsidRPr="00ED6163">
        <w:t xml:space="preserve">  Consequently, we</w:t>
      </w:r>
      <w:r w:rsidRPr="00ED6163">
        <w:t xml:space="preserve"> decline to adopt the proposal to replace the FCC Form 507 data with the Form 477 fixed voice subscription data (plus Study Area Boundary data) because the underlying rationale for the Commission’s proposal no longer exists (i.e., the proposal is moot).  </w:t>
      </w:r>
    </w:p>
    <w:p w:rsidR="00252A4C" w:rsidRPr="00ED6163" w:rsidP="00410009" w14:paraId="62A16DED" w14:textId="77777777">
      <w:pPr>
        <w:pStyle w:val="ParaNum"/>
      </w:pPr>
      <w:bookmarkStart w:id="72" w:name="_Toc12632396"/>
      <w:bookmarkStart w:id="73" w:name="_Toc12632828"/>
      <w:r w:rsidRPr="00ED6163">
        <w:rPr>
          <w:i/>
        </w:rPr>
        <w:t>Non-Substantive Clarifying Rule Amendments</w:t>
      </w:r>
      <w:r w:rsidRPr="00ED6163">
        <w:t>.  Finally, we adopt amendments to clarify our rules, correct inaccurate references, and delete superfluous text, without changing the substantive requirements.</w:t>
      </w:r>
      <w:r>
        <w:rPr>
          <w:rStyle w:val="FootnoteReference"/>
          <w:sz w:val="22"/>
        </w:rPr>
        <w:footnoteReference w:id="219"/>
      </w:r>
      <w:r w:rsidRPr="00ED6163">
        <w:t xml:space="preserve">  First, we modify the rules to more clearly identif</w:t>
      </w:r>
      <w:r w:rsidRPr="00ED6163">
        <w:t>y the categories of service providers required to submit data.  The Commission has required facilities-based providers of broadband service to submit Form 477 since 2000,</w:t>
      </w:r>
      <w:r>
        <w:rPr>
          <w:rStyle w:val="FootnoteReference"/>
          <w:sz w:val="22"/>
        </w:rPr>
        <w:footnoteReference w:id="220"/>
      </w:r>
      <w:r w:rsidRPr="00ED6163">
        <w:t xml:space="preserve"> but the existing rules do not define the key term “broadband.”  We remedy this gap </w:t>
      </w:r>
      <w:r w:rsidRPr="00ED6163">
        <w:t>by incorporating the form Instructions’ definition of “broadband connection” into the rule.</w:t>
      </w:r>
      <w:r>
        <w:rPr>
          <w:rStyle w:val="FootnoteReference"/>
          <w:sz w:val="22"/>
        </w:rPr>
        <w:footnoteReference w:id="221"/>
      </w:r>
      <w:r w:rsidRPr="00ED6163">
        <w:t xml:space="preserve">  Moreover, facilities-based providers of mobile voice service have been required to file since the form’s inception;</w:t>
      </w:r>
      <w:r>
        <w:rPr>
          <w:rStyle w:val="FootnoteReference"/>
          <w:sz w:val="22"/>
        </w:rPr>
        <w:footnoteReference w:id="222"/>
      </w:r>
      <w:r w:rsidRPr="00ED6163">
        <w:t xml:space="preserve"> but the rules do not make clear that mobile</w:t>
      </w:r>
      <w:r w:rsidRPr="00ED6163">
        <w:t xml:space="preserve"> voice service providers can be defined as “facilities-based providers” or that only those that qualify as “facilities-based” must file.</w:t>
      </w:r>
      <w:r>
        <w:rPr>
          <w:rStyle w:val="FootnoteReference"/>
          <w:sz w:val="22"/>
        </w:rPr>
        <w:footnoteReference w:id="223"/>
      </w:r>
      <w:r w:rsidRPr="00ED6163">
        <w:t xml:space="preserve">  We correct these anomalies by broadening the definition of “facilities-based providers” to encompass mobile voice se</w:t>
      </w:r>
      <w:r w:rsidRPr="00ED6163">
        <w:t>rvice providers as well as broadband connections.</w:t>
      </w:r>
      <w:r>
        <w:rPr>
          <w:rStyle w:val="FootnoteReference"/>
          <w:sz w:val="22"/>
        </w:rPr>
        <w:footnoteReference w:id="224"/>
      </w:r>
    </w:p>
    <w:p w:rsidR="00252A4C" w:rsidRPr="00ED6163" w:rsidP="00410009" w14:paraId="6602FE0E" w14:textId="77777777">
      <w:pPr>
        <w:pStyle w:val="ParaNum"/>
      </w:pPr>
      <w:r w:rsidRPr="00ED6163">
        <w:t xml:space="preserve">We also consolidate the separate rule sections that establish Form 477 filing requirements for broadband service providers (sections 1.7000 </w:t>
      </w:r>
      <w:r w:rsidRPr="00ED6163">
        <w:rPr>
          <w:i/>
          <w:iCs/>
        </w:rPr>
        <w:t>et seq.</w:t>
      </w:r>
      <w:r w:rsidRPr="00ED6163">
        <w:t xml:space="preserve">) and local voice service providers (section 43.11) into </w:t>
      </w:r>
      <w:r w:rsidRPr="00ED6163">
        <w:t xml:space="preserve">a single set of rules.  It is no longer necessary to retain two separate sets of rules regarding submission of the same form, particularly because any given entity may provide both types of services </w:t>
      </w:r>
      <w:r w:rsidRPr="00ED6163">
        <w:t>and thus is subject to both rules.</w:t>
      </w:r>
      <w:r>
        <w:rPr>
          <w:rStyle w:val="FootnoteReference"/>
          <w:sz w:val="22"/>
        </w:rPr>
        <w:footnoteReference w:id="225"/>
      </w:r>
      <w:r w:rsidRPr="00ED6163">
        <w:t xml:space="preserve">  Furthermore, we rev</w:t>
      </w:r>
      <w:r w:rsidRPr="00ED6163">
        <w:t>ise text in section 1.7001(a) that inaptly refers to facilities-based providers’ rights to use spectrum in terms of ownership rather than licensing.</w:t>
      </w:r>
      <w:r>
        <w:rPr>
          <w:rStyle w:val="FootnoteReference"/>
          <w:sz w:val="22"/>
        </w:rPr>
        <w:footnoteReference w:id="226"/>
      </w:r>
      <w:r w:rsidRPr="00ED6163">
        <w:t xml:space="preserve">  Instead, we use the more precise and accurate text of the Form 477 Instructions to make clear that fixed</w:t>
      </w:r>
      <w:r w:rsidRPr="00ED6163">
        <w:t xml:space="preserve"> wireless and mobile voice and broadband service providers are “facilities-based,” for these purposes, if they: (1) use spectrum for which they have a license; (2) manage or lease spectrum from another licensee pursuant to our rules; or (3) operate over un</w:t>
      </w:r>
      <w:r w:rsidRPr="00ED6163">
        <w:t>licensed spectrum that is lawfully available for its use.</w:t>
      </w:r>
      <w:r>
        <w:rPr>
          <w:rStyle w:val="FootnoteReference"/>
          <w:sz w:val="22"/>
        </w:rPr>
        <w:footnoteReference w:id="227"/>
      </w:r>
      <w:r w:rsidRPr="00ED6163">
        <w:t xml:space="preserve">  We also delete unnecessary text.</w:t>
      </w:r>
      <w:r>
        <w:rPr>
          <w:rStyle w:val="FootnoteReference"/>
          <w:sz w:val="22"/>
        </w:rPr>
        <w:footnoteReference w:id="228"/>
      </w:r>
      <w:r w:rsidRPr="00ED6163">
        <w:t xml:space="preserve">  </w:t>
      </w:r>
    </w:p>
    <w:p w:rsidR="00252A4C" w:rsidRPr="00ED6163" w:rsidP="00410009" w14:paraId="1BD93A93" w14:textId="77777777">
      <w:pPr>
        <w:pStyle w:val="ParaNum"/>
      </w:pPr>
      <w:r w:rsidRPr="00ED6163">
        <w:t>Finally, we direct WCB, together with IB, WTB, and OEA, to modify Form 477 and the Instructions to the form to reflect changes in technologies over time and t</w:t>
      </w:r>
      <w:r w:rsidRPr="00ED6163">
        <w:t>o update coverage resolution, network or transmission technologies, and related matters reported on Form 477 as necessary.</w:t>
      </w:r>
      <w:r>
        <w:rPr>
          <w:rStyle w:val="FootnoteReference"/>
          <w:sz w:val="22"/>
        </w:rPr>
        <w:footnoteReference w:id="229"/>
      </w:r>
      <w:r w:rsidRPr="00ED6163">
        <w:t xml:space="preserve">  </w:t>
      </w:r>
    </w:p>
    <w:p w:rsidR="00252A4C" w:rsidRPr="00947E6A" w:rsidP="00252A4C" w14:paraId="77A8EAEC" w14:textId="77777777">
      <w:pPr>
        <w:pStyle w:val="Heading1"/>
        <w:tabs>
          <w:tab w:val="num" w:pos="720"/>
        </w:tabs>
        <w:rPr>
          <w:rFonts w:ascii="Times New Roman" w:hAnsi="Times New Roman"/>
        </w:rPr>
      </w:pPr>
      <w:bookmarkStart w:id="75" w:name="_Toc12632397"/>
      <w:bookmarkStart w:id="76" w:name="_Toc12632829"/>
      <w:bookmarkStart w:id="77" w:name="_Toc13665587"/>
      <w:bookmarkStart w:id="78" w:name="_Toc13665774"/>
      <w:bookmarkStart w:id="79" w:name="_Toc15501955"/>
      <w:bookmarkStart w:id="80" w:name="_Toc513211283"/>
      <w:bookmarkStart w:id="81" w:name="_Toc513565448"/>
      <w:bookmarkStart w:id="82" w:name="_Toc514235980"/>
      <w:bookmarkStart w:id="83" w:name="_Toc514660732"/>
      <w:bookmarkStart w:id="84" w:name="_Toc514923455"/>
      <w:bookmarkStart w:id="85" w:name="_Toc515899482"/>
      <w:bookmarkStart w:id="86" w:name="_Toc515980740"/>
      <w:bookmarkStart w:id="87" w:name="_Toc516764006"/>
      <w:bookmarkStart w:id="88" w:name="_Toc517714214"/>
      <w:bookmarkStart w:id="89" w:name="_Toc518303472"/>
      <w:bookmarkStart w:id="90" w:name="_Toc518743838"/>
      <w:bookmarkStart w:id="91" w:name="_Toc519009871"/>
      <w:bookmarkStart w:id="92" w:name="_Toc520326951"/>
      <w:bookmarkStart w:id="93" w:name="_Toc520810154"/>
      <w:bookmarkStart w:id="94" w:name="_Toc520830186"/>
      <w:bookmarkStart w:id="95" w:name="_Toc494970012"/>
      <w:bookmarkStart w:id="96" w:name="_Toc494992685"/>
      <w:bookmarkStart w:id="97" w:name="_Toc495043528"/>
      <w:bookmarkStart w:id="98" w:name="_Toc495053116"/>
      <w:bookmarkStart w:id="99" w:name="_Toc496023168"/>
      <w:bookmarkStart w:id="100" w:name="_Toc496268801"/>
      <w:bookmarkStart w:id="101" w:name="_Toc496270646"/>
      <w:bookmarkStart w:id="102" w:name="_Toc496541875"/>
      <w:bookmarkStart w:id="103" w:name="_Toc496707848"/>
      <w:bookmarkStart w:id="104" w:name="_Toc498340270"/>
      <w:bookmarkStart w:id="105" w:name="_Toc477187546"/>
      <w:bookmarkStart w:id="106" w:name="_Toc477187686"/>
      <w:bookmarkStart w:id="107" w:name="_Toc477187942"/>
      <w:bookmarkStart w:id="108" w:name="_Toc477188044"/>
      <w:bookmarkStart w:id="109" w:name="_Toc477188131"/>
      <w:bookmarkStart w:id="110" w:name="_Toc477189019"/>
      <w:bookmarkStart w:id="111" w:name="_Toc477445790"/>
      <w:bookmarkStart w:id="112" w:name="_Toc477453008"/>
      <w:bookmarkStart w:id="113" w:name="_Toc477453174"/>
      <w:bookmarkStart w:id="114" w:name="_Toc477796033"/>
      <w:bookmarkStart w:id="115" w:name="_Toc478050631"/>
      <w:bookmarkStart w:id="116" w:name="_Toc478138493"/>
      <w:bookmarkStart w:id="117" w:name="_Toc478139508"/>
      <w:bookmarkStart w:id="118" w:name="_Toc478139614"/>
      <w:bookmarkStart w:id="119" w:name="_Toc478139665"/>
      <w:bookmarkStart w:id="120" w:name="_Toc478394360"/>
      <w:bookmarkStart w:id="121" w:name="_Toc478398222"/>
      <w:bookmarkStart w:id="122" w:name="_Toc478403117"/>
      <w:bookmarkStart w:id="123" w:name="_Toc478460161"/>
      <w:bookmarkStart w:id="124" w:name="_Toc478476708"/>
      <w:bookmarkStart w:id="125" w:name="_Toc479943046"/>
      <w:bookmarkStart w:id="126" w:name="_Toc480388549"/>
      <w:bookmarkEnd w:id="70"/>
      <w:bookmarkEnd w:id="72"/>
      <w:bookmarkEnd w:id="73"/>
      <w:r w:rsidRPr="00947E6A">
        <w:rPr>
          <w:rFonts w:ascii="Times New Roman" w:hAnsi="Times New Roman"/>
        </w:rPr>
        <w:t>SECOND FURTHER NOTICE OF PROPOSED RULEMAKIng</w:t>
      </w:r>
      <w:bookmarkEnd w:id="75"/>
      <w:bookmarkEnd w:id="76"/>
      <w:bookmarkEnd w:id="77"/>
      <w:bookmarkEnd w:id="78"/>
      <w:bookmarkEnd w:id="79"/>
    </w:p>
    <w:p w:rsidR="00252A4C" w:rsidRPr="00ED6163" w:rsidP="00410009" w14:paraId="2649518D" w14:textId="77777777">
      <w:pPr>
        <w:pStyle w:val="ParaNum"/>
      </w:pPr>
      <w:r w:rsidRPr="00ED6163">
        <w:t xml:space="preserve">We take steps today in the </w:t>
      </w:r>
      <w:r w:rsidRPr="00ED6163">
        <w:rPr>
          <w:i/>
        </w:rPr>
        <w:t>Report and Order</w:t>
      </w:r>
      <w:r w:rsidRPr="00ED6163">
        <w:t xml:space="preserve"> to improve our broadband data collection and reporting by directing USAC, under the supervision of OEA, to undertake establishing the online portal for the Digital Opportunity Data Collection, an entirely new collection targeted specifically at identifyin</w:t>
      </w:r>
      <w:r w:rsidRPr="00ED6163">
        <w:t>g unserved areas with greater precision in order to advance our universal service goals.</w:t>
      </w:r>
      <w:r>
        <w:rPr>
          <w:rStyle w:val="FootnoteReference"/>
          <w:sz w:val="22"/>
        </w:rPr>
        <w:footnoteReference w:id="230"/>
      </w:r>
      <w:r w:rsidRPr="00ED6163">
        <w:t xml:space="preserve">  In this </w:t>
      </w:r>
      <w:r w:rsidRPr="00ED6163">
        <w:rPr>
          <w:i/>
        </w:rPr>
        <w:t>Second Notice</w:t>
      </w:r>
      <w:r w:rsidRPr="00ED6163">
        <w:t>, we seek comment on additional issues to continue our ongoing efforts to ensure that the Digital Opportunity Data Collection will evolve to al</w:t>
      </w:r>
      <w:r w:rsidRPr="00ED6163">
        <w:t xml:space="preserve">ign with changes to technology, markets, and policy needs.  </w:t>
      </w:r>
    </w:p>
    <w:p w:rsidR="00252A4C" w:rsidRPr="00ED6163" w:rsidP="00252A4C" w14:paraId="65CA64C3" w14:textId="77777777">
      <w:pPr>
        <w:pStyle w:val="Heading2"/>
        <w:rPr>
          <w:szCs w:val="22"/>
        </w:rPr>
      </w:pPr>
      <w:bookmarkStart w:id="127" w:name="_Toc13665588"/>
      <w:bookmarkStart w:id="128" w:name="_Toc13665775"/>
      <w:bookmarkStart w:id="129" w:name="_Toc15501956"/>
      <w:bookmarkStart w:id="130" w:name="_Toc12632398"/>
      <w:bookmarkStart w:id="131" w:name="_Toc12632830"/>
      <w:r w:rsidRPr="00ED6163">
        <w:rPr>
          <w:szCs w:val="22"/>
        </w:rPr>
        <w:t>Improving Broadband Data</w:t>
      </w:r>
      <w:bookmarkEnd w:id="127"/>
      <w:bookmarkEnd w:id="128"/>
      <w:bookmarkEnd w:id="129"/>
      <w:r w:rsidRPr="00ED6163">
        <w:rPr>
          <w:szCs w:val="22"/>
        </w:rPr>
        <w:t xml:space="preserve"> </w:t>
      </w:r>
    </w:p>
    <w:p w:rsidR="00252A4C" w:rsidRPr="00ED6163" w:rsidP="00410009" w14:paraId="2088852D" w14:textId="77777777">
      <w:pPr>
        <w:pStyle w:val="ParaNum"/>
      </w:pPr>
      <w:r w:rsidRPr="00ED6163">
        <w:t xml:space="preserve">Even with public input to improve the quality of the Digital Opportunity Data Collection over time, it is essential that we receive reliable fixed broadband </w:t>
      </w:r>
      <w:r w:rsidRPr="00ED6163">
        <w:t>availability data from filers of this new collection at the outset.  Although we are cognizant of the potential burdens that greater precision in reporting can entail, commenters have indicated in the record that the approach we adopt today—to collect cove</w:t>
      </w:r>
      <w:r w:rsidRPr="00ED6163">
        <w:t>rage polygons of fixed-broadband service availability—will allow providers to submit more precise data with reasonable burdens.</w:t>
      </w:r>
      <w:r>
        <w:rPr>
          <w:rStyle w:val="FootnoteReference"/>
          <w:sz w:val="22"/>
        </w:rPr>
        <w:footnoteReference w:id="231"/>
      </w:r>
      <w:r w:rsidRPr="00ED6163">
        <w:t xml:space="preserve">  Nonetheless, we seek comment on steps the Commission can take to improve the quality of fixed broadband coverage polygons whi</w:t>
      </w:r>
      <w:r w:rsidRPr="00ED6163">
        <w:t xml:space="preserve">le minimizing the associated reporting burdens.  </w:t>
      </w:r>
    </w:p>
    <w:p w:rsidR="00252A4C" w:rsidRPr="00ED6163" w:rsidP="00252A4C" w14:paraId="3069DE40" w14:textId="77777777">
      <w:pPr>
        <w:pStyle w:val="Heading3"/>
        <w:rPr>
          <w:szCs w:val="22"/>
        </w:rPr>
      </w:pPr>
      <w:bookmarkStart w:id="132" w:name="_Toc13665589"/>
      <w:bookmarkStart w:id="133" w:name="_Toc13665776"/>
      <w:bookmarkStart w:id="134" w:name="_Toc15501957"/>
      <w:r w:rsidRPr="00ED6163">
        <w:rPr>
          <w:szCs w:val="22"/>
        </w:rPr>
        <w:t>Additional Technical Standards for Fixed Broadband Reporting</w:t>
      </w:r>
      <w:bookmarkEnd w:id="132"/>
      <w:bookmarkEnd w:id="133"/>
      <w:bookmarkEnd w:id="134"/>
    </w:p>
    <w:p w:rsidR="00252A4C" w:rsidRPr="00947E6A" w:rsidP="00410009" w14:paraId="687FFAFD" w14:textId="77777777">
      <w:pPr>
        <w:pStyle w:val="ParaNum"/>
      </w:pPr>
      <w:r w:rsidRPr="00ED6163">
        <w:t>As part of the Digital Opportunity Data Collection, the Commission is directing OEA to provide guidance to fixed providers regarding how to devel</w:t>
      </w:r>
      <w:r w:rsidRPr="00ED6163">
        <w:t>op the polygons depicting fixed broadband coverage.  Connected Nation expresses concern that small service providers in particular will struggle to comply with the new reporting requirements in the Digital Opportunity Data Collection unless they get assist</w:t>
      </w:r>
      <w:r w:rsidRPr="00ED6163">
        <w:t>ance in creating their broadband coverage polygons.</w:t>
      </w:r>
      <w:r>
        <w:rPr>
          <w:rStyle w:val="FootnoteReference"/>
          <w:sz w:val="22"/>
        </w:rPr>
        <w:footnoteReference w:id="232"/>
      </w:r>
      <w:r w:rsidRPr="00ED6163">
        <w:t xml:space="preserve">  In the </w:t>
      </w:r>
      <w:r w:rsidRPr="00ED6163">
        <w:rPr>
          <w:i/>
        </w:rPr>
        <w:t>Report and Order</w:t>
      </w:r>
      <w:r w:rsidRPr="00ED6163">
        <w:t>, we identify help-desk support and clear instructions as ways we will assist fixed broadband providers with meeting the new filing obligations.  We seek comment on what other st</w:t>
      </w:r>
      <w:r w:rsidRPr="00ED6163">
        <w:t>eps the Commission and USAC can take to help fixed providers file accurate data as part of the new collection.</w:t>
      </w:r>
      <w:r>
        <w:rPr>
          <w:rStyle w:val="FootnoteReference"/>
          <w:sz w:val="22"/>
        </w:rPr>
        <w:footnoteReference w:id="233"/>
      </w:r>
    </w:p>
    <w:p w:rsidR="00252A4C" w:rsidRPr="00ED6163" w:rsidP="00410009" w14:paraId="10CCAF87" w14:textId="77777777">
      <w:pPr>
        <w:pStyle w:val="ParaNum"/>
      </w:pPr>
      <w:r w:rsidRPr="00ED6163">
        <w:t>We seek comment on whether Commission staff should prescribe</w:t>
      </w:r>
      <w:r w:rsidRPr="00ED6163">
        <w:rPr>
          <w:rStyle w:val="CommentReference"/>
          <w:sz w:val="22"/>
          <w:szCs w:val="22"/>
        </w:rPr>
        <w:t xml:space="preserve"> </w:t>
      </w:r>
      <w:r w:rsidRPr="00ED6163">
        <w:t>rules for reporting fixed wired broadband deployment that will provide consistentl</w:t>
      </w:r>
      <w:r w:rsidRPr="00ED6163">
        <w:t xml:space="preserve">y reliable results for similarly-situated filers?  For example, should we establish fixed buffers around network facilities to define coverage for specific fixed technologies (e.g., 200-meter buffers around the location of distribution or coaxial plant)?  </w:t>
      </w:r>
      <w:r w:rsidRPr="00ED6163">
        <w:t>Would this promote consistency and reliability among submissions?  We note that applying such buffers or other constraints may foreclose consideration of individual network characteristics.  Are there ways to mitigate or address this risk?  What other meth</w:t>
      </w:r>
      <w:r w:rsidRPr="00ED6163">
        <w:t>odologies for developing polygons should we permit fixed providers to use?  For example, would polygons based on homes passed or addresses served by the fixed provider produce equally reliable polygons?  How much flexibility should we afford fixed provider</w:t>
      </w:r>
      <w:r w:rsidRPr="00ED6163">
        <w:t xml:space="preserve">s in </w:t>
      </w:r>
      <w:r w:rsidRPr="00ED6163">
        <w:t>selecting a methodology to creating broadband coverage polygons?  Would any globally-applied constraint be too likely to over- or under-state service availability?  How should broadband coverage polygons account for transport capacity?  That is, how s</w:t>
      </w:r>
      <w:r w:rsidRPr="00ED6163">
        <w:t>hould we ensure that fixed providers are capable of serving every location covered by a polygon?  We recognize that determining the area served by a broadband network is highly idiosyncratic and determined by multiple factors.  For example, different compa</w:t>
      </w:r>
      <w:r w:rsidRPr="00ED6163">
        <w:t>nies might take different approaches in the same circumstance, while a single company might take a different approach in different markets depending on the level of local government regulation (e.g., local franchise agreements that include build-out requir</w:t>
      </w:r>
      <w:r w:rsidRPr="00ED6163">
        <w:t>ements).  In addition, coverage can depend on very local conditions like access to rights-of-way along one route and not another or the ability to serve the edge of franchise or service areas.</w:t>
      </w:r>
      <w:r>
        <w:t xml:space="preserve">  </w:t>
      </w:r>
      <w:r w:rsidRPr="00A93E91">
        <w:t>With the end goal of creating a single cohesive dataset and ma</w:t>
      </w:r>
      <w:r w:rsidRPr="00A93E91">
        <w:t>p representation of where coverage is and is not located, what measures, methods, and mechanisms should be implemented to ensure the greatest interoperability and least post-processing of the submitted data?</w:t>
      </w:r>
    </w:p>
    <w:p w:rsidR="00252A4C" w:rsidRPr="00ED6163" w:rsidP="00410009" w14:paraId="17768BF0" w14:textId="77777777">
      <w:pPr>
        <w:pStyle w:val="ParaNum"/>
      </w:pPr>
      <w:r w:rsidRPr="00ED6163">
        <w:t>We also seek comment on establishing standards f</w:t>
      </w:r>
      <w:r w:rsidRPr="00ED6163">
        <w:t xml:space="preserve">or reporting coverage polygons for terrestrial fixed wireless broadband service.  In the </w:t>
      </w:r>
      <w:r w:rsidRPr="00ED6163">
        <w:rPr>
          <w:i/>
        </w:rPr>
        <w:t>2017 Data Collection Improvement FNPRM</w:t>
      </w:r>
      <w:r w:rsidRPr="00ED6163">
        <w:t>, the Commission sought comment on setting standards for mobile coverage polygons.</w:t>
      </w:r>
      <w:r>
        <w:rPr>
          <w:rStyle w:val="FootnoteReference"/>
          <w:sz w:val="22"/>
        </w:rPr>
        <w:footnoteReference w:id="234"/>
      </w:r>
      <w:r w:rsidRPr="00ED6163">
        <w:t xml:space="preserve">  Separately, it adopted a set of standards f</w:t>
      </w:r>
      <w:r w:rsidRPr="00ED6163">
        <w:t>or determining mobile coverage using a propagation model for the Mobility Fund Phase-II (MF-II) LTE data collection.</w:t>
      </w:r>
      <w:r>
        <w:rPr>
          <w:rStyle w:val="FootnoteReference"/>
          <w:sz w:val="22"/>
        </w:rPr>
        <w:footnoteReference w:id="235"/>
      </w:r>
      <w:r w:rsidRPr="00ED6163">
        <w:t xml:space="preserve">  If the Commission adopts standards for reporting mobile broadband deployment, should we require terrestrial-fixed wireless providers to </w:t>
      </w:r>
      <w:r w:rsidRPr="00ED6163">
        <w:t xml:space="preserve">report broadband deployment using similar standards?  Are there fundamental differences between fixed wireless and mobile technologies that would caution against using mobile wireless standards for fixed wireless deployment reporting (e.g., fixed wireless </w:t>
      </w:r>
      <w:r w:rsidRPr="00ED6163">
        <w:t>use of fixed, high-powered antennas that could result in a different link budget than for mobile service, or the use of unlicensed spectrum by some fixed wireless providers)?  If so, would it be appropriate to adopt different standards (e.g., probability o</w:t>
      </w:r>
      <w:r w:rsidRPr="00ED6163">
        <w:t>f cell-edge throughput) or parameters (e.g., a different utilization rate for unlicensed spectrum) for fixed wireless?  Further, what factors should Commission staff consider to independently validate the fixed wireless mapping methodology (e.g., cell-site</w:t>
      </w:r>
      <w:r w:rsidRPr="00ED6163">
        <w:t xml:space="preserve"> and receive-site engineering and technical details and locations, RF propagation characteristics, signal strength)?  </w:t>
      </w:r>
    </w:p>
    <w:p w:rsidR="00252A4C" w:rsidRPr="00ED6163" w:rsidP="00410009" w14:paraId="39E32B03" w14:textId="77777777">
      <w:pPr>
        <w:pStyle w:val="ParaNum"/>
      </w:pPr>
      <w:r w:rsidRPr="00ED6163">
        <w:t>We also seek comment on whether fixed broadband providers should include latency levels along with the other parameters in reporting thei</w:t>
      </w:r>
      <w:r w:rsidRPr="00ED6163">
        <w:t>r coverage polygons.  Latency is the time it takes for a data packet to travel across a network from one point on the network to another.</w:t>
      </w:r>
      <w:r>
        <w:rPr>
          <w:rStyle w:val="FootnoteReference"/>
          <w:sz w:val="22"/>
        </w:rPr>
        <w:footnoteReference w:id="236"/>
      </w:r>
      <w:r w:rsidRPr="00ED6163">
        <w:t xml:space="preserve">  The Commission considers latency levels as relevant in the provision of universal service support.</w:t>
      </w:r>
      <w:r>
        <w:rPr>
          <w:rStyle w:val="FootnoteReference"/>
          <w:sz w:val="22"/>
        </w:rPr>
        <w:footnoteReference w:id="237"/>
      </w:r>
      <w:r w:rsidRPr="00ED6163">
        <w:t xml:space="preserve">  If latency is</w:t>
      </w:r>
      <w:r w:rsidRPr="00ED6163">
        <w:t xml:space="preserve"> to be included in reporting fixed broadband coverage, how should it be included?  For instance, how and at what point in the network should the provider measure latency?  Would we need to be more specific than how we considered latency in the context of a</w:t>
      </w:r>
      <w:r w:rsidRPr="00ED6163">
        <w:t xml:space="preserve">warding Connect America Fund Phase II support or would the same approach be appropriate?  </w:t>
      </w:r>
    </w:p>
    <w:p w:rsidR="00252A4C" w:rsidRPr="00ED6163" w:rsidP="00410009" w14:paraId="5AF5EE1A" w14:textId="77777777">
      <w:pPr>
        <w:pStyle w:val="ParaNum"/>
      </w:pPr>
      <w:r w:rsidRPr="00ED6163">
        <w:t>We seek comment on what steps the Commission can or should take to support the production of high-quality data and ways the Commission can provide incentives to impr</w:t>
      </w:r>
      <w:r w:rsidRPr="00ED6163">
        <w:t>ove the quality of the data filed</w:t>
      </w:r>
      <w:r>
        <w:t>.</w:t>
      </w:r>
      <w:r w:rsidRPr="00ED6163">
        <w:t xml:space="preserve">  Are there steps that fixed providers can take to ensure better quality broadband </w:t>
      </w:r>
      <w:r w:rsidRPr="00ED6163">
        <w:t>deployment data and, if so, what will the cost of those steps likely be?  Does the technology deployed or the size of the fixed provider ma</w:t>
      </w:r>
      <w:r w:rsidRPr="00ED6163">
        <w:t>tter?  If so, how?  Is there a size or type of fixed provider that will be able to file high-quality data without any additional support or added cost?  Are there unique burdens on smaller fixed providers that would not be burdens for larger fixed provider</w:t>
      </w:r>
      <w:r w:rsidRPr="00ED6163">
        <w:t>s?  In general, what will the cost be on the fixed broadband industry to produce reliable deployment data?  Also, is there anything that can be done to lessen reporting burdens on all filers as part of the new collection, especially ways to harmonize filin</w:t>
      </w:r>
      <w:r w:rsidRPr="00ED6163">
        <w:t>g procedures and requirements from other collections to reduce duplication of efforts?  In addition, are there other relevant data that we should gather as part of a new collection of broadband deployment data?</w:t>
      </w:r>
      <w:r>
        <w:rPr>
          <w:rStyle w:val="FootnoteReference"/>
          <w:sz w:val="22"/>
        </w:rPr>
        <w:footnoteReference w:id="238"/>
      </w:r>
    </w:p>
    <w:p w:rsidR="00252A4C" w:rsidRPr="00ED6163" w:rsidP="00410009" w14:paraId="27BC3762" w14:textId="77777777">
      <w:pPr>
        <w:pStyle w:val="ParaNum"/>
      </w:pPr>
      <w:r w:rsidRPr="00ED6163">
        <w:t>We emphasize that the introduction of crowd</w:t>
      </w:r>
      <w:r w:rsidRPr="00ED6163">
        <w:t>sourced data does not alleviate a fixed provider’s obligation to conduct thorough assessments of service availability before submitting broadband deployment data.  We propose to use a variety of methods, including audits and statistical analyses, to confir</w:t>
      </w:r>
      <w:r w:rsidRPr="00ED6163">
        <w:t>m that the fixed broadband deployment data submitted by providers are accurate.  Put simply, if a location falls within the coverage polygon submitted by a fixed provider, then it must either already receive fixed broadband service or be capable of receivi</w:t>
      </w:r>
      <w:r w:rsidRPr="00ED6163">
        <w:t>ng such service within ten business days and without extraordinary expense.  We seek comment on the best method (or mix of methods) to ensure the submission of accurate fixed broadband deployment data, including the plans that USAC must develop for corrobo</w:t>
      </w:r>
      <w:r w:rsidRPr="00ED6163">
        <w:t>rating and spot-checking data submitted by fixed providers.  What penalties would be appropriate upon a finding of inaccurate data and should there be more severe penalties for chronic filers of bad data?  Should the Commission treat differently those cove</w:t>
      </w:r>
      <w:r w:rsidRPr="00ED6163">
        <w:t>rage polygons submitted by providers that have a certain number of public filings disputing their accuracy?  Is there an appropriate threshold or methodology to identify unreliable filings that should be treated differently, and if so, how should the Commi</w:t>
      </w:r>
      <w:r w:rsidRPr="00ED6163">
        <w:t>ssion treat those filings?  ACA argues that providers should not be sanctioned for submitting inaccurate data “unless there is clear evidence the provider intentionally and persistently did so.”</w:t>
      </w:r>
      <w:r>
        <w:rPr>
          <w:rStyle w:val="FootnoteReference"/>
          <w:sz w:val="22"/>
        </w:rPr>
        <w:footnoteReference w:id="239"/>
      </w:r>
      <w:r w:rsidRPr="00ED6163">
        <w:t xml:space="preserve">  We seek comment on this approach, as well as how to handle</w:t>
      </w:r>
      <w:r w:rsidRPr="00ED6163">
        <w:t xml:space="preserve"> situations in which the filer is negligent (but not intentional) in submitting inaccurate data. </w:t>
      </w:r>
    </w:p>
    <w:p w:rsidR="00252A4C" w:rsidRPr="00ED6163" w:rsidP="00410009" w14:paraId="7AA57F91" w14:textId="77777777">
      <w:pPr>
        <w:pStyle w:val="ParaNum"/>
      </w:pPr>
      <w:r>
        <w:t xml:space="preserve">The </w:t>
      </w:r>
      <w:r w:rsidRPr="00F1497E">
        <w:rPr>
          <w:color w:val="000000"/>
        </w:rPr>
        <w:t>Digital Opportunity Data Collection will significantly improve our understanding of broadband deployment, and we want to ensure that its value is fully re</w:t>
      </w:r>
      <w:r w:rsidRPr="00F1497E">
        <w:rPr>
          <w:color w:val="000000"/>
        </w:rPr>
        <w:t>alized by the Commission, stakeholders, and ratepayers.  We therefore seek comment on additional measures we can adopt to meet this objective.   Can the maps and datasets derived from the Digital Opportunity Data Collection be used in connection with the o</w:t>
      </w:r>
      <w:r w:rsidRPr="00F1497E">
        <w:rPr>
          <w:color w:val="000000"/>
        </w:rPr>
        <w:t xml:space="preserve">ther universal service programs, in particular E-Rate and Rural Health Care, to the extent they provide support for infrastructure build-out, to promote efficiency, minimize waste, and help avoid duplicative funding within the </w:t>
      </w:r>
      <w:r w:rsidRPr="00F1497E" w:rsidR="00410009">
        <w:rPr>
          <w:color w:val="000000"/>
        </w:rPr>
        <w:t>Fund</w:t>
      </w:r>
      <w:r w:rsidRPr="00F1497E">
        <w:rPr>
          <w:color w:val="000000"/>
        </w:rPr>
        <w:t>?  If so, how?  Should we</w:t>
      </w:r>
      <w:r w:rsidRPr="00F1497E">
        <w:rPr>
          <w:color w:val="000000"/>
        </w:rPr>
        <w:t xml:space="preserve"> combine the Digital Opportunity Data Collection datasets with other datasets, for example, locations where funding has been committed in Commission and other federal agency programs, even where deployment may not have occurred?   We believe</w:t>
      </w:r>
      <w:r>
        <w:t xml:space="preserve"> that the Digital Opportunity Data Collection represents a unique opportunity for integrating related but distinct data resources to produce a unified picture of broadband data.  What data would be appropriate to include in this effort and how can it be us</w:t>
      </w:r>
      <w:r>
        <w:t>ed most effectively?  What other issues should we consider as we evaluate this possibility</w:t>
      </w:r>
      <w:r w:rsidRPr="00ED6163">
        <w:t>?</w:t>
      </w:r>
    </w:p>
    <w:p w:rsidR="00252A4C" w:rsidRPr="00ED6163" w:rsidP="00252A4C" w14:paraId="3A1BDD21" w14:textId="77777777">
      <w:pPr>
        <w:widowControl/>
        <w:numPr>
          <w:ilvl w:val="0"/>
          <w:numId w:val="2"/>
        </w:numPr>
        <w:tabs>
          <w:tab w:val="clear" w:pos="1080"/>
          <w:tab w:val="num" w:pos="1440"/>
        </w:tabs>
        <w:spacing w:after="120"/>
        <w:rPr>
          <w:szCs w:val="22"/>
        </w:rPr>
      </w:pPr>
      <w:r w:rsidRPr="00ED6163">
        <w:rPr>
          <w:i/>
          <w:szCs w:val="22"/>
        </w:rPr>
        <w:t xml:space="preserve">Improving Satellite Broadband Data.  </w:t>
      </w:r>
      <w:r w:rsidRPr="00ED6163">
        <w:rPr>
          <w:szCs w:val="22"/>
        </w:rPr>
        <w:t>We seek comment on how, for purposes of the Digital Opportunity Data Collection, we can improve upon the existing satellite bro</w:t>
      </w:r>
      <w:r w:rsidRPr="00ED6163">
        <w:rPr>
          <w:szCs w:val="22"/>
        </w:rPr>
        <w:t>adband data collection to reflect more accurately current satellite broadband service availability.</w:t>
      </w:r>
      <w:r w:rsidRPr="00ED6163">
        <w:rPr>
          <w:szCs w:val="22"/>
          <w:vertAlign w:val="superscript"/>
        </w:rPr>
        <w:t xml:space="preserve"> </w:t>
      </w:r>
      <w:r w:rsidRPr="00ED6163">
        <w:rPr>
          <w:szCs w:val="22"/>
        </w:rPr>
        <w:t xml:space="preserve"> The Commission has recognized there are issues with the quality of the satellite broadband data that are currently reported under the existing Form 477.  F</w:t>
      </w:r>
      <w:r w:rsidRPr="00ED6163">
        <w:rPr>
          <w:szCs w:val="22"/>
        </w:rPr>
        <w:t>or instance, according to currently reported data, satellite service offering 25 Mbps/3 Mbps speeds is available to all but 0.03% of the U.S. population.</w:t>
      </w:r>
      <w:r>
        <w:rPr>
          <w:szCs w:val="22"/>
          <w:vertAlign w:val="superscript"/>
        </w:rPr>
        <w:footnoteReference w:id="240"/>
      </w:r>
      <w:r w:rsidRPr="00ED6163">
        <w:rPr>
          <w:szCs w:val="22"/>
        </w:rPr>
        <w:t xml:space="preserve">  However, while satellite </w:t>
      </w:r>
      <w:r w:rsidRPr="00ED6163">
        <w:rPr>
          <w:szCs w:val="22"/>
        </w:rPr>
        <w:t>signal coverage may enable operators to offer services to wide swaths of t</w:t>
      </w:r>
      <w:r w:rsidRPr="00ED6163">
        <w:rPr>
          <w:szCs w:val="22"/>
        </w:rPr>
        <w:t>he country, overall satellite capacity may limit the number of consumers that can actually subscribe to satellite service at any one time.</w:t>
      </w:r>
      <w:r>
        <w:rPr>
          <w:szCs w:val="22"/>
          <w:vertAlign w:val="superscript"/>
        </w:rPr>
        <w:footnoteReference w:id="241"/>
      </w:r>
      <w:r w:rsidRPr="00ED6163">
        <w:rPr>
          <w:szCs w:val="22"/>
        </w:rPr>
        <w:t xml:space="preserve">  Given that the coverage geographies reported by satellite providers based on satellite beams are likely to remain </w:t>
      </w:r>
      <w:r w:rsidRPr="00ED6163">
        <w:rPr>
          <w:szCs w:val="22"/>
        </w:rPr>
        <w:t>larger than those reported by terrestrial fixed providers based on their network facilities, we seek comment generally on how to improve the satellite broadband data reported in the new data collection.  Geostationary orbit (GSO) satellites are unique in t</w:t>
      </w:r>
      <w:r w:rsidRPr="00ED6163">
        <w:rPr>
          <w:szCs w:val="22"/>
        </w:rPr>
        <w:t>hat they have the relatively large beam coverage area over which service is provided, have inherent flexibility in using wide-area beams and spot beams, and face relative difficulty in adding new capacity.</w:t>
      </w:r>
      <w:r>
        <w:rPr>
          <w:szCs w:val="22"/>
          <w:vertAlign w:val="superscript"/>
        </w:rPr>
        <w:footnoteReference w:id="242"/>
      </w:r>
      <w:r w:rsidRPr="00ED6163">
        <w:rPr>
          <w:szCs w:val="22"/>
        </w:rPr>
        <w:t xml:space="preserve">  For instance, given these characteristics of GS</w:t>
      </w:r>
      <w:r w:rsidRPr="00ED6163">
        <w:rPr>
          <w:szCs w:val="22"/>
        </w:rPr>
        <w:t>O satellite service, should the Commission require GSO satellite providers to report network capacity as well?  Would additional information, including the number and location of satellite beams, the capacity used to provide service by individual satellite</w:t>
      </w:r>
      <w:r w:rsidRPr="00ED6163">
        <w:rPr>
          <w:szCs w:val="22"/>
        </w:rPr>
        <w:t xml:space="preserve"> to consumers at various speeds, and the number of subscribers served at those levels, improve the quality and usefulness of the satellite broadband availability data?</w:t>
      </w:r>
      <w:r>
        <w:rPr>
          <w:rStyle w:val="FootnoteReference"/>
          <w:sz w:val="22"/>
          <w:szCs w:val="22"/>
        </w:rPr>
        <w:footnoteReference w:id="243"/>
      </w:r>
      <w:r w:rsidRPr="00ED6163">
        <w:rPr>
          <w:szCs w:val="22"/>
        </w:rPr>
        <w:t xml:space="preserve">       </w:t>
      </w:r>
    </w:p>
    <w:p w:rsidR="00252A4C" w:rsidRPr="00ED6163" w:rsidP="00252A4C" w14:paraId="59FF13C7" w14:textId="77777777">
      <w:pPr>
        <w:widowControl/>
        <w:numPr>
          <w:ilvl w:val="0"/>
          <w:numId w:val="2"/>
        </w:numPr>
        <w:tabs>
          <w:tab w:val="clear" w:pos="1080"/>
          <w:tab w:val="num" w:pos="1440"/>
        </w:tabs>
        <w:spacing w:after="120"/>
        <w:rPr>
          <w:szCs w:val="22"/>
        </w:rPr>
      </w:pPr>
      <w:r w:rsidRPr="00ED6163">
        <w:rPr>
          <w:szCs w:val="22"/>
        </w:rPr>
        <w:t>We also seek comment on whether we could rely on other data to improve the reli</w:t>
      </w:r>
      <w:r w:rsidRPr="00ED6163">
        <w:rPr>
          <w:szCs w:val="22"/>
        </w:rPr>
        <w:t>ability of the satellite broadband availability data reported in the new data collection.  For example, would examining the presence of existing subscribers provide greater insight into where satellite broadband service is available than does satellite bea</w:t>
      </w:r>
      <w:r w:rsidRPr="00ED6163">
        <w:rPr>
          <w:szCs w:val="22"/>
        </w:rPr>
        <w:t xml:space="preserve">m coverage data alone?  Could we meaningfully validate a satellite provider’s availability data based on the presence of subscribers above a </w:t>
      </w:r>
      <w:r w:rsidRPr="00ED6163">
        <w:rPr>
          <w:i/>
          <w:szCs w:val="22"/>
        </w:rPr>
        <w:t xml:space="preserve">de minimis </w:t>
      </w:r>
      <w:r w:rsidRPr="00ED6163">
        <w:rPr>
          <w:szCs w:val="22"/>
        </w:rPr>
        <w:t>level in the census tract in which the census block is located?  For instance, should we use an absolute</w:t>
      </w:r>
      <w:r w:rsidRPr="00ED6163">
        <w:rPr>
          <w:szCs w:val="22"/>
        </w:rPr>
        <w:t xml:space="preserve"> number and/or percentage of households or subscribers in a census tract?  We seek comment on these methods and any other analysis to obtain a more meaningful representation of the deployment of satellite capacity in a geographic area.</w:t>
      </w:r>
    </w:p>
    <w:p w:rsidR="00252A4C" w:rsidRPr="00ED6163" w:rsidP="00252A4C" w14:paraId="29A69C80" w14:textId="77777777">
      <w:pPr>
        <w:widowControl/>
        <w:numPr>
          <w:ilvl w:val="0"/>
          <w:numId w:val="2"/>
        </w:numPr>
        <w:tabs>
          <w:tab w:val="clear" w:pos="1080"/>
          <w:tab w:val="num" w:pos="1440"/>
        </w:tabs>
        <w:spacing w:after="120"/>
        <w:rPr>
          <w:szCs w:val="22"/>
        </w:rPr>
      </w:pPr>
      <w:r w:rsidRPr="00ED6163">
        <w:rPr>
          <w:szCs w:val="22"/>
        </w:rPr>
        <w:t>We also seek comment</w:t>
      </w:r>
      <w:r w:rsidRPr="00ED6163">
        <w:rPr>
          <w:szCs w:val="22"/>
        </w:rPr>
        <w:t xml:space="preserve"> on whether there are any other limitations that we should place on the reporting of fixed satellite broadband service.  Current fixed satellite broadband service relies on GSO satellites, and customers’ satellite earth stations therefore need a clear view</w:t>
      </w:r>
      <w:r w:rsidRPr="00ED6163">
        <w:rPr>
          <w:szCs w:val="22"/>
        </w:rPr>
        <w:t xml:space="preserve"> of the southern sky to connect to such services.  Should satellite broadband providers that rely on GSO satellites exclude from their reported coverage polygons any area where terrain blocks a clear view of their satellites (i.e., where it is not physical</w:t>
      </w:r>
      <w:r w:rsidRPr="00ED6163">
        <w:rPr>
          <w:szCs w:val="22"/>
        </w:rPr>
        <w:t>ly possible to deliver the service)?</w:t>
      </w:r>
      <w:r w:rsidRPr="00ED6163">
        <w:rPr>
          <w:szCs w:val="22"/>
          <w:vertAlign w:val="superscript"/>
        </w:rPr>
        <w:t xml:space="preserve"> </w:t>
      </w:r>
      <w:r>
        <w:rPr>
          <w:szCs w:val="22"/>
          <w:vertAlign w:val="superscript"/>
        </w:rPr>
        <w:footnoteReference w:id="244"/>
      </w:r>
      <w:r w:rsidRPr="00ED6163">
        <w:rPr>
          <w:szCs w:val="22"/>
        </w:rPr>
        <w:t xml:space="preserve">  We note that the Commission has recently authorized several non-geostationary satellite constellations (NGSOs) that contemplate providing low-earth-orbit, </w:t>
      </w:r>
      <w:r w:rsidRPr="00ED6163">
        <w:rPr>
          <w:szCs w:val="22"/>
        </w:rPr>
        <w:t>low latency satellite broadband services in the future.</w:t>
      </w:r>
      <w:r>
        <w:rPr>
          <w:szCs w:val="22"/>
          <w:vertAlign w:val="superscript"/>
        </w:rPr>
        <w:footnoteReference w:id="245"/>
      </w:r>
      <w:r w:rsidRPr="00ED6163">
        <w:rPr>
          <w:szCs w:val="22"/>
        </w:rPr>
        <w:t xml:space="preserve">  What issues should be addressed for these satellite services in the new data collection as they begin to be offered?</w:t>
      </w:r>
    </w:p>
    <w:p w:rsidR="00252A4C" w:rsidRPr="00ED6163" w:rsidP="00252A4C" w14:paraId="77CEA0DB" w14:textId="77777777">
      <w:pPr>
        <w:pStyle w:val="Heading3"/>
        <w:rPr>
          <w:szCs w:val="22"/>
        </w:rPr>
      </w:pPr>
      <w:bookmarkStart w:id="136" w:name="_Toc13665590"/>
      <w:bookmarkStart w:id="137" w:name="_Toc13665777"/>
      <w:bookmarkStart w:id="138" w:name="_Toc15501958"/>
      <w:r w:rsidRPr="00ED6163">
        <w:rPr>
          <w:szCs w:val="22"/>
        </w:rPr>
        <w:t>Use of Crowdsourcing</w:t>
      </w:r>
      <w:bookmarkEnd w:id="136"/>
      <w:bookmarkEnd w:id="137"/>
      <w:bookmarkEnd w:id="138"/>
      <w:r w:rsidRPr="00ED6163">
        <w:rPr>
          <w:szCs w:val="22"/>
        </w:rPr>
        <w:t xml:space="preserve"> </w:t>
      </w:r>
    </w:p>
    <w:p w:rsidR="00252A4C" w:rsidRPr="00ED6163" w:rsidP="00410009" w14:paraId="4CFDE0E7" w14:textId="77777777">
      <w:pPr>
        <w:pStyle w:val="ParaNum"/>
      </w:pPr>
      <w:r w:rsidRPr="00ED6163">
        <w:t xml:space="preserve">In the </w:t>
      </w:r>
      <w:r w:rsidRPr="00ED6163">
        <w:rPr>
          <w:i/>
        </w:rPr>
        <w:t>Report and</w:t>
      </w:r>
      <w:r w:rsidRPr="00947E6A">
        <w:rPr>
          <w:i/>
        </w:rPr>
        <w:t xml:space="preserve"> </w:t>
      </w:r>
      <w:r w:rsidRPr="00ED6163">
        <w:rPr>
          <w:i/>
        </w:rPr>
        <w:t>Order</w:t>
      </w:r>
      <w:r w:rsidRPr="00ED6163">
        <w:t>, the Commission directs USAC to begin collecting information from state governments, includ</w:t>
      </w:r>
      <w:r w:rsidRPr="00ED6163">
        <w:t xml:space="preserve">ing state public utility commissions, and local and Tribal governmental entities, as well as members of the public, about the accuracy of the coverage polygons gathered from fixed providers and to make certain data publicly available.  In this section, we </w:t>
      </w:r>
      <w:r w:rsidRPr="00ED6163">
        <w:t>seek comment about steps the Commission and USAC can take to make the best use of such data to improve the quality of the service-availability dataset going forward.</w:t>
      </w:r>
    </w:p>
    <w:p w:rsidR="00252A4C" w:rsidRPr="00947E6A" w:rsidP="00410009" w14:paraId="42A9D4C3" w14:textId="77777777">
      <w:pPr>
        <w:pStyle w:val="ParaNum"/>
      </w:pPr>
      <w:r w:rsidRPr="00ED6163">
        <w:t>At a high level, we propose that USAC track coverage disputes, follow-up with providers to</w:t>
      </w:r>
      <w:r w:rsidRPr="00ED6163">
        <w:t xml:space="preserve"> ascertain whether there is agreement that there is a problem with the data and ensure that providers refile updated and corrected data in a timely fashion.  We propose that USAC create a system to track complaints about the accuracy of fixed broadband cov</w:t>
      </w:r>
      <w:r w:rsidRPr="00ED6163">
        <w:t>erage polygons.  This functionality could be similar to the Commission’s existing consumer-complaints database.</w:t>
      </w:r>
      <w:r>
        <w:rPr>
          <w:rStyle w:val="FootnoteReference"/>
          <w:sz w:val="22"/>
        </w:rPr>
        <w:footnoteReference w:id="246"/>
      </w:r>
      <w:r w:rsidRPr="00ED6163">
        <w:t xml:space="preserve">  Having a tracking system would allow USAC to pass the complaints along to the appropriate provider and track whether the person filing the co</w:t>
      </w:r>
      <w:r w:rsidRPr="00ED6163">
        <w:t xml:space="preserve">mplaint received a response.  In instances where the provider agrees that its original filing was in error, USAC could track the error and ensure that the provider corrects its data.  Alternatively, USAC could simply publish the complaints it receives and </w:t>
      </w:r>
      <w:r w:rsidRPr="00ED6163">
        <w:t>require providers to periodically check complaints about their filings.  Is this a reasonable burden to place on providers?  How could USAC efficiently track which of the complaints should be and ultimately are addressed through data corrections?</w:t>
      </w:r>
    </w:p>
    <w:p w:rsidR="00252A4C" w:rsidRPr="00ED6163" w:rsidP="00410009" w14:paraId="08540453" w14:textId="77777777">
      <w:pPr>
        <w:pStyle w:val="ParaNum"/>
      </w:pPr>
      <w:r w:rsidRPr="00ED6163">
        <w:t>We also s</w:t>
      </w:r>
      <w:r w:rsidRPr="00ED6163">
        <w:t xml:space="preserve">eek comment on the appropriate time period (if any) for fixed providers to respond to a complaint.  ACA argues that it would be “onerous if a smaller provider had to respond immediately to each and every submission from an individual or government entity” </w:t>
      </w:r>
      <w:r w:rsidRPr="00ED6163">
        <w:t>and recommends that small providers be allowed to account for any inaccurate data at its next Digital Opportunity Data Collection filing.</w:t>
      </w:r>
      <w:r>
        <w:rPr>
          <w:rStyle w:val="FootnoteReference"/>
          <w:sz w:val="22"/>
        </w:rPr>
        <w:footnoteReference w:id="247"/>
      </w:r>
      <w:r w:rsidRPr="00ED6163">
        <w:t xml:space="preserve">  Connected Nation recommends that there be “a cyclical, scheduled feedback process in which there are defined window</w:t>
      </w:r>
      <w:r w:rsidRPr="00ED6163">
        <w:t>s for receiving feedback, analyzing and validating feedback, and updating the map after feedback has been adjudicated.”</w:t>
      </w:r>
      <w:r>
        <w:rPr>
          <w:rStyle w:val="FootnoteReference"/>
          <w:sz w:val="22"/>
        </w:rPr>
        <w:footnoteReference w:id="248"/>
      </w:r>
      <w:r w:rsidRPr="00ED6163">
        <w:t xml:space="preserve">  We seek comment on the best approach to timing for the crowdsourcing process, not only for small providers but for all filers.</w:t>
      </w:r>
    </w:p>
    <w:p w:rsidR="00252A4C" w:rsidRPr="00ED6163" w:rsidP="00410009" w14:paraId="1A36A292" w14:textId="77777777">
      <w:pPr>
        <w:pStyle w:val="ParaNum"/>
      </w:pPr>
      <w:r w:rsidRPr="00ED6163">
        <w:t>We pro</w:t>
      </w:r>
      <w:r w:rsidRPr="00ED6163">
        <w:t xml:space="preserve">pose to have USAC collect the following data from entities disputing coverage: the address of the location at which coverage is disputed and/or its coordinates (latitude and longitude); the fixed provider whose service coverage is in dispute; the download </w:t>
      </w:r>
      <w:r w:rsidRPr="00ED6163">
        <w:t>and upload speeds available for subscription; the technology reported at that location by the provider; and contact information from the submitting party (e-mail address and/or phone number).  Are these types of data appropriate for this collection and are</w:t>
      </w:r>
      <w:r w:rsidRPr="00ED6163">
        <w:t xml:space="preserve"> there other types of data USAC should ask for to make this collection an effective tool </w:t>
      </w:r>
      <w:r w:rsidRPr="00ED6163">
        <w:t>for USAC, the Commission, industry, and the public?</w:t>
      </w:r>
      <w:r>
        <w:rPr>
          <w:rStyle w:val="FootnoteReference"/>
          <w:sz w:val="22"/>
        </w:rPr>
        <w:footnoteReference w:id="249"/>
      </w:r>
      <w:r w:rsidRPr="00ED6163">
        <w:t xml:space="preserve">  </w:t>
      </w:r>
      <w:r w:rsidRPr="001D18B0">
        <w:t>We also propose to require that individuals disputing coverage certify that they have requested service from the</w:t>
      </w:r>
      <w:r w:rsidRPr="001D18B0">
        <w:t xml:space="preserve"> provider and that the provider either refused, or failed, to provide service within the applicable 10-business day period.  </w:t>
      </w:r>
      <w:r>
        <w:t>Would this establish a reasonable threshold for disputing coverage?  Are there other requirements we could establish to ensure that</w:t>
      </w:r>
      <w:r>
        <w:t xml:space="preserve"> disputes raise a valid question about coverage in individual locations?  How should we handle disputes that do not meet these criteria (such as those admitting availability but alleging that a service falls short of expectations based on service provider’</w:t>
      </w:r>
      <w:r>
        <w:t xml:space="preserve">s reported coverage)?  </w:t>
      </w:r>
      <w:r w:rsidRPr="00ED6163">
        <w:t>Would it be helpful to gather information about nearby areas where service is available (if the individual knows)?</w:t>
      </w:r>
      <w:r>
        <w:t xml:space="preserve">   </w:t>
      </w:r>
    </w:p>
    <w:p w:rsidR="00252A4C" w:rsidRPr="00947E6A" w:rsidP="00410009" w14:paraId="3D077A47" w14:textId="77777777">
      <w:pPr>
        <w:pStyle w:val="ParaNum"/>
      </w:pPr>
      <w:bookmarkStart w:id="139" w:name="_Hlk13518117"/>
      <w:r w:rsidRPr="00ED6163">
        <w:t>The Commission has noted that overall broadband deployment in Indian country remains significantly behind deploymen</w:t>
      </w:r>
      <w:r w:rsidRPr="00ED6163">
        <w:t>t on non-Tribal lands</w:t>
      </w:r>
      <w:r>
        <w:rPr>
          <w:rStyle w:val="FootnoteReference"/>
          <w:sz w:val="22"/>
        </w:rPr>
        <w:footnoteReference w:id="250"/>
      </w:r>
      <w:r w:rsidRPr="00ED6163">
        <w:t xml:space="preserve"> due to several long-recognized barriers to broadband deployment on Tribal lands.</w:t>
      </w:r>
      <w:r>
        <w:rPr>
          <w:rStyle w:val="FootnoteReference"/>
          <w:sz w:val="22"/>
        </w:rPr>
        <w:footnoteReference w:id="251"/>
      </w:r>
      <w:r w:rsidRPr="00ED6163">
        <w:t xml:space="preserve"> </w:t>
      </w:r>
      <w:r w:rsidRPr="00947E6A">
        <w:t xml:space="preserve"> </w:t>
      </w:r>
      <w:r w:rsidRPr="00ED6163">
        <w:t xml:space="preserve">Given these additional challenges, we recognize the importance of Tribal participation in the Digital Opportunity Data Collection’s public </w:t>
      </w:r>
      <w:r w:rsidRPr="00ED6163">
        <w:t>feedback mechanism.  We seek comment on how best to incorporate input of Tribal governments on broadband coverage maps, given the special importance of collecting accurate and complete broadband availability information for Tribal lands.  For example, we p</w:t>
      </w:r>
      <w:r w:rsidRPr="00ED6163">
        <w:t>ropose to have USAC or Commission staff conduct outreach directly with Tribal governments to facilitate their involvement in the dispute process and to provide technical assistance to them as needed.  We seek comment on these proposals and how we could imp</w:t>
      </w:r>
      <w:r w:rsidRPr="00ED6163">
        <w:t>lement them most effectively.  We also seek comment on any additional issues specific to Tribal governments that we should take into account in connection with any disputes concerning coverage data.  Finally, we seek comment on whether we should expand the</w:t>
      </w:r>
      <w:r w:rsidRPr="00ED6163">
        <w:t>se proposals to include other Tribal entities, such as inter-Tribal organizations.</w:t>
      </w:r>
    </w:p>
    <w:bookmarkEnd w:id="139"/>
    <w:p w:rsidR="00252A4C" w:rsidRPr="00ED6163" w:rsidP="00410009" w14:paraId="62EADB52" w14:textId="77777777">
      <w:pPr>
        <w:pStyle w:val="ParaNum"/>
      </w:pPr>
      <w:r w:rsidRPr="00ED6163">
        <w:t>We seek comment about how quickly fixed providers should be required to correct any data where they do not refute the alleged lack of coverage.  Should USAC require that fix</w:t>
      </w:r>
      <w:r w:rsidRPr="00ED6163">
        <w:t>ed providers either establish coverage or file updated coverage polygons within a specific number of days following submission of an uncontested dispute?  If so, what number of days would provide a reasonable balance between the burden placed on fixed prov</w:t>
      </w:r>
      <w:r w:rsidRPr="00ED6163">
        <w:t>iders and the need for policy-makers to have the most accurate data possible?   On the other hand, would it be overly burdensome for fixed providers to re-file data addressing each individual error, particularly if the provider’s coverage is the subject of</w:t>
      </w:r>
      <w:r w:rsidRPr="00ED6163">
        <w:t xml:space="preserve"> multiple pending complaints?  Should USAC allow for fixed providers to batch any corrections into weekly or monthly updates, as needed?</w:t>
      </w:r>
      <w:r>
        <w:rPr>
          <w:rStyle w:val="FootnoteReference"/>
          <w:sz w:val="22"/>
        </w:rPr>
        <w:footnoteReference w:id="252"/>
      </w:r>
      <w:r w:rsidRPr="00ED6163">
        <w:t xml:space="preserve">  How can USAC balance the need for corrected data against provider burden?  We note that NCTA proposes that fixed pro</w:t>
      </w:r>
      <w:r w:rsidRPr="00ED6163">
        <w:t>viders would correct the data in the next filing opportunity,</w:t>
      </w:r>
      <w:r>
        <w:rPr>
          <w:rStyle w:val="FootnoteReference"/>
          <w:sz w:val="22"/>
        </w:rPr>
        <w:footnoteReference w:id="253"/>
      </w:r>
      <w:r w:rsidRPr="00ED6163">
        <w:t xml:space="preserve"> which could leave the original data possibly in place for many months even after an agreement that the original filing was in error.  Is that approach reasonable?   </w:t>
      </w:r>
    </w:p>
    <w:p w:rsidR="00252A4C" w:rsidRPr="00ED6163" w:rsidP="00410009" w14:paraId="66ECB759" w14:textId="77777777">
      <w:pPr>
        <w:pStyle w:val="ParaNum"/>
      </w:pPr>
      <w:r w:rsidRPr="00ED6163">
        <w:t>When the public files a co</w:t>
      </w:r>
      <w:r w:rsidRPr="00ED6163">
        <w:t xml:space="preserve">mplaint about the fixed broadband coverage polygons, there is a time lag between the date of the filing under the new collection and the date that the complaint is filed.  We believe there are only very limited circumstances in which a provider would have </w:t>
      </w:r>
      <w:r w:rsidRPr="00ED6163">
        <w:t>previously had broadband service of a given quality (technology, upload speed and download speed) but removed it (e.g., copper retirement).  Thus, if there is a complaint that the fixed broadband coverage polygons are incorrect, we believe it is likely tha</w:t>
      </w:r>
      <w:r w:rsidRPr="00ED6163">
        <w:t xml:space="preserve">t the data are incorrect for earlier time periods as well.  Is this a reasonable assumption and should we require providers to resubmit all earlier datasets for the affected areas to conform to any corrections?  Doing so would provide a more accurate view </w:t>
      </w:r>
      <w:r w:rsidRPr="00ED6163">
        <w:t>on the evolution of service-availability coverage over time.  On the other hand, it will also involve a greater burden for providers.  In addition, it is unclear whether the time-series data would be useful in targeting USF support.  We seek comment on the</w:t>
      </w:r>
      <w:r w:rsidRPr="00ED6163">
        <w:t xml:space="preserve"> relative benefit (better time series data) compared to the provider burden.</w:t>
      </w:r>
    </w:p>
    <w:p w:rsidR="00252A4C" w:rsidRPr="00ED6163" w:rsidP="00410009" w14:paraId="2242B404" w14:textId="77777777">
      <w:pPr>
        <w:pStyle w:val="ParaNum"/>
      </w:pPr>
      <w:r w:rsidRPr="00ED6163">
        <w:t>We also seek comment on what standards and processes the Commission should establish to govern the resolution of cases in which providers and the stakeholders disagree about wheth</w:t>
      </w:r>
      <w:r w:rsidRPr="00ED6163">
        <w:t>er the broadband coverage polygons are correct—</w:t>
      </w:r>
      <w:r w:rsidRPr="00ED6163">
        <w:softHyphen/>
        <w:t>that is, whether service is actually available at a given location.</w:t>
      </w:r>
      <w:r>
        <w:rPr>
          <w:rStyle w:val="FootnoteReference"/>
          <w:sz w:val="22"/>
        </w:rPr>
        <w:footnoteReference w:id="254"/>
      </w:r>
      <w:r w:rsidRPr="00ED6163">
        <w:t xml:space="preserve">  NTCA argues that crowdsourced reports should not be treated the same as general consumer complaints, requiring a provider response in all</w:t>
      </w:r>
      <w:r w:rsidRPr="00ED6163">
        <w:t xml:space="preserve"> cases.</w:t>
      </w:r>
      <w:r>
        <w:rPr>
          <w:rStyle w:val="FootnoteReference"/>
          <w:sz w:val="22"/>
        </w:rPr>
        <w:footnoteReference w:id="255"/>
      </w:r>
      <w:r w:rsidRPr="00ED6163">
        <w:t xml:space="preserve">  NTCA suggests that providers should be required to respond to reports or adjust their maps only in situations where “material trends develop in vetted information that indicate a systemic problem with a provider’s reporting in a given area.”</w:t>
      </w:r>
      <w:r>
        <w:rPr>
          <w:rStyle w:val="FootnoteReference"/>
          <w:sz w:val="22"/>
        </w:rPr>
        <w:footnoteReference w:id="256"/>
      </w:r>
      <w:r w:rsidRPr="00ED6163">
        <w:t xml:space="preserve">  </w:t>
      </w:r>
      <w:r w:rsidRPr="00ED6163">
        <w:t>Are these reasonable approaches?  What dispute resolution process would be appropriate?  Providers should have a period of time within which to refute any complaint and, in the absence of a timely and compelling response, USAC could require the fixed provi</w:t>
      </w:r>
      <w:r w:rsidRPr="00ED6163">
        <w:t>der to submit a coverage polygon that excludes the disputed location.  What types of evidence would be appropriate for providers to submit?  What framework should the Commission establish to ensure that USAC reliably and efficiently adjudicates conflicting</w:t>
      </w:r>
      <w:r w:rsidRPr="00ED6163">
        <w:t xml:space="preserve"> claims in such circumstances?  What evidentiary standard should the Commission establish to resolve such disputes: preponderance of evidence, clear and convincing evidence, or another standard?  In situations indicating pervasive reporting errors, bad fai</w:t>
      </w:r>
      <w:r w:rsidRPr="00ED6163">
        <w:t>th, or a refusal to refile a coverage polygon that has been found to contain an inaccurate location, USAC could take additional steps, such as referring the matter to the FCC for enforcement action.  What remedies would be appropriate in such an enforcemen</w:t>
      </w:r>
      <w:r w:rsidRPr="00ED6163">
        <w:t>t action?  If one possibility were monetary forfeitures, what would be an appropriate base forfeiture amount and what would be appropriate increments in the case of repeated or more egregious violations?  Are there other approaches the Commission should ta</w:t>
      </w:r>
      <w:r w:rsidRPr="00ED6163">
        <w:t xml:space="preserve">ke to areas where there is disagreement?  </w:t>
      </w:r>
    </w:p>
    <w:p w:rsidR="00252A4C" w:rsidRPr="00ED6163" w:rsidP="00410009" w14:paraId="7400B965" w14:textId="77777777">
      <w:pPr>
        <w:pStyle w:val="ParaNum"/>
      </w:pPr>
      <w:r w:rsidRPr="00ED6163">
        <w:t xml:space="preserve">We believe there could be instances of dispute between a member of the public filing a complaint and a fixed provider where both parties can credibly claim that they are correct.  For example, a consumer may find </w:t>
      </w:r>
      <w:r w:rsidRPr="00ED6163">
        <w:t>a fixed provider is not available in its building because the building owner is not allowing that provider entry into the building.</w:t>
      </w:r>
      <w:r>
        <w:rPr>
          <w:rStyle w:val="FootnoteReference"/>
          <w:sz w:val="22"/>
        </w:rPr>
        <w:footnoteReference w:id="257"/>
      </w:r>
      <w:r w:rsidRPr="00ED6163">
        <w:t xml:space="preserve">  If the excluded provider could meet the service-reporting requirements (e.g., with respect to time to service), should th</w:t>
      </w:r>
      <w:r w:rsidRPr="00ED6163">
        <w:t xml:space="preserve">e Commission consider such a </w:t>
      </w:r>
      <w:r w:rsidRPr="00ED6163">
        <w:t xml:space="preserve">location as served by that provider or not?  Would it be beneficial to identify, as part of any tracking process for public feedback on the data collection, instances where a provider is willing and able to provide service but </w:t>
      </w:r>
      <w:r w:rsidRPr="00ED6163">
        <w:t xml:space="preserve">is not able to do so due to circumstances beyond its control?  Would USAC need to verify or validate such claims and, if so, how?  Or, in the alternative, should </w:t>
      </w:r>
      <w:r>
        <w:t xml:space="preserve">the Commission </w:t>
      </w:r>
      <w:r w:rsidRPr="00ED6163">
        <w:t xml:space="preserve">require that providers remove from the coverage polygons they file small areas </w:t>
      </w:r>
      <w:r w:rsidRPr="00ED6163">
        <w:t>to represent those buildings in which they are prohibited from offering service for any reason?</w:t>
      </w:r>
    </w:p>
    <w:p w:rsidR="00252A4C" w:rsidP="00410009" w14:paraId="5AD53D85" w14:textId="77777777">
      <w:pPr>
        <w:pStyle w:val="ParaNum"/>
      </w:pPr>
      <w:r w:rsidRPr="00ED6163">
        <w:t>Finally, we seek comment on whether the Commission should direct USAC to accept the upload of bulk complaints data.  We want to avoid bad-faith or malicious cha</w:t>
      </w:r>
      <w:r w:rsidRPr="00ED6163">
        <w:t>llenges to coverage data, such as a dispute to every address in a fixed provider’s footprint via an automated tool or bot.  In order for this tool to be effective, it is essential that we safeguard the integrity of the data submitted through it.  On the ot</w:t>
      </w:r>
      <w:r w:rsidRPr="00ED6163">
        <w:t xml:space="preserve">her hand, we can see there could be value in allowing Tribal, local, or state governments to provide data in bulk where they have already investigated and so want to consider whether and how to permit USAC to allow for the collection of bulk data.  </w:t>
      </w:r>
      <w:r>
        <w:t>Would e</w:t>
      </w:r>
      <w:r>
        <w:t xml:space="preserve">stablishing a certification requirement, similar to what we have proposed for individuals, help to ensure the validity of bulk challenge data? </w:t>
      </w:r>
    </w:p>
    <w:p w:rsidR="006821D5" w:rsidRPr="00ED6163" w:rsidP="00410009" w14:paraId="41A5EB76" w14:textId="77777777">
      <w:pPr>
        <w:pStyle w:val="ParaNum"/>
      </w:pPr>
      <w:r w:rsidRPr="00ED6163">
        <w:t xml:space="preserve">To address these issues, should </w:t>
      </w:r>
      <w:r>
        <w:t xml:space="preserve">the Commission </w:t>
      </w:r>
      <w:r w:rsidRPr="00ED6163">
        <w:t>limit permissible bulk filings to certain authenticated users, su</w:t>
      </w:r>
      <w:r w:rsidRPr="00ED6163">
        <w:t xml:space="preserve">ch as states or state commissions, local governments, and Tribal entities?  If so, how should it approach authentication?  What entities should be entitled to become authenticated users—for example, should </w:t>
      </w:r>
      <w:r>
        <w:t>the Commission</w:t>
      </w:r>
      <w:r w:rsidRPr="00ED6163">
        <w:t xml:space="preserve"> limit it to just state government e</w:t>
      </w:r>
      <w:r w:rsidRPr="00ED6163">
        <w:t>ntities?  Are there parts of state governments, like public-utility commissions, or mapping or broadband offices, that would be more likely to provide meaningful input?  Should USAC track and resolve disputes involving bulk complaints in the same manner as</w:t>
      </w:r>
      <w:r w:rsidRPr="00ED6163">
        <w:t xml:space="preserve"> individual complaints?  Or, in the alternative, should USAC accept complaints as accurate and shift the burden of proof onto providers to submit convincing data to refute the crowdsourced data?  We seek comment on these issu</w:t>
      </w:r>
      <w:r>
        <w:t>es.</w:t>
      </w:r>
    </w:p>
    <w:p w:rsidR="00252A4C" w:rsidRPr="00ED6163" w:rsidP="00252A4C" w14:paraId="1546E709" w14:textId="77777777">
      <w:pPr>
        <w:pStyle w:val="Heading3"/>
        <w:rPr>
          <w:szCs w:val="22"/>
        </w:rPr>
      </w:pPr>
      <w:bookmarkStart w:id="140" w:name="_Toc12376446"/>
      <w:bookmarkStart w:id="141" w:name="_Toc12632403"/>
      <w:bookmarkStart w:id="142" w:name="_Toc12632835"/>
      <w:bookmarkStart w:id="143" w:name="_Toc13665591"/>
      <w:bookmarkStart w:id="144" w:name="_Toc13665778"/>
      <w:bookmarkStart w:id="145" w:name="_Toc15501959"/>
      <w:bookmarkStart w:id="146" w:name="_Hlk12472772"/>
      <w:r w:rsidRPr="00ED6163">
        <w:rPr>
          <w:rStyle w:val="CommentReference"/>
          <w:snapToGrid/>
          <w:sz w:val="22"/>
          <w:szCs w:val="22"/>
        </w:rPr>
        <w:t>Incorporating</w:t>
      </w:r>
      <w:r w:rsidRPr="00ED6163">
        <w:rPr>
          <w:szCs w:val="22"/>
        </w:rPr>
        <w:t xml:space="preserve"> Location Info</w:t>
      </w:r>
      <w:r w:rsidRPr="00ED6163">
        <w:rPr>
          <w:szCs w:val="22"/>
        </w:rPr>
        <w:t>rmation into the Digital Opportunity Data Collection</w:t>
      </w:r>
      <w:bookmarkEnd w:id="140"/>
      <w:bookmarkEnd w:id="141"/>
      <w:bookmarkEnd w:id="142"/>
      <w:bookmarkEnd w:id="143"/>
      <w:bookmarkEnd w:id="144"/>
      <w:bookmarkEnd w:id="145"/>
    </w:p>
    <w:bookmarkEnd w:id="146"/>
    <w:p w:rsidR="00252A4C" w:rsidRPr="00ED6163" w:rsidP="00410009" w14:paraId="5C19FD97" w14:textId="77777777">
      <w:pPr>
        <w:pStyle w:val="ParaNum"/>
      </w:pPr>
      <w:r w:rsidRPr="00ED6163">
        <w:t xml:space="preserve">In the accompanying </w:t>
      </w:r>
      <w:r w:rsidRPr="00ED6163">
        <w:rPr>
          <w:i/>
        </w:rPr>
        <w:t>Report and</w:t>
      </w:r>
      <w:r w:rsidRPr="00947E6A">
        <w:rPr>
          <w:i/>
        </w:rPr>
        <w:t xml:space="preserve"> </w:t>
      </w:r>
      <w:r w:rsidRPr="00ED6163">
        <w:rPr>
          <w:i/>
        </w:rPr>
        <w:t>Order</w:t>
      </w:r>
      <w:r w:rsidRPr="00ED6163">
        <w:t>, we adopt the reporting of coverage polygons for fixed-broadband services, a step that will result in more precise deployment data.  Parties have correctly pointed ou</w:t>
      </w:r>
      <w:r w:rsidRPr="00ED6163">
        <w:t>t, however, that simply knowing what parts of a census block lack broadband service does not provide enough information by itself to identify the specific locations within that census block that lack fixed broadband availability.</w:t>
      </w:r>
      <w:r>
        <w:rPr>
          <w:rStyle w:val="FootnoteReference"/>
          <w:sz w:val="22"/>
        </w:rPr>
        <w:footnoteReference w:id="258"/>
      </w:r>
      <w:r w:rsidRPr="00ED6163">
        <w:t xml:space="preserve">  We agree that there are</w:t>
      </w:r>
      <w:r w:rsidRPr="00ED6163">
        <w:t xml:space="preserve"> likely benefits to incorporating nationwide location data into the Digital Opportunity Data Collection and we propose to adopt such an approach, informed by comments on how USAC can collect and incorporate such data.  What data does USAC need and how coul</w:t>
      </w:r>
      <w:r w:rsidRPr="00ED6163">
        <w:t>d it get access to them?  We believe that broadband coverage polygons submitted by service providers could be overlaid on nationwide location data in order to precisely identify the homes and small businesses that have and do not have access to broadband s</w:t>
      </w:r>
      <w:r w:rsidRPr="00ED6163">
        <w:t>ervices, and seek comment on this view.</w:t>
      </w:r>
    </w:p>
    <w:p w:rsidR="00252A4C" w:rsidRPr="00ED6163" w:rsidP="00410009" w14:paraId="6C2261F8" w14:textId="77777777">
      <w:pPr>
        <w:pStyle w:val="ParaNum"/>
      </w:pPr>
      <w:r w:rsidRPr="00ED6163">
        <w:t xml:space="preserve">We note that the first step in incorporating location data is to establish a process where all broadband-serviceable locations (e.g., houses, businesses, structures) are mapped using a single methodology, </w:t>
      </w:r>
      <w:r w:rsidRPr="00ED6163">
        <w:t>providing a harmonized reference point for fixed broadband reporting.</w:t>
      </w:r>
      <w:r>
        <w:rPr>
          <w:rStyle w:val="FootnoteReference"/>
          <w:sz w:val="22"/>
        </w:rPr>
        <w:footnoteReference w:id="259"/>
      </w:r>
      <w:r w:rsidRPr="00ED6163">
        <w:t xml:space="preserve">  Toward that end, the Broadband Mapping Coalition is in the process of testing a “Broadband Serviceable Location Fabric” to demonstrate the viability of a location-based proposal.</w:t>
      </w:r>
      <w:r>
        <w:rPr>
          <w:rStyle w:val="FootnoteReference"/>
          <w:sz w:val="22"/>
        </w:rPr>
        <w:footnoteReference w:id="260"/>
      </w:r>
      <w:r w:rsidRPr="00ED6163">
        <w:t xml:space="preserve">  T</w:t>
      </w:r>
      <w:r w:rsidRPr="00ED6163">
        <w:t>he Broadband Mapping Coalition’s testing represents a concrete effort to identify the issues facing USAC in moving to a location-based collection.</w:t>
      </w:r>
    </w:p>
    <w:p w:rsidR="00252A4C" w:rsidRPr="00ED6163" w:rsidP="00410009" w14:paraId="7E15584F" w14:textId="77777777">
      <w:pPr>
        <w:pStyle w:val="ParaNum"/>
      </w:pPr>
      <w:r w:rsidRPr="00ED6163">
        <w:t>We propose to create and integrate a broadband-serviceable location tool into the Digital Opportunity Data Co</w:t>
      </w:r>
      <w:r w:rsidRPr="00ED6163">
        <w:t xml:space="preserve">llection.  As an initial matter, we seek comment on </w:t>
      </w:r>
      <w:r w:rsidRPr="00ED6163">
        <w:t>Alexicon’s</w:t>
      </w:r>
      <w:r w:rsidRPr="00ED6163">
        <w:t xml:space="preserve"> claim that a broad definition of location lowers both the reporting burden for providers and the underlying cost of identifying locations.</w:t>
      </w:r>
      <w:r>
        <w:rPr>
          <w:rStyle w:val="FootnoteReference"/>
          <w:sz w:val="22"/>
        </w:rPr>
        <w:footnoteReference w:id="261"/>
      </w:r>
      <w:r w:rsidRPr="00ED6163">
        <w:t xml:space="preserve">  We also seek comment on what kinds of locations we </w:t>
      </w:r>
      <w:r>
        <w:t xml:space="preserve">should </w:t>
      </w:r>
      <w:r w:rsidRPr="00ED6163">
        <w:t>include as broadband-serviceable</w:t>
      </w:r>
      <w:r>
        <w:t>.</w:t>
      </w:r>
      <w:r w:rsidRPr="00ED6163">
        <w:t xml:space="preserve">  For example, we could designate a parcel as the definition of a location on the theory that a fixed provider that offers service to one part of the parcel would be willing to serve anywhere on that parcel.</w:t>
      </w:r>
      <w:r>
        <w:rPr>
          <w:rStyle w:val="FootnoteReference"/>
          <w:sz w:val="22"/>
        </w:rPr>
        <w:footnoteReference w:id="262"/>
      </w:r>
      <w:r w:rsidRPr="00ED6163">
        <w:t xml:space="preserve">  We seek comment on how to define the location of a parcel (e.g. as the centroid of a parcel or as the location of a building on a parcel).</w:t>
      </w:r>
      <w:r w:rsidRPr="00947E6A">
        <w:t xml:space="preserve">  </w:t>
      </w:r>
      <w:r w:rsidRPr="00ED6163">
        <w:t>Alternatively, we could determine that a broadband addressable location should be defined as a building.  The Broa</w:t>
      </w:r>
      <w:r w:rsidRPr="00ED6163">
        <w:t>dband Mapping Coalition work has shown that it is generally possible to identify individual buildings as locations.</w:t>
      </w:r>
      <w:r>
        <w:rPr>
          <w:rStyle w:val="FootnoteReference"/>
          <w:sz w:val="22"/>
        </w:rPr>
        <w:footnoteReference w:id="263"/>
      </w:r>
      <w:r w:rsidRPr="00ED6163">
        <w:t xml:space="preserve">  We note, however, that there can be multiple buildings on a parcel and question whether it would be advisable to treat each of those buil</w:t>
      </w:r>
      <w:r w:rsidRPr="00ED6163">
        <w:t>dings as a distinct location.  We believe a provider is likely to run a single connection (drop) from its network to, for example, a farm, rather than individual connections to all of the structures on the parcel (e.g., the farmhouse and each garage, barn,</w:t>
      </w:r>
      <w:r w:rsidRPr="00ED6163">
        <w:t xml:space="preserve"> chicken coop, storage shed, etc.).  We seek comment on alternatives for defining a broadband-serviceable location.  </w:t>
      </w:r>
    </w:p>
    <w:p w:rsidR="00252A4C" w:rsidRPr="00ED6163" w:rsidP="00410009" w14:paraId="13E9BA39" w14:textId="77777777">
      <w:pPr>
        <w:pStyle w:val="ParaNum"/>
      </w:pPr>
      <w:r w:rsidRPr="00ED6163">
        <w:t>Should we decide that, for residential users, the location would be the individual housing unit?</w:t>
      </w:r>
      <w:r>
        <w:rPr>
          <w:rStyle w:val="FootnoteReference"/>
          <w:sz w:val="22"/>
        </w:rPr>
        <w:footnoteReference w:id="264"/>
      </w:r>
      <w:r w:rsidRPr="00ED6163">
        <w:t xml:space="preserve">  For residential Multi-Tenant Environme</w:t>
      </w:r>
      <w:r w:rsidRPr="00ED6163">
        <w:t>nts (e.g., apartment buildings), this could mean treating each individual apartment or unit as a separate broadband-serviceable location.  We do not believe this approach is appropriate for determining fixed broadband coverage in a Multi-Tenant Environment</w:t>
      </w:r>
      <w:r w:rsidRPr="00ED6163">
        <w:t>—fixed providers likely would not offer service only to some units in a Multi-Tenant Environment.  Additionally, we are concerned that the added complexity—far more locations and the need to differentiate not just latitude and longitude, but also potential</w:t>
      </w:r>
      <w:r w:rsidRPr="00ED6163">
        <w:t>ly altitude—would outweigh any benefits.  We seek comment on this assumption.</w:t>
      </w:r>
    </w:p>
    <w:p w:rsidR="00252A4C" w:rsidRPr="00ED6163" w:rsidP="00410009" w14:paraId="0899E95D" w14:textId="77777777">
      <w:pPr>
        <w:pStyle w:val="ParaNum"/>
      </w:pPr>
      <w:r w:rsidRPr="00ED6163">
        <w:t>With regard to defining a location, we propose to have the database record a single point, defined by latitude and longitude, for that location.  We anticipate that this would be</w:t>
      </w:r>
      <w:r w:rsidRPr="00ED6163">
        <w:t xml:space="preserve"> the coordinates of a building on a parcel.  We believe that recording each location as a single point has an advantage over reporting the outlines of each building (i.e., a polygon for each location), the latter of which will increase the difficulty of cr</w:t>
      </w:r>
      <w:r w:rsidRPr="00ED6163">
        <w:t>eating the database and the amount of data required, without meaningfully improving the quality of the database.  We seek comment on this approach.</w:t>
      </w:r>
    </w:p>
    <w:p w:rsidR="00252A4C" w:rsidRPr="00ED6163" w:rsidP="00410009" w14:paraId="139A414C" w14:textId="77777777">
      <w:pPr>
        <w:pStyle w:val="ParaNum"/>
      </w:pPr>
      <w:r w:rsidRPr="00ED6163">
        <w:t>We also seek comment on how we would approach the quality of such a broadband-serviceable location database.</w:t>
      </w:r>
      <w:r w:rsidRPr="00ED6163">
        <w:t xml:space="preserve">  We note that there are different types of errors possible in such a database, for example incorrectly counting a structure that does not need a broadband connection as a broadband-serviceable location, such as an abandoned house or a shed.  Including suc</w:t>
      </w:r>
      <w:r w:rsidRPr="00ED6163">
        <w:t>h locations might lead us to mistakenly direct USF support to a location that does not need broadband service.  Another type of error could be to exclude locations that should be included, such as a home in a heavily forested area that does not appear on s</w:t>
      </w:r>
      <w:r w:rsidRPr="00ED6163">
        <w:t>atellite imagery.  Such missed locations would not appear in the data collection at all and could be excluded from any USF support.  Finally, there also could be errors about the characteristics of a location, for example, designating a residential locatio</w:t>
      </w:r>
      <w:r w:rsidRPr="00ED6163">
        <w:t>n as a business or identifying the wrong building from among several on a given property.  We seek comment on how best to account for these and other possible challenges in building an accurate location-based database.</w:t>
      </w:r>
    </w:p>
    <w:p w:rsidR="00252A4C" w:rsidRPr="00ED6163" w:rsidP="009018DC" w14:paraId="1FC7B00B" w14:textId="77777777">
      <w:pPr>
        <w:pStyle w:val="ParaNum"/>
        <w:widowControl/>
      </w:pPr>
      <w:r w:rsidRPr="00ED6163">
        <w:t>We note that there are a limited numb</w:t>
      </w:r>
      <w:r w:rsidRPr="00ED6163">
        <w:t>er of data sources against which USAC could check such a dataset.  The U.S. Census Bureau publishes block-level data, including the number of housing units, but only every ten years and Census data do not generally include business locations.</w:t>
      </w:r>
      <w:r>
        <w:rPr>
          <w:rStyle w:val="FootnoteReference"/>
          <w:sz w:val="22"/>
        </w:rPr>
        <w:footnoteReference w:id="265"/>
      </w:r>
      <w:r w:rsidRPr="00ED6163">
        <w:t xml:space="preserve">  We seek co</w:t>
      </w:r>
      <w:r w:rsidRPr="00ED6163">
        <w:t>mment on whether the less granular county-level housing estimates the Census publishes yearly could be used as a data source for dataset verification.</w:t>
      </w:r>
      <w:r>
        <w:rPr>
          <w:rStyle w:val="FootnoteReference"/>
          <w:sz w:val="22"/>
        </w:rPr>
        <w:footnoteReference w:id="266"/>
      </w:r>
      <w:r w:rsidRPr="00947E6A">
        <w:t xml:space="preserve">  </w:t>
      </w:r>
      <w:r w:rsidRPr="00ED6163">
        <w:t>Furthermore, if we define a location as a parcel or building (rather than a housing unit), we would no</w:t>
      </w:r>
      <w:r w:rsidRPr="00ED6163">
        <w:t>t expect the counts to match the Census data.  The National Address Database and Open Address Database each provide a list of addresses and point locations for areas where they have coverage.</w:t>
      </w:r>
      <w:r>
        <w:rPr>
          <w:rStyle w:val="FootnoteReference"/>
          <w:sz w:val="22"/>
        </w:rPr>
        <w:footnoteReference w:id="267"/>
      </w:r>
      <w:r w:rsidRPr="00ED6163">
        <w:t xml:space="preserve">  Neither is a complete nationwide dataset, though they could b</w:t>
      </w:r>
      <w:r w:rsidRPr="00ED6163">
        <w:t xml:space="preserve">e useful for checking areas where they have data.  Each of these datasets has challenges, however.  For example, the data in the National Address Database do not appear to be updated on a regular schedule and often have multiple points for a given address </w:t>
      </w:r>
      <w:r w:rsidRPr="00ED6163">
        <w:t xml:space="preserve">(e.g., from state, county and local government), making it hard to get a count of points in a given area.  We seek comment on whether or how we can make use of such data sources.  We also seek input on whether there are other sources we should be aware of </w:t>
      </w:r>
      <w:r w:rsidRPr="00ED6163">
        <w:t>that could be useful as a check of a broadband-addressable location database.</w:t>
      </w:r>
    </w:p>
    <w:p w:rsidR="00252A4C" w:rsidRPr="00ED6163" w:rsidP="00410009" w14:paraId="4AB948A6" w14:textId="77777777">
      <w:pPr>
        <w:pStyle w:val="ParaNum"/>
      </w:pPr>
      <w:r w:rsidRPr="00ED6163">
        <w:t>As an alternative, we could take a statistically valid sample of the data points as a way to keep the database updated and accurate.</w:t>
      </w:r>
      <w:r>
        <w:rPr>
          <w:rStyle w:val="FootnoteReference"/>
          <w:sz w:val="22"/>
        </w:rPr>
        <w:footnoteReference w:id="268"/>
      </w:r>
      <w:r w:rsidRPr="00ED6163">
        <w:t xml:space="preserve">  We seek comment on how to stratify such a </w:t>
      </w:r>
      <w:r w:rsidRPr="00ED6163">
        <w:t>sample (are there distinct categories in the data—urban, suburban, rural, residential, business, Tribal, non-Tribal—that warrant distinct samples?).  We also seek comment about how to evaluate the quality of the sampled data.  Is it sufficient to look at s</w:t>
      </w:r>
      <w:r w:rsidRPr="00ED6163">
        <w:t>atellite imagery or would we need to inspect locations in person?</w:t>
      </w:r>
    </w:p>
    <w:p w:rsidR="00252A4C" w:rsidRPr="00ED6163" w:rsidP="00410009" w14:paraId="4124DA0D" w14:textId="77777777">
      <w:pPr>
        <w:pStyle w:val="ParaNum"/>
      </w:pPr>
      <w:r w:rsidRPr="00ED6163">
        <w:t>In addition, the Commission must consider the level of quality that it seeks to attain in using any database.  How should the Commission consider the trade-off between the time to improve th</w:t>
      </w:r>
      <w:r w:rsidRPr="00ED6163">
        <w:t>e database’s accuracy against the risks posed by any inaccuracies in the data?  Would any of these approaches or sources identified above, or others, be helpful in determining particular types of errors in the location database?  Should we incorporate publ</w:t>
      </w:r>
      <w:r w:rsidRPr="00ED6163">
        <w:t>ic feedback, as we are doing with regard to broadband service availability polygons, in order to improve the accuracy of such a broadband-serviceable location database?  And if so, how should we incorporate that data effectively?</w:t>
      </w:r>
    </w:p>
    <w:p w:rsidR="00252A4C" w:rsidRPr="00ED6163" w:rsidP="00410009" w14:paraId="3DCE0515" w14:textId="77777777">
      <w:pPr>
        <w:pStyle w:val="ParaNum"/>
      </w:pPr>
      <w:r w:rsidRPr="00ED6163">
        <w:t>With regard to the Broadba</w:t>
      </w:r>
      <w:r w:rsidRPr="00ED6163">
        <w:t>nd Mapping Coalition’s proposal</w:t>
      </w:r>
      <w:r>
        <w:t xml:space="preserve"> to integrate location data into the Digital Opportunity Data Collection</w:t>
      </w:r>
      <w:r w:rsidRPr="00ED6163">
        <w:t>, we seek comment on the use of two distinct data products used by the Broadband Mapping Coalition: a database of broadband-serviceable locations and a “</w:t>
      </w:r>
      <w:r w:rsidRPr="00ED6163">
        <w:t xml:space="preserve">lookup” tool for integrating provider addresses data into the locations database.  We seek comment on whether the lookup tool would be necessary given our adoption of availability-map reporting in the accompanying </w:t>
      </w:r>
      <w:r w:rsidRPr="00ED6163">
        <w:rPr>
          <w:i/>
        </w:rPr>
        <w:t>Report and Order</w:t>
      </w:r>
      <w:r w:rsidRPr="00ED6163">
        <w:t>.  In other words, if fixe</w:t>
      </w:r>
      <w:r w:rsidRPr="00ED6163">
        <w:t xml:space="preserve">d providers have invested the resources to create accurate polygons that depict the areas where their service is available, is an address-based lookup necessary at all?  In the event such a lookup is necessary, should USAC be responsible for creating that </w:t>
      </w:r>
      <w:r w:rsidRPr="00ED6163">
        <w:t>lookup?  And if USAC does develop a lookup, how can it ensure its accuracy?  The Broadband Mapping Coalition has noted that there are reliability problems with geocoders,</w:t>
      </w:r>
      <w:r>
        <w:rPr>
          <w:rStyle w:val="FootnoteReference"/>
          <w:sz w:val="22"/>
        </w:rPr>
        <w:footnoteReference w:id="269"/>
      </w:r>
      <w:r w:rsidRPr="00ED6163">
        <w:t xml:space="preserve"> particularly in rural areas.</w:t>
      </w:r>
      <w:r>
        <w:rPr>
          <w:rStyle w:val="FootnoteReference"/>
          <w:sz w:val="22"/>
        </w:rPr>
        <w:footnoteReference w:id="270"/>
      </w:r>
      <w:r w:rsidRPr="00ED6163">
        <w:t xml:space="preserve">  What steps can USAC take to ensure that this lookup</w:t>
      </w:r>
      <w:r w:rsidRPr="00ED6163">
        <w:t xml:space="preserve"> avoids some of the pitfalls the Broadband Mapping Coalition has observed?  For example, matching a provider’s address data to the Broadband Mapping Coalition’s address data might require matching several data fields, such as the street number and name, an</w:t>
      </w:r>
      <w:r w:rsidRPr="00ED6163">
        <w:t>y prefix or suffix, the city or town, state, and zip code, each with substantial possible variations.</w:t>
      </w:r>
      <w:r>
        <w:rPr>
          <w:rStyle w:val="FootnoteReference"/>
          <w:sz w:val="22"/>
        </w:rPr>
        <w:footnoteReference w:id="271"/>
      </w:r>
      <w:r w:rsidRPr="00ED6163">
        <w:t xml:space="preserve">  Should USAC accept only strict matches in order to avoid making mistakes, such as suggesting that a provider offers service in a location where it does</w:t>
      </w:r>
      <w:r w:rsidRPr="00ED6163">
        <w:t xml:space="preserve"> not because of a too-loose matching approach?  Is the risk greater of accepting low-quality matches, that is, identifying that service is available when it is not, or in rejecting too many matches for failing to meet quality criteria, potentially understa</w:t>
      </w:r>
      <w:r w:rsidRPr="00ED6163">
        <w:t>ting providers’ reach?  If USAC is matching only a relatively small fraction of provider addresses to the Broadband Mapping Coalition’s database, should it be USAC’s responsibility to improve the lookup or the providers’ responsibility to improve their sou</w:t>
      </w:r>
      <w:r w:rsidRPr="00ED6163">
        <w:t xml:space="preserve">rce data? </w:t>
      </w:r>
    </w:p>
    <w:p w:rsidR="00252A4C" w:rsidRPr="00ED6163" w:rsidP="00410009" w14:paraId="23A5C0BC" w14:textId="77777777">
      <w:pPr>
        <w:pStyle w:val="ParaNum"/>
      </w:pPr>
      <w:r w:rsidRPr="00ED6163">
        <w:t>The Broadband Mapping Coalition pilot also raises several methodological and technical questions.  For example, the Broadband Mapping Coalition chose which data sources to use, including negotiating the data rights associated with those sources;</w:t>
      </w:r>
      <w:r w:rsidRPr="00ED6163">
        <w:t xml:space="preserve"> the fields from those data sources used to help make determinations about what constitutes a location in the database; and the logic used.  For purposes of its pilot program, the Broadband Mapping Coalition also established, for example, a method for dete</w:t>
      </w:r>
      <w:r w:rsidRPr="00ED6163">
        <w:t xml:space="preserve">rmining if a single structure that spans multiple parcels is a row house that should be split into multiple locations and how to choose which building location to use as part of the database, when there are multiple buildings on a parcel, or whether there </w:t>
      </w:r>
      <w:r w:rsidRPr="00ED6163">
        <w:t xml:space="preserve">are certain circumstances when one might have more than one building, such as in a trailer park.  Are there determinations made by the Broadband Mapping Coalition as part of its pilot that the Commission should approach differently?    </w:t>
      </w:r>
    </w:p>
    <w:p w:rsidR="00252A4C" w:rsidRPr="00ED6163" w:rsidP="00410009" w14:paraId="28DFB86D" w14:textId="77777777">
      <w:pPr>
        <w:pStyle w:val="ParaNum"/>
      </w:pPr>
      <w:r w:rsidRPr="00ED6163">
        <w:t>We also seek commen</w:t>
      </w:r>
      <w:r w:rsidRPr="00ED6163">
        <w:t xml:space="preserve">t on whether, when, and how, after establishing a location-based fabric, USAC should implement </w:t>
      </w:r>
      <w:r>
        <w:t>incorporating the fabric into the Digital Opportunity Data Collection</w:t>
      </w:r>
      <w:r w:rsidRPr="00ED6163">
        <w:t xml:space="preserve">.  We seek comment on </w:t>
      </w:r>
      <w:r w:rsidRPr="00ED6163">
        <w:t>USTelecom’s</w:t>
      </w:r>
      <w:r w:rsidRPr="00ED6163">
        <w:t xml:space="preserve"> proposal that the creation of a location-based fabric run </w:t>
      </w:r>
      <w:r w:rsidRPr="00ED6163">
        <w:t>in parallel with the establishment of the online portal for our polygon-based approach.</w:t>
      </w:r>
      <w:r>
        <w:rPr>
          <w:rStyle w:val="FootnoteReference"/>
          <w:sz w:val="22"/>
        </w:rPr>
        <w:footnoteReference w:id="272"/>
      </w:r>
      <w:r w:rsidRPr="00ED6163">
        <w:t xml:space="preserve">  Is this a reasonable approach or would it be more reasonable </w:t>
      </w:r>
      <w:r>
        <w:t xml:space="preserve">to adopt a different transition </w:t>
      </w:r>
      <w:r w:rsidRPr="00ED6163">
        <w:t>time</w:t>
      </w:r>
      <w:r>
        <w:t xml:space="preserve"> for implementation</w:t>
      </w:r>
      <w:r w:rsidRPr="00ED6163">
        <w:t xml:space="preserve">? </w:t>
      </w:r>
      <w:r>
        <w:t>Will collecting locations for use as part of th</w:t>
      </w:r>
      <w:r>
        <w:t>e Digital Opportunity Data Collection impose additional burdens on filers, especially smaller providers, and (if so) would such burdens be outweighed by the benefits of using locations as part of the new collection?</w:t>
      </w:r>
      <w:r>
        <w:rPr>
          <w:rStyle w:val="FootnoteReference"/>
          <w:sz w:val="22"/>
        </w:rPr>
        <w:footnoteReference w:id="273"/>
      </w:r>
      <w:r w:rsidRPr="00ED6163">
        <w:t xml:space="preserve"> </w:t>
      </w:r>
      <w:r>
        <w:t xml:space="preserve"> </w:t>
      </w:r>
      <w:r w:rsidRPr="00ED6163">
        <w:t>In addition, ACA argues that fixed pr</w:t>
      </w:r>
      <w:r w:rsidRPr="00ED6163">
        <w:t>oviders not accepting Universal Service support should not be required to “publicly disclose individual location information since such information is considered to be competitively-sensitive.”</w:t>
      </w:r>
      <w:r>
        <w:rPr>
          <w:rStyle w:val="FootnoteReference"/>
          <w:sz w:val="22"/>
        </w:rPr>
        <w:footnoteReference w:id="274"/>
      </w:r>
      <w:r w:rsidRPr="00ED6163">
        <w:t xml:space="preserve">  We seek comment on ACA’s proposal.</w:t>
      </w:r>
    </w:p>
    <w:p w:rsidR="00252A4C" w:rsidRPr="00ED6163" w:rsidP="00410009" w14:paraId="29B2F60E" w14:textId="77777777">
      <w:pPr>
        <w:pStyle w:val="ParaNum"/>
      </w:pPr>
      <w:r w:rsidRPr="00ED6163">
        <w:t>In addition, we seek com</w:t>
      </w:r>
      <w:r w:rsidRPr="00ED6163">
        <w:t>ment on the extent to which any location-based database should be fully accessible by the public.  Should the full dataset be made available to the public or just the aggregate results from the filings?  To what extent should such location information be s</w:t>
      </w:r>
      <w:r w:rsidRPr="00ED6163">
        <w:t>hared with all providers?  Would full disclosure aid the Commission and USAC in gathering location-specific information from the public?  Would securing such rights lead to higher costs for the Commission than for the Broadband Mapping Coalition?</w:t>
      </w:r>
      <w:r>
        <w:rPr>
          <w:rStyle w:val="FootnoteReference"/>
          <w:sz w:val="22"/>
        </w:rPr>
        <w:footnoteReference w:id="275"/>
      </w:r>
      <w:r w:rsidRPr="00ED6163">
        <w:t xml:space="preserve">  Are there some data sources or fields that should not be made public?  Should members of the public be granted access to the actual database?  Should there be restrictions on who should be granted such access (e.g., governmental entities, other providers</w:t>
      </w:r>
      <w:r w:rsidRPr="00ED6163">
        <w:t>)?  We seek comment on these issues.</w:t>
      </w:r>
    </w:p>
    <w:p w:rsidR="00252A4C" w:rsidRPr="00ED6163" w:rsidP="00252A4C" w14:paraId="5196435D" w14:textId="77777777">
      <w:pPr>
        <w:pStyle w:val="Heading2"/>
        <w:rPr>
          <w:szCs w:val="22"/>
        </w:rPr>
      </w:pPr>
      <w:bookmarkStart w:id="147" w:name="_Toc13665592"/>
      <w:bookmarkStart w:id="148" w:name="_Toc13665779"/>
      <w:bookmarkStart w:id="149" w:name="_Toc15501960"/>
      <w:r w:rsidRPr="00ED6163">
        <w:rPr>
          <w:szCs w:val="22"/>
        </w:rPr>
        <w:t>Improving Mobile Broadband and Voice Data</w:t>
      </w:r>
      <w:bookmarkEnd w:id="130"/>
      <w:bookmarkEnd w:id="131"/>
      <w:bookmarkEnd w:id="147"/>
      <w:bookmarkEnd w:id="148"/>
      <w:bookmarkEnd w:id="149"/>
    </w:p>
    <w:p w:rsidR="00252A4C" w:rsidRPr="00947E6A" w:rsidP="00410009" w14:paraId="0CA31D2E" w14:textId="77777777">
      <w:pPr>
        <w:pStyle w:val="ParaNum"/>
        <w:rPr>
          <w:sz w:val="24"/>
        </w:rPr>
      </w:pPr>
      <w:r>
        <w:t xml:space="preserve">We seek comment on incorporating mobile wireless voice and broadband coverage into the Digital Opportunity Data Collection and what additional steps the Commission should </w:t>
      </w:r>
      <w:r>
        <w:t>take to obtain more accurate and reliable mobile broadband deployment data.  Obtaining accurate mobile broadband deployment data is challenging because measuring performance on mobile broadband networks is inherently variable even though coverage is genera</w:t>
      </w:r>
      <w:r>
        <w:t>lly reliable.  Mobile network speed at a particular location and the coverage area of any specific cell site can vary depending on a wide variety of factors, including: (1) the spectrum band employed; (2) cell traffic loading and network capacity in differ</w:t>
      </w:r>
      <w:r>
        <w:t>ent locations; (3) the availability and quality of cell site backhaul; (4) the capability of consumers’ devices; (5) whether a consumer is using a device indoors or outdoors; (6) terrain and the presence of obstacles between a consumer’s device and the pro</w:t>
      </w:r>
      <w:r>
        <w:t>vider’s nearest cell site (e.g., buildings, trees, and other local structures); and (7) weather conditions.  This inherent variability has two dimensions—temporal and spatial.  For example, a consumer’s handset may not receive a strong enough signal at a g</w:t>
      </w:r>
      <w:r>
        <w:t>iven location to maintain a reliable broadband speed, or the network may be overloaded at one moment, and then suddenly acquire a signal strong enough, or the network traffic load lightens enough, to maintain a connection at speeds of 5 Mbps or more.  This</w:t>
      </w:r>
      <w:r>
        <w:t xml:space="preserve"> makes the measurement of mobile broadband service at any specific location complex, as many factors can affect a user’s experience, making it difficult to develop a coverage map that provides the exact mobile coverage and speed that a consumer experiences</w:t>
      </w:r>
      <w:r>
        <w:t>.</w:t>
      </w:r>
      <w:r>
        <w:rPr>
          <w:rStyle w:val="FootnoteReference"/>
        </w:rPr>
        <w:footnoteReference w:id="276"/>
      </w:r>
      <w:r>
        <w:t xml:space="preserve">  Although no mobile broadband map will consistently reflect consumer experience with complete accuracy, wireless service providers must improve the quality of the data they submit.</w:t>
      </w:r>
      <w:r w:rsidRPr="00947E6A">
        <w:rPr>
          <w:sz w:val="24"/>
        </w:rPr>
        <w:t xml:space="preserve"> </w:t>
      </w:r>
    </w:p>
    <w:p w:rsidR="00252A4C" w:rsidP="00410009" w14:paraId="68A331BE" w14:textId="77777777">
      <w:pPr>
        <w:pStyle w:val="ParaNum"/>
      </w:pPr>
      <w:r w:rsidRPr="00ED6163">
        <w:rPr>
          <w:i/>
        </w:rPr>
        <w:t>Standardized Predictive Propagation Maps</w:t>
      </w:r>
      <w:r w:rsidRPr="00ED6163">
        <w:t xml:space="preserve">.  In the </w:t>
      </w:r>
      <w:r w:rsidRPr="00ED6163">
        <w:rPr>
          <w:i/>
        </w:rPr>
        <w:t>2017 Data Collection</w:t>
      </w:r>
      <w:r w:rsidRPr="00ED6163">
        <w:rPr>
          <w:i/>
        </w:rPr>
        <w:t xml:space="preserve"> Improvement FNPRM</w:t>
      </w:r>
      <w:r w:rsidRPr="00ED6163">
        <w:t>, the Commission sought comment on requiring the submission of coverage maps generated by propagation modeling software using standardized parameters for 4G LTE and later-generation technologies.</w:t>
      </w:r>
      <w:r>
        <w:rPr>
          <w:rStyle w:val="FootnoteReference"/>
          <w:sz w:val="22"/>
        </w:rPr>
        <w:footnoteReference w:id="277"/>
      </w:r>
      <w:r w:rsidRPr="00ED6163">
        <w:t xml:space="preserve">  It also sought comment on whether to sp</w:t>
      </w:r>
      <w:r w:rsidRPr="00ED6163">
        <w:t>ecify possible eligible models and to standardize to some extent the output of those models and certain input parameters, with the goal of allowing more meaningful comparisons among providers’ mobile broadband deployment.</w:t>
      </w:r>
      <w:r>
        <w:rPr>
          <w:rStyle w:val="FootnoteReference"/>
          <w:sz w:val="22"/>
        </w:rPr>
        <w:footnoteReference w:id="278"/>
      </w:r>
      <w:r w:rsidRPr="00ED6163">
        <w:t xml:space="preserve">  The Commission asked, for insta</w:t>
      </w:r>
      <w:r w:rsidRPr="00ED6163">
        <w:t>nce, whether it should require deployment maps to represent coverage at median speeds as well as speeds at the cell edge and, if so, how it should determine those speeds.</w:t>
      </w:r>
      <w:r>
        <w:rPr>
          <w:rStyle w:val="FootnoteReference"/>
          <w:sz w:val="22"/>
        </w:rPr>
        <w:footnoteReference w:id="279"/>
      </w:r>
      <w:r w:rsidRPr="00ED6163">
        <w:t xml:space="preserve">  The Commission inquired about a range of potential input parameters, including: (1</w:t>
      </w:r>
      <w:r w:rsidRPr="00ED6163">
        <w:t>) the location of cells in decimal degrees latitude and longitude; (2) channel bandwidth in megahertz; (3) signal strength; (4) signal quality with signal to noise ratio; (5) cell loading factors; and (6) terrain provided at a minimum resolution of three a</w:t>
      </w:r>
      <w:r w:rsidRPr="00ED6163">
        <w:t>rc-seconds.</w:t>
      </w:r>
      <w:r>
        <w:rPr>
          <w:rStyle w:val="FootnoteReference"/>
          <w:sz w:val="22"/>
        </w:rPr>
        <w:footnoteReference w:id="280"/>
      </w:r>
      <w:r w:rsidRPr="00ED6163">
        <w:t xml:space="preserve"> </w:t>
      </w:r>
    </w:p>
    <w:p w:rsidR="00252A4C" w:rsidRPr="00ED6163" w:rsidP="00410009" w14:paraId="57B84387" w14:textId="77777777">
      <w:pPr>
        <w:pStyle w:val="ParaNum"/>
      </w:pPr>
      <w:r w:rsidRPr="00ED6163">
        <w:t xml:space="preserve">In response to the </w:t>
      </w:r>
      <w:r w:rsidRPr="00ED6163">
        <w:rPr>
          <w:i/>
        </w:rPr>
        <w:t>2017 Data Collection Improvement FNPRM</w:t>
      </w:r>
      <w:r w:rsidRPr="00ED6163">
        <w:t xml:space="preserve">, several commenters expressed support for requiring providers to submit coverage maps based on standardized technical parameters.  AT&amp;T, for example, recommended requiring parameters </w:t>
      </w:r>
      <w:r w:rsidRPr="00ED6163">
        <w:t>“with a standard cell edge probability of attaining specific download speeds for each technology (3G/4G, 4G LTE and 5G),” and a “standard cell loading factor based on the geographic service area (e.g., 30% for rural areas; 50% for urban/suburban areas).”</w:t>
      </w:r>
      <w:r>
        <w:rPr>
          <w:vertAlign w:val="superscript"/>
        </w:rPr>
        <w:footnoteReference w:id="281"/>
      </w:r>
      <w:r w:rsidRPr="00ED6163">
        <w:t xml:space="preserve">  AT&amp;T further argued that the reporting of other parameters, such as signal strength and clutter factors, was unnecessary.</w:t>
      </w:r>
      <w:r>
        <w:rPr>
          <w:vertAlign w:val="superscript"/>
        </w:rPr>
        <w:footnoteReference w:id="282"/>
      </w:r>
      <w:r w:rsidRPr="00ED6163">
        <w:t xml:space="preserve">  The City of New York supported standardized parameters for median and edge speeds and stated that a median download speed of 10 M</w:t>
      </w:r>
      <w:r w:rsidRPr="00ED6163">
        <w:t>bps with an edge speed of 3 Mbps “may be sufficient for current 4G LTE deployments, but is unlikely to be sufficient for future-generation deployments.”</w:t>
      </w:r>
      <w:r>
        <w:rPr>
          <w:vertAlign w:val="superscript"/>
        </w:rPr>
        <w:footnoteReference w:id="283"/>
      </w:r>
      <w:r w:rsidRPr="00ED6163">
        <w:t xml:space="preserve">  Deere &amp; Company commented that propagation models should reflect “a signal strength of -85 dBm RSSI </w:t>
      </w:r>
      <w:r w:rsidRPr="00ED6163">
        <w:t>(Relative Signal Strength Indicator),” because a signal strength parameter would “accurately [reveal] where service quality is insufficient.”</w:t>
      </w:r>
      <w:r>
        <w:rPr>
          <w:vertAlign w:val="superscript"/>
        </w:rPr>
        <w:footnoteReference w:id="284"/>
      </w:r>
      <w:r w:rsidRPr="00ED6163">
        <w:t xml:space="preserve">  Other commenters urged the Commission to adopt the same parameters that it adopted for data collected in the Mo</w:t>
      </w:r>
      <w:r w:rsidRPr="00ED6163">
        <w:t>bility Fund Phase II (MF-II) proceeding.</w:t>
      </w:r>
      <w:r>
        <w:rPr>
          <w:vertAlign w:val="superscript"/>
        </w:rPr>
        <w:footnoteReference w:id="285"/>
      </w:r>
      <w:r w:rsidRPr="00ED6163">
        <w:t xml:space="preserve"> </w:t>
      </w:r>
    </w:p>
    <w:p w:rsidR="00252A4C" w:rsidRPr="00ED6163" w:rsidP="00410009" w14:paraId="53037566" w14:textId="77777777">
      <w:pPr>
        <w:pStyle w:val="ParaNum"/>
      </w:pPr>
      <w:r w:rsidRPr="00ED6163">
        <w:t>In 2017, in the MF-II proceeding, the Commission separately instituted a new, one-time collection of data to determine the deployment of 4G LTE for purposes of establishing the areas eligible for universal servic</w:t>
      </w:r>
      <w:r w:rsidRPr="00ED6163">
        <w:t>e support in the MF-II auction.</w:t>
      </w:r>
      <w:r>
        <w:rPr>
          <w:rStyle w:val="FootnoteReference"/>
          <w:sz w:val="22"/>
        </w:rPr>
        <w:footnoteReference w:id="286"/>
      </w:r>
      <w:r w:rsidRPr="00ED6163">
        <w:t xml:space="preserve">  Broadly consistent with an industry consensus proposal,</w:t>
      </w:r>
      <w:r>
        <w:rPr>
          <w:rStyle w:val="FootnoteReference"/>
          <w:sz w:val="22"/>
        </w:rPr>
        <w:footnoteReference w:id="287"/>
      </w:r>
      <w:r w:rsidRPr="00ED6163">
        <w:t xml:space="preserve"> the Commission standardized a number of technical parameters for the data collection to be used for MF-II.  In December 2018, the Commission suspended the subseque</w:t>
      </w:r>
      <w:r w:rsidRPr="00ED6163">
        <w:t>nt phase of the MF-II challenge process, in which providers that filed coverage maps and data regarding their 4G LTE coverage could respond to challenges, and launched an investigation into potential violations of MF-II challenge process rules by one or mo</w:t>
      </w:r>
      <w:r w:rsidRPr="00ED6163">
        <w:t>re major providers.</w:t>
      </w:r>
      <w:r>
        <w:rPr>
          <w:rStyle w:val="FootnoteReference"/>
          <w:sz w:val="22"/>
        </w:rPr>
        <w:footnoteReference w:id="288"/>
      </w:r>
      <w:r w:rsidRPr="00ED6163">
        <w:rPr>
          <w:bCs/>
        </w:rPr>
        <w:t xml:space="preserve">  The investigation remains ongoing.</w:t>
      </w:r>
    </w:p>
    <w:p w:rsidR="00252A4C" w:rsidRPr="00ED6163" w:rsidP="00410009" w14:paraId="46BB9E59" w14:textId="77777777">
      <w:pPr>
        <w:pStyle w:val="ParaNum"/>
      </w:pPr>
      <w:r w:rsidRPr="00ED6163">
        <w:t>We ask commenters to refresh the record on the potential use of RF signal prediction, including the mutual use (by the Commission and stakeholders) of a standardized RF propagation prediction model,</w:t>
      </w:r>
      <w:r w:rsidRPr="00ED6163">
        <w:t xml:space="preserve"> and standardized coverage maps for mobile services.  We observe that at least one other national regulator is considering a standardized RF propagation prediction method as a basis for verifying geographic coverage.</w:t>
      </w:r>
      <w:r>
        <w:rPr>
          <w:rStyle w:val="FootnoteReference"/>
          <w:sz w:val="22"/>
        </w:rPr>
        <w:footnoteReference w:id="289"/>
      </w:r>
      <w:r w:rsidRPr="00ED6163">
        <w:t xml:space="preserve"> Commenters should specifically discus</w:t>
      </w:r>
      <w:r w:rsidRPr="00ED6163">
        <w:t>s their experience in the MF-II proceeding.  Do commenters believe that requiring the submission of coverage maps using standardized RF propagation model(s) and parameters was or would be useful in demonstrating mobile broadband coverage?  What insights sh</w:t>
      </w:r>
      <w:r w:rsidRPr="00ED6163">
        <w:t>ould the Commission draw from the standardized parameters it established in that proceeding?  Do commenters view standardized RF signal strength prediction and technical parameters regarding download speed, cell loading, probability of coverage or confiden</w:t>
      </w:r>
      <w:r w:rsidRPr="00ED6163">
        <w:t>ce intervals as sufficient to demonstrate coverage?  If not, what additional parameters would generate better data that will allow meaningful comparisons of coverage between providers?  Should the Commission, for example, specify an upload speed parameter?</w:t>
      </w:r>
      <w:r w:rsidRPr="00ED6163">
        <w:t xml:space="preserve">  Should it specify a standardized signal strength level? Alternatively, should the Commission establish fewer or different parameters?  Would 5G technology require different standardized parameters?  Given that cell traffic loading and network capacity va</w:t>
      </w:r>
      <w:r w:rsidRPr="00ED6163">
        <w:t xml:space="preserve">ries with time and in different locations, how representative of loading do commenters view the 30% loading factor for rural areas established in the context of the MF-II proceeding as compared to standard network loading conditions at various locations?  </w:t>
      </w:r>
      <w:r w:rsidRPr="00ED6163">
        <w:t>Should we adopt a higher standard loading factor for urban areas?  Should we instead require mobile wireless service providers to maintain and report historical cell loading over a given reporting period?</w:t>
      </w:r>
    </w:p>
    <w:p w:rsidR="00252A4C" w:rsidRPr="00ED6163" w:rsidP="00410009" w14:paraId="26B6A36F" w14:textId="77777777">
      <w:pPr>
        <w:pStyle w:val="ParaNum"/>
      </w:pPr>
      <w:r w:rsidRPr="00ED6163">
        <w:t>Coverage models predict speed and coverage using as</w:t>
      </w:r>
      <w:r w:rsidRPr="00ED6163">
        <w:t>sumptions that are based on a combination of geographical and network information, including the location of network infrastructure and the power and capacity of network equipment.  Although providers continually refine models by adding additional data, th</w:t>
      </w:r>
      <w:r w:rsidRPr="00ED6163">
        <w:t>e inherent variability of mobile broadband performance will always affect their ability to predict an individual consumer’s experience at a particular time and location.  We seek commenters’ views on how best to specify technical parameters that would acco</w:t>
      </w:r>
      <w:r w:rsidRPr="00ED6163">
        <w:t>unt for the variability of mobile broadband performance.  Do commenters agree that all parameters must be subject to a specified probability standard or confidence interval?  Assuming a probability factor is necessary for describing coverage, do commenters</w:t>
      </w:r>
      <w:r w:rsidRPr="00ED6163">
        <w:t xml:space="preserve"> view the 80% probability factor at the cell edge established in the context of the MF-II proceeding as reasonable or would a higher probability parameter such as 90% be more appropriate?  </w:t>
      </w:r>
    </w:p>
    <w:p w:rsidR="00252A4C" w:rsidRPr="00ED6163" w:rsidP="00410009" w14:paraId="47A8B0C4" w14:textId="77777777">
      <w:pPr>
        <w:pStyle w:val="ParaNum"/>
      </w:pPr>
      <w:r w:rsidRPr="00ED6163">
        <w:rPr>
          <w:i/>
        </w:rPr>
        <w:t>GIS Data Format</w:t>
      </w:r>
      <w:r w:rsidRPr="00ED6163">
        <w:t>.  We ask commenters to refresh the record on wheth</w:t>
      </w:r>
      <w:r w:rsidRPr="00ED6163">
        <w:t>er providers should submit coverage maps as vector-formatted or raster-formatted GIS data.</w:t>
      </w:r>
      <w:r>
        <w:rPr>
          <w:rStyle w:val="FootnoteReference"/>
          <w:sz w:val="22"/>
        </w:rPr>
        <w:footnoteReference w:id="290"/>
      </w:r>
      <w:r w:rsidRPr="00ED6163">
        <w:t xml:space="preserve">  In the </w:t>
      </w:r>
      <w:r w:rsidRPr="00ED6163">
        <w:rPr>
          <w:i/>
        </w:rPr>
        <w:t>2017 Data Collection Improvement FNPRM</w:t>
      </w:r>
      <w:r w:rsidRPr="00ED6163">
        <w:t xml:space="preserve">, </w:t>
      </w:r>
      <w:bookmarkStart w:id="150" w:name="_Hlk13144772"/>
      <w:r w:rsidRPr="00ED6163">
        <w:t>the Commission sought comment on requiring the submission of raster data, noting that because deployment maps are t</w:t>
      </w:r>
      <w:r w:rsidRPr="00ED6163">
        <w:t>ypically developed in raster format and then converted into vector-formatted GIS data, the submission of raster data would appear to be less burdensome for filers than the submission of vector data</w:t>
      </w:r>
      <w:bookmarkEnd w:id="150"/>
      <w:r w:rsidRPr="00ED6163">
        <w:t>.</w:t>
      </w:r>
      <w:r>
        <w:rPr>
          <w:rStyle w:val="FootnoteReference"/>
          <w:sz w:val="22"/>
        </w:rPr>
        <w:footnoteReference w:id="291"/>
      </w:r>
      <w:r w:rsidRPr="00ED6163">
        <w:t xml:space="preserve">  The Commission also stated that, unlike vector data, r</w:t>
      </w:r>
      <w:r w:rsidRPr="00ED6163">
        <w:t xml:space="preserve">aster data would allow the Commission to “check the resolution of the submissions and to apply standard parameters, including simplified outputs and smoothing, when converting the </w:t>
      </w:r>
      <w:r w:rsidRPr="00ED6163">
        <w:t>rasters</w:t>
      </w:r>
      <w:r w:rsidRPr="00ED6163">
        <w:t xml:space="preserve"> to shapefiles for analysis.”</w:t>
      </w:r>
      <w:r>
        <w:rPr>
          <w:rStyle w:val="FootnoteReference"/>
          <w:sz w:val="22"/>
        </w:rPr>
        <w:footnoteReference w:id="292"/>
      </w:r>
      <w:r w:rsidRPr="00ED6163">
        <w:t xml:space="preserve">  Some commenters supporting such an a</w:t>
      </w:r>
      <w:r w:rsidRPr="00ED6163">
        <w:t>pproach argued that allowing the submission of raster data instead of vector data would help reduce the burdens associated with broadband data collection by allowing providers to skip the step of converting deployment data into vector format.</w:t>
      </w:r>
      <w:r>
        <w:rPr>
          <w:rStyle w:val="FootnoteReference"/>
          <w:sz w:val="22"/>
        </w:rPr>
        <w:footnoteReference w:id="293"/>
      </w:r>
      <w:r w:rsidRPr="00ED6163">
        <w:t xml:space="preserve">  We seek ad</w:t>
      </w:r>
      <w:r w:rsidRPr="00ED6163">
        <w:t>ditional comment on whether requiring the submission of raster-formatted rather than vector-formatted data would improve the ability to verify the accuracy of deployment data, and what file format is the least burdensome.  Would raster-formatted or vector-</w:t>
      </w:r>
      <w:r w:rsidRPr="00ED6163">
        <w:t>formatted data be preferable if the Commission decides to require providers to submit standardized coverage maps?  Should the Commission require, or in the alternative, permit filers to submit data using another file format, such as ESRI Geodatabase?</w:t>
      </w:r>
      <w:r>
        <w:t xml:space="preserve">  A</w:t>
      </w:r>
      <w:r w:rsidRPr="009738F0">
        <w:t>ddi</w:t>
      </w:r>
      <w:r w:rsidRPr="009738F0">
        <w:t>tionally</w:t>
      </w:r>
      <w:r>
        <w:t>,</w:t>
      </w:r>
      <w:r w:rsidRPr="009738F0">
        <w:t xml:space="preserve"> we seek comment as to what GIS standards, file formats, and technical specifications should be used to facilitate the most efficient and effective collection of data</w:t>
      </w:r>
      <w:r>
        <w:t>.</w:t>
      </w:r>
    </w:p>
    <w:p w:rsidR="00252A4C" w:rsidRPr="00ED6163" w:rsidP="00410009" w14:paraId="2D922812" w14:textId="77777777">
      <w:pPr>
        <w:pStyle w:val="ParaNum"/>
      </w:pPr>
      <w:r w:rsidRPr="00ED6163">
        <w:rPr>
          <w:i/>
        </w:rPr>
        <w:t>Infrastructure Information</w:t>
      </w:r>
      <w:r w:rsidRPr="00ED6163">
        <w:t xml:space="preserve">. We propose to require that, upon the </w:t>
      </w:r>
      <w:r w:rsidRPr="00ED6163">
        <w:t>Commission’s request, providers submit infrastructure information sufficient to allow for verification of the accuracy of providers’ broadband data.  A growing number of parties have suggested that mobile broadband coverage maps are inaccurate and have urg</w:t>
      </w:r>
      <w:r w:rsidRPr="00ED6163">
        <w:t>ed the Commission to implement mechanisms to verify provider data.</w:t>
      </w:r>
      <w:r>
        <w:rPr>
          <w:rStyle w:val="FootnoteReference"/>
          <w:sz w:val="22"/>
        </w:rPr>
        <w:footnoteReference w:id="294"/>
      </w:r>
      <w:r w:rsidRPr="00ED6163">
        <w:t xml:space="preserve">  To date, however, the Commission has not had the information necessary to examine the methodologies used by providers in generating coverage data, or whether these propagation models reflect actual consumer experience.</w:t>
      </w:r>
      <w:r>
        <w:rPr>
          <w:rStyle w:val="FootnoteReference"/>
          <w:sz w:val="22"/>
        </w:rPr>
        <w:footnoteReference w:id="295"/>
      </w:r>
      <w:r w:rsidRPr="00ED6163">
        <w:t xml:space="preserve">  In light of issues raised about </w:t>
      </w:r>
      <w:r w:rsidRPr="00ED6163">
        <w:t>the accuracy of coverage maps even after the Commission standardized some technical parameters in the MF-II proceeding, we anticipate that collecting accurate and recent network infrastructure information would be necessary to independently verify provider</w:t>
      </w:r>
      <w:r w:rsidRPr="00ED6163">
        <w:t xml:space="preserve">s’ data.  </w:t>
      </w:r>
      <w:r w:rsidRPr="00ED6163">
        <w:rPr>
          <w:color w:val="000000"/>
        </w:rPr>
        <w:t>Therefore, we propose to require that the provider submit, upon Commission request, the following information: (1) the geographic location of cell sites; (2) the height (above ground and sea level), type, and directional orientation of all transm</w:t>
      </w:r>
      <w:r w:rsidRPr="00ED6163">
        <w:rPr>
          <w:color w:val="000000"/>
        </w:rPr>
        <w:t xml:space="preserve">it antennas at each cell site; (3) operating radiated transmit power of the radio equipment at each cell site; (4) the capacity and type of backhaul used at each cell site; (5) all deployed spectrum bands and channel bandwidth in megahertz; (6) throughput </w:t>
      </w:r>
      <w:r w:rsidRPr="00ED6163">
        <w:rPr>
          <w:color w:val="000000"/>
        </w:rPr>
        <w:t>and associated required signal strength and signal to noise ratio; (7) cell loading factors; (8) deployed technologies (e.g., LTE Release 13) and (9) any terrain and land use information used in deriving clutter factors or other losses associated with each</w:t>
      </w:r>
      <w:r w:rsidRPr="00ED6163">
        <w:rPr>
          <w:color w:val="000000"/>
        </w:rPr>
        <w:t xml:space="preserve"> cell site.</w:t>
      </w:r>
      <w:r w:rsidRPr="00ED6163">
        <w:t xml:space="preserve">  We propose to require that a provider submit its infrastructure information within 30 days of receiving a request from the Commission.</w:t>
      </w:r>
      <w:r>
        <w:rPr>
          <w:rStyle w:val="FootnoteReference"/>
          <w:sz w:val="22"/>
        </w:rPr>
        <w:footnoteReference w:id="296"/>
      </w:r>
      <w:r w:rsidRPr="00ED6163">
        <w:t xml:space="preserve">  We ask for commenters’ views on our proposal.</w:t>
      </w:r>
    </w:p>
    <w:p w:rsidR="00252A4C" w:rsidRPr="00ED6163" w:rsidP="00410009" w14:paraId="5B17FE59" w14:textId="77777777">
      <w:pPr>
        <w:pStyle w:val="ParaNum"/>
      </w:pPr>
      <w:r w:rsidRPr="00ED6163">
        <w:t>At the outset, we recognize that providers may view the inf</w:t>
      </w:r>
      <w:r w:rsidRPr="00ED6163">
        <w:t>rastructure information we propose to collect as commercially sensitive information and we agree that such information should be treated as highly confidential.</w:t>
      </w:r>
      <w:r>
        <w:rPr>
          <w:rStyle w:val="FootnoteReference"/>
          <w:sz w:val="22"/>
        </w:rPr>
        <w:footnoteReference w:id="297"/>
      </w:r>
      <w:r w:rsidRPr="00ED6163">
        <w:t xml:space="preserve">  We seek comment on this view.  Do commenters agree that collecting network infrastructure in</w:t>
      </w:r>
      <w:r w:rsidRPr="00ED6163">
        <w:t xml:space="preserve">formation would be necessary to verify the accuracy of provider coverage map filings?  If not, without such data, what mechanisms are available to validate that providers’ coverage maps reflect reasonable predictions of consumer experience?  Do commenters </w:t>
      </w:r>
      <w:r w:rsidRPr="00ED6163">
        <w:t xml:space="preserve">view the infrastructure information included in our proposal as sufficient to evaluate providers’ mobile coverage and speed claims?  If not, we ask commenters to discuss any additional infrastructure information we should require.  Alternatively, does our </w:t>
      </w:r>
      <w:r w:rsidRPr="00ED6163">
        <w:t xml:space="preserve">proposal include any information that is not necessary?  We seek comment on the potential burden associated with requiring such information, particularly for small providers, and on steps we could take to minimize the potential burden.  </w:t>
      </w:r>
    </w:p>
    <w:p w:rsidR="00252A4C" w:rsidRPr="00ED6163" w:rsidP="00410009" w14:paraId="428584EF" w14:textId="77777777">
      <w:pPr>
        <w:pStyle w:val="ParaNum"/>
      </w:pPr>
      <w:r w:rsidRPr="00ED6163">
        <w:rPr>
          <w:i/>
        </w:rPr>
        <w:t>Supplement Data Co</w:t>
      </w:r>
      <w:r w:rsidRPr="00ED6163">
        <w:rPr>
          <w:i/>
        </w:rPr>
        <w:t>llections with On-The-Ground Data</w:t>
      </w:r>
      <w:r w:rsidRPr="00ED6163">
        <w:t xml:space="preserve">.  In addition to seeking comment on whether to require the submission of coverage maps based on standardized parameters, the </w:t>
      </w:r>
      <w:r w:rsidRPr="00ED6163">
        <w:rPr>
          <w:i/>
        </w:rPr>
        <w:t>2017 Data Collection Improvement FNPRM</w:t>
      </w:r>
      <w:r w:rsidRPr="00ED6163">
        <w:t xml:space="preserve"> sought comment on whether to require the submission of “on</w:t>
      </w:r>
      <w:r w:rsidRPr="00ED6163">
        <w:t>-the-ground” data as part of the broadband data collection.</w:t>
      </w:r>
      <w:r>
        <w:rPr>
          <w:rStyle w:val="FootnoteReference"/>
          <w:sz w:val="22"/>
        </w:rPr>
        <w:footnoteReference w:id="298"/>
      </w:r>
      <w:r w:rsidRPr="00ED6163">
        <w:t xml:space="preserve">  The Commission asked whether collecting on-the-ground data from providers, such as drive test data or tests taken from stationary points, would allow it to better evaluate consumer experience.</w:t>
      </w:r>
      <w:r>
        <w:rPr>
          <w:rStyle w:val="FootnoteReference"/>
          <w:sz w:val="22"/>
        </w:rPr>
        <w:footnoteReference w:id="299"/>
      </w:r>
      <w:r w:rsidRPr="00ED6163">
        <w:t xml:space="preserve">  It noted that collection of on-the-ground data could supplement the model-based data, improving the understanding of how the theoretical data relates to actual consumer experience.</w:t>
      </w:r>
      <w:r>
        <w:rPr>
          <w:rStyle w:val="FootnoteReference"/>
          <w:sz w:val="22"/>
        </w:rPr>
        <w:footnoteReference w:id="300"/>
      </w:r>
      <w:r w:rsidRPr="00ED6163">
        <w:t xml:space="preserve">  The Commission asked whether it should require speed test data, how i</w:t>
      </w:r>
      <w:r w:rsidRPr="00ED6163">
        <w:t>t could impose such a requirement without being unduly burdensome to small providers, and whether providers generate data of this kind during their ordinary course of business.</w:t>
      </w:r>
      <w:r>
        <w:rPr>
          <w:rStyle w:val="FootnoteReference"/>
          <w:sz w:val="22"/>
        </w:rPr>
        <w:footnoteReference w:id="301"/>
      </w:r>
    </w:p>
    <w:p w:rsidR="00252A4C" w:rsidRPr="00ED6163" w:rsidP="00410009" w14:paraId="17498E2F" w14:textId="77777777">
      <w:pPr>
        <w:pStyle w:val="ParaNum"/>
      </w:pPr>
      <w:r w:rsidRPr="00ED6163">
        <w:t>We ask commenters to refresh the record on these questions.  In their comment</w:t>
      </w:r>
      <w:r w:rsidRPr="00ED6163">
        <w:t xml:space="preserve">s on the </w:t>
      </w:r>
      <w:r w:rsidRPr="00ED6163">
        <w:rPr>
          <w:i/>
        </w:rPr>
        <w:t>2017 Data Collection Improvement FNPRM</w:t>
      </w:r>
      <w:r w:rsidRPr="00ED6163">
        <w:t>, some commenters supported a requirement that providers supplement their current broadband data with on-the-ground data.</w:t>
      </w:r>
      <w:r>
        <w:rPr>
          <w:rStyle w:val="FootnoteReference"/>
          <w:sz w:val="22"/>
        </w:rPr>
        <w:footnoteReference w:id="302"/>
      </w:r>
      <w:r w:rsidRPr="00ED6163">
        <w:t xml:space="preserve">  Other providers opposed collecting on-the-ground data; they argued that such a requi</w:t>
      </w:r>
      <w:r w:rsidRPr="00ED6163">
        <w:t>rement would impose unnecessary burdens on providers, especially since the Commission already had access to such information from third-party providers.</w:t>
      </w:r>
      <w:r>
        <w:rPr>
          <w:rStyle w:val="FootnoteReference"/>
          <w:sz w:val="22"/>
        </w:rPr>
        <w:footnoteReference w:id="303"/>
      </w:r>
      <w:r w:rsidRPr="00ED6163">
        <w:t xml:space="preserve">  Some also argued that speed test data generally had limited value given variations in providers’ spe</w:t>
      </w:r>
      <w:r w:rsidRPr="00ED6163">
        <w:t>ed test methodologies.</w:t>
      </w:r>
      <w:r>
        <w:rPr>
          <w:rStyle w:val="FootnoteReference"/>
          <w:sz w:val="22"/>
        </w:rPr>
        <w:footnoteReference w:id="304"/>
      </w:r>
      <w:r w:rsidRPr="00ED6163">
        <w:t xml:space="preserve">  What steps could the Commission take to address concerns about the meaningfulness and statistical validity of providers’ on-the-ground data?  Should the Commission specify the methodology that providers must use to collect and pro</w:t>
      </w:r>
      <w:r w:rsidRPr="00ED6163">
        <w:t>vide on-the-ground mobile network performance data?  If so, what parameters should the Commission establish for specific methodologies?  Should the Commission consider requiring use of a specific set of measurement equipment or software applications enabli</w:t>
      </w:r>
      <w:r w:rsidRPr="00ED6163">
        <w:t>ng measurement of mobile broadband speeds?  What measurement scenarios (i.e., indoor, outdoor, in-vehicle, stationary, mobile, height, etc.) should the Commission specify?   To what extent do providers already collect any such data in their ordinary course</w:t>
      </w:r>
      <w:r w:rsidRPr="00ED6163">
        <w:t xml:space="preserve"> of business?</w:t>
      </w:r>
      <w:r>
        <w:rPr>
          <w:rStyle w:val="FootnoteReference"/>
          <w:sz w:val="22"/>
        </w:rPr>
        <w:footnoteReference w:id="305"/>
      </w:r>
      <w:r w:rsidRPr="00ED6163">
        <w:t xml:space="preserve"> </w:t>
      </w:r>
    </w:p>
    <w:p w:rsidR="00252A4C" w:rsidRPr="00ED6163" w:rsidP="00410009" w14:paraId="7BE04DE1" w14:textId="77777777">
      <w:pPr>
        <w:pStyle w:val="ParaNum"/>
      </w:pPr>
      <w:r w:rsidRPr="00ED6163">
        <w:rPr>
          <w:i/>
        </w:rPr>
        <w:t>Crowdsourced Data.</w:t>
      </w:r>
      <w:r w:rsidRPr="00ED6163">
        <w:t xml:space="preserve">  Consistent with the public feedback mechanism we adopt for fixed providers in the Digital Opportunity Data Collection, we propose to collect similar crowdsourced data for purposes of improving the quality of mobile broa</w:t>
      </w:r>
      <w:r w:rsidRPr="00ED6163">
        <w:t>dband deployment data and seek comment on how to incorporate such data into data quality analysis.  Crowdsourced data are generated by mobile broadband users who voluntarily download speed test apps on their mobile devices.  The Commission has used crowdso</w:t>
      </w:r>
      <w:r w:rsidRPr="00ED6163">
        <w:t>urced data in assessing service availability and in various Commission reports.</w:t>
      </w:r>
      <w:r>
        <w:rPr>
          <w:rStyle w:val="FootnoteReference"/>
          <w:sz w:val="22"/>
        </w:rPr>
        <w:footnoteReference w:id="306"/>
      </w:r>
      <w:r w:rsidRPr="00ED6163">
        <w:t xml:space="preserve">  For example, in its most recent Broadband Deployment Report, the Commission supplemented Form 477 data with </w:t>
      </w:r>
      <w:r w:rsidRPr="00ED6163">
        <w:t>Ookla</w:t>
      </w:r>
      <w:r w:rsidRPr="00ED6163">
        <w:t xml:space="preserve"> crowdsourced speed test data in assessing the deployment of</w:t>
      </w:r>
      <w:r w:rsidRPr="00ED6163">
        <w:t xml:space="preserve"> advanced telecommunications capability for mobile services.</w:t>
      </w:r>
      <w:r>
        <w:rPr>
          <w:rStyle w:val="FootnoteReference"/>
          <w:sz w:val="22"/>
        </w:rPr>
        <w:footnoteReference w:id="307"/>
      </w:r>
      <w:r w:rsidRPr="00ED6163">
        <w:t xml:space="preserve">  Crowdsourced data can serve as an inexpensive tool to validate speed and coverage claims by providing independent measurements of actual consumer experience on a mobile network across a variet</w:t>
      </w:r>
      <w:r w:rsidRPr="00ED6163">
        <w:t>y of times and locations.  Crowdsourced data have certain limitations, however.  For example, speed tests that consumers usually initiate manually and perform only at specific times or places may introduce bias into the data and provide a less accurate pic</w:t>
      </w:r>
      <w:r w:rsidRPr="00ED6163">
        <w:t>ture of overall broadband performance.</w:t>
      </w:r>
      <w:r>
        <w:rPr>
          <w:rStyle w:val="FootnoteReference"/>
          <w:sz w:val="22"/>
        </w:rPr>
        <w:footnoteReference w:id="308"/>
      </w:r>
      <w:r w:rsidRPr="00ED6163">
        <w:t xml:space="preserve">  More generally, the methods by which different speed test apps collect data vary and may not use techniques that control for geographic location, type of device, whether the test is performed indoors or outdoors, a</w:t>
      </w:r>
      <w:r w:rsidRPr="00ED6163">
        <w:t>nd traffic along the network path not controlled by the wireless provider.  In addition, there may be a small sample problem with respect to some crowdsourced data, especially in rural areas where there may sometimes be very few speed tests.  And, given th</w:t>
      </w:r>
      <w:r w:rsidRPr="00ED6163">
        <w:t xml:space="preserve">e probabilistic nature of mobile wireless service in general, we note that crowdsourced data may not indicate an inaccuracy in the data from the coverage map as much as a difference in conditions.  </w:t>
      </w:r>
    </w:p>
    <w:p w:rsidR="00252A4C" w:rsidRPr="00ED6163" w:rsidP="00410009" w14:paraId="6718A267" w14:textId="77777777">
      <w:pPr>
        <w:pStyle w:val="ParaNum"/>
      </w:pPr>
      <w:r w:rsidRPr="00ED6163">
        <w:t>We seek comment on developments in crowdsourcing applicat</w:t>
      </w:r>
      <w:r w:rsidRPr="00ED6163">
        <w:t>ions and on ways in which the Commission can make greater use of third-party crowdsourced data to create more accurate and reliable mobile broadband maps.  While we recognize the potential limitations, we nonetheless believe that crowdsourced data can serv</w:t>
      </w:r>
      <w:r w:rsidRPr="00ED6163">
        <w:t>e as an important supplement to the information we collect from providers by independently measuring mobile broadband speed and availability.  We ask parties to discuss potential sources of crowdsourced data as well as alternatives to crowdsourced data tha</w:t>
      </w:r>
      <w:r w:rsidRPr="00ED6163">
        <w:t>t can provide similar benefits.  How should the Commission make greater use of third-party crowdsourced data?</w:t>
      </w:r>
      <w:r>
        <w:rPr>
          <w:rStyle w:val="FootnoteReference"/>
          <w:sz w:val="22"/>
        </w:rPr>
        <w:footnoteReference w:id="309"/>
      </w:r>
      <w:r w:rsidRPr="00ED6163">
        <w:t xml:space="preserve">  How should the Commission determine which data to use, what limitations affect the use of such data, and how can they be resolved?  How can we </w:t>
      </w:r>
      <w:r w:rsidRPr="00ED6163">
        <w:t>best make use of the Commission’s own crowdsourcing application—the Measuring Mobile Broadband speed test?</w:t>
      </w:r>
      <w:r>
        <w:rPr>
          <w:rStyle w:val="FootnoteReference"/>
          <w:sz w:val="22"/>
        </w:rPr>
        <w:footnoteReference w:id="310"/>
      </w:r>
      <w:r w:rsidRPr="00ED6163">
        <w:t xml:space="preserve">  </w:t>
      </w:r>
      <w:r>
        <w:t>Are there particular areas, such as rural areas, Tribal areas, or urban areas, or situations, such as hours of peak capacity, in which the Measuri</w:t>
      </w:r>
      <w:r>
        <w:t xml:space="preserve">ng Mobile Broadband speed test app would perform particularly well?  How else can the FCC’s own crowdsourcing application be better used?  </w:t>
      </w:r>
      <w:r w:rsidRPr="00ED6163">
        <w:t>How can the Commission make greater use of crowdsourced data collected by local, state, or Tribal governmental entiti</w:t>
      </w:r>
      <w:r w:rsidRPr="00ED6163">
        <w:t>es?  What steps should the Commission take to ensure that the crowdsourced data it uses are statistically valid and provide accurate information?  How should the Commission handle cases in which crowdsourced data show that service is unavailable in an area</w:t>
      </w:r>
      <w:r w:rsidRPr="00ED6163">
        <w:t xml:space="preserve"> where a provider claims broadband availability?  </w:t>
      </w:r>
    </w:p>
    <w:p w:rsidR="00252A4C" w:rsidRPr="00ED6163" w:rsidP="00410009" w14:paraId="371B3863" w14:textId="77777777">
      <w:pPr>
        <w:pStyle w:val="ParaNum"/>
      </w:pPr>
      <w:r w:rsidRPr="00ED6163">
        <w:rPr>
          <w:i/>
        </w:rPr>
        <w:t>Sampling Methodologies</w:t>
      </w:r>
      <w:r w:rsidRPr="00ED6163">
        <w:t>.  We also seek comment on other potential approaches for verifying submitted mobile broadband deployment data.  Should the Commission establish a structured sampling process to verif</w:t>
      </w:r>
      <w:r w:rsidRPr="00ED6163">
        <w:t>y the information it collects from providers?  The Commission has used third-party structured sample data to assess service availability in its analysis of the mobile wireless industry.</w:t>
      </w:r>
      <w:r>
        <w:rPr>
          <w:rStyle w:val="FootnoteReference"/>
          <w:sz w:val="22"/>
        </w:rPr>
        <w:footnoteReference w:id="311"/>
      </w:r>
      <w:r w:rsidRPr="00ED6163">
        <w:t xml:space="preserve">  Structured sample data help ensure statistical validity by controll</w:t>
      </w:r>
      <w:r w:rsidRPr="00ED6163">
        <w:t>ing for the location and time of the tests as well as for the devices used in the test and may be collected using stationary indoor or outdoor tests or drive tests.</w:t>
      </w:r>
      <w:r>
        <w:rPr>
          <w:rStyle w:val="FootnoteReference"/>
          <w:sz w:val="22"/>
        </w:rPr>
        <w:footnoteReference w:id="312"/>
      </w:r>
      <w:r w:rsidRPr="00ED6163">
        <w:t xml:space="preserve">  But structured sample data can be expensive and involve judgments about when and where t</w:t>
      </w:r>
      <w:r w:rsidRPr="00ED6163">
        <w:t>o run tests.  Structured sample data may not include sufficient testing at indoor locations or in rural areas.  We seek comment on whether the Commission should expand the use of structured sample data or even establish its own structured sample testing pr</w:t>
      </w:r>
      <w:r w:rsidRPr="00ED6163">
        <w:t xml:space="preserve">ogram to verify provider filings regarding mobile broadband coverage and speed?  If so, then how can the Commission create a program that will produce a rich and useful dataset?   </w:t>
      </w:r>
    </w:p>
    <w:p w:rsidR="00252A4C" w:rsidRPr="00ED6163" w:rsidP="00410009" w14:paraId="2A4F082E" w14:textId="77777777">
      <w:pPr>
        <w:pStyle w:val="ParaNum"/>
      </w:pPr>
      <w:r w:rsidRPr="00ED6163">
        <w:t xml:space="preserve">In response to the </w:t>
      </w:r>
      <w:r w:rsidRPr="00ED6163">
        <w:rPr>
          <w:i/>
        </w:rPr>
        <w:t>2017 Data Collection Improvement FNPRM</w:t>
      </w:r>
      <w:r w:rsidRPr="00ED6163">
        <w:t>, the California P</w:t>
      </w:r>
      <w:r w:rsidRPr="00ED6163">
        <w:t>UC supported the Commission’s adoption of a structured sample approach.</w:t>
      </w:r>
      <w:r>
        <w:rPr>
          <w:rStyle w:val="FootnoteReference"/>
          <w:sz w:val="22"/>
        </w:rPr>
        <w:footnoteReference w:id="313"/>
      </w:r>
      <w:r w:rsidRPr="00ED6163">
        <w:t xml:space="preserve">  It argued that collecting drive test data at the state level provides “the most effective measure of actual mobile broadband service speeds.”</w:t>
      </w:r>
      <w:r>
        <w:rPr>
          <w:rStyle w:val="FootnoteReference"/>
          <w:sz w:val="22"/>
        </w:rPr>
        <w:footnoteReference w:id="314"/>
      </w:r>
      <w:r w:rsidRPr="00ED6163">
        <w:t xml:space="preserve">  It suggested that the Commission designate a defined set of points nationwide and contract with a third party</w:t>
      </w:r>
      <w:r w:rsidRPr="00ED6163">
        <w:t xml:space="preserve"> to deliver speed test data from those locations.</w:t>
      </w:r>
      <w:r>
        <w:rPr>
          <w:rStyle w:val="FootnoteReference"/>
          <w:sz w:val="22"/>
        </w:rPr>
        <w:footnoteReference w:id="315"/>
      </w:r>
      <w:r w:rsidRPr="00ED6163">
        <w:t xml:space="preserve">  We seek commenters’ views on such an approach.  Assuming the Commission establishes its own testing process, how should it design a process that will produce a useful dataset?  Should the Commission establish partnerships to collect drive test informatio</w:t>
      </w:r>
      <w:r w:rsidRPr="00ED6163">
        <w:t>n?  For example, should the Commission explore creating a pilot program with the United States Postal Service or other delivery organization with a nationwide fleet, to gather mobile performance data?  Under such an approach, postal trucks could be equippe</w:t>
      </w:r>
      <w:r w:rsidRPr="00ED6163">
        <w:t xml:space="preserve">d to collect mobile deployment and speed data as they travel on their routes in rural areas.  We seek comment on the feasibility of creating such a program.  What other partnerships should the Commission explore? </w:t>
      </w:r>
    </w:p>
    <w:p w:rsidR="00252A4C" w:rsidRPr="00ED6163" w:rsidP="00410009" w14:paraId="34F99ADD" w14:textId="77777777">
      <w:pPr>
        <w:pStyle w:val="ParaNum"/>
      </w:pPr>
      <w:r w:rsidRPr="00ED6163">
        <w:rPr>
          <w:i/>
        </w:rPr>
        <w:t>Drone</w:t>
      </w:r>
      <w:r>
        <w:rPr>
          <w:i/>
        </w:rPr>
        <w:t xml:space="preserve">s and Other </w:t>
      </w:r>
      <w:r w:rsidRPr="00ED6163">
        <w:rPr>
          <w:i/>
        </w:rPr>
        <w:t>Testing</w:t>
      </w:r>
      <w:r>
        <w:rPr>
          <w:i/>
        </w:rPr>
        <w:t xml:space="preserve"> Technologies</w:t>
      </w:r>
      <w:r w:rsidRPr="00ED6163">
        <w:t>.  We</w:t>
      </w:r>
      <w:r w:rsidRPr="00ED6163">
        <w:t xml:space="preserve"> seek comment on the use of aerial drone testing</w:t>
      </w:r>
      <w:r>
        <w:t>, and other technologies,</w:t>
      </w:r>
      <w:r w:rsidRPr="005D5217">
        <w:t xml:space="preserve"> </w:t>
      </w:r>
      <w:r>
        <w:t xml:space="preserve">such as satellites, </w:t>
      </w:r>
      <w:r w:rsidRPr="00ED6163">
        <w:t xml:space="preserve">to verify data accuracy, with a particular emphasis on using </w:t>
      </w:r>
      <w:r>
        <w:t xml:space="preserve">such technologies </w:t>
      </w:r>
      <w:r w:rsidRPr="00ED6163">
        <w:t xml:space="preserve">to conduct sample audits of provider-submitted mobile deployment data.  </w:t>
      </w:r>
      <w:r>
        <w:t>For example</w:t>
      </w:r>
      <w:r>
        <w:t>, d</w:t>
      </w:r>
      <w:r w:rsidRPr="00ED6163">
        <w:t>rone testing, like drive testing, measures signal strength and coverage using various software solutions (e.g., crowdsourcing and network performance applications) loaded onto smartphones mounted to a testing platform.</w:t>
      </w:r>
      <w:r>
        <w:rPr>
          <w:vertAlign w:val="superscript"/>
        </w:rPr>
        <w:footnoteReference w:id="316"/>
      </w:r>
      <w:r w:rsidRPr="00ED6163">
        <w:t xml:space="preserve">  Service providers have begun us</w:t>
      </w:r>
      <w:r w:rsidRPr="00ED6163">
        <w:t>ing drones to measure coverage and signal strength of their networks, demonstrating that drones are a viable mobile network performance testing method.</w:t>
      </w:r>
      <w:r>
        <w:rPr>
          <w:vertAlign w:val="superscript"/>
        </w:rPr>
        <w:footnoteReference w:id="317"/>
      </w:r>
      <w:r w:rsidRPr="00ED6163">
        <w:rPr>
          <w:bCs/>
        </w:rPr>
        <w:t xml:space="preserve">  We note that both drive and drone testing have significant limitations due to the inherent probabilis</w:t>
      </w:r>
      <w:r w:rsidRPr="00ED6163">
        <w:rPr>
          <w:bCs/>
        </w:rPr>
        <w:t>tic nature of mobile network performance testing.</w:t>
      </w:r>
      <w:r>
        <w:rPr>
          <w:bCs/>
          <w:vertAlign w:val="superscript"/>
        </w:rPr>
        <w:footnoteReference w:id="318"/>
      </w:r>
      <w:r w:rsidRPr="00ED6163">
        <w:rPr>
          <w:bCs/>
        </w:rPr>
        <w:t xml:space="preserve">  </w:t>
      </w:r>
    </w:p>
    <w:p w:rsidR="00252A4C" w:rsidRPr="00ED6163" w:rsidP="00410009" w14:paraId="66B6D511" w14:textId="77777777">
      <w:pPr>
        <w:pStyle w:val="ParaNum"/>
      </w:pPr>
      <w:r w:rsidRPr="00ED6163">
        <w:t xml:space="preserve">We seek comment generally on the cost elements of drone </w:t>
      </w:r>
      <w:r>
        <w:t xml:space="preserve">and other types of </w:t>
      </w:r>
      <w:r w:rsidRPr="00ED6163">
        <w:t>testing</w:t>
      </w:r>
      <w:r>
        <w:t xml:space="preserve"> technologies</w:t>
      </w:r>
      <w:r w:rsidRPr="00ED6163">
        <w:t xml:space="preserve"> and the relative contribution of each element to overall cost.  </w:t>
      </w:r>
      <w:r>
        <w:t>For instance, d</w:t>
      </w:r>
      <w:r w:rsidRPr="00ED6163">
        <w:t>rones may need fuel or batt</w:t>
      </w:r>
      <w:r w:rsidRPr="00ED6163">
        <w:t>ery replacements more frequently than vehicles used in drive testing platforms.</w:t>
      </w:r>
      <w:r>
        <w:rPr>
          <w:vertAlign w:val="superscript"/>
        </w:rPr>
        <w:footnoteReference w:id="319"/>
      </w:r>
      <w:r w:rsidRPr="00ED6163">
        <w:t xml:space="preserve">  Are these costs significant?  How do roadway density, population, weather and natural and man-made terrain features affect the cost of drone testing?  How does flight durati</w:t>
      </w:r>
      <w:r w:rsidRPr="00ED6163">
        <w:t>on affect costs?</w:t>
      </w:r>
      <w:r>
        <w:rPr>
          <w:rStyle w:val="FootnoteReference"/>
          <w:sz w:val="22"/>
        </w:rPr>
        <w:footnoteReference w:id="320"/>
      </w:r>
      <w:r w:rsidRPr="00ED6163">
        <w:t xml:space="preserve">  </w:t>
      </w:r>
      <w:bookmarkStart w:id="151" w:name="_Hlk12349019"/>
      <w:r w:rsidRPr="00ED6163">
        <w:t xml:space="preserve">Are there cost-effective ways to mitigate survey time?  </w:t>
      </w:r>
      <w:bookmarkEnd w:id="151"/>
      <w:r w:rsidRPr="00ED6163">
        <w:t xml:space="preserve">What proportion of costs are attributable to the drone operator?  What other costs are significant? </w:t>
      </w:r>
    </w:p>
    <w:p w:rsidR="00252A4C" w:rsidRPr="00ED6163" w:rsidP="009018DC" w14:paraId="0F18E3A4" w14:textId="77777777">
      <w:pPr>
        <w:pStyle w:val="ParaNum"/>
        <w:widowControl/>
      </w:pPr>
      <w:r w:rsidRPr="00ED6163">
        <w:t>We also seek comment on unique barriers that may affect the usefulness and prac</w:t>
      </w:r>
      <w:r w:rsidRPr="00ED6163">
        <w:t>ticality of conducting network performance testing using drones</w:t>
      </w:r>
      <w:r>
        <w:t xml:space="preserve"> and other technologies</w:t>
      </w:r>
      <w:r w:rsidRPr="00ED6163">
        <w:t>.  USAC recently performed drone and drive tests to measure mobile wireless coverage and quality in Puerto Rico post-hurricanes.</w:t>
      </w:r>
      <w:r>
        <w:rPr>
          <w:vertAlign w:val="superscript"/>
        </w:rPr>
        <w:footnoteReference w:id="321"/>
      </w:r>
      <w:r w:rsidRPr="00ED6163">
        <w:t xml:space="preserve">  USAC’s initial analysis shows that dro</w:t>
      </w:r>
      <w:r w:rsidRPr="00ED6163">
        <w:t xml:space="preserve">ne and drive-tests can provide </w:t>
      </w:r>
      <w:r w:rsidRPr="00ED6163">
        <w:rPr>
          <w:bCs/>
        </w:rPr>
        <w:t>a comparable picture of network coverage and service quality in a given area, although drone tests are subject to specific variables that the test design should take into account.</w:t>
      </w:r>
      <w:r>
        <w:rPr>
          <w:vertAlign w:val="superscript"/>
        </w:rPr>
        <w:footnoteReference w:id="322"/>
      </w:r>
      <w:r w:rsidRPr="00ED6163">
        <w:t xml:space="preserve"> </w:t>
      </w:r>
      <w:r w:rsidRPr="00ED6163">
        <w:rPr>
          <w:bCs/>
        </w:rPr>
        <w:t xml:space="preserve"> </w:t>
      </w:r>
      <w:r w:rsidRPr="00ED6163">
        <w:t>What specific testing parameters should ap</w:t>
      </w:r>
      <w:r w:rsidRPr="00ED6163">
        <w:t>ply to drone data collection compared to drive testing</w:t>
      </w:r>
      <w:r>
        <w:t>, satellites,</w:t>
      </w:r>
      <w:r w:rsidRPr="00ED6163">
        <w:t xml:space="preserve"> and crowdsourcing to ensure uniform results across methods?  Are there any specific technical requirements (e.g., antenna, on-board processing) necessary to ensure uniform results across t</w:t>
      </w:r>
      <w:r w:rsidRPr="00ED6163">
        <w:t xml:space="preserve">esting methods?  Are there places and/or terrain where </w:t>
      </w:r>
      <w:r>
        <w:t xml:space="preserve">specific technologies </w:t>
      </w:r>
      <w:r w:rsidRPr="00ED6163">
        <w:t>are either uniquely suited to surveying or, alternatively, currently unable to perform a valid network performance test, regardless of the cost?</w:t>
      </w:r>
      <w:r>
        <w:rPr>
          <w:vertAlign w:val="superscript"/>
        </w:rPr>
        <w:footnoteReference w:id="323"/>
      </w:r>
      <w:r w:rsidRPr="00ED6163">
        <w:t xml:space="preserve">    </w:t>
      </w:r>
    </w:p>
    <w:p w:rsidR="00252A4C" w:rsidRPr="00ED6163" w:rsidP="00410009" w14:paraId="48E1C4B9" w14:textId="77777777">
      <w:pPr>
        <w:pStyle w:val="ParaNum"/>
      </w:pPr>
      <w:r w:rsidRPr="00ED6163">
        <w:t>We seek comment on future te</w:t>
      </w:r>
      <w:r w:rsidRPr="00ED6163">
        <w:t>chnological advances that may increase drone efficiency.</w:t>
      </w:r>
      <w:r>
        <w:rPr>
          <w:vertAlign w:val="superscript"/>
        </w:rPr>
        <w:footnoteReference w:id="324"/>
      </w:r>
      <w:r w:rsidRPr="00ED6163">
        <w:t xml:space="preserve">  Are advanced drone technologies ready and available today, at sufficiently low costs, to use widely?  If not, what is a likely timeframe for their widespread adoption?  Finally, we seek comment on</w:t>
      </w:r>
      <w:r w:rsidRPr="00ED6163">
        <w:t xml:space="preserve"> whether there are other technologies in addition to drones that can be used to measure signal strength and data accuracy. </w:t>
      </w:r>
    </w:p>
    <w:p w:rsidR="00252A4C" w:rsidRPr="00ED6163" w:rsidP="00410009" w14:paraId="1844C540" w14:textId="77777777">
      <w:pPr>
        <w:pStyle w:val="ParaNum"/>
      </w:pPr>
      <w:r w:rsidRPr="00ED6163">
        <w:rPr>
          <w:i/>
        </w:rPr>
        <w:t>Availability of Mobile Broadband Deployment Data</w:t>
      </w:r>
      <w:r w:rsidRPr="00ED6163">
        <w:t>.  Finally, we seek comment on ways we can make mobile broadband deployment data mor</w:t>
      </w:r>
      <w:r w:rsidRPr="00ED6163">
        <w:t>e available to the public.  Currently, the Commission makes available on its website both coverage shapefiles, by provider and technology, as well as the deployment data represented in those shapefiles disaggregated to census blocks, based on two different</w:t>
      </w:r>
      <w:r w:rsidRPr="00ED6163">
        <w:t xml:space="preserve"> methodologies.</w:t>
      </w:r>
      <w:r>
        <w:rPr>
          <w:rStyle w:val="FootnoteReference"/>
          <w:sz w:val="22"/>
        </w:rPr>
        <w:footnoteReference w:id="325"/>
      </w:r>
      <w:r w:rsidRPr="00ED6163">
        <w:t xml:space="preserve">  In addition, the Commission has created a limited number of visualizations of the mobile deployment data including a map of nationwide mobile wireless coverage and a map of LTE coverage by number of providers.</w:t>
      </w:r>
      <w:r>
        <w:rPr>
          <w:rStyle w:val="FootnoteReference"/>
          <w:sz w:val="22"/>
        </w:rPr>
        <w:footnoteReference w:id="326"/>
      </w:r>
      <w:r w:rsidRPr="00ED6163">
        <w:t xml:space="preserve">  As the Commission works </w:t>
      </w:r>
      <w:r w:rsidRPr="00ED6163">
        <w:t xml:space="preserve">to improve its data collection, we seek comment on whether we should provide additional visualizations of mobile broadband deployment data.  Now that we have determined in the </w:t>
      </w:r>
      <w:r w:rsidRPr="00ED6163">
        <w:rPr>
          <w:i/>
        </w:rPr>
        <w:t>Report and Order</w:t>
      </w:r>
      <w:r w:rsidRPr="00ED6163">
        <w:t xml:space="preserve"> that, going forward, we will publish nationwide provider-specif</w:t>
      </w:r>
      <w:r w:rsidRPr="00ED6163">
        <w:t>ic coverage maps that depict minimum advertised or expected speed data, what additional maps or other visualizations would help provide useful information to the public?  Should we make this data available to the public in any other formats?  We seek comme</w:t>
      </w:r>
      <w:r w:rsidRPr="00ED6163">
        <w:t xml:space="preserve">nt on how the proposals described in this </w:t>
      </w:r>
      <w:r w:rsidRPr="00ED6163">
        <w:rPr>
          <w:i/>
        </w:rPr>
        <w:t xml:space="preserve">Second Notice </w:t>
      </w:r>
      <w:r w:rsidRPr="00ED6163">
        <w:t xml:space="preserve">would affect the Commission’s ability to provide additional visualizations of mobile broadband data.  </w:t>
      </w:r>
    </w:p>
    <w:p w:rsidR="00252A4C" w:rsidP="00410009" w14:paraId="214FEC23" w14:textId="77777777">
      <w:pPr>
        <w:pStyle w:val="ParaNum"/>
      </w:pPr>
      <w:bookmarkStart w:id="152" w:name="_Toc12632400"/>
      <w:bookmarkStart w:id="153" w:name="_Toc12632832"/>
      <w:r w:rsidRPr="00ED6163">
        <w:rPr>
          <w:i/>
        </w:rPr>
        <w:t>Changes to the Collection of Mobile Voice and Broadband Subscription Data</w:t>
      </w:r>
      <w:bookmarkEnd w:id="152"/>
      <w:bookmarkEnd w:id="153"/>
      <w:r w:rsidRPr="00ED6163">
        <w:t xml:space="preserve">.  </w:t>
      </w:r>
      <w:r>
        <w:t xml:space="preserve">We seek comment on other changes to improve the collection of subscription data.  </w:t>
      </w:r>
      <w:r w:rsidRPr="00243691">
        <w:t>For example, should we combine the mobile voice and broadband subscription data filing requirements</w:t>
      </w:r>
      <w:r w:rsidRPr="00B21E2A">
        <w:t>?</w:t>
      </w:r>
      <w:r w:rsidRPr="00243691">
        <w:t xml:space="preserve">  Consolidat</w:t>
      </w:r>
      <w:r w:rsidRPr="00C6107F">
        <w:t>ing these data could provide a better understanding of the mar</w:t>
      </w:r>
      <w:r w:rsidRPr="00C6107F">
        <w:t>ketplace, as consumers increasingly subscribe to both broadband and voice service.  In the current form, providers are required to include subscriptions to mobile broadband plans purchased “on a standalone basis, as an add-on feature to a voice subscriptio</w:t>
      </w:r>
      <w:r w:rsidRPr="00C6107F">
        <w:t>n, or bundled with a voice subscription.”</w:t>
      </w:r>
      <w:r>
        <w:rPr>
          <w:rStyle w:val="FootnoteReference"/>
          <w:sz w:val="22"/>
        </w:rPr>
        <w:footnoteReference w:id="327"/>
      </w:r>
      <w:r w:rsidRPr="00B21E2A">
        <w:t xml:space="preserve">  We propose to require providers to report whether subscriptions are data only, voice only, or provided as a bundle.  These data could provide us with a better understanding of whether and how consumers purchase </w:t>
      </w:r>
      <w:r w:rsidRPr="00B21E2A">
        <w:t>and use mobile services, in addition to allowing us to continue to track those who only subscribe to voice service.</w:t>
      </w:r>
    </w:p>
    <w:p w:rsidR="00252A4C" w:rsidRPr="00ED6163" w:rsidP="00410009" w14:paraId="1222C3EC" w14:textId="77777777">
      <w:pPr>
        <w:pStyle w:val="ParaNum"/>
      </w:pPr>
      <w:r w:rsidRPr="00ED6163">
        <w:t>We propose to require facilities-based mobile broadband and/or voice service providers to report whether subscriptions are enterprise, gover</w:t>
      </w:r>
      <w:r w:rsidRPr="00ED6163">
        <w:t xml:space="preserve">nment, wholesale, prepaid retail, or postpaid retail.  These data serve an important purpose in understanding the marketplace for mobile services, that aid in competitive analysis, particularly in transaction review.  Should we require providers to submit </w:t>
      </w:r>
      <w:r w:rsidRPr="00ED6163">
        <w:t>data about Internet of Things (IoT) or Machine-to-Machine (M2M) subscriptions?  Do these subscriptions make up enough of the marketplace for mobile services that they should be tracked?  Would a combined subscription filing—as opposed to the current separa</w:t>
      </w:r>
      <w:r w:rsidRPr="00ED6163">
        <w:t>te filings—likely reduce or increase the burden on filers?  We also propose to eliminate the requirement to report mobile broadband subscription data by minimum upload and download speed given that this information is already submitted with broadband deplo</w:t>
      </w:r>
      <w:r w:rsidRPr="00ED6163">
        <w:t xml:space="preserve">yment data. </w:t>
      </w:r>
    </w:p>
    <w:p w:rsidR="00252A4C" w:rsidRPr="00ED6163" w:rsidP="009018DC" w14:paraId="5AC2F9F8" w14:textId="77777777">
      <w:pPr>
        <w:pStyle w:val="ParaNum"/>
        <w:widowControl/>
      </w:pPr>
      <w:r w:rsidRPr="00ED6163">
        <w:t>We also seek comment on how best to assign prepaid and reseller subscribers to a particular census tract.  CTIA observes that, while place of primary use address is technically feasible for postpaid-customer subscription data at the census-tra</w:t>
      </w:r>
      <w:r w:rsidRPr="00ED6163">
        <w:t>ct level, the primary place of use methodology is “challenging for mobile providers when applied to prepaid customer and reseller data.”</w:t>
      </w:r>
      <w:r>
        <w:rPr>
          <w:rStyle w:val="FootnoteReference"/>
          <w:sz w:val="22"/>
        </w:rPr>
        <w:footnoteReference w:id="328"/>
      </w:r>
      <w:r w:rsidRPr="00ED6163">
        <w:t xml:space="preserve">  CTIA states that the Mobile Telecommunications Sourcing Act, which defines primary place of use,</w:t>
      </w:r>
      <w:r>
        <w:rPr>
          <w:rStyle w:val="FootnoteReference"/>
          <w:sz w:val="22"/>
        </w:rPr>
        <w:footnoteReference w:id="329"/>
      </w:r>
      <w:r w:rsidRPr="00ED6163">
        <w:t xml:space="preserve"> does not apply to</w:t>
      </w:r>
      <w:r w:rsidRPr="00ED6163">
        <w:t xml:space="preserve"> prepaid customers,</w:t>
      </w:r>
      <w:r>
        <w:rPr>
          <w:rStyle w:val="FootnoteReference"/>
          <w:sz w:val="22"/>
        </w:rPr>
        <w:footnoteReference w:id="330"/>
      </w:r>
      <w:r w:rsidRPr="00ED6163">
        <w:t xml:space="preserve"> as those customers are taxed at the point of sale, and using place of primary use for prepaid customers is likely infeasible.</w:t>
      </w:r>
      <w:r>
        <w:rPr>
          <w:rStyle w:val="FootnoteReference"/>
          <w:sz w:val="22"/>
        </w:rPr>
        <w:footnoteReference w:id="331"/>
      </w:r>
      <w:r w:rsidRPr="00ED6163">
        <w:t xml:space="preserve">  We seek comment regarding how best to assign prepaid subscribers to census tracts, based on CTIA’s concer</w:t>
      </w:r>
      <w:r w:rsidRPr="00ED6163">
        <w:t xml:space="preserve">n.  In the </w:t>
      </w:r>
      <w:r w:rsidRPr="00ED6163">
        <w:rPr>
          <w:i/>
        </w:rPr>
        <w:t>Report and O</w:t>
      </w:r>
      <w:r w:rsidRPr="00CB5663">
        <w:rPr>
          <w:i/>
        </w:rPr>
        <w:t>rder</w:t>
      </w:r>
      <w:r w:rsidRPr="00ED6163">
        <w:t xml:space="preserve">, we require mobile providers, on an interim basis, to assign prepaid and resold mobile voice and broadband subscribers to a census tract, based on their telephone number.  Is there a methodology that can measure more accurately </w:t>
      </w:r>
      <w:r w:rsidRPr="00ED6163">
        <w:t>where these customers use their service, particularly for those mobile broadband subscribers that may only have an IP address?  Should we require providers to attribute prepaid subscribers to the census tract where they purchased the service?  Is this appr</w:t>
      </w:r>
      <w:r w:rsidRPr="00ED6163">
        <w:t>oach feasible, and does it increase the accuracy of the data?  Could mobile providers submit aggregated data that samples where the device is primarily used without raising privacy or other concerns?  Is there another consistent methodology that could be a</w:t>
      </w:r>
      <w:r w:rsidRPr="00ED6163">
        <w:t xml:space="preserve">pplied to postpaid and prepaid subscribers that accurately attributes those subscribers to a census tract?  </w:t>
      </w:r>
    </w:p>
    <w:p w:rsidR="00252A4C" w:rsidRPr="00ED6163" w:rsidP="00252A4C" w14:paraId="04FC72A5" w14:textId="77777777">
      <w:pPr>
        <w:pStyle w:val="Heading2"/>
        <w:rPr>
          <w:szCs w:val="22"/>
        </w:rPr>
      </w:pPr>
      <w:bookmarkStart w:id="154" w:name="_Toc12376449"/>
      <w:bookmarkStart w:id="155" w:name="_Hlk12472819"/>
      <w:bookmarkStart w:id="156" w:name="_Toc12632406"/>
      <w:bookmarkStart w:id="157" w:name="_Toc12632838"/>
      <w:bookmarkStart w:id="158" w:name="_Toc13665594"/>
      <w:bookmarkStart w:id="159" w:name="_Toc13665781"/>
      <w:bookmarkStart w:id="160" w:name="_Toc15501961"/>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ED6163">
        <w:rPr>
          <w:szCs w:val="22"/>
        </w:rPr>
        <w:t>Sunsetting the Form 477</w:t>
      </w:r>
      <w:bookmarkEnd w:id="154"/>
      <w:r w:rsidRPr="00ED6163">
        <w:rPr>
          <w:szCs w:val="22"/>
        </w:rPr>
        <w:t xml:space="preserve"> Broadband Deployment Data Collection</w:t>
      </w:r>
      <w:bookmarkEnd w:id="155"/>
      <w:bookmarkEnd w:id="156"/>
      <w:bookmarkEnd w:id="157"/>
      <w:bookmarkEnd w:id="158"/>
      <w:bookmarkEnd w:id="159"/>
      <w:bookmarkEnd w:id="160"/>
    </w:p>
    <w:p w:rsidR="00252A4C" w:rsidRPr="00ED6163" w:rsidP="00252A4C" w14:paraId="63C6C55C" w14:textId="77777777">
      <w:pPr>
        <w:numPr>
          <w:ilvl w:val="0"/>
          <w:numId w:val="2"/>
        </w:numPr>
        <w:tabs>
          <w:tab w:val="num" w:pos="1440"/>
        </w:tabs>
        <w:spacing w:after="120"/>
        <w:rPr>
          <w:szCs w:val="22"/>
        </w:rPr>
      </w:pPr>
      <w:r w:rsidRPr="00ED6163">
        <w:rPr>
          <w:szCs w:val="22"/>
        </w:rPr>
        <w:t xml:space="preserve">Over the long term, we expect the Digital Opportunity Data Collection will </w:t>
      </w:r>
      <w:r w:rsidRPr="00ED6163">
        <w:rPr>
          <w:szCs w:val="22"/>
        </w:rPr>
        <w:t>largely displace the Form 477 process, at least with respect to the collection of granular deployment data.  We therefore seek comment on discontinuing the broadband deployment data collection that is part of Form 477 at some point after the new collection</w:t>
      </w:r>
      <w:r w:rsidRPr="00ED6163">
        <w:rPr>
          <w:szCs w:val="22"/>
        </w:rPr>
        <w:t xml:space="preserve"> has been established.  Under what conditions would eliminating that part of the broadband data collection be appropriate?  What would be an appropriate timetable for sunsetting both the mobile and fixed Form 477 broadband data collections?  Are there othe</w:t>
      </w:r>
      <w:r w:rsidRPr="00ED6163">
        <w:rPr>
          <w:szCs w:val="22"/>
        </w:rPr>
        <w:t>r portions of the Form 477 collection we should consider sunsetting as well?</w:t>
      </w:r>
    </w:p>
    <w:p w:rsidR="00252A4C" w:rsidRPr="00947E6A" w:rsidP="00252A4C" w14:paraId="5B8E34B6" w14:textId="77777777">
      <w:pPr>
        <w:pStyle w:val="Heading1"/>
        <w:numPr>
          <w:ilvl w:val="0"/>
          <w:numId w:val="0"/>
        </w:numPr>
        <w:ind w:left="720"/>
      </w:pPr>
      <w:bookmarkStart w:id="161" w:name="_Toc477187545"/>
      <w:bookmarkStart w:id="162" w:name="_Toc477187685"/>
      <w:bookmarkStart w:id="163" w:name="_Toc477187941"/>
      <w:bookmarkStart w:id="164" w:name="_Toc477188043"/>
      <w:bookmarkStart w:id="165" w:name="_Toc477188130"/>
      <w:bookmarkStart w:id="166" w:name="_Toc477189018"/>
      <w:bookmarkStart w:id="167" w:name="_Toc477445783"/>
      <w:bookmarkStart w:id="168" w:name="_Toc477453001"/>
      <w:bookmarkStart w:id="169" w:name="_Toc477453167"/>
      <w:bookmarkStart w:id="170" w:name="_Toc477796026"/>
      <w:bookmarkStart w:id="171" w:name="_Toc478050624"/>
      <w:bookmarkStart w:id="172" w:name="_Toc478138486"/>
      <w:bookmarkStart w:id="173" w:name="_Toc478139501"/>
      <w:bookmarkStart w:id="174" w:name="_Toc478139607"/>
      <w:bookmarkStart w:id="175" w:name="_Toc478139658"/>
      <w:bookmarkStart w:id="176" w:name="_Toc478394353"/>
      <w:bookmarkStart w:id="177" w:name="_Toc478398215"/>
      <w:bookmarkStart w:id="178" w:name="_Toc478403110"/>
      <w:bookmarkStart w:id="179" w:name="_Toc478460154"/>
      <w:bookmarkStart w:id="180" w:name="_Toc478476701"/>
      <w:bookmarkStart w:id="181" w:name="_Toc479943039"/>
      <w:bookmarkStart w:id="182" w:name="_Toc480388543"/>
      <w:bookmarkStart w:id="183" w:name="_Toc12632407"/>
      <w:bookmarkStart w:id="184" w:name="_Toc12632839"/>
      <w:bookmarkStart w:id="185" w:name="_Toc15501962"/>
      <w:r w:rsidRPr="00947E6A">
        <w:t>V.</w:t>
      </w:r>
      <w:r w:rsidRPr="00947E6A">
        <w:tab/>
        <w:t>PROCEDURAL MATTERS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252A4C" w:rsidRPr="00ED6163" w:rsidP="00410009" w14:paraId="7988FF3C" w14:textId="77777777">
      <w:pPr>
        <w:pStyle w:val="ParaNum"/>
      </w:pPr>
      <w:r w:rsidRPr="00ED6163">
        <w:rPr>
          <w:i/>
        </w:rPr>
        <w:t xml:space="preserve">Ex </w:t>
      </w:r>
      <w:r w:rsidRPr="00ED6163">
        <w:rPr>
          <w:i/>
        </w:rPr>
        <w:t>Parte</w:t>
      </w:r>
      <w:r w:rsidRPr="00ED6163">
        <w:rPr>
          <w:i/>
        </w:rPr>
        <w:t xml:space="preserve"> Rules.  </w:t>
      </w:r>
      <w:r w:rsidRPr="00ED6163">
        <w:t xml:space="preserve">This proceeding shall be treated as a “permit-but-disclose” proceeding in accordance with the Commission’s </w:t>
      </w:r>
      <w:r w:rsidRPr="00ED6163">
        <w:rPr>
          <w:i/>
        </w:rPr>
        <w:t xml:space="preserve">ex </w:t>
      </w:r>
      <w:r w:rsidRPr="00ED6163">
        <w:rPr>
          <w:i/>
        </w:rPr>
        <w:t>parte</w:t>
      </w:r>
      <w:r w:rsidRPr="00ED6163">
        <w:rPr>
          <w:i/>
        </w:rPr>
        <w:t xml:space="preserve"> </w:t>
      </w:r>
      <w:r w:rsidRPr="00ED6163">
        <w:t>rules.</w:t>
      </w:r>
      <w:r>
        <w:rPr>
          <w:rStyle w:val="FootnoteReference"/>
          <w:sz w:val="22"/>
        </w:rPr>
        <w:footnoteReference w:id="332"/>
      </w:r>
      <w:r w:rsidRPr="00ED6163">
        <w:t xml:space="preserve">  Persons making</w:t>
      </w:r>
      <w:r w:rsidRPr="00ED6163">
        <w:t xml:space="preserve"> </w:t>
      </w:r>
      <w:r w:rsidRPr="00ED6163">
        <w:rPr>
          <w:i/>
        </w:rPr>
        <w:t xml:space="preserve">ex </w:t>
      </w:r>
      <w:r w:rsidRPr="00ED6163">
        <w:rPr>
          <w:i/>
        </w:rPr>
        <w:t>parte</w:t>
      </w:r>
      <w:r w:rsidRPr="00ED6163">
        <w:rPr>
          <w:i/>
        </w:rPr>
        <w:t xml:space="preserve"> </w:t>
      </w:r>
      <w:r w:rsidRPr="00ED6163">
        <w:t xml:space="preserve">presentations must file a copy of any written presentation or a memorandum summarizing any oral presentation within two business days after the presentation (unless a different deadline applicable to the Sunshine period applies).  Persons making </w:t>
      </w:r>
      <w:r w:rsidRPr="00ED6163">
        <w:t xml:space="preserve">oral </w:t>
      </w:r>
      <w:r w:rsidRPr="00ED6163">
        <w:rPr>
          <w:i/>
        </w:rPr>
        <w:t xml:space="preserve">ex </w:t>
      </w:r>
      <w:r w:rsidRPr="00ED6163">
        <w:rPr>
          <w:i/>
        </w:rPr>
        <w:t>parte</w:t>
      </w:r>
      <w:r w:rsidRPr="00ED6163">
        <w:rPr>
          <w:i/>
        </w:rPr>
        <w:t xml:space="preserve"> </w:t>
      </w:r>
      <w:r w:rsidRPr="00ED6163">
        <w:t xml:space="preserve">presentations are reminded that memoranda summarizing the presentation must (1) list all persons attending or otherwise participating in the meeting at which the </w:t>
      </w:r>
      <w:r w:rsidRPr="00ED6163">
        <w:rPr>
          <w:i/>
        </w:rPr>
        <w:t xml:space="preserve">ex </w:t>
      </w:r>
      <w:r w:rsidRPr="00ED6163">
        <w:rPr>
          <w:i/>
        </w:rPr>
        <w:t>parte</w:t>
      </w:r>
      <w:r w:rsidRPr="00ED6163">
        <w:rPr>
          <w:i/>
        </w:rPr>
        <w:t xml:space="preserve"> </w:t>
      </w:r>
      <w:r w:rsidRPr="00ED6163">
        <w:t>presentation was made, and (2) summarize all data presented and argumen</w:t>
      </w:r>
      <w:r w:rsidRPr="00ED6163">
        <w:t>ts made during the presentation.  If the presentation consisted in whole or in part of the presentation of data or arguments already reflected in the presenter’s written comments, memoranda, or other filings in the proceeding, then the presenter may provid</w:t>
      </w:r>
      <w:r w:rsidRPr="00ED6163">
        <w:t>e citations to such data or arguments in his or her prior comments, memoranda, or other filings (specifying the relevant page and/or paragraph numbers where such data or arguments can be found) in lieu of summarizing them in the memorandum.  Documents show</w:t>
      </w:r>
      <w:r w:rsidRPr="00ED6163">
        <w:t xml:space="preserve">n or given to Commission staff during </w:t>
      </w:r>
      <w:r w:rsidRPr="00ED6163">
        <w:rPr>
          <w:i/>
        </w:rPr>
        <w:t xml:space="preserve">ex </w:t>
      </w:r>
      <w:r w:rsidRPr="00ED6163">
        <w:rPr>
          <w:i/>
        </w:rPr>
        <w:t>parte</w:t>
      </w:r>
      <w:r w:rsidRPr="00ED6163">
        <w:rPr>
          <w:i/>
        </w:rPr>
        <w:t xml:space="preserve"> </w:t>
      </w:r>
      <w:r w:rsidRPr="00ED6163">
        <w:t xml:space="preserve">meetings are deemed to be written </w:t>
      </w:r>
      <w:r w:rsidRPr="00ED6163">
        <w:rPr>
          <w:i/>
        </w:rPr>
        <w:t xml:space="preserve">ex </w:t>
      </w:r>
      <w:r w:rsidRPr="00ED6163">
        <w:rPr>
          <w:i/>
        </w:rPr>
        <w:t>parte</w:t>
      </w:r>
      <w:r w:rsidRPr="00ED6163">
        <w:t xml:space="preserve"> presentations and must be filed consistent with 47 CFR § 1.1206(b).  In proceedings governed 47 CFR § 1.49(f), or for which the Commission has made available a method</w:t>
      </w:r>
      <w:r w:rsidRPr="00ED6163">
        <w:t xml:space="preserve"> of electronic filing, written </w:t>
      </w:r>
      <w:r w:rsidRPr="00ED6163">
        <w:rPr>
          <w:i/>
        </w:rPr>
        <w:t xml:space="preserve">ex </w:t>
      </w:r>
      <w:r w:rsidRPr="00ED6163">
        <w:rPr>
          <w:i/>
        </w:rPr>
        <w:t>parte</w:t>
      </w:r>
      <w:r w:rsidRPr="00ED6163">
        <w:rPr>
          <w:i/>
        </w:rPr>
        <w:t xml:space="preserve"> </w:t>
      </w:r>
      <w:r w:rsidRPr="00ED6163">
        <w:t xml:space="preserve">presentations and memoranda summarizing oral </w:t>
      </w:r>
      <w:r w:rsidRPr="00ED6163">
        <w:rPr>
          <w:i/>
        </w:rPr>
        <w:t xml:space="preserve">ex </w:t>
      </w:r>
      <w:r w:rsidRPr="00ED6163">
        <w:rPr>
          <w:i/>
        </w:rPr>
        <w:t>parte</w:t>
      </w:r>
      <w:r w:rsidRPr="00ED6163">
        <w:rPr>
          <w:i/>
        </w:rPr>
        <w:t xml:space="preserve"> </w:t>
      </w:r>
      <w:r w:rsidRPr="00ED6163">
        <w:t>presentations, and all attachments thereto, must be filed through the electronic comment filing system available for that proceeding and must be filed in their na</w:t>
      </w:r>
      <w:r w:rsidRPr="00ED6163">
        <w:t>tive format (</w:t>
      </w:r>
      <w:r w:rsidRPr="00ED6163">
        <w:rPr>
          <w:i/>
        </w:rPr>
        <w:t>e.g.</w:t>
      </w:r>
      <w:r w:rsidRPr="00ED6163">
        <w:t xml:space="preserve">, .doc, .xml, .ppt, searchable .pdf).  Participants in this proceeding should familiarize themselves with the Commission’s </w:t>
      </w:r>
      <w:r w:rsidRPr="00ED6163">
        <w:rPr>
          <w:i/>
        </w:rPr>
        <w:t xml:space="preserve">ex </w:t>
      </w:r>
      <w:r w:rsidRPr="00ED6163">
        <w:rPr>
          <w:i/>
        </w:rPr>
        <w:t>parte</w:t>
      </w:r>
      <w:r w:rsidRPr="00ED6163">
        <w:rPr>
          <w:i/>
        </w:rPr>
        <w:t xml:space="preserve"> </w:t>
      </w:r>
      <w:r w:rsidRPr="00ED6163">
        <w:t>rules.</w:t>
      </w:r>
    </w:p>
    <w:p w:rsidR="00252A4C" w:rsidRPr="00ED6163" w:rsidP="00252A4C" w14:paraId="17B487D3" w14:textId="77777777">
      <w:pPr>
        <w:numPr>
          <w:ilvl w:val="0"/>
          <w:numId w:val="2"/>
        </w:numPr>
        <w:tabs>
          <w:tab w:val="clear" w:pos="1080"/>
          <w:tab w:val="num" w:pos="1440"/>
        </w:tabs>
        <w:spacing w:after="120"/>
        <w:rPr>
          <w:szCs w:val="22"/>
        </w:rPr>
      </w:pPr>
      <w:bookmarkStart w:id="186" w:name="_Toc477445785"/>
      <w:bookmarkStart w:id="187" w:name="_Toc477453003"/>
      <w:bookmarkStart w:id="188" w:name="_Toc477453169"/>
      <w:bookmarkStart w:id="189" w:name="_Toc477796028"/>
      <w:bookmarkStart w:id="190" w:name="_Toc478050626"/>
      <w:bookmarkStart w:id="191" w:name="_Toc478138488"/>
      <w:bookmarkStart w:id="192" w:name="_Toc478139503"/>
      <w:bookmarkStart w:id="193" w:name="_Toc478139609"/>
      <w:bookmarkStart w:id="194" w:name="_Toc478139660"/>
      <w:bookmarkStart w:id="195" w:name="_Toc478394355"/>
      <w:bookmarkStart w:id="196" w:name="_Toc478398217"/>
      <w:bookmarkStart w:id="197" w:name="_Toc478403112"/>
      <w:bookmarkStart w:id="198" w:name="_Toc478460156"/>
      <w:bookmarkStart w:id="199" w:name="_Toc478476703"/>
      <w:bookmarkStart w:id="200" w:name="_Toc479943041"/>
      <w:bookmarkStart w:id="201" w:name="_Toc480388545"/>
      <w:bookmarkStart w:id="202" w:name="_Toc386545062"/>
      <w:bookmarkStart w:id="203" w:name="_Toc386712802"/>
      <w:bookmarkStart w:id="204" w:name="_Toc386718148"/>
      <w:bookmarkStart w:id="205" w:name="_Toc386719081"/>
      <w:bookmarkStart w:id="206" w:name="_Toc387323145"/>
      <w:bookmarkStart w:id="207" w:name="_Toc387323724"/>
      <w:bookmarkStart w:id="208" w:name="_Toc387323786"/>
      <w:bookmarkStart w:id="209" w:name="_Toc387323858"/>
      <w:bookmarkStart w:id="210" w:name="_Toc387645431"/>
      <w:bookmarkStart w:id="211" w:name="_Toc387645675"/>
      <w:bookmarkStart w:id="212" w:name="_Toc387645982"/>
      <w:bookmarkStart w:id="213" w:name="_Toc387646126"/>
      <w:bookmarkStart w:id="214" w:name="_Toc387745065"/>
      <w:bookmarkStart w:id="215" w:name="_Toc387922706"/>
      <w:bookmarkStart w:id="216" w:name="_Toc387922863"/>
      <w:bookmarkStart w:id="217" w:name="_Toc387923004"/>
      <w:bookmarkStart w:id="218" w:name="_Toc387923324"/>
      <w:bookmarkStart w:id="219" w:name="_Toc387923755"/>
      <w:bookmarkStart w:id="220" w:name="_Toc387924474"/>
      <w:bookmarkStart w:id="221" w:name="_Toc388526900"/>
      <w:bookmarkStart w:id="222" w:name="_Toc389026276"/>
      <w:bookmarkStart w:id="223" w:name="_Toc391479543"/>
      <w:bookmarkStart w:id="224" w:name="_Toc391561448"/>
      <w:bookmarkStart w:id="225" w:name="_Toc391562809"/>
      <w:bookmarkStart w:id="226" w:name="_Toc391642494"/>
      <w:bookmarkStart w:id="227" w:name="_Toc394323252"/>
      <w:bookmarkStart w:id="228" w:name="_Toc394323547"/>
      <w:bookmarkStart w:id="229" w:name="_Toc394323641"/>
      <w:bookmarkStart w:id="230" w:name="_Toc394642416"/>
      <w:bookmarkStart w:id="231" w:name="_Toc445192996"/>
      <w:bookmarkStart w:id="232" w:name="_Toc445193089"/>
      <w:bookmarkStart w:id="233" w:name="_Toc445193160"/>
      <w:bookmarkStart w:id="234" w:name="_Toc445276293"/>
      <w:bookmarkStart w:id="235" w:name="_Toc445367882"/>
      <w:r w:rsidRPr="00ED6163">
        <w:rPr>
          <w:i/>
          <w:szCs w:val="22"/>
        </w:rPr>
        <w:t>Final Regulatory Flexibility Analysis</w:t>
      </w:r>
      <w:r w:rsidRPr="00ED6163">
        <w:rPr>
          <w:szCs w:val="22"/>
        </w:rPr>
        <w:t>.  The Regulatory Flexibility Act (RFA)</w:t>
      </w:r>
      <w:r>
        <w:rPr>
          <w:szCs w:val="22"/>
          <w:vertAlign w:val="superscript"/>
        </w:rPr>
        <w:footnoteReference w:id="333"/>
      </w:r>
      <w:r w:rsidRPr="00ED6163">
        <w:rPr>
          <w:szCs w:val="22"/>
        </w:rPr>
        <w:t xml:space="preserve"> requires that an agen</w:t>
      </w:r>
      <w:r w:rsidRPr="00ED6163">
        <w:rPr>
          <w:szCs w:val="22"/>
        </w:rPr>
        <w:t>cy prepare a regulatory flexibility analysis for notice and comment rulemakings, unless the agency certifies that “the rule will not, if promulgated, have a significant economic impact on a substantial number of small entities.”</w:t>
      </w:r>
      <w:r>
        <w:rPr>
          <w:szCs w:val="22"/>
          <w:vertAlign w:val="superscript"/>
        </w:rPr>
        <w:footnoteReference w:id="334"/>
      </w:r>
      <w:r w:rsidRPr="00ED6163">
        <w:rPr>
          <w:szCs w:val="22"/>
        </w:rPr>
        <w:t xml:space="preserve">  Accordingly, we have prepared a Final Regulatory Flexibility Analysis (FRFA) concerning the possible impact of the rule changes contained in this </w:t>
      </w:r>
      <w:r w:rsidRPr="00ED6163">
        <w:rPr>
          <w:i/>
          <w:szCs w:val="22"/>
        </w:rPr>
        <w:t>Report and Order</w:t>
      </w:r>
      <w:r w:rsidRPr="00ED6163">
        <w:rPr>
          <w:szCs w:val="22"/>
        </w:rPr>
        <w:t xml:space="preserve"> on small entities.  The FRFA is set forth in Appendix B.</w:t>
      </w:r>
    </w:p>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rsidR="00252A4C" w:rsidRPr="00ED6163" w:rsidP="00410009" w14:paraId="03CB7A34" w14:textId="77777777">
      <w:pPr>
        <w:pStyle w:val="ParaNum"/>
      </w:pPr>
      <w:r w:rsidRPr="00ED6163">
        <w:rPr>
          <w:i/>
        </w:rPr>
        <w:t>Initial Regulatory Flexibility Ana</w:t>
      </w:r>
      <w:r w:rsidRPr="00ED6163">
        <w:rPr>
          <w:i/>
        </w:rPr>
        <w:t>lysis</w:t>
      </w:r>
      <w:r w:rsidRPr="00ED6163">
        <w:t>.</w:t>
      </w:r>
      <w:r w:rsidRPr="00ED6163">
        <w:rPr>
          <w:i/>
        </w:rPr>
        <w:t xml:space="preserve">  </w:t>
      </w:r>
      <w:r w:rsidRPr="00ED6163">
        <w:t>Pursuant to the Regulatory Flexibility Act (RFA),</w:t>
      </w:r>
      <w:r>
        <w:rPr>
          <w:rStyle w:val="FootnoteReference"/>
          <w:sz w:val="22"/>
        </w:rPr>
        <w:footnoteReference w:id="335"/>
      </w:r>
      <w:r w:rsidRPr="00ED6163">
        <w:t xml:space="preserve"> the Commission has prepared an Initial Regulatory Flexibility Analysis (IRFA) of the possible significant economic impact on small entities of the policies and actions considered in the </w:t>
      </w:r>
      <w:r w:rsidRPr="00ED6163">
        <w:rPr>
          <w:i/>
        </w:rPr>
        <w:t>Second Not</w:t>
      </w:r>
      <w:r w:rsidRPr="00ED6163">
        <w:rPr>
          <w:i/>
        </w:rPr>
        <w:t>ice</w:t>
      </w:r>
      <w:r w:rsidRPr="00ED6163">
        <w:t xml:space="preserve">.  The text of the IRFA is set forth in Appendix B.  Written public comments are requested on this IRFA.  Comments must be identified as responses to the IRFA and must be filed by the deadlines for comments on the </w:t>
      </w:r>
      <w:r w:rsidRPr="00ED6163">
        <w:rPr>
          <w:i/>
        </w:rPr>
        <w:t>Second Notice</w:t>
      </w:r>
      <w:r w:rsidRPr="00ED6163">
        <w:t>. The Commission’s Consume</w:t>
      </w:r>
      <w:r w:rsidRPr="00ED6163">
        <w:t xml:space="preserve">r and Governmental Affairs Bureau, Reference Information Center, will send a copy of the </w:t>
      </w:r>
      <w:r w:rsidRPr="00ED6163">
        <w:rPr>
          <w:i/>
        </w:rPr>
        <w:t>Second Notice</w:t>
      </w:r>
      <w:r w:rsidRPr="00ED6163">
        <w:t>, including the IRFA, to the Chief Counsel for Advocacy of the Small Business Administration.</w:t>
      </w:r>
      <w:r>
        <w:rPr>
          <w:rStyle w:val="FootnoteReference"/>
          <w:sz w:val="22"/>
        </w:rPr>
        <w:footnoteReference w:id="336"/>
      </w:r>
    </w:p>
    <w:p w:rsidR="00252A4C" w:rsidRPr="00ED6163" w:rsidP="00410009" w14:paraId="301BDA7C" w14:textId="77777777">
      <w:pPr>
        <w:pStyle w:val="ParaNum"/>
      </w:pPr>
      <w:r w:rsidRPr="00ED6163">
        <w:rPr>
          <w:i/>
        </w:rPr>
        <w:t>Paperwork Reduction Act</w:t>
      </w:r>
      <w:r w:rsidRPr="00ED6163">
        <w:t>.</w:t>
      </w:r>
      <w:r w:rsidRPr="00ED6163">
        <w:rPr>
          <w:i/>
        </w:rPr>
        <w:t xml:space="preserve">  </w:t>
      </w:r>
      <w:r w:rsidRPr="00ED6163">
        <w:t>Th</w:t>
      </w:r>
      <w:r>
        <w:t>e</w:t>
      </w:r>
      <w:r w:rsidRPr="00ED6163">
        <w:t xml:space="preserve"> </w:t>
      </w:r>
      <w:r>
        <w:rPr>
          <w:i/>
        </w:rPr>
        <w:t>Report and Order</w:t>
      </w:r>
      <w:r w:rsidRPr="00ED6163">
        <w:t xml:space="preserve"> contains ne</w:t>
      </w:r>
      <w:r w:rsidRPr="00ED6163">
        <w:t>w and modified information collection requirements</w:t>
      </w:r>
      <w:r w:rsidRPr="00B70C7C">
        <w:t xml:space="preserve"> </w:t>
      </w:r>
      <w:r w:rsidRPr="00E66161">
        <w:t>subject to the Paperwork Reduction Act of 1995 (PRA), Public Law 104-13.  It will be submitted to the Office of Management and Budget (OMB) for review under section 3507(d) of the PRA.</w:t>
      </w:r>
      <w:r w:rsidRPr="00ED6163">
        <w:t xml:space="preserve">  The Commission, as </w:t>
      </w:r>
      <w:r w:rsidRPr="00ED6163">
        <w:t>part of its continuing effort to reduce paperwork burdens, invites the general public and the Office of Management and Budget to comment on the information collection requirements contained in th</w:t>
      </w:r>
      <w:r>
        <w:t xml:space="preserve">e </w:t>
      </w:r>
      <w:r>
        <w:rPr>
          <w:i/>
        </w:rPr>
        <w:t>Report and Order</w:t>
      </w:r>
      <w:r w:rsidRPr="00ED6163">
        <w:t>, as required by the</w:t>
      </w:r>
      <w:r>
        <w:t xml:space="preserve"> PRA</w:t>
      </w:r>
      <w:r w:rsidRPr="00ED6163">
        <w:t>.  In addition, pur</w:t>
      </w:r>
      <w:r w:rsidRPr="00ED6163">
        <w:t>suant to the Small Business Paperwork Relief Act of 2002, Public Law 107-198 (44 U.S.C. 3506(c)(4)), we seek specific comment on how we might further reduce the information collection burden for small business concerns with fewer than 25 employees.</w:t>
      </w:r>
      <w:r>
        <w:rPr>
          <w:rStyle w:val="FootnoteReference"/>
          <w:sz w:val="22"/>
        </w:rPr>
        <w:footnoteReference w:id="337"/>
      </w:r>
    </w:p>
    <w:p w:rsidR="00252A4C" w:rsidRPr="00ED6163" w:rsidP="00252A4C" w14:paraId="3799865D" w14:textId="77777777">
      <w:pPr>
        <w:numPr>
          <w:ilvl w:val="0"/>
          <w:numId w:val="2"/>
        </w:numPr>
        <w:tabs>
          <w:tab w:val="clear" w:pos="1080"/>
          <w:tab w:val="num" w:pos="1440"/>
        </w:tabs>
        <w:spacing w:after="120"/>
        <w:rPr>
          <w:szCs w:val="22"/>
        </w:rPr>
      </w:pPr>
      <w:bookmarkStart w:id="236" w:name="_Hlk12272193"/>
      <w:bookmarkStart w:id="237" w:name="_Toc477445787"/>
      <w:bookmarkStart w:id="238" w:name="_Toc477453005"/>
      <w:bookmarkStart w:id="239" w:name="_Toc477453171"/>
      <w:bookmarkStart w:id="240" w:name="_Toc477796030"/>
      <w:bookmarkStart w:id="241" w:name="_Toc478050628"/>
      <w:bookmarkStart w:id="242" w:name="_Toc478138490"/>
      <w:bookmarkStart w:id="243" w:name="_Toc478139505"/>
      <w:bookmarkStart w:id="244" w:name="_Toc478139611"/>
      <w:bookmarkStart w:id="245" w:name="_Toc478139662"/>
      <w:bookmarkStart w:id="246" w:name="_Toc478394357"/>
      <w:bookmarkStart w:id="247" w:name="_Toc478398219"/>
      <w:bookmarkStart w:id="248" w:name="_Toc478403114"/>
      <w:bookmarkStart w:id="249" w:name="_Toc478460158"/>
      <w:bookmarkStart w:id="250" w:name="_Toc478476705"/>
      <w:bookmarkStart w:id="251" w:name="_Toc479943043"/>
      <w:bookmarkStart w:id="252" w:name="_Toc480388547"/>
      <w:r w:rsidRPr="00ED6163">
        <w:rPr>
          <w:i/>
          <w:szCs w:val="22"/>
        </w:rPr>
        <w:t>Congr</w:t>
      </w:r>
      <w:r w:rsidRPr="00ED6163">
        <w:rPr>
          <w:i/>
          <w:szCs w:val="22"/>
        </w:rPr>
        <w:t>essional Review Act</w:t>
      </w:r>
      <w:r w:rsidRPr="00ED6163">
        <w:rPr>
          <w:szCs w:val="22"/>
        </w:rPr>
        <w:t>.</w:t>
      </w:r>
      <w:r w:rsidRPr="00ED6163">
        <w:rPr>
          <w:i/>
          <w:szCs w:val="22"/>
        </w:rPr>
        <w:t xml:space="preserve">  </w:t>
      </w:r>
      <w:r w:rsidRPr="00ED6163">
        <w:rPr>
          <w:szCs w:val="22"/>
        </w:rPr>
        <w:t xml:space="preserve">The Commission will send a copy of this Report &amp; Order to Congress and the Government Accountability Office pursuant to the Congressional Review Act.  </w:t>
      </w:r>
      <w:r w:rsidRPr="00ED6163">
        <w:rPr>
          <w:i/>
          <w:szCs w:val="22"/>
        </w:rPr>
        <w:t>See</w:t>
      </w:r>
      <w:r w:rsidRPr="00ED6163">
        <w:rPr>
          <w:szCs w:val="22"/>
        </w:rPr>
        <w:t xml:space="preserve"> 5 U.S.C. § 801(a)(1)(A).</w:t>
      </w:r>
    </w:p>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rsidR="00252A4C" w:rsidRPr="00ED6163" w:rsidP="00410009" w14:paraId="17C463EC" w14:textId="77777777">
      <w:pPr>
        <w:pStyle w:val="ParaNum"/>
      </w:pPr>
      <w:r w:rsidRPr="00ED6163">
        <w:rPr>
          <w:i/>
        </w:rPr>
        <w:t>Filing of Comments and Reply Comments</w:t>
      </w:r>
      <w:r w:rsidRPr="00ED6163">
        <w:t>.</w:t>
      </w:r>
      <w:r w:rsidRPr="00ED6163">
        <w:rPr>
          <w:i/>
        </w:rPr>
        <w:t xml:space="preserve">  </w:t>
      </w:r>
      <w:r w:rsidRPr="00ED6163">
        <w:t>Pursuant to Se</w:t>
      </w:r>
      <w:r w:rsidRPr="00ED6163">
        <w:t>ctions 1.415 and 1.419 of the Commission’s rules (47 CFR §§ 1.415, 1.419), interested parties may file comments and reply comments on or before the dates indicated on the first page of this document.  Comments may be filed using the Commission’s Electronic</w:t>
      </w:r>
      <w:r w:rsidRPr="00ED6163">
        <w:t xml:space="preserve"> Comment Filing System (ECFS).</w:t>
      </w:r>
      <w:r>
        <w:rPr>
          <w:rStyle w:val="FootnoteReference"/>
          <w:sz w:val="22"/>
        </w:rPr>
        <w:footnoteReference w:id="338"/>
      </w:r>
    </w:p>
    <w:p w:rsidR="00252A4C" w:rsidRPr="00ED6163" w:rsidP="00252A4C" w14:paraId="643A08CF" w14:textId="77777777">
      <w:pPr>
        <w:widowControl/>
        <w:numPr>
          <w:ilvl w:val="0"/>
          <w:numId w:val="10"/>
        </w:numPr>
        <w:rPr>
          <w:szCs w:val="22"/>
        </w:rPr>
      </w:pPr>
      <w:r w:rsidRPr="00ED6163">
        <w:rPr>
          <w:szCs w:val="22"/>
        </w:rPr>
        <w:t xml:space="preserve">Electronic Filers:  Comments may be filed electronically using the Internet by accessing the ECFS:  </w:t>
      </w:r>
      <w:hyperlink r:id="rId5" w:history="1">
        <w:r w:rsidRPr="00ED6163">
          <w:rPr>
            <w:rStyle w:val="Hyperlink"/>
            <w:szCs w:val="22"/>
          </w:rPr>
          <w:t>https://www.fcc.gov/ecfs/</w:t>
        </w:r>
      </w:hyperlink>
      <w:r w:rsidRPr="00ED6163">
        <w:rPr>
          <w:szCs w:val="22"/>
        </w:rPr>
        <w:t xml:space="preserve">. </w:t>
      </w:r>
    </w:p>
    <w:p w:rsidR="00252A4C" w:rsidRPr="00ED6163" w:rsidP="00252A4C" w14:paraId="2170D042" w14:textId="77777777">
      <w:pPr>
        <w:rPr>
          <w:szCs w:val="22"/>
        </w:rPr>
      </w:pPr>
    </w:p>
    <w:p w:rsidR="00252A4C" w:rsidRPr="00ED6163" w:rsidP="00252A4C" w14:paraId="7FF22C65" w14:textId="77777777">
      <w:pPr>
        <w:widowControl/>
        <w:numPr>
          <w:ilvl w:val="0"/>
          <w:numId w:val="8"/>
        </w:numPr>
        <w:rPr>
          <w:szCs w:val="22"/>
        </w:rPr>
      </w:pPr>
      <w:r w:rsidRPr="00ED6163">
        <w:rPr>
          <w:szCs w:val="22"/>
        </w:rPr>
        <w:t>Paper Filers:  Parties who choose to file by paper m</w:t>
      </w:r>
      <w:r w:rsidRPr="00ED6163">
        <w:rPr>
          <w:szCs w:val="22"/>
        </w:rPr>
        <w:t>ust file an original and one copy of each filing.  If more than one docket or rulemaking number appears in the caption of this proceeding, filers must submit two additional copies for each additional docket or rulemaking number.</w:t>
      </w:r>
    </w:p>
    <w:p w:rsidR="00252A4C" w:rsidRPr="00ED6163" w:rsidP="00252A4C" w14:paraId="089E1648" w14:textId="77777777">
      <w:pPr>
        <w:rPr>
          <w:szCs w:val="22"/>
        </w:rPr>
      </w:pPr>
    </w:p>
    <w:p w:rsidR="00252A4C" w:rsidRPr="00ED6163" w:rsidP="00252A4C" w14:paraId="33C977BD" w14:textId="77777777">
      <w:pPr>
        <w:ind w:left="720"/>
        <w:rPr>
          <w:szCs w:val="22"/>
        </w:rPr>
      </w:pPr>
      <w:r w:rsidRPr="00ED6163">
        <w:rPr>
          <w:szCs w:val="22"/>
        </w:rPr>
        <w:t>Filings can be sent by han</w:t>
      </w:r>
      <w:r w:rsidRPr="00ED6163">
        <w:rPr>
          <w:szCs w:val="22"/>
        </w:rPr>
        <w:t>d or messenger delivery, by commercial overnight courier, or by first-class or overnight U.S. Postal Service mail.  All filings must be addressed to the Commission’s Secretary, Office of the Secretary, Federal Communications Commission.</w:t>
      </w:r>
    </w:p>
    <w:p w:rsidR="00252A4C" w:rsidRPr="00ED6163" w:rsidP="00252A4C" w14:paraId="53034E3F" w14:textId="77777777">
      <w:pPr>
        <w:rPr>
          <w:szCs w:val="22"/>
        </w:rPr>
      </w:pPr>
    </w:p>
    <w:p w:rsidR="00252A4C" w:rsidRPr="00ED6163" w:rsidP="00252A4C" w14:paraId="40DDB6C1" w14:textId="77777777">
      <w:pPr>
        <w:widowControl/>
        <w:numPr>
          <w:ilvl w:val="0"/>
          <w:numId w:val="9"/>
        </w:numPr>
        <w:rPr>
          <w:szCs w:val="22"/>
        </w:rPr>
      </w:pPr>
      <w:r w:rsidRPr="00ED6163">
        <w:rPr>
          <w:szCs w:val="22"/>
        </w:rPr>
        <w:t xml:space="preserve">All </w:t>
      </w:r>
      <w:r w:rsidRPr="00ED6163">
        <w:rPr>
          <w:szCs w:val="22"/>
        </w:rPr>
        <w:t>hand-delivered or messenger-delivered paper filings for the Commission’s Secretary must be delivered to FCC Headquarters at 445 12</w:t>
      </w:r>
      <w:r w:rsidRPr="00ED6163">
        <w:rPr>
          <w:szCs w:val="22"/>
          <w:vertAlign w:val="superscript"/>
        </w:rPr>
        <w:t>th</w:t>
      </w:r>
      <w:r w:rsidRPr="00ED6163">
        <w:rPr>
          <w:szCs w:val="22"/>
        </w:rPr>
        <w:t xml:space="preserve"> St., SW, Room TW-A325, Washington, DC 20554.  The filing hours are 8:00 a.m. to 7:00 p.m.   All hand deliveries must be hel</w:t>
      </w:r>
      <w:r w:rsidRPr="00ED6163">
        <w:rPr>
          <w:szCs w:val="22"/>
        </w:rPr>
        <w:t xml:space="preserve">d together with rubber bands or fasteners.  Any envelopes and boxes must be disposed of </w:t>
      </w:r>
      <w:r w:rsidRPr="00ED6163">
        <w:rPr>
          <w:szCs w:val="22"/>
          <w:u w:val="single"/>
        </w:rPr>
        <w:t>before</w:t>
      </w:r>
      <w:r w:rsidRPr="00ED6163">
        <w:rPr>
          <w:szCs w:val="22"/>
        </w:rPr>
        <w:t xml:space="preserve"> entering the building.  </w:t>
      </w:r>
    </w:p>
    <w:p w:rsidR="00252A4C" w:rsidRPr="00ED6163" w:rsidP="00252A4C" w14:paraId="14B8EB39" w14:textId="77777777">
      <w:pPr>
        <w:ind w:left="1080"/>
        <w:rPr>
          <w:szCs w:val="22"/>
        </w:rPr>
      </w:pPr>
    </w:p>
    <w:p w:rsidR="00252A4C" w:rsidRPr="00ED6163" w:rsidP="00252A4C" w14:paraId="1524ACC5" w14:textId="77777777">
      <w:pPr>
        <w:widowControl/>
        <w:numPr>
          <w:ilvl w:val="0"/>
          <w:numId w:val="9"/>
        </w:numPr>
        <w:rPr>
          <w:szCs w:val="22"/>
        </w:rPr>
      </w:pPr>
      <w:r w:rsidRPr="00ED6163">
        <w:rPr>
          <w:szCs w:val="22"/>
        </w:rPr>
        <w:t xml:space="preserve">Commercial overnight mail (other than U.S. Postal Service Express Mail and Priority Mail) must be sent to 9050 Junction Drive, </w:t>
      </w:r>
      <w:r w:rsidRPr="00ED6163">
        <w:rPr>
          <w:szCs w:val="22"/>
        </w:rPr>
        <w:t>Annapolis Junction, MD 20701.</w:t>
      </w:r>
    </w:p>
    <w:p w:rsidR="00252A4C" w:rsidRPr="00ED6163" w:rsidP="00252A4C" w14:paraId="3B04CAD9" w14:textId="77777777">
      <w:pPr>
        <w:rPr>
          <w:szCs w:val="22"/>
        </w:rPr>
      </w:pPr>
    </w:p>
    <w:p w:rsidR="00252A4C" w:rsidRPr="00ED6163" w:rsidP="00252A4C" w14:paraId="41E6B309" w14:textId="77777777">
      <w:pPr>
        <w:widowControl/>
        <w:numPr>
          <w:ilvl w:val="0"/>
          <w:numId w:val="9"/>
        </w:numPr>
        <w:rPr>
          <w:szCs w:val="22"/>
        </w:rPr>
      </w:pPr>
      <w:r w:rsidRPr="00ED6163">
        <w:rPr>
          <w:szCs w:val="22"/>
        </w:rPr>
        <w:t>U.S. Postal Service first-class, Express, and Priority mail must be addressed to 445 12</w:t>
      </w:r>
      <w:r w:rsidRPr="00ED6163">
        <w:rPr>
          <w:szCs w:val="22"/>
          <w:vertAlign w:val="superscript"/>
        </w:rPr>
        <w:t>th</w:t>
      </w:r>
      <w:r w:rsidRPr="00ED6163">
        <w:rPr>
          <w:szCs w:val="22"/>
        </w:rPr>
        <w:t xml:space="preserve"> Street, SW, Washington DC  20554.</w:t>
      </w:r>
    </w:p>
    <w:p w:rsidR="00252A4C" w:rsidRPr="00ED6163" w:rsidP="00252A4C" w14:paraId="4A6F2FB1" w14:textId="77777777">
      <w:pPr>
        <w:rPr>
          <w:szCs w:val="22"/>
        </w:rPr>
      </w:pPr>
    </w:p>
    <w:p w:rsidR="00252A4C" w:rsidRPr="00ED6163" w:rsidP="00252A4C" w14:paraId="268587D2" w14:textId="77777777">
      <w:pPr>
        <w:widowControl/>
        <w:numPr>
          <w:ilvl w:val="0"/>
          <w:numId w:val="8"/>
        </w:numPr>
        <w:rPr>
          <w:szCs w:val="22"/>
        </w:rPr>
      </w:pPr>
      <w:r w:rsidRPr="00ED6163">
        <w:rPr>
          <w:szCs w:val="22"/>
        </w:rPr>
        <w:t>People with Disabilities:  To request materials in accessible formats for people with disabilities (</w:t>
      </w:r>
      <w:r w:rsidRPr="00ED6163">
        <w:rPr>
          <w:szCs w:val="22"/>
        </w:rPr>
        <w:t xml:space="preserve">braille, large print, electronic files, audio format), send an e-mail to </w:t>
      </w:r>
      <w:hyperlink r:id="rId6" w:history="1">
        <w:r w:rsidRPr="00ED6163">
          <w:rPr>
            <w:szCs w:val="22"/>
          </w:rPr>
          <w:t>fcc504@fcc.gov</w:t>
        </w:r>
      </w:hyperlink>
      <w:r w:rsidRPr="00ED6163">
        <w:rPr>
          <w:szCs w:val="22"/>
        </w:rPr>
        <w:t xml:space="preserve"> or call the Consumer &amp; Governmental Affairs Bureau at 202-418-0530 (voice), 202-418-0432 (</w:t>
      </w:r>
      <w:r w:rsidRPr="00ED6163">
        <w:rPr>
          <w:szCs w:val="22"/>
        </w:rPr>
        <w:t>tty</w:t>
      </w:r>
      <w:r w:rsidRPr="00ED6163">
        <w:rPr>
          <w:szCs w:val="22"/>
        </w:rPr>
        <w:t>).</w:t>
      </w:r>
    </w:p>
    <w:p w:rsidR="00252A4C" w:rsidRPr="00ED6163" w:rsidP="00252A4C" w14:paraId="6BB85A0E" w14:textId="77777777">
      <w:pPr>
        <w:widowControl/>
        <w:ind w:left="720"/>
        <w:rPr>
          <w:szCs w:val="22"/>
        </w:rPr>
      </w:pPr>
    </w:p>
    <w:p w:rsidR="00252A4C" w:rsidRPr="00ED6163" w:rsidP="00410009" w14:paraId="1A63B1F7" w14:textId="77777777">
      <w:pPr>
        <w:pStyle w:val="ParaNum"/>
      </w:pPr>
      <w:r w:rsidRPr="00ED6163">
        <w:rPr>
          <w:i/>
        </w:rPr>
        <w:t>Contact Person</w:t>
      </w:r>
      <w:r w:rsidRPr="00ED6163">
        <w:t>.</w:t>
      </w:r>
      <w:r w:rsidRPr="00ED6163">
        <w:rPr>
          <w:i/>
        </w:rPr>
        <w:t xml:space="preserve">  </w:t>
      </w:r>
      <w:r w:rsidRPr="00ED6163">
        <w:t>For further info</w:t>
      </w:r>
      <w:r w:rsidRPr="00ED6163">
        <w:t xml:space="preserve">rmation about this proceeding, contact Kirk Burgee, FCC Wireline Competition Bureau, Competition Policy Division, Room 5-C354, 445 12th Street, S.W., Washington, D.C. 20554, (202) 418-1599, </w:t>
      </w:r>
      <w:hyperlink r:id="rId7" w:history="1">
        <w:r w:rsidRPr="00ED6163">
          <w:rPr>
            <w:rStyle w:val="Hyperlink"/>
          </w:rPr>
          <w:t>Kirk.Burgee@fcc.gov</w:t>
        </w:r>
      </w:hyperlink>
      <w:r w:rsidRPr="00ED6163">
        <w:t>, or</w:t>
      </w:r>
      <w:r w:rsidRPr="00ED6163">
        <w:t xml:space="preserve"> Garnet Hanly, FCC Wireless Telecommunications Bureau, Competition Policy Division, Room 6-A160, 445 12th Street, S.W., Washington, D.C. 20554, (202) 418-0995, </w:t>
      </w:r>
      <w:hyperlink r:id="rId8" w:history="1">
        <w:r w:rsidRPr="00ED6163">
          <w:rPr>
            <w:rStyle w:val="Hyperlink"/>
          </w:rPr>
          <w:t>Garnet.Hanly@fcc.gov</w:t>
        </w:r>
      </w:hyperlink>
      <w:r w:rsidRPr="00ED6163">
        <w:t xml:space="preserve">. </w:t>
      </w:r>
    </w:p>
    <w:p w:rsidR="00252A4C" w:rsidRPr="00947E6A" w:rsidP="00252A4C" w14:paraId="7DAF1357" w14:textId="77777777">
      <w:pPr>
        <w:pStyle w:val="Heading1"/>
        <w:numPr>
          <w:ilvl w:val="0"/>
          <w:numId w:val="0"/>
        </w:numPr>
        <w:ind w:left="720"/>
      </w:pPr>
      <w:bookmarkStart w:id="253" w:name="_Toc12376458"/>
      <w:bookmarkStart w:id="254" w:name="_Toc12632415"/>
      <w:bookmarkStart w:id="255" w:name="_Toc12632847"/>
      <w:bookmarkStart w:id="256" w:name="_Toc15501963"/>
      <w:r w:rsidRPr="00947E6A">
        <w:t>VI.</w:t>
      </w:r>
      <w:r w:rsidRPr="00947E6A">
        <w:tab/>
      </w:r>
      <w:bookmarkStart w:id="257" w:name="comebackhere"/>
      <w:bookmarkEnd w:id="257"/>
      <w:r w:rsidRPr="00947E6A">
        <w:t>CLAUSES</w:t>
      </w:r>
      <w:bookmarkEnd w:id="253"/>
      <w:bookmarkEnd w:id="254"/>
      <w:bookmarkEnd w:id="255"/>
      <w:bookmarkEnd w:id="256"/>
    </w:p>
    <w:p w:rsidR="00252A4C" w:rsidRPr="00ED6163" w:rsidP="00410009" w14:paraId="4085DCCD" w14:textId="77777777">
      <w:pPr>
        <w:pStyle w:val="ParaNum"/>
      </w:pPr>
      <w:r w:rsidRPr="00ED6163">
        <w:t>Accordingly, IT I</w:t>
      </w:r>
      <w:r w:rsidRPr="00ED6163">
        <w:t xml:space="preserve">S ORDERED that, pursuant to sections 1-4, 7, 201, 254, 301, 303, 309, 319, and 332 of the Communications Act of 1934, as amended, 47 U.S.C. §§ 151-154, 157, 201, 254, 301, 303, 309, 319, and 332, this </w:t>
      </w:r>
      <w:r w:rsidRPr="00ED6163">
        <w:rPr>
          <w:i/>
        </w:rPr>
        <w:t xml:space="preserve">Report and Order and Second Further Notice of Proposed </w:t>
      </w:r>
      <w:r w:rsidRPr="00ED6163">
        <w:rPr>
          <w:i/>
        </w:rPr>
        <w:t xml:space="preserve">Rulemaking </w:t>
      </w:r>
      <w:r w:rsidRPr="00ED6163">
        <w:t>IS ADOPTED.</w:t>
      </w:r>
    </w:p>
    <w:p w:rsidR="00252A4C" w:rsidRPr="00ED6163" w:rsidP="00410009" w14:paraId="6A748966" w14:textId="77777777">
      <w:pPr>
        <w:pStyle w:val="ParaNum"/>
      </w:pPr>
      <w:r w:rsidRPr="00ED6163">
        <w:t>IT IS FURTHER ORDERED that Parts 1, 43, and 54 of the Commission’s rules ARE AMENDED as set forth in Appendix A.</w:t>
      </w:r>
    </w:p>
    <w:p w:rsidR="00252A4C" w:rsidRPr="00ED6163" w:rsidP="00410009" w14:paraId="13C80199" w14:textId="77777777">
      <w:pPr>
        <w:pStyle w:val="ParaNum"/>
      </w:pPr>
      <w:r w:rsidRPr="00ED6163">
        <w:t>IT IS FURTHER ORDERED that the</w:t>
      </w:r>
      <w:r w:rsidRPr="00ED6163">
        <w:rPr>
          <w:i/>
        </w:rPr>
        <w:t xml:space="preserve"> Report and Order</w:t>
      </w:r>
      <w:r w:rsidRPr="00ED6163">
        <w:t xml:space="preserve"> SHALL BE effective 30 days after publication in the Federal Register, ex</w:t>
      </w:r>
      <w:r w:rsidRPr="00ED6163">
        <w:t xml:space="preserve">cept for rules </w:t>
      </w:r>
      <w:r>
        <w:t xml:space="preserve">and portions of the </w:t>
      </w:r>
      <w:r>
        <w:rPr>
          <w:i/>
        </w:rPr>
        <w:t>Report and Order</w:t>
      </w:r>
      <w:r w:rsidRPr="00947E6A">
        <w:rPr>
          <w:i/>
        </w:rPr>
        <w:t xml:space="preserve"> </w:t>
      </w:r>
      <w:r w:rsidRPr="00ED6163">
        <w:t>that have new or modified information collection requirements that must be approved by the Office of Management and Budget (OMB), which will be effective 30 days after the announcement in the Federal Regi</w:t>
      </w:r>
      <w:r w:rsidRPr="00ED6163">
        <w:t xml:space="preserve">ster of OMB approval of those requirements.  </w:t>
      </w:r>
      <w:r>
        <w:t xml:space="preserve">OMB approval is necessary for the information collection requirements in </w:t>
      </w:r>
      <w:r w:rsidRPr="00E66161">
        <w:t>47 CFR §§</w:t>
      </w:r>
      <w:r>
        <w:t xml:space="preserve"> 54.1401, 54.1402(b), (c), (d)(2), and (e), plus paragraphs 44-51 and 57-65 of the </w:t>
      </w:r>
      <w:r>
        <w:rPr>
          <w:i/>
        </w:rPr>
        <w:t>Report and Order</w:t>
      </w:r>
      <w:r>
        <w:t>.</w:t>
      </w:r>
    </w:p>
    <w:p w:rsidR="00252A4C" w:rsidRPr="00ED6163" w:rsidP="00410009" w14:paraId="7AF20180" w14:textId="77777777">
      <w:pPr>
        <w:pStyle w:val="ParaNum"/>
      </w:pPr>
      <w:r w:rsidRPr="00ED6163">
        <w:t>IT IS FURTHER ORDERED that t</w:t>
      </w:r>
      <w:r w:rsidRPr="00ED6163">
        <w:t xml:space="preserve">he Commission’s Consumer &amp; Governmental Affairs Bureau, Reference Information Center, SHALL SEND a copy of the </w:t>
      </w:r>
      <w:r w:rsidRPr="00ED6163">
        <w:rPr>
          <w:i/>
        </w:rPr>
        <w:t>Report and Order</w:t>
      </w:r>
      <w:r w:rsidRPr="00ED6163">
        <w:t xml:space="preserve"> to Congress and the Government Accountability Office pursuant to the Congressional Review Act, </w:t>
      </w:r>
      <w:r w:rsidRPr="00ED6163">
        <w:rPr>
          <w:i/>
          <w:iCs/>
        </w:rPr>
        <w:t xml:space="preserve">see </w:t>
      </w:r>
      <w:r w:rsidRPr="00ED6163">
        <w:t>5 U.S.C. § 801(a)(1)(A).</w:t>
      </w:r>
    </w:p>
    <w:p w:rsidR="00252A4C" w:rsidRPr="00ED6163" w:rsidP="00410009" w14:paraId="3130912C" w14:textId="77777777">
      <w:pPr>
        <w:pStyle w:val="ParaNum"/>
      </w:pPr>
      <w:r w:rsidRPr="00ED6163">
        <w:t>IT I</w:t>
      </w:r>
      <w:r w:rsidRPr="00ED6163">
        <w:t xml:space="preserve">S FURTHER ORDERED that the Commission’s Consumer &amp; Governmental Affairs Bureau, Reference Information Center, SHALL SEND a copy of this </w:t>
      </w:r>
      <w:r w:rsidRPr="00ED6163">
        <w:rPr>
          <w:i/>
        </w:rPr>
        <w:t>Report and Order and Second Further Notice of Proposed Rulemaking</w:t>
      </w:r>
      <w:r w:rsidRPr="00ED6163">
        <w:t>, including the Final Regulatory Flexibility Analysis a</w:t>
      </w:r>
      <w:r w:rsidRPr="00ED6163">
        <w:t>nd the Initial Regulatory Flexibility Analysis, to the Chief Counsel for Advocacy of the Small Business Administration.</w:t>
      </w:r>
    </w:p>
    <w:p w:rsidR="00252A4C" w:rsidRPr="00ED6163" w:rsidP="00252A4C" w14:paraId="2F3E209F" w14:textId="77777777">
      <w:pPr>
        <w:rPr>
          <w:szCs w:val="22"/>
        </w:rPr>
      </w:pPr>
    </w:p>
    <w:p w:rsidR="00252A4C" w:rsidRPr="00ED6163" w:rsidP="00252A4C" w14:paraId="7D765338" w14:textId="77777777">
      <w:pPr>
        <w:ind w:left="3600" w:firstLine="720"/>
        <w:rPr>
          <w:szCs w:val="22"/>
        </w:rPr>
      </w:pPr>
      <w:r w:rsidRPr="00ED6163">
        <w:rPr>
          <w:szCs w:val="22"/>
        </w:rPr>
        <w:t>FEDERAL COMMUNICATIONS COMMISSION</w:t>
      </w:r>
    </w:p>
    <w:p w:rsidR="00252A4C" w:rsidRPr="00ED6163" w:rsidP="00252A4C" w14:paraId="3F6374EB" w14:textId="77777777">
      <w:pPr>
        <w:rPr>
          <w:szCs w:val="22"/>
        </w:rPr>
      </w:pPr>
    </w:p>
    <w:p w:rsidR="00252A4C" w:rsidRPr="00ED6163" w:rsidP="00252A4C" w14:paraId="658932A9" w14:textId="77777777">
      <w:pPr>
        <w:rPr>
          <w:szCs w:val="22"/>
        </w:rPr>
      </w:pPr>
    </w:p>
    <w:p w:rsidR="00252A4C" w:rsidRPr="00ED6163" w:rsidP="00252A4C" w14:paraId="5B696EAF" w14:textId="77777777">
      <w:pPr>
        <w:rPr>
          <w:szCs w:val="22"/>
        </w:rPr>
      </w:pPr>
    </w:p>
    <w:p w:rsidR="00252A4C" w:rsidRPr="00ED6163" w:rsidP="00252A4C" w14:paraId="76C821FD" w14:textId="77777777">
      <w:pPr>
        <w:rPr>
          <w:szCs w:val="22"/>
        </w:rPr>
      </w:pPr>
    </w:p>
    <w:p w:rsidR="00252A4C" w:rsidRPr="00ED6163" w:rsidP="00252A4C" w14:paraId="76CCCEC2" w14:textId="77777777">
      <w:pPr>
        <w:rPr>
          <w:szCs w:val="22"/>
        </w:rPr>
      </w:pPr>
      <w:r w:rsidRPr="00ED6163">
        <w:rPr>
          <w:szCs w:val="22"/>
        </w:rPr>
        <w:tab/>
      </w:r>
      <w:r w:rsidRPr="00ED6163">
        <w:rPr>
          <w:szCs w:val="22"/>
        </w:rPr>
        <w:tab/>
      </w:r>
      <w:r w:rsidRPr="00ED6163">
        <w:rPr>
          <w:szCs w:val="22"/>
        </w:rPr>
        <w:tab/>
      </w:r>
      <w:r w:rsidRPr="00ED6163">
        <w:rPr>
          <w:szCs w:val="22"/>
        </w:rPr>
        <w:tab/>
      </w:r>
      <w:r w:rsidRPr="00ED6163">
        <w:rPr>
          <w:szCs w:val="22"/>
        </w:rPr>
        <w:tab/>
      </w:r>
      <w:r w:rsidRPr="00ED6163">
        <w:rPr>
          <w:szCs w:val="22"/>
        </w:rPr>
        <w:tab/>
        <w:t>Marlene H. Dortch</w:t>
      </w:r>
    </w:p>
    <w:p w:rsidR="00252A4C" w:rsidRPr="00ED6163" w:rsidP="00252A4C" w14:paraId="2A24DF64" w14:textId="77777777">
      <w:pPr>
        <w:rPr>
          <w:szCs w:val="22"/>
        </w:rPr>
      </w:pPr>
      <w:r w:rsidRPr="00ED6163">
        <w:rPr>
          <w:szCs w:val="22"/>
        </w:rPr>
        <w:tab/>
      </w:r>
      <w:r w:rsidRPr="00ED6163">
        <w:rPr>
          <w:szCs w:val="22"/>
        </w:rPr>
        <w:tab/>
      </w:r>
      <w:r w:rsidRPr="00ED6163">
        <w:rPr>
          <w:szCs w:val="22"/>
        </w:rPr>
        <w:tab/>
      </w:r>
      <w:r w:rsidRPr="00ED6163">
        <w:rPr>
          <w:szCs w:val="22"/>
        </w:rPr>
        <w:tab/>
      </w:r>
      <w:r w:rsidRPr="00ED6163">
        <w:rPr>
          <w:szCs w:val="22"/>
        </w:rPr>
        <w:tab/>
      </w:r>
      <w:r w:rsidRPr="00ED6163">
        <w:rPr>
          <w:szCs w:val="22"/>
        </w:rPr>
        <w:tab/>
        <w:t>Secretary</w:t>
      </w:r>
    </w:p>
    <w:p w:rsidR="00252A4C" w:rsidRPr="00947E6A" w:rsidP="00252A4C" w14:paraId="639ABCFE" w14:textId="77777777">
      <w:pPr>
        <w:pStyle w:val="Heading1"/>
        <w:numPr>
          <w:ilvl w:val="0"/>
          <w:numId w:val="0"/>
        </w:numPr>
        <w:ind w:left="720" w:hanging="720"/>
        <w:jc w:val="center"/>
        <w:rPr>
          <w:rFonts w:ascii="Times New Roman" w:hAnsi="Times New Roman"/>
        </w:rPr>
      </w:pPr>
      <w:r w:rsidRPr="00947E6A">
        <w:rPr>
          <w:rFonts w:ascii="Times New Roman" w:hAnsi="Times New Roman"/>
        </w:rPr>
        <w:br w:type="page"/>
      </w:r>
      <w:bookmarkStart w:id="258" w:name="_Toc12632848"/>
      <w:bookmarkStart w:id="259" w:name="_Toc13665595"/>
      <w:bookmarkStart w:id="260" w:name="_Toc13665782"/>
      <w:bookmarkStart w:id="261" w:name="_Toc15501964"/>
      <w:r w:rsidRPr="00947E6A">
        <w:rPr>
          <w:rFonts w:ascii="Times New Roman" w:hAnsi="Times New Roman"/>
        </w:rPr>
        <w:t>APPENDIX A</w:t>
      </w:r>
      <w:bookmarkEnd w:id="258"/>
      <w:bookmarkEnd w:id="259"/>
      <w:bookmarkEnd w:id="260"/>
      <w:bookmarkEnd w:id="261"/>
    </w:p>
    <w:p w:rsidR="00252A4C" w:rsidRPr="00ED6163" w:rsidP="00252A4C" w14:paraId="425148EB" w14:textId="77777777">
      <w:pPr>
        <w:widowControl/>
        <w:jc w:val="center"/>
        <w:rPr>
          <w:b/>
          <w:szCs w:val="22"/>
        </w:rPr>
      </w:pPr>
      <w:r w:rsidRPr="00ED6163">
        <w:rPr>
          <w:b/>
          <w:szCs w:val="22"/>
        </w:rPr>
        <w:t>Final Rules</w:t>
      </w:r>
    </w:p>
    <w:p w:rsidR="00252A4C" w:rsidRPr="00ED6163" w:rsidP="00252A4C" w14:paraId="436747BF" w14:textId="77777777">
      <w:pPr>
        <w:jc w:val="center"/>
        <w:rPr>
          <w:b/>
          <w:bCs/>
          <w:szCs w:val="22"/>
        </w:rPr>
      </w:pPr>
    </w:p>
    <w:p w:rsidR="00252A4C" w:rsidRPr="00ED6163" w:rsidP="00252A4C" w14:paraId="6C384533" w14:textId="77777777">
      <w:pPr>
        <w:rPr>
          <w:b/>
          <w:szCs w:val="22"/>
        </w:rPr>
      </w:pPr>
      <w:bookmarkStart w:id="262" w:name="_Hlk15905369"/>
      <w:r w:rsidRPr="00ED6163">
        <w:rPr>
          <w:b/>
          <w:szCs w:val="22"/>
        </w:rPr>
        <w:t xml:space="preserve">Part 1 – Practice and </w:t>
      </w:r>
      <w:r w:rsidRPr="00ED6163">
        <w:rPr>
          <w:b/>
          <w:szCs w:val="22"/>
        </w:rPr>
        <w:t>Procedure</w:t>
      </w:r>
    </w:p>
    <w:p w:rsidR="00252A4C" w:rsidRPr="00ED6163" w:rsidP="00252A4C" w14:paraId="45C39510" w14:textId="77777777">
      <w:pPr>
        <w:rPr>
          <w:szCs w:val="22"/>
        </w:rPr>
      </w:pPr>
      <w:r w:rsidRPr="00ED6163">
        <w:rPr>
          <w:szCs w:val="22"/>
        </w:rPr>
        <w:t>1.</w:t>
      </w:r>
      <w:r w:rsidRPr="00ED6163">
        <w:rPr>
          <w:szCs w:val="22"/>
        </w:rPr>
        <w:tab/>
        <w:t>The authority citation for part 1 continues to read as follows:</w:t>
      </w:r>
    </w:p>
    <w:p w:rsidR="00252A4C" w:rsidRPr="001E5766" w:rsidP="00252A4C" w14:paraId="7B3A5110" w14:textId="77777777">
      <w:pPr>
        <w:rPr>
          <w:snapToGrid/>
          <w:color w:val="1F497D"/>
          <w:kern w:val="0"/>
          <w:sz w:val="20"/>
        </w:rPr>
      </w:pPr>
      <w:r>
        <w:t xml:space="preserve">Authority: 47 U.S.C. </w:t>
      </w:r>
      <w:r>
        <w:t>chs</w:t>
      </w:r>
      <w:r>
        <w:t>. 2, 5, 9, 13; 28 U.S.C. 2461, unless otherwise noted.</w:t>
      </w:r>
    </w:p>
    <w:bookmarkEnd w:id="262"/>
    <w:p w:rsidR="00252A4C" w:rsidRPr="00ED6163" w:rsidP="00252A4C" w14:paraId="0744D33E" w14:textId="77777777">
      <w:pPr>
        <w:rPr>
          <w:szCs w:val="22"/>
        </w:rPr>
      </w:pPr>
    </w:p>
    <w:p w:rsidR="00252A4C" w:rsidRPr="00ED6163" w:rsidP="00252A4C" w14:paraId="7668B1E2" w14:textId="77777777">
      <w:pPr>
        <w:rPr>
          <w:szCs w:val="22"/>
        </w:rPr>
      </w:pPr>
      <w:r w:rsidRPr="00ED6163">
        <w:rPr>
          <w:szCs w:val="22"/>
        </w:rPr>
        <w:t>2.</w:t>
      </w:r>
      <w:r w:rsidRPr="00ED6163">
        <w:rPr>
          <w:szCs w:val="22"/>
        </w:rPr>
        <w:tab/>
        <w:t>Amend the caption of Subpart V to read as follows:</w:t>
      </w:r>
    </w:p>
    <w:p w:rsidR="00252A4C" w:rsidRPr="00ED6163" w:rsidP="00252A4C" w14:paraId="297D2C6E" w14:textId="77777777">
      <w:pPr>
        <w:rPr>
          <w:szCs w:val="22"/>
        </w:rPr>
      </w:pPr>
      <w:r w:rsidRPr="00ED6163">
        <w:rPr>
          <w:b/>
          <w:szCs w:val="22"/>
        </w:rPr>
        <w:t>Subpart V Commission Collection of Advanced T</w:t>
      </w:r>
      <w:r w:rsidRPr="00ED6163">
        <w:rPr>
          <w:b/>
          <w:szCs w:val="22"/>
        </w:rPr>
        <w:t>elecommunications Capability Data and Local Exchange Competition Data</w:t>
      </w:r>
    </w:p>
    <w:p w:rsidR="00252A4C" w:rsidRPr="00ED6163" w:rsidP="00252A4C" w14:paraId="421E3F38" w14:textId="77777777">
      <w:pPr>
        <w:rPr>
          <w:szCs w:val="22"/>
        </w:rPr>
      </w:pPr>
    </w:p>
    <w:p w:rsidR="00252A4C" w:rsidRPr="00ED6163" w:rsidP="00252A4C" w14:paraId="1D6C1738" w14:textId="77777777">
      <w:pPr>
        <w:rPr>
          <w:szCs w:val="22"/>
        </w:rPr>
      </w:pPr>
      <w:r w:rsidRPr="00ED6163">
        <w:rPr>
          <w:szCs w:val="22"/>
        </w:rPr>
        <w:t>3.</w:t>
      </w:r>
      <w:r w:rsidRPr="00ED6163">
        <w:rPr>
          <w:szCs w:val="22"/>
        </w:rPr>
        <w:tab/>
        <w:t>Amend section 1.7000 to read as follows:</w:t>
      </w:r>
    </w:p>
    <w:p w:rsidR="00252A4C" w:rsidRPr="00ED6163" w:rsidP="00252A4C" w14:paraId="56C38AF2" w14:textId="77777777">
      <w:pPr>
        <w:rPr>
          <w:szCs w:val="22"/>
        </w:rPr>
      </w:pPr>
      <w:r w:rsidRPr="00ED6163">
        <w:rPr>
          <w:szCs w:val="22"/>
        </w:rPr>
        <w:t>The purpose</w:t>
      </w:r>
      <w:r w:rsidRPr="00ED6163">
        <w:rPr>
          <w:b/>
          <w:szCs w:val="22"/>
        </w:rPr>
        <w:t xml:space="preserve">s </w:t>
      </w:r>
      <w:r w:rsidRPr="00ED6163">
        <w:rPr>
          <w:szCs w:val="22"/>
        </w:rPr>
        <w:t xml:space="preserve">of this subpart </w:t>
      </w:r>
      <w:r w:rsidRPr="00ED6163">
        <w:rPr>
          <w:b/>
          <w:szCs w:val="22"/>
        </w:rPr>
        <w:t xml:space="preserve">are </w:t>
      </w:r>
      <w:r w:rsidRPr="00ED6163">
        <w:rPr>
          <w:szCs w:val="22"/>
        </w:rPr>
        <w:t>to set out the terms by which certain commercial and government-controlled entities report data to the Commi</w:t>
      </w:r>
      <w:r w:rsidRPr="00ED6163">
        <w:rPr>
          <w:szCs w:val="22"/>
        </w:rPr>
        <w:t xml:space="preserve">ssion concerning </w:t>
      </w:r>
      <w:r w:rsidRPr="00ED6163">
        <w:rPr>
          <w:b/>
          <w:szCs w:val="22"/>
        </w:rPr>
        <w:t xml:space="preserve">(a) the provision of wired and wireless local telephone services and interconnected Voice over Internet Protocol services, and (b) </w:t>
      </w:r>
      <w:r w:rsidRPr="00ED6163">
        <w:rPr>
          <w:szCs w:val="22"/>
        </w:rPr>
        <w:t xml:space="preserve">the deployment of advanced telecommunications capability, </w:t>
      </w:r>
      <w:r w:rsidRPr="00ED6163">
        <w:rPr>
          <w:b/>
          <w:szCs w:val="22"/>
        </w:rPr>
        <w:t>as</w:t>
      </w:r>
      <w:r w:rsidRPr="00ED6163">
        <w:rPr>
          <w:szCs w:val="22"/>
        </w:rPr>
        <w:t xml:space="preserve"> defined </w:t>
      </w:r>
      <w:r w:rsidRPr="00ED6163">
        <w:rPr>
          <w:b/>
          <w:szCs w:val="22"/>
        </w:rPr>
        <w:t>in</w:t>
      </w:r>
      <w:r w:rsidRPr="00ED6163">
        <w:rPr>
          <w:szCs w:val="22"/>
        </w:rPr>
        <w:t xml:space="preserve"> </w:t>
      </w:r>
      <w:r w:rsidRPr="00ED6163">
        <w:rPr>
          <w:strike/>
          <w:szCs w:val="22"/>
        </w:rPr>
        <w:t>pursuant to</w:t>
      </w:r>
      <w:r w:rsidRPr="00ED6163">
        <w:rPr>
          <w:szCs w:val="22"/>
        </w:rPr>
        <w:t xml:space="preserve"> 47 U.S.C. </w:t>
      </w:r>
      <w:r w:rsidRPr="00ED6163">
        <w:rPr>
          <w:b/>
          <w:szCs w:val="22"/>
        </w:rPr>
        <w:t xml:space="preserve">1302, </w:t>
      </w:r>
      <w:r w:rsidRPr="00ED6163">
        <w:rPr>
          <w:strike/>
          <w:szCs w:val="22"/>
        </w:rPr>
        <w:t>157 as “</w:t>
      </w:r>
      <w:r w:rsidRPr="00ED6163">
        <w:rPr>
          <w:strike/>
          <w:szCs w:val="22"/>
        </w:rPr>
        <w:t>high-speed, switched, broadband telecommunications capability that enables users to originate and receive high-quality voice, data, graphics, and video telecommunications using any technology,”</w:t>
      </w:r>
      <w:r w:rsidRPr="00ED6163">
        <w:rPr>
          <w:szCs w:val="22"/>
        </w:rPr>
        <w:t xml:space="preserve"> and </w:t>
      </w:r>
      <w:r w:rsidRPr="00ED6163">
        <w:rPr>
          <w:strike/>
          <w:szCs w:val="22"/>
        </w:rPr>
        <w:t>the deployment of</w:t>
      </w:r>
      <w:r w:rsidRPr="00ED6163">
        <w:rPr>
          <w:szCs w:val="22"/>
        </w:rPr>
        <w:t xml:space="preserve"> services that are competitive with advan</w:t>
      </w:r>
      <w:r w:rsidRPr="00ED6163">
        <w:rPr>
          <w:szCs w:val="22"/>
        </w:rPr>
        <w:t>ced telecommunications capability.</w:t>
      </w:r>
    </w:p>
    <w:p w:rsidR="00252A4C" w:rsidRPr="00ED6163" w:rsidP="00252A4C" w14:paraId="26B64A52" w14:textId="77777777">
      <w:pPr>
        <w:rPr>
          <w:szCs w:val="22"/>
        </w:rPr>
      </w:pPr>
    </w:p>
    <w:p w:rsidR="00252A4C" w:rsidRPr="00ED6163" w:rsidP="00252A4C" w14:paraId="3A4DEE8D" w14:textId="77777777">
      <w:pPr>
        <w:rPr>
          <w:szCs w:val="22"/>
        </w:rPr>
      </w:pPr>
      <w:r w:rsidRPr="00ED6163">
        <w:rPr>
          <w:szCs w:val="22"/>
        </w:rPr>
        <w:t>4.</w:t>
      </w:r>
      <w:r w:rsidRPr="00ED6163">
        <w:rPr>
          <w:szCs w:val="22"/>
        </w:rPr>
        <w:tab/>
        <w:t xml:space="preserve">Amend section 1.7001 by revising paragraphs (a), (b), and (d) to read as follows: </w:t>
      </w:r>
    </w:p>
    <w:p w:rsidR="00252A4C" w:rsidRPr="00ED6163" w:rsidP="00252A4C" w14:paraId="5AC56AFE" w14:textId="77777777">
      <w:pPr>
        <w:rPr>
          <w:b/>
          <w:szCs w:val="22"/>
        </w:rPr>
      </w:pPr>
    </w:p>
    <w:p w:rsidR="00252A4C" w:rsidRPr="00ED6163" w:rsidP="00252A4C" w14:paraId="62A66EF5" w14:textId="77777777">
      <w:pPr>
        <w:rPr>
          <w:b/>
          <w:szCs w:val="22"/>
        </w:rPr>
      </w:pPr>
      <w:r w:rsidRPr="00ED6163">
        <w:rPr>
          <w:b/>
          <w:szCs w:val="22"/>
        </w:rPr>
        <w:t>§ 1.7001 Scope and content of filed reports.</w:t>
      </w:r>
    </w:p>
    <w:p w:rsidR="00252A4C" w:rsidRPr="00ED6163" w:rsidP="00252A4C" w14:paraId="25FBA14B" w14:textId="77777777">
      <w:pPr>
        <w:rPr>
          <w:szCs w:val="22"/>
        </w:rPr>
      </w:pPr>
    </w:p>
    <w:p w:rsidR="00252A4C" w:rsidRPr="00ED6163" w:rsidP="00252A4C" w14:paraId="4167907D" w14:textId="77777777">
      <w:pPr>
        <w:rPr>
          <w:szCs w:val="22"/>
        </w:rPr>
      </w:pPr>
      <w:r w:rsidRPr="00ED6163">
        <w:rPr>
          <w:szCs w:val="22"/>
        </w:rPr>
        <w:t>(a)</w:t>
      </w:r>
      <w:r w:rsidRPr="00ED6163">
        <w:rPr>
          <w:szCs w:val="22"/>
        </w:rPr>
        <w:tab/>
      </w:r>
      <w:r w:rsidRPr="00ED6163">
        <w:rPr>
          <w:i/>
          <w:szCs w:val="22"/>
        </w:rPr>
        <w:t>Definitions</w:t>
      </w:r>
      <w:r w:rsidRPr="00ED6163">
        <w:rPr>
          <w:szCs w:val="22"/>
        </w:rPr>
        <w:t>. Terms used in this subpart have the following meanings:</w:t>
      </w:r>
    </w:p>
    <w:p w:rsidR="00252A4C" w:rsidRPr="00ED6163" w:rsidP="00252A4C" w14:paraId="3D1EE7DF" w14:textId="77777777">
      <w:pPr>
        <w:ind w:left="720" w:hanging="360"/>
        <w:rPr>
          <w:szCs w:val="22"/>
        </w:rPr>
      </w:pPr>
    </w:p>
    <w:p w:rsidR="00252A4C" w:rsidRPr="00ED6163" w:rsidP="00252A4C" w14:paraId="65B23565" w14:textId="77777777">
      <w:pPr>
        <w:ind w:left="720" w:hanging="360"/>
        <w:rPr>
          <w:szCs w:val="22"/>
        </w:rPr>
      </w:pPr>
      <w:r w:rsidRPr="00ED6163">
        <w:rPr>
          <w:szCs w:val="22"/>
        </w:rPr>
        <w:t>(1)</w:t>
      </w:r>
      <w:r w:rsidRPr="00ED6163">
        <w:rPr>
          <w:szCs w:val="22"/>
        </w:rPr>
        <w:tab/>
      </w:r>
      <w:r w:rsidRPr="00ED6163">
        <w:rPr>
          <w:i/>
          <w:szCs w:val="22"/>
        </w:rPr>
        <w:t>Broadband</w:t>
      </w:r>
      <w:r w:rsidRPr="00ED6163">
        <w:rPr>
          <w:i/>
          <w:szCs w:val="22"/>
        </w:rPr>
        <w:t xml:space="preserve"> connection</w:t>
      </w:r>
      <w:r w:rsidRPr="00ED6163">
        <w:rPr>
          <w:szCs w:val="22"/>
        </w:rPr>
        <w:t>.  A wired line, wireless channel, or satellite service that terminates at an end user location or mobile device and enables the end user to receive information from and/or send information to the Internet at information transfer rates exceeding</w:t>
      </w:r>
      <w:r w:rsidRPr="00ED6163">
        <w:rPr>
          <w:szCs w:val="22"/>
        </w:rPr>
        <w:t xml:space="preserve"> 200 kilobits per second (kbps) in at least one direction.</w:t>
      </w:r>
    </w:p>
    <w:p w:rsidR="00252A4C" w:rsidRPr="00ED6163" w:rsidP="00252A4C" w14:paraId="00B7464D" w14:textId="77777777">
      <w:pPr>
        <w:rPr>
          <w:szCs w:val="22"/>
        </w:rPr>
      </w:pPr>
    </w:p>
    <w:p w:rsidR="00252A4C" w:rsidRPr="00ED6163" w:rsidP="00252A4C" w14:paraId="1210ACF3" w14:textId="77777777">
      <w:pPr>
        <w:ind w:left="720" w:hanging="360"/>
        <w:rPr>
          <w:szCs w:val="22"/>
        </w:rPr>
      </w:pPr>
      <w:r w:rsidRPr="00ED6163">
        <w:rPr>
          <w:szCs w:val="22"/>
        </w:rPr>
        <w:t>(2)</w:t>
      </w:r>
      <w:r w:rsidRPr="00ED6163">
        <w:rPr>
          <w:i/>
          <w:szCs w:val="22"/>
        </w:rPr>
        <w:tab/>
        <w:t>Facilities-based provider</w:t>
      </w:r>
      <w:r w:rsidRPr="00ED6163">
        <w:rPr>
          <w:szCs w:val="22"/>
        </w:rPr>
        <w:t xml:space="preserve">.  An entity is a </w:t>
      </w:r>
      <w:r w:rsidRPr="00ED6163">
        <w:rPr>
          <w:i/>
          <w:szCs w:val="22"/>
        </w:rPr>
        <w:t xml:space="preserve">facilities-based provider </w:t>
      </w:r>
      <w:r w:rsidRPr="00ED6163">
        <w:rPr>
          <w:szCs w:val="22"/>
        </w:rPr>
        <w:t xml:space="preserve">of a service if it supplies such service using facilities that satisfy any of the following criteria: </w:t>
      </w:r>
    </w:p>
    <w:p w:rsidR="00252A4C" w:rsidRPr="00ED6163" w:rsidP="00252A4C" w14:paraId="24C7A9DE" w14:textId="77777777">
      <w:pPr>
        <w:ind w:left="1080" w:hanging="360"/>
        <w:rPr>
          <w:szCs w:val="22"/>
        </w:rPr>
      </w:pPr>
    </w:p>
    <w:p w:rsidR="00252A4C" w:rsidRPr="00ED6163" w:rsidP="00252A4C" w14:paraId="1ACC627C" w14:textId="77777777">
      <w:pPr>
        <w:ind w:left="1080" w:hanging="360"/>
        <w:rPr>
          <w:szCs w:val="22"/>
        </w:rPr>
      </w:pPr>
      <w:r w:rsidRPr="00ED6163">
        <w:rPr>
          <w:szCs w:val="22"/>
        </w:rPr>
        <w:t>(</w:t>
      </w:r>
      <w:r w:rsidRPr="00ED6163">
        <w:rPr>
          <w:szCs w:val="22"/>
        </w:rPr>
        <w:t>i</w:t>
      </w:r>
      <w:r w:rsidRPr="00ED6163">
        <w:rPr>
          <w:szCs w:val="22"/>
        </w:rPr>
        <w:t>)</w:t>
      </w:r>
      <w:r w:rsidRPr="00ED6163">
        <w:rPr>
          <w:szCs w:val="22"/>
        </w:rPr>
        <w:tab/>
        <w:t>Physical facilities that the entity owns and that terminate at the end-user premises;</w:t>
      </w:r>
    </w:p>
    <w:p w:rsidR="00252A4C" w:rsidRPr="00ED6163" w:rsidP="00252A4C" w14:paraId="2DEAED0D" w14:textId="77777777">
      <w:pPr>
        <w:ind w:left="1080" w:hanging="360"/>
        <w:rPr>
          <w:szCs w:val="22"/>
        </w:rPr>
      </w:pPr>
    </w:p>
    <w:p w:rsidR="00252A4C" w:rsidRPr="00ED6163" w:rsidP="00252A4C" w14:paraId="2894DE2F" w14:textId="77777777">
      <w:pPr>
        <w:ind w:left="1080" w:hanging="360"/>
        <w:rPr>
          <w:szCs w:val="22"/>
        </w:rPr>
      </w:pPr>
      <w:r w:rsidRPr="00ED6163">
        <w:rPr>
          <w:szCs w:val="22"/>
        </w:rPr>
        <w:t>(ii)</w:t>
      </w:r>
      <w:r w:rsidRPr="00ED6163">
        <w:rPr>
          <w:szCs w:val="22"/>
        </w:rPr>
        <w:tab/>
        <w:t>Facilities that the entity</w:t>
      </w:r>
      <w:r w:rsidRPr="00ED6163">
        <w:rPr>
          <w:i/>
          <w:szCs w:val="22"/>
        </w:rPr>
        <w:t xml:space="preserve"> </w:t>
      </w:r>
      <w:r w:rsidRPr="00ED6163">
        <w:rPr>
          <w:szCs w:val="22"/>
        </w:rPr>
        <w:t>has obtained the right to use</w:t>
      </w:r>
      <w:r w:rsidRPr="00ED6163">
        <w:rPr>
          <w:szCs w:val="22"/>
        </w:rPr>
        <w:t xml:space="preserve"> from other entities, such as dark fiber or satellite transponder capacity as part of its own network, or has obtained </w:t>
      </w:r>
    </w:p>
    <w:p w:rsidR="00252A4C" w:rsidRPr="00ED6163" w:rsidP="00252A4C" w14:paraId="721C73B8" w14:textId="77777777">
      <w:pPr>
        <w:ind w:left="1080" w:hanging="360"/>
        <w:rPr>
          <w:szCs w:val="22"/>
        </w:rPr>
      </w:pPr>
    </w:p>
    <w:p w:rsidR="00252A4C" w:rsidRPr="00ED6163" w:rsidP="00252A4C" w14:paraId="48905CB5" w14:textId="77777777">
      <w:pPr>
        <w:ind w:left="1080" w:hanging="360"/>
        <w:rPr>
          <w:szCs w:val="22"/>
        </w:rPr>
      </w:pPr>
      <w:r w:rsidRPr="00ED6163">
        <w:rPr>
          <w:szCs w:val="22"/>
        </w:rPr>
        <w:t>(iii) Unbundled network element (UNE) loops, special access lines, or other leased facilities that the entity uses to complete terminat</w:t>
      </w:r>
      <w:r w:rsidRPr="00ED6163">
        <w:rPr>
          <w:szCs w:val="22"/>
        </w:rPr>
        <w:t xml:space="preserve">ions to the end-user premises; </w:t>
      </w:r>
    </w:p>
    <w:p w:rsidR="00252A4C" w:rsidRPr="00ED6163" w:rsidP="00252A4C" w14:paraId="65415B8D" w14:textId="77777777">
      <w:pPr>
        <w:ind w:left="1080" w:hanging="360"/>
        <w:rPr>
          <w:szCs w:val="22"/>
        </w:rPr>
      </w:pPr>
    </w:p>
    <w:p w:rsidR="00252A4C" w:rsidRPr="00ED6163" w:rsidP="00252A4C" w14:paraId="17621B39" w14:textId="77777777">
      <w:pPr>
        <w:ind w:left="1080" w:hanging="360"/>
        <w:rPr>
          <w:szCs w:val="22"/>
        </w:rPr>
      </w:pPr>
      <w:r w:rsidRPr="00ED6163">
        <w:rPr>
          <w:szCs w:val="22"/>
        </w:rPr>
        <w:t>(iv)</w:t>
      </w:r>
      <w:r w:rsidRPr="00ED6163">
        <w:rPr>
          <w:szCs w:val="22"/>
        </w:rPr>
        <w:tab/>
        <w:t>Wireless service for which the entity holds a license or that the entity manages or has obtained the right to use via a spectrum leasing arrangement or comparable arrangement pursuant to subpart X of this Part (§§ 1.90</w:t>
      </w:r>
      <w:r w:rsidRPr="00ED6163">
        <w:rPr>
          <w:szCs w:val="22"/>
        </w:rPr>
        <w:t>01-1.9080); or</w:t>
      </w:r>
    </w:p>
    <w:p w:rsidR="00252A4C" w:rsidRPr="00ED6163" w:rsidP="00252A4C" w14:paraId="29BB1BDF" w14:textId="77777777">
      <w:pPr>
        <w:ind w:left="1440" w:hanging="360"/>
        <w:rPr>
          <w:szCs w:val="22"/>
        </w:rPr>
      </w:pPr>
    </w:p>
    <w:p w:rsidR="00252A4C" w:rsidRPr="00ED6163" w:rsidP="00252A4C" w14:paraId="0A28FC67" w14:textId="77777777">
      <w:pPr>
        <w:ind w:firstLine="360"/>
        <w:rPr>
          <w:szCs w:val="22"/>
        </w:rPr>
      </w:pPr>
      <w:r w:rsidRPr="00ED6163">
        <w:rPr>
          <w:szCs w:val="22"/>
        </w:rPr>
        <w:t xml:space="preserve">       (v) Unlicensed spectrum.</w:t>
      </w:r>
    </w:p>
    <w:p w:rsidR="00252A4C" w:rsidRPr="00ED6163" w:rsidP="00252A4C" w14:paraId="6167AC58" w14:textId="77777777">
      <w:pPr>
        <w:ind w:left="720" w:hanging="360"/>
        <w:rPr>
          <w:szCs w:val="22"/>
        </w:rPr>
      </w:pPr>
    </w:p>
    <w:p w:rsidR="00252A4C" w:rsidRPr="00ED6163" w:rsidP="00252A4C" w14:paraId="614B9D42" w14:textId="77777777">
      <w:pPr>
        <w:ind w:left="720" w:hanging="360"/>
        <w:rPr>
          <w:szCs w:val="22"/>
        </w:rPr>
      </w:pPr>
      <w:r w:rsidRPr="00ED6163">
        <w:rPr>
          <w:szCs w:val="22"/>
        </w:rPr>
        <w:t>(3)</w:t>
      </w:r>
      <w:r w:rsidRPr="00ED6163">
        <w:rPr>
          <w:szCs w:val="22"/>
        </w:rPr>
        <w:tab/>
      </w:r>
      <w:r w:rsidRPr="00ED6163">
        <w:rPr>
          <w:i/>
          <w:szCs w:val="22"/>
        </w:rPr>
        <w:t>End user</w:t>
      </w:r>
      <w:r w:rsidRPr="00ED6163">
        <w:rPr>
          <w:szCs w:val="22"/>
        </w:rPr>
        <w:t>.  A residential, business, institutional, or government entity that subscribes to a service, uses that service for its own purposes, and does not resell that service to other entities.</w:t>
      </w:r>
    </w:p>
    <w:p w:rsidR="00252A4C" w:rsidRPr="00ED6163" w:rsidP="00252A4C" w14:paraId="2CDCDF65" w14:textId="77777777">
      <w:pPr>
        <w:ind w:left="720" w:hanging="360"/>
        <w:rPr>
          <w:szCs w:val="22"/>
        </w:rPr>
      </w:pPr>
    </w:p>
    <w:p w:rsidR="00252A4C" w:rsidRPr="00ED6163" w:rsidP="00252A4C" w14:paraId="3072E72E" w14:textId="77777777">
      <w:pPr>
        <w:ind w:left="720" w:hanging="360"/>
        <w:rPr>
          <w:szCs w:val="22"/>
        </w:rPr>
      </w:pPr>
      <w:r w:rsidRPr="00ED6163">
        <w:rPr>
          <w:szCs w:val="22"/>
        </w:rPr>
        <w:t>(4)</w:t>
      </w:r>
      <w:r w:rsidRPr="00ED6163">
        <w:rPr>
          <w:szCs w:val="22"/>
        </w:rPr>
        <w:tab/>
      </w:r>
      <w:r w:rsidRPr="00ED6163">
        <w:rPr>
          <w:i/>
          <w:szCs w:val="22"/>
        </w:rPr>
        <w:t>Local telephone service</w:t>
      </w:r>
      <w:r w:rsidRPr="00ED6163">
        <w:rPr>
          <w:szCs w:val="22"/>
        </w:rPr>
        <w:t>.  Telephone exchange or exchange access service (as defined in 47 U.S.C. 153(20 and (54)) provided by a common carrier or its affiliate (as defined in 47 U.S.C. 153(2)).</w:t>
      </w:r>
    </w:p>
    <w:p w:rsidR="00252A4C" w:rsidRPr="00ED6163" w:rsidP="00252A4C" w14:paraId="431BA01C" w14:textId="77777777">
      <w:pPr>
        <w:ind w:left="720" w:hanging="360"/>
        <w:rPr>
          <w:szCs w:val="22"/>
        </w:rPr>
      </w:pPr>
    </w:p>
    <w:p w:rsidR="00252A4C" w:rsidRPr="00ED6163" w:rsidP="00252A4C" w14:paraId="15DA2831" w14:textId="77777777">
      <w:pPr>
        <w:ind w:left="720" w:hanging="360"/>
        <w:rPr>
          <w:szCs w:val="22"/>
        </w:rPr>
      </w:pPr>
      <w:r w:rsidRPr="00ED6163">
        <w:rPr>
          <w:szCs w:val="22"/>
        </w:rPr>
        <w:t>(5)</w:t>
      </w:r>
      <w:r w:rsidRPr="00ED6163">
        <w:rPr>
          <w:szCs w:val="22"/>
        </w:rPr>
        <w:tab/>
      </w:r>
      <w:r w:rsidRPr="00ED6163">
        <w:rPr>
          <w:i/>
          <w:szCs w:val="22"/>
        </w:rPr>
        <w:t>Mobile telephony service</w:t>
      </w:r>
      <w:r w:rsidRPr="00ED6163">
        <w:rPr>
          <w:szCs w:val="22"/>
        </w:rPr>
        <w:t>.  Mobile telephony (as defined i</w:t>
      </w:r>
      <w:r w:rsidRPr="00ED6163">
        <w:rPr>
          <w:szCs w:val="22"/>
        </w:rPr>
        <w:t xml:space="preserve">n § 20.15 of this chapter) provided to end users by a commercial mobile radio service (CMRS) provider. </w:t>
      </w:r>
    </w:p>
    <w:p w:rsidR="00252A4C" w:rsidRPr="00ED6163" w:rsidP="00252A4C" w14:paraId="6D44A75B" w14:textId="77777777">
      <w:pPr>
        <w:ind w:left="360" w:hanging="360"/>
        <w:rPr>
          <w:szCs w:val="22"/>
        </w:rPr>
      </w:pPr>
    </w:p>
    <w:p w:rsidR="00252A4C" w:rsidRPr="00ED6163" w:rsidP="00252A4C" w14:paraId="7DD539CD" w14:textId="77777777">
      <w:pPr>
        <w:ind w:left="360" w:hanging="360"/>
        <w:rPr>
          <w:szCs w:val="22"/>
        </w:rPr>
      </w:pPr>
      <w:r w:rsidRPr="00ED6163">
        <w:rPr>
          <w:szCs w:val="22"/>
        </w:rPr>
        <w:t>(b)</w:t>
      </w:r>
      <w:r w:rsidRPr="00ED6163">
        <w:rPr>
          <w:szCs w:val="22"/>
        </w:rPr>
        <w:tab/>
        <w:t>The following entities shall file with the Commission a completed FCC Form 477, in accordance with the Commission’s rules and the instructions to t</w:t>
      </w:r>
      <w:r w:rsidRPr="00ED6163">
        <w:rPr>
          <w:szCs w:val="22"/>
        </w:rPr>
        <w:t>he FCC Form 477:</w:t>
      </w:r>
    </w:p>
    <w:p w:rsidR="00252A4C" w:rsidRPr="00ED6163" w:rsidP="00252A4C" w14:paraId="78177577" w14:textId="77777777">
      <w:pPr>
        <w:ind w:left="720" w:hanging="360"/>
        <w:rPr>
          <w:szCs w:val="22"/>
        </w:rPr>
      </w:pPr>
    </w:p>
    <w:p w:rsidR="00252A4C" w:rsidRPr="00ED6163" w:rsidP="00252A4C" w14:paraId="37024A25" w14:textId="77777777">
      <w:pPr>
        <w:ind w:left="720" w:hanging="360"/>
        <w:rPr>
          <w:szCs w:val="22"/>
        </w:rPr>
      </w:pPr>
      <w:r w:rsidRPr="00ED6163">
        <w:rPr>
          <w:szCs w:val="22"/>
        </w:rPr>
        <w:t>(1)</w:t>
      </w:r>
      <w:r w:rsidRPr="00ED6163">
        <w:rPr>
          <w:szCs w:val="22"/>
        </w:rPr>
        <w:tab/>
        <w:t xml:space="preserve">Facilities-based providers of broadband service; </w:t>
      </w:r>
    </w:p>
    <w:p w:rsidR="00252A4C" w:rsidRPr="00ED6163" w:rsidP="00252A4C" w14:paraId="6DE34747" w14:textId="77777777">
      <w:pPr>
        <w:ind w:left="720" w:hanging="360"/>
        <w:rPr>
          <w:szCs w:val="22"/>
        </w:rPr>
      </w:pPr>
    </w:p>
    <w:p w:rsidR="00252A4C" w:rsidRPr="00ED6163" w:rsidP="00252A4C" w14:paraId="433266D4" w14:textId="77777777">
      <w:pPr>
        <w:ind w:left="720" w:hanging="360"/>
        <w:rPr>
          <w:szCs w:val="22"/>
        </w:rPr>
      </w:pPr>
      <w:r w:rsidRPr="00ED6163">
        <w:rPr>
          <w:szCs w:val="22"/>
        </w:rPr>
        <w:t>(2)</w:t>
      </w:r>
      <w:r w:rsidRPr="00ED6163">
        <w:rPr>
          <w:szCs w:val="22"/>
        </w:rPr>
        <w:tab/>
        <w:t>Providers of local telephone service;</w:t>
      </w:r>
    </w:p>
    <w:p w:rsidR="00252A4C" w:rsidRPr="00ED6163" w:rsidP="00252A4C" w14:paraId="7F9FAC8D" w14:textId="77777777">
      <w:pPr>
        <w:ind w:left="720" w:hanging="360"/>
        <w:rPr>
          <w:szCs w:val="22"/>
        </w:rPr>
      </w:pPr>
    </w:p>
    <w:p w:rsidR="00252A4C" w:rsidRPr="00ED6163" w:rsidP="00252A4C" w14:paraId="2BAB9FC0" w14:textId="77777777">
      <w:pPr>
        <w:ind w:left="720" w:hanging="360"/>
        <w:rPr>
          <w:szCs w:val="22"/>
        </w:rPr>
      </w:pPr>
      <w:r w:rsidRPr="00ED6163">
        <w:rPr>
          <w:szCs w:val="22"/>
        </w:rPr>
        <w:t>(3)</w:t>
      </w:r>
      <w:r w:rsidRPr="00ED6163">
        <w:rPr>
          <w:szCs w:val="22"/>
        </w:rPr>
        <w:tab/>
        <w:t xml:space="preserve">Facilities-based providers of mobile telephony service; and </w:t>
      </w:r>
    </w:p>
    <w:p w:rsidR="00252A4C" w:rsidRPr="00ED6163" w:rsidP="00252A4C" w14:paraId="721C4C68" w14:textId="77777777">
      <w:pPr>
        <w:ind w:left="720" w:hanging="360"/>
        <w:rPr>
          <w:szCs w:val="22"/>
        </w:rPr>
      </w:pPr>
    </w:p>
    <w:p w:rsidR="00252A4C" w:rsidRPr="00ED6163" w:rsidP="00252A4C" w14:paraId="42AC32CF" w14:textId="77777777">
      <w:pPr>
        <w:ind w:left="720" w:hanging="360"/>
        <w:rPr>
          <w:szCs w:val="22"/>
        </w:rPr>
      </w:pPr>
      <w:r w:rsidRPr="00ED6163">
        <w:rPr>
          <w:szCs w:val="22"/>
        </w:rPr>
        <w:t>(4)</w:t>
      </w:r>
      <w:r w:rsidRPr="00ED6163">
        <w:rPr>
          <w:szCs w:val="22"/>
        </w:rPr>
        <w:tab/>
        <w:t xml:space="preserve">Providers of Interconnected Voice over Internet Protocol (VoIP) </w:t>
      </w:r>
      <w:r w:rsidRPr="00ED6163">
        <w:rPr>
          <w:szCs w:val="22"/>
        </w:rPr>
        <w:t>service (as defined in § 9.3 of this chapter) to end users.</w:t>
      </w:r>
    </w:p>
    <w:p w:rsidR="00252A4C" w:rsidRPr="00ED6163" w:rsidP="00252A4C" w14:paraId="632600F2" w14:textId="77777777">
      <w:pPr>
        <w:ind w:left="360" w:hanging="360"/>
        <w:rPr>
          <w:szCs w:val="22"/>
        </w:rPr>
      </w:pPr>
    </w:p>
    <w:p w:rsidR="00252A4C" w:rsidRPr="00ED6163" w:rsidP="00252A4C" w14:paraId="43FF2446" w14:textId="77777777">
      <w:pPr>
        <w:ind w:left="360" w:hanging="360"/>
        <w:rPr>
          <w:szCs w:val="22"/>
        </w:rPr>
      </w:pPr>
      <w:r w:rsidRPr="00ED6163">
        <w:rPr>
          <w:szCs w:val="22"/>
        </w:rPr>
        <w:t>* * * * *</w:t>
      </w:r>
    </w:p>
    <w:p w:rsidR="00252A4C" w:rsidRPr="00ED6163" w:rsidP="00252A4C" w14:paraId="2E1F5B89" w14:textId="77777777">
      <w:pPr>
        <w:rPr>
          <w:szCs w:val="22"/>
        </w:rPr>
      </w:pPr>
    </w:p>
    <w:p w:rsidR="00252A4C" w:rsidRPr="00ED6163" w:rsidP="00252A4C" w14:paraId="040762E7" w14:textId="77777777">
      <w:pPr>
        <w:rPr>
          <w:szCs w:val="22"/>
        </w:rPr>
      </w:pPr>
      <w:r w:rsidRPr="00ED6163">
        <w:rPr>
          <w:szCs w:val="22"/>
        </w:rPr>
        <w:t xml:space="preserve">(d)  Disclosure of data contained in FCC Form 477 will be addressed as follows: </w:t>
      </w:r>
    </w:p>
    <w:p w:rsidR="00252A4C" w:rsidRPr="00ED6163" w:rsidP="00252A4C" w14:paraId="2A69DA03" w14:textId="77777777">
      <w:pPr>
        <w:ind w:left="720" w:hanging="360"/>
        <w:rPr>
          <w:szCs w:val="22"/>
        </w:rPr>
      </w:pPr>
    </w:p>
    <w:p w:rsidR="00252A4C" w:rsidRPr="00ED6163" w:rsidP="00252A4C" w14:paraId="39DD715E" w14:textId="77777777">
      <w:pPr>
        <w:ind w:left="720" w:hanging="360"/>
        <w:rPr>
          <w:szCs w:val="22"/>
        </w:rPr>
      </w:pPr>
      <w:r w:rsidRPr="00ED6163">
        <w:rPr>
          <w:szCs w:val="22"/>
        </w:rPr>
        <w:t>(1)</w:t>
      </w:r>
      <w:r w:rsidRPr="00ED6163">
        <w:rPr>
          <w:szCs w:val="22"/>
        </w:rPr>
        <w:tab/>
        <w:t xml:space="preserve">Emergency operations contact information contained in FCC Form 477 is information that should not </w:t>
      </w:r>
      <w:r w:rsidRPr="00ED6163">
        <w:rPr>
          <w:szCs w:val="22"/>
        </w:rPr>
        <w:t>be routinely available for public inspection pursuant to section 0.457 of this chapter, in addition to other information that should not be routinely available for public inspection pursuant to § 0.457.</w:t>
      </w:r>
    </w:p>
    <w:p w:rsidR="00252A4C" w:rsidRPr="00ED6163" w:rsidP="00252A4C" w14:paraId="7F52F98A" w14:textId="77777777">
      <w:pPr>
        <w:rPr>
          <w:szCs w:val="22"/>
        </w:rPr>
      </w:pPr>
    </w:p>
    <w:p w:rsidR="00252A4C" w:rsidRPr="00ED6163" w:rsidP="00252A4C" w14:paraId="2D3C0D88" w14:textId="77777777">
      <w:pPr>
        <w:ind w:left="720" w:hanging="360"/>
        <w:rPr>
          <w:szCs w:val="22"/>
        </w:rPr>
      </w:pPr>
      <w:r w:rsidRPr="00ED6163">
        <w:rPr>
          <w:szCs w:val="22"/>
        </w:rPr>
        <w:t>(2) (</w:t>
      </w:r>
      <w:r w:rsidRPr="00ED6163">
        <w:rPr>
          <w:szCs w:val="22"/>
        </w:rPr>
        <w:t>i</w:t>
      </w:r>
      <w:r w:rsidRPr="00ED6163">
        <w:rPr>
          <w:szCs w:val="22"/>
        </w:rPr>
        <w:t>)  Respondents may request that provider-speci</w:t>
      </w:r>
      <w:r w:rsidRPr="00ED6163">
        <w:rPr>
          <w:szCs w:val="22"/>
        </w:rPr>
        <w:t>fic subscription information in FCC Form 477 filings be treated as confidential and be withheld from public inspection by so indicating on Form 477 at the time that they submit such data.</w:t>
      </w:r>
    </w:p>
    <w:p w:rsidR="00252A4C" w:rsidRPr="00ED6163" w:rsidP="00252A4C" w14:paraId="73DFF18C" w14:textId="77777777">
      <w:pPr>
        <w:ind w:left="1080" w:hanging="360"/>
        <w:rPr>
          <w:szCs w:val="22"/>
        </w:rPr>
      </w:pPr>
    </w:p>
    <w:p w:rsidR="00252A4C" w:rsidRPr="00ED6163" w:rsidP="00252A4C" w14:paraId="71426B36" w14:textId="77777777">
      <w:pPr>
        <w:ind w:left="1080" w:hanging="360"/>
        <w:rPr>
          <w:szCs w:val="22"/>
        </w:rPr>
      </w:pPr>
      <w:r w:rsidRPr="00ED6163">
        <w:rPr>
          <w:szCs w:val="22"/>
        </w:rPr>
        <w:t>(ii)</w:t>
      </w:r>
      <w:r w:rsidRPr="00ED6163">
        <w:rPr>
          <w:szCs w:val="22"/>
        </w:rPr>
        <w:tab/>
        <w:t>The Commission will release the following information in FCC F</w:t>
      </w:r>
      <w:r w:rsidRPr="00ED6163">
        <w:rPr>
          <w:szCs w:val="22"/>
        </w:rPr>
        <w:t>orm 477 filings to the public, and respondents may not request confidential treatment of such information:</w:t>
      </w:r>
    </w:p>
    <w:p w:rsidR="00252A4C" w:rsidRPr="00ED6163" w:rsidP="00252A4C" w14:paraId="1C17F16D" w14:textId="77777777">
      <w:pPr>
        <w:ind w:left="1080" w:hanging="360"/>
        <w:rPr>
          <w:szCs w:val="22"/>
        </w:rPr>
      </w:pPr>
    </w:p>
    <w:p w:rsidR="00252A4C" w:rsidRPr="00ED6163" w:rsidP="00252A4C" w14:paraId="5D95B159" w14:textId="77777777">
      <w:pPr>
        <w:ind w:left="1440" w:hanging="360"/>
        <w:rPr>
          <w:szCs w:val="22"/>
        </w:rPr>
      </w:pPr>
      <w:r w:rsidRPr="00ED6163">
        <w:rPr>
          <w:szCs w:val="22"/>
        </w:rPr>
        <w:t>(A)</w:t>
      </w:r>
      <w:r w:rsidRPr="00ED6163">
        <w:rPr>
          <w:szCs w:val="22"/>
        </w:rPr>
        <w:tab/>
        <w:t xml:space="preserve">Provider-specific mobile deployment data; </w:t>
      </w:r>
    </w:p>
    <w:p w:rsidR="00252A4C" w:rsidRPr="00ED6163" w:rsidP="00252A4C" w14:paraId="52C17980" w14:textId="77777777">
      <w:pPr>
        <w:ind w:left="1440" w:hanging="360"/>
        <w:rPr>
          <w:szCs w:val="22"/>
        </w:rPr>
      </w:pPr>
    </w:p>
    <w:p w:rsidR="00252A4C" w:rsidRPr="00ED6163" w:rsidP="00252A4C" w14:paraId="635EF8FE" w14:textId="77777777">
      <w:pPr>
        <w:ind w:left="1440" w:hanging="360"/>
        <w:rPr>
          <w:szCs w:val="22"/>
        </w:rPr>
      </w:pPr>
      <w:r w:rsidRPr="00ED6163">
        <w:rPr>
          <w:szCs w:val="22"/>
        </w:rPr>
        <w:t>(B)</w:t>
      </w:r>
      <w:r w:rsidRPr="00ED6163">
        <w:rPr>
          <w:szCs w:val="22"/>
        </w:rPr>
        <w:tab/>
        <w:t>Data regarding minimum advertised or expected speed for mobile broadband services;</w:t>
      </w:r>
    </w:p>
    <w:p w:rsidR="00252A4C" w:rsidRPr="00ED6163" w:rsidP="00252A4C" w14:paraId="4D830BC7" w14:textId="77777777">
      <w:pPr>
        <w:ind w:left="1440" w:hanging="360"/>
        <w:rPr>
          <w:szCs w:val="22"/>
        </w:rPr>
      </w:pPr>
      <w:r w:rsidRPr="00ED6163">
        <w:rPr>
          <w:szCs w:val="22"/>
        </w:rPr>
        <w:t>and</w:t>
      </w:r>
    </w:p>
    <w:p w:rsidR="00252A4C" w:rsidRPr="00ED6163" w:rsidP="00252A4C" w14:paraId="3767B386" w14:textId="77777777">
      <w:pPr>
        <w:ind w:left="1440" w:hanging="360"/>
        <w:rPr>
          <w:szCs w:val="22"/>
        </w:rPr>
      </w:pPr>
    </w:p>
    <w:p w:rsidR="00252A4C" w:rsidRPr="00ED6163" w:rsidP="00252A4C" w14:paraId="205EFA8B" w14:textId="77777777">
      <w:pPr>
        <w:ind w:left="1440" w:hanging="360"/>
        <w:rPr>
          <w:szCs w:val="22"/>
        </w:rPr>
      </w:pPr>
      <w:r w:rsidRPr="00ED6163">
        <w:rPr>
          <w:szCs w:val="22"/>
        </w:rPr>
        <w:t xml:space="preserve">(C) </w:t>
      </w:r>
      <w:r w:rsidRPr="00ED6163">
        <w:rPr>
          <w:szCs w:val="22"/>
        </w:rPr>
        <w:tab/>
        <w:t>Loc</w:t>
      </w:r>
      <w:r w:rsidRPr="00ED6163">
        <w:rPr>
          <w:szCs w:val="22"/>
        </w:rPr>
        <w:t xml:space="preserve">ation information that is necessary to permit accurate broadband mapping, including crowdsourcing or challenge processes.  </w:t>
      </w:r>
    </w:p>
    <w:p w:rsidR="00252A4C" w:rsidRPr="00ED6163" w:rsidP="00252A4C" w14:paraId="76BE5852" w14:textId="77777777">
      <w:pPr>
        <w:ind w:left="1080" w:hanging="360"/>
        <w:rPr>
          <w:szCs w:val="22"/>
        </w:rPr>
      </w:pPr>
    </w:p>
    <w:p w:rsidR="00252A4C" w:rsidRPr="00ED6163" w:rsidP="00252A4C" w14:paraId="7F4F39F8" w14:textId="77777777">
      <w:pPr>
        <w:ind w:left="720" w:hanging="360"/>
        <w:rPr>
          <w:szCs w:val="22"/>
        </w:rPr>
      </w:pPr>
      <w:r w:rsidRPr="00ED6163">
        <w:rPr>
          <w:szCs w:val="22"/>
        </w:rPr>
        <w:t>(3)</w:t>
      </w:r>
      <w:r w:rsidRPr="00ED6163">
        <w:rPr>
          <w:szCs w:val="22"/>
        </w:rPr>
        <w:tab/>
        <w:t xml:space="preserve">Respondents seeking confidential treatment of any other data contained in FCC Form 477 must submit a request that the data be </w:t>
      </w:r>
      <w:r w:rsidRPr="00ED6163">
        <w:rPr>
          <w:szCs w:val="22"/>
        </w:rPr>
        <w:t>treated as confidential with the submission of their Form 477 filing, along with their reasons for withholding the information from the public, pursuant to § 0.459 of this chapter.</w:t>
      </w:r>
    </w:p>
    <w:p w:rsidR="00252A4C" w:rsidRPr="00ED6163" w:rsidP="00252A4C" w14:paraId="1D6FECC9" w14:textId="77777777">
      <w:pPr>
        <w:ind w:left="720" w:hanging="360"/>
        <w:rPr>
          <w:szCs w:val="22"/>
        </w:rPr>
      </w:pPr>
    </w:p>
    <w:p w:rsidR="00252A4C" w:rsidRPr="00ED6163" w:rsidP="00252A4C" w14:paraId="69DBA113" w14:textId="77777777">
      <w:pPr>
        <w:ind w:left="720" w:hanging="360"/>
        <w:rPr>
          <w:szCs w:val="22"/>
        </w:rPr>
      </w:pPr>
      <w:r w:rsidRPr="00ED6163">
        <w:rPr>
          <w:szCs w:val="22"/>
        </w:rPr>
        <w:t>(4)</w:t>
      </w:r>
      <w:r w:rsidRPr="00ED6163">
        <w:rPr>
          <w:szCs w:val="22"/>
        </w:rPr>
        <w:tab/>
        <w:t>The Commission shall make all decisions regarding non-disclosure of pr</w:t>
      </w:r>
      <w:r w:rsidRPr="00ED6163">
        <w:rPr>
          <w:szCs w:val="22"/>
        </w:rPr>
        <w:t>ovider-specific information, except that the Chiefs of the International Bureau, Wireless Telecommunications Bureau, Wireline Competition Bureau, or Office of Economics and Analytics may release provider-specific information to:</w:t>
      </w:r>
    </w:p>
    <w:p w:rsidR="00252A4C" w:rsidRPr="00ED6163" w:rsidP="00252A4C" w14:paraId="29BF4FBD" w14:textId="77777777">
      <w:pPr>
        <w:ind w:left="1080" w:hanging="360"/>
        <w:rPr>
          <w:szCs w:val="22"/>
        </w:rPr>
      </w:pPr>
    </w:p>
    <w:p w:rsidR="00252A4C" w:rsidRPr="00ED6163" w:rsidP="00252A4C" w14:paraId="2B62C67A" w14:textId="77777777">
      <w:pPr>
        <w:ind w:left="1080" w:hanging="360"/>
        <w:rPr>
          <w:szCs w:val="22"/>
        </w:rPr>
      </w:pPr>
      <w:r w:rsidRPr="00ED6163">
        <w:rPr>
          <w:szCs w:val="22"/>
        </w:rPr>
        <w:t>(</w:t>
      </w:r>
      <w:r w:rsidRPr="00ED6163">
        <w:rPr>
          <w:szCs w:val="22"/>
        </w:rPr>
        <w:t>i</w:t>
      </w:r>
      <w:r w:rsidRPr="00ED6163">
        <w:rPr>
          <w:szCs w:val="22"/>
        </w:rPr>
        <w:t>) A state commission, pr</w:t>
      </w:r>
      <w:r w:rsidRPr="00ED6163">
        <w:rPr>
          <w:szCs w:val="22"/>
        </w:rPr>
        <w:t>ovided that the state commission has protections in place that would preclude disclosure of any confidential information,</w:t>
      </w:r>
    </w:p>
    <w:p w:rsidR="00252A4C" w:rsidRPr="00ED6163" w:rsidP="00252A4C" w14:paraId="0764EE5F" w14:textId="77777777">
      <w:pPr>
        <w:ind w:left="1080" w:hanging="360"/>
        <w:rPr>
          <w:szCs w:val="22"/>
        </w:rPr>
      </w:pPr>
    </w:p>
    <w:p w:rsidR="00252A4C" w:rsidRPr="00ED6163" w:rsidP="00252A4C" w14:paraId="461960E4" w14:textId="77777777">
      <w:pPr>
        <w:ind w:left="1080" w:hanging="360"/>
        <w:rPr>
          <w:szCs w:val="22"/>
        </w:rPr>
      </w:pPr>
      <w:r w:rsidRPr="00ED6163">
        <w:rPr>
          <w:szCs w:val="22"/>
        </w:rPr>
        <w:t>(ii) ‘‘Eligible entities,’’ as those entities are defined in the Broadband Data Improvement Act, in an aggregated format and pursuant</w:t>
      </w:r>
      <w:r w:rsidRPr="00ED6163">
        <w:rPr>
          <w:szCs w:val="22"/>
        </w:rPr>
        <w:t xml:space="preserve"> to confidentiality conditions prescribed by the Commission, and</w:t>
      </w:r>
    </w:p>
    <w:p w:rsidR="00252A4C" w:rsidRPr="00ED6163" w:rsidP="00252A4C" w14:paraId="56A6F560" w14:textId="77777777">
      <w:pPr>
        <w:ind w:left="1080" w:hanging="360"/>
        <w:rPr>
          <w:szCs w:val="22"/>
        </w:rPr>
      </w:pPr>
    </w:p>
    <w:p w:rsidR="00252A4C" w:rsidRPr="00ED6163" w:rsidP="00252A4C" w14:paraId="5E2048F4" w14:textId="77777777">
      <w:pPr>
        <w:ind w:left="1080" w:hanging="360"/>
        <w:rPr>
          <w:szCs w:val="22"/>
        </w:rPr>
      </w:pPr>
      <w:r w:rsidRPr="00ED6163">
        <w:rPr>
          <w:szCs w:val="22"/>
        </w:rPr>
        <w:t xml:space="preserve">(iii) Others, to the extent that access to such data can be accomplished in a manner that addresses concerns about the competitive sensitivity of the data and precludes public disclosure of </w:t>
      </w:r>
      <w:r w:rsidRPr="00ED6163">
        <w:rPr>
          <w:szCs w:val="22"/>
        </w:rPr>
        <w:t>any confidential information.</w:t>
      </w:r>
    </w:p>
    <w:p w:rsidR="00252A4C" w:rsidRPr="00ED6163" w:rsidP="00252A4C" w14:paraId="179B93C2" w14:textId="77777777">
      <w:pPr>
        <w:rPr>
          <w:szCs w:val="22"/>
        </w:rPr>
      </w:pPr>
    </w:p>
    <w:p w:rsidR="00252A4C" w:rsidRPr="00ED6163" w:rsidP="00252A4C" w14:paraId="46802828" w14:textId="77777777">
      <w:pPr>
        <w:rPr>
          <w:szCs w:val="22"/>
        </w:rPr>
      </w:pPr>
      <w:r w:rsidRPr="00ED6163">
        <w:rPr>
          <w:szCs w:val="22"/>
        </w:rPr>
        <w:t>5.</w:t>
      </w:r>
      <w:r w:rsidRPr="00ED6163">
        <w:rPr>
          <w:szCs w:val="22"/>
        </w:rPr>
        <w:tab/>
        <w:t>Insert the following new section 1.7003:</w:t>
      </w:r>
    </w:p>
    <w:p w:rsidR="00252A4C" w:rsidRPr="00ED6163" w:rsidP="00252A4C" w14:paraId="3D916697" w14:textId="77777777">
      <w:pPr>
        <w:rPr>
          <w:b/>
          <w:szCs w:val="22"/>
        </w:rPr>
      </w:pPr>
    </w:p>
    <w:p w:rsidR="00252A4C" w:rsidRPr="00ED6163" w:rsidP="00252A4C" w14:paraId="0E198374" w14:textId="77777777">
      <w:pPr>
        <w:rPr>
          <w:b/>
          <w:szCs w:val="22"/>
        </w:rPr>
      </w:pPr>
      <w:r w:rsidRPr="00ED6163">
        <w:rPr>
          <w:b/>
          <w:szCs w:val="22"/>
        </w:rPr>
        <w:t>§ 1.7003 Authority to Update FCC Form 477</w:t>
      </w:r>
    </w:p>
    <w:p w:rsidR="00252A4C" w:rsidRPr="00ED6163" w:rsidP="00252A4C" w14:paraId="03D4AF65" w14:textId="77777777">
      <w:pPr>
        <w:rPr>
          <w:szCs w:val="22"/>
        </w:rPr>
      </w:pPr>
    </w:p>
    <w:p w:rsidR="00252A4C" w:rsidRPr="00ED6163" w:rsidP="00252A4C" w14:paraId="1159564A" w14:textId="77777777">
      <w:pPr>
        <w:rPr>
          <w:szCs w:val="22"/>
        </w:rPr>
      </w:pPr>
      <w:r w:rsidRPr="00ED6163">
        <w:rPr>
          <w:szCs w:val="22"/>
        </w:rPr>
        <w:t>The International Bureau, Wireless Telecommunications Bureau, Wireline Competition Bureau, and Office of Economics and Analytics may upda</w:t>
      </w:r>
      <w:r w:rsidRPr="00ED6163">
        <w:rPr>
          <w:szCs w:val="22"/>
        </w:rPr>
        <w:t xml:space="preserve">te the specific content of data to be submitted on FCC Form 477 as necessary to reflect changes over time in transmission technologies, spectrum usage, Geographical Information Systems (GIS) and other data storage and processing functionalities, and other </w:t>
      </w:r>
      <w:r w:rsidRPr="00ED6163">
        <w:rPr>
          <w:szCs w:val="22"/>
        </w:rPr>
        <w:t>related matters; and may implement any technical improvements or other clarifications to the filing mechanism and forms.</w:t>
      </w:r>
    </w:p>
    <w:p w:rsidR="00252A4C" w:rsidRPr="00ED6163" w:rsidP="00252A4C" w14:paraId="2B5008E2" w14:textId="77777777">
      <w:pPr>
        <w:rPr>
          <w:szCs w:val="22"/>
        </w:rPr>
      </w:pPr>
      <w:r w:rsidRPr="00ED6163">
        <w:rPr>
          <w:szCs w:val="22"/>
        </w:rPr>
        <w:t>* * * * *</w:t>
      </w:r>
    </w:p>
    <w:p w:rsidR="00252A4C" w:rsidRPr="00ED6163" w:rsidP="00252A4C" w14:paraId="3871A230" w14:textId="77777777">
      <w:pPr>
        <w:rPr>
          <w:szCs w:val="22"/>
        </w:rPr>
      </w:pPr>
    </w:p>
    <w:p w:rsidR="00252A4C" w:rsidRPr="00ED6163" w:rsidP="00252A4C" w14:paraId="7A67EE57" w14:textId="77777777">
      <w:pPr>
        <w:rPr>
          <w:b/>
          <w:szCs w:val="22"/>
        </w:rPr>
      </w:pPr>
      <w:r w:rsidRPr="00ED6163">
        <w:rPr>
          <w:b/>
          <w:szCs w:val="22"/>
        </w:rPr>
        <w:t>Part 43 – Reports of Communications Common Carriers, Providers of International Services and Certain Affiliates</w:t>
      </w:r>
    </w:p>
    <w:p w:rsidR="00252A4C" w:rsidRPr="00ED6163" w:rsidP="00252A4C" w14:paraId="002F76D2" w14:textId="77777777">
      <w:pPr>
        <w:rPr>
          <w:szCs w:val="22"/>
        </w:rPr>
      </w:pPr>
    </w:p>
    <w:p w:rsidR="00252A4C" w:rsidRPr="00ED6163" w:rsidP="00252A4C" w14:paraId="37EE0977" w14:textId="77777777">
      <w:pPr>
        <w:rPr>
          <w:szCs w:val="22"/>
        </w:rPr>
      </w:pPr>
      <w:r w:rsidRPr="00ED6163">
        <w:rPr>
          <w:szCs w:val="22"/>
        </w:rPr>
        <w:t>6.</w:t>
      </w:r>
      <w:r w:rsidRPr="00ED6163">
        <w:rPr>
          <w:szCs w:val="22"/>
        </w:rPr>
        <w:tab/>
        <w:t>The auth</w:t>
      </w:r>
      <w:r w:rsidRPr="00ED6163">
        <w:rPr>
          <w:szCs w:val="22"/>
        </w:rPr>
        <w:t>ority citation for part 43 continues to read as follows:</w:t>
      </w:r>
    </w:p>
    <w:p w:rsidR="00252A4C" w:rsidRPr="00ED6163" w:rsidP="00252A4C" w14:paraId="41EDF665" w14:textId="77777777">
      <w:pPr>
        <w:rPr>
          <w:szCs w:val="22"/>
        </w:rPr>
      </w:pPr>
    </w:p>
    <w:p w:rsidR="00252A4C" w:rsidRPr="00ED6163" w:rsidP="00252A4C" w14:paraId="61125296" w14:textId="77777777">
      <w:pPr>
        <w:rPr>
          <w:szCs w:val="22"/>
        </w:rPr>
      </w:pPr>
      <w:r w:rsidRPr="00ED6163">
        <w:rPr>
          <w:szCs w:val="22"/>
        </w:rPr>
        <w:t xml:space="preserve">Authority: </w:t>
      </w:r>
      <w:r w:rsidR="001E5766">
        <w:t>47 U.S.C. 35-39, 154, 211, 219, 220; sec. 402(b)(2)(B), (c), Pub. L. 104-104, 110 Stat. 129.</w:t>
      </w:r>
    </w:p>
    <w:p w:rsidR="00252A4C" w:rsidRPr="00ED6163" w:rsidP="00252A4C" w14:paraId="16F732CA" w14:textId="77777777">
      <w:pPr>
        <w:rPr>
          <w:szCs w:val="22"/>
        </w:rPr>
      </w:pPr>
    </w:p>
    <w:p w:rsidR="00252A4C" w:rsidRPr="00ED6163" w:rsidP="00252A4C" w14:paraId="2464313F" w14:textId="77777777">
      <w:pPr>
        <w:rPr>
          <w:szCs w:val="22"/>
        </w:rPr>
      </w:pPr>
      <w:r w:rsidRPr="00ED6163">
        <w:rPr>
          <w:szCs w:val="22"/>
        </w:rPr>
        <w:t>7.</w:t>
      </w:r>
      <w:r w:rsidRPr="00ED6163">
        <w:rPr>
          <w:szCs w:val="22"/>
        </w:rPr>
        <w:tab/>
        <w:t>Delete section 43.11.</w:t>
      </w:r>
    </w:p>
    <w:p w:rsidR="00252A4C" w:rsidRPr="00947E6A" w:rsidP="00252A4C" w14:paraId="32C20AC4" w14:textId="77777777">
      <w:pPr>
        <w:ind w:left="1080"/>
      </w:pPr>
      <w:r w:rsidRPr="00ED6163">
        <w:rPr>
          <w:szCs w:val="22"/>
        </w:rPr>
        <w:t xml:space="preserve"> </w:t>
      </w:r>
    </w:p>
    <w:p w:rsidR="00252A4C" w:rsidRPr="00ED6163" w:rsidP="00252A4C" w14:paraId="5923C29D" w14:textId="77777777">
      <w:pPr>
        <w:rPr>
          <w:b/>
          <w:szCs w:val="22"/>
        </w:rPr>
      </w:pPr>
      <w:r w:rsidRPr="00ED6163">
        <w:rPr>
          <w:b/>
          <w:szCs w:val="22"/>
        </w:rPr>
        <w:t xml:space="preserve">Part 54 — Universal Service </w:t>
      </w:r>
    </w:p>
    <w:p w:rsidR="00252A4C" w:rsidRPr="00ED6163" w:rsidP="00252A4C" w14:paraId="4BEDF0D4" w14:textId="77777777">
      <w:pPr>
        <w:rPr>
          <w:szCs w:val="22"/>
        </w:rPr>
      </w:pPr>
    </w:p>
    <w:p w:rsidR="00252A4C" w:rsidRPr="00ED6163" w:rsidP="00252A4C" w14:paraId="023CCF29" w14:textId="77777777">
      <w:pPr>
        <w:rPr>
          <w:szCs w:val="22"/>
        </w:rPr>
      </w:pPr>
      <w:r w:rsidRPr="00ED6163">
        <w:rPr>
          <w:szCs w:val="22"/>
        </w:rPr>
        <w:t xml:space="preserve">8.  Add new Subpart N – The </w:t>
      </w:r>
      <w:r w:rsidRPr="00ED6163">
        <w:rPr>
          <w:szCs w:val="22"/>
        </w:rPr>
        <w:t>Digital Opportunity Data Collection</w:t>
      </w:r>
    </w:p>
    <w:p w:rsidR="00252A4C" w:rsidRPr="00ED6163" w:rsidP="00252A4C" w14:paraId="71E3F8B6" w14:textId="77777777">
      <w:pPr>
        <w:rPr>
          <w:szCs w:val="22"/>
          <w:u w:val="single"/>
        </w:rPr>
      </w:pPr>
    </w:p>
    <w:p w:rsidR="00252A4C" w:rsidRPr="00ED6163" w:rsidP="00252A4C" w14:paraId="51C94D63" w14:textId="77777777">
      <w:pPr>
        <w:rPr>
          <w:b/>
          <w:szCs w:val="22"/>
          <w:u w:val="single"/>
        </w:rPr>
      </w:pPr>
      <w:r w:rsidRPr="00ED6163">
        <w:rPr>
          <w:b/>
          <w:szCs w:val="22"/>
          <w:u w:val="single"/>
        </w:rPr>
        <w:t>§ 54.1400   Purpose.</w:t>
      </w:r>
    </w:p>
    <w:p w:rsidR="00252A4C" w:rsidRPr="00ED6163" w:rsidP="00252A4C" w14:paraId="32AAB5B1" w14:textId="77777777">
      <w:pPr>
        <w:rPr>
          <w:szCs w:val="22"/>
        </w:rPr>
      </w:pPr>
    </w:p>
    <w:p w:rsidR="00252A4C" w:rsidRPr="00ED6163" w:rsidP="00252A4C" w14:paraId="5A092243" w14:textId="77777777">
      <w:pPr>
        <w:rPr>
          <w:szCs w:val="22"/>
        </w:rPr>
      </w:pPr>
      <w:r w:rsidRPr="00ED6163">
        <w:rPr>
          <w:szCs w:val="22"/>
        </w:rPr>
        <w:t xml:space="preserve">The purpose of this subpart is to set out the terms by which facilities-based providers report data to the Universal Service Administrative Company concerning the deployment of fixed </w:t>
      </w:r>
      <w:r w:rsidRPr="00ED6163">
        <w:rPr>
          <w:szCs w:val="22"/>
        </w:rPr>
        <w:t>broadband connections for use in administration of the Universal Service program and related matters.</w:t>
      </w:r>
    </w:p>
    <w:p w:rsidR="00252A4C" w:rsidRPr="00ED6163" w:rsidP="00252A4C" w14:paraId="2B7451D0" w14:textId="77777777">
      <w:pPr>
        <w:rPr>
          <w:szCs w:val="22"/>
          <w:u w:val="single"/>
        </w:rPr>
      </w:pPr>
    </w:p>
    <w:p w:rsidR="00252A4C" w:rsidRPr="00ED6163" w:rsidP="00252A4C" w14:paraId="28735A80" w14:textId="77777777">
      <w:pPr>
        <w:rPr>
          <w:b/>
          <w:szCs w:val="22"/>
          <w:u w:val="single"/>
        </w:rPr>
      </w:pPr>
      <w:r w:rsidRPr="00ED6163">
        <w:rPr>
          <w:b/>
          <w:szCs w:val="22"/>
          <w:u w:val="single"/>
        </w:rPr>
        <w:t xml:space="preserve">§ 54.1401   Frequency of reports. </w:t>
      </w:r>
    </w:p>
    <w:p w:rsidR="00252A4C" w:rsidRPr="00ED6163" w:rsidP="00252A4C" w14:paraId="6C63B458" w14:textId="77777777">
      <w:pPr>
        <w:rPr>
          <w:szCs w:val="22"/>
        </w:rPr>
      </w:pPr>
    </w:p>
    <w:p w:rsidR="00252A4C" w:rsidRPr="00ED6163" w:rsidP="00252A4C" w14:paraId="480A77A0" w14:textId="77777777">
      <w:pPr>
        <w:rPr>
          <w:b/>
          <w:szCs w:val="22"/>
        </w:rPr>
      </w:pPr>
      <w:r w:rsidRPr="00ED6163">
        <w:rPr>
          <w:szCs w:val="22"/>
        </w:rPr>
        <w:t>Entities subject to the provisions of this subpart shall file initial reports pursuant to the Digital Opportunity Dat</w:t>
      </w:r>
      <w:r w:rsidRPr="00ED6163">
        <w:rPr>
          <w:szCs w:val="22"/>
        </w:rPr>
        <w:t xml:space="preserve">a Collection within six months after the </w:t>
      </w:r>
      <w:r>
        <w:rPr>
          <w:szCs w:val="22"/>
        </w:rPr>
        <w:t xml:space="preserve">Office of Economics and Analytics </w:t>
      </w:r>
      <w:r w:rsidRPr="00ED6163">
        <w:rPr>
          <w:szCs w:val="22"/>
        </w:rPr>
        <w:t xml:space="preserve">issues a </w:t>
      </w:r>
      <w:r>
        <w:rPr>
          <w:szCs w:val="22"/>
        </w:rPr>
        <w:t xml:space="preserve">public </w:t>
      </w:r>
      <w:r w:rsidRPr="00ED6163">
        <w:rPr>
          <w:szCs w:val="22"/>
        </w:rPr>
        <w:t>notice announcing the availability of the new Digital Opportunity Data Collection platform.  Thereafter, Digital Opportunity Data Collection filers must submit updat</w:t>
      </w:r>
      <w:r w:rsidRPr="00ED6163">
        <w:rPr>
          <w:szCs w:val="22"/>
        </w:rPr>
        <w:t>es within six months of completing any new, or discontinuing existing, fixed broadband deployments; acquiring new, or selling existing, network facilities that have fixed broadband connections</w:t>
      </w:r>
      <w:r>
        <w:rPr>
          <w:szCs w:val="22"/>
        </w:rPr>
        <w:t>;</w:t>
      </w:r>
      <w:r w:rsidRPr="00ED6163">
        <w:rPr>
          <w:szCs w:val="22"/>
        </w:rPr>
        <w:t xml:space="preserve"> or changing existing offerings that change the data submitted </w:t>
      </w:r>
      <w:r w:rsidRPr="00ED6163">
        <w:rPr>
          <w:szCs w:val="22"/>
        </w:rPr>
        <w:t xml:space="preserve">on their current Digital Opportunity Data Collection filing.  Entities that become subject to the provisions of this subpart for the first time after the initial filing deadline shall file their initial reports within six months after they become eligible </w:t>
      </w:r>
      <w:r w:rsidRPr="00ED6163">
        <w:rPr>
          <w:szCs w:val="22"/>
        </w:rPr>
        <w:t>and shall report data for that initial period.  All eligible entities must file a certification once per year on or before June 30th that as of December 31st of the previous year all of the filers’ data continues to be accurate, subject to any updates made</w:t>
      </w:r>
      <w:r w:rsidRPr="00ED6163">
        <w:rPr>
          <w:szCs w:val="22"/>
        </w:rPr>
        <w:t xml:space="preserve"> by the filer through June 30</w:t>
      </w:r>
      <w:r w:rsidRPr="00ED6163">
        <w:rPr>
          <w:szCs w:val="22"/>
          <w:vertAlign w:val="superscript"/>
        </w:rPr>
        <w:t>th</w:t>
      </w:r>
      <w:r w:rsidRPr="00ED6163">
        <w:rPr>
          <w:szCs w:val="22"/>
        </w:rPr>
        <w:t xml:space="preserve"> of that calendar year.  </w:t>
      </w:r>
    </w:p>
    <w:p w:rsidR="00252A4C" w:rsidRPr="00ED6163" w:rsidP="00252A4C" w14:paraId="549BFF14" w14:textId="77777777">
      <w:pPr>
        <w:rPr>
          <w:szCs w:val="22"/>
          <w:u w:val="single"/>
        </w:rPr>
      </w:pPr>
      <w:bookmarkStart w:id="263" w:name="se47.1.1_17001"/>
      <w:bookmarkEnd w:id="263"/>
    </w:p>
    <w:p w:rsidR="00252A4C" w:rsidRPr="00ED6163" w:rsidP="00252A4C" w14:paraId="7F9586D1" w14:textId="77777777">
      <w:pPr>
        <w:rPr>
          <w:b/>
          <w:szCs w:val="22"/>
          <w:u w:val="single"/>
        </w:rPr>
      </w:pPr>
      <w:r w:rsidRPr="00ED6163">
        <w:rPr>
          <w:b/>
          <w:szCs w:val="22"/>
          <w:u w:val="single"/>
        </w:rPr>
        <w:t>§ 54.1402   Scope and content of filed reports.</w:t>
      </w:r>
    </w:p>
    <w:p w:rsidR="00252A4C" w:rsidRPr="00ED6163" w:rsidP="00252A4C" w14:paraId="2661F6FD" w14:textId="77777777">
      <w:pPr>
        <w:ind w:left="360" w:hanging="360"/>
        <w:rPr>
          <w:szCs w:val="22"/>
        </w:rPr>
      </w:pPr>
    </w:p>
    <w:p w:rsidR="00252A4C" w:rsidRPr="00ED6163" w:rsidP="00252A4C" w14:paraId="174D1384" w14:textId="77777777">
      <w:pPr>
        <w:ind w:left="360" w:hanging="360"/>
        <w:rPr>
          <w:szCs w:val="22"/>
        </w:rPr>
      </w:pPr>
      <w:r w:rsidRPr="00ED6163">
        <w:rPr>
          <w:szCs w:val="22"/>
        </w:rPr>
        <w:t>(a)</w:t>
      </w:r>
      <w:r w:rsidRPr="00ED6163">
        <w:rPr>
          <w:szCs w:val="22"/>
        </w:rPr>
        <w:tab/>
      </w:r>
      <w:r w:rsidRPr="00ED6163">
        <w:rPr>
          <w:i/>
          <w:iCs/>
          <w:szCs w:val="22"/>
        </w:rPr>
        <w:t>Definitions.</w:t>
      </w:r>
      <w:r w:rsidRPr="00ED6163">
        <w:rPr>
          <w:szCs w:val="22"/>
        </w:rPr>
        <w:t xml:space="preserve"> </w:t>
      </w:r>
    </w:p>
    <w:p w:rsidR="00252A4C" w:rsidRPr="00ED6163" w:rsidP="00252A4C" w14:paraId="02F26CFF" w14:textId="77777777">
      <w:pPr>
        <w:ind w:left="720" w:hanging="360"/>
        <w:rPr>
          <w:szCs w:val="22"/>
        </w:rPr>
      </w:pPr>
    </w:p>
    <w:p w:rsidR="00252A4C" w:rsidRPr="00ED6163" w:rsidP="00252A4C" w14:paraId="294C3566" w14:textId="77777777">
      <w:pPr>
        <w:ind w:left="720" w:hanging="360"/>
        <w:rPr>
          <w:szCs w:val="22"/>
        </w:rPr>
      </w:pPr>
      <w:r w:rsidRPr="00ED6163">
        <w:rPr>
          <w:szCs w:val="22"/>
        </w:rPr>
        <w:t>(1)</w:t>
      </w:r>
      <w:r w:rsidRPr="00ED6163">
        <w:rPr>
          <w:szCs w:val="22"/>
        </w:rPr>
        <w:tab/>
        <w:t xml:space="preserve">The definitions in paragraph (a) of section 1.7001 of this chapter apply to terms used in this subpart. </w:t>
      </w:r>
    </w:p>
    <w:p w:rsidR="00252A4C" w:rsidRPr="00ED6163" w:rsidP="00252A4C" w14:paraId="6BA95DD3" w14:textId="77777777">
      <w:pPr>
        <w:ind w:left="720" w:hanging="360"/>
        <w:rPr>
          <w:szCs w:val="22"/>
        </w:rPr>
      </w:pPr>
    </w:p>
    <w:p w:rsidR="00252A4C" w:rsidRPr="00ED6163" w:rsidP="00252A4C" w14:paraId="5B815B57" w14:textId="77777777">
      <w:pPr>
        <w:ind w:left="720" w:hanging="360"/>
        <w:rPr>
          <w:szCs w:val="22"/>
        </w:rPr>
      </w:pPr>
      <w:r w:rsidRPr="00ED6163">
        <w:rPr>
          <w:szCs w:val="22"/>
        </w:rPr>
        <w:t>(2)</w:t>
      </w:r>
      <w:r w:rsidRPr="00ED6163">
        <w:rPr>
          <w:szCs w:val="22"/>
        </w:rPr>
        <w:tab/>
      </w:r>
      <w:r w:rsidRPr="00ED6163">
        <w:rPr>
          <w:i/>
          <w:iCs/>
          <w:szCs w:val="22"/>
        </w:rPr>
        <w:t xml:space="preserve">Fixed broadband </w:t>
      </w:r>
      <w:r w:rsidRPr="00ED6163">
        <w:rPr>
          <w:i/>
          <w:iCs/>
          <w:szCs w:val="22"/>
        </w:rPr>
        <w:t>connection</w:t>
      </w:r>
      <w:r w:rsidRPr="00ED6163">
        <w:rPr>
          <w:szCs w:val="22"/>
        </w:rPr>
        <w:t xml:space="preserve">.  A broadband connection that cannot be used to provide a mobile service (as defined in 47 U.S.C. 153(33)) and does not terminate to mobile stations (as defined in 47 U.S.C. 153(34)). </w:t>
      </w:r>
    </w:p>
    <w:p w:rsidR="00252A4C" w:rsidRPr="00ED6163" w:rsidP="00252A4C" w14:paraId="0C9A03D5" w14:textId="77777777">
      <w:pPr>
        <w:ind w:left="720" w:hanging="360"/>
        <w:rPr>
          <w:szCs w:val="22"/>
        </w:rPr>
      </w:pPr>
    </w:p>
    <w:p w:rsidR="00252A4C" w:rsidRPr="00ED6163" w:rsidP="00252A4C" w14:paraId="0B91B316" w14:textId="77777777">
      <w:pPr>
        <w:ind w:left="360" w:hanging="360"/>
        <w:rPr>
          <w:szCs w:val="22"/>
        </w:rPr>
      </w:pPr>
      <w:r w:rsidRPr="00ED6163">
        <w:rPr>
          <w:szCs w:val="22"/>
        </w:rPr>
        <w:t xml:space="preserve"> (b)</w:t>
      </w:r>
      <w:r w:rsidRPr="00ED6163">
        <w:rPr>
          <w:szCs w:val="22"/>
        </w:rPr>
        <w:tab/>
        <w:t>All facilities-based providers of fixed broadband conn</w:t>
      </w:r>
      <w:r w:rsidRPr="00ED6163">
        <w:rPr>
          <w:szCs w:val="22"/>
        </w:rPr>
        <w:t>ections shall file with USAC, pursuant to the timetable in §54.1401 of this subpart, a completed filing as part of the Digital Opportunity Data Collection in accordance with the rules of the Commission and the instructions to the Digital Opportunity Data C</w:t>
      </w:r>
      <w:r w:rsidRPr="00ED6163">
        <w:rPr>
          <w:szCs w:val="22"/>
        </w:rPr>
        <w:t>ollection.</w:t>
      </w:r>
    </w:p>
    <w:p w:rsidR="00252A4C" w:rsidRPr="00ED6163" w:rsidP="00252A4C" w14:paraId="6F900903" w14:textId="77777777">
      <w:pPr>
        <w:ind w:left="360" w:hanging="360"/>
        <w:rPr>
          <w:szCs w:val="22"/>
        </w:rPr>
      </w:pPr>
    </w:p>
    <w:p w:rsidR="00252A4C" w:rsidRPr="00ED6163" w:rsidP="00252A4C" w14:paraId="03B6B6DF" w14:textId="77777777">
      <w:pPr>
        <w:ind w:left="360" w:hanging="360"/>
        <w:rPr>
          <w:szCs w:val="22"/>
        </w:rPr>
      </w:pPr>
      <w:r w:rsidRPr="00ED6163">
        <w:rPr>
          <w:szCs w:val="22"/>
        </w:rPr>
        <w:t>(c)</w:t>
      </w:r>
      <w:r w:rsidRPr="00ED6163">
        <w:rPr>
          <w:szCs w:val="22"/>
        </w:rPr>
        <w:tab/>
        <w:t xml:space="preserve">All filers in the Digital Opportunity Data Collection shall include in each report a certification signed by an appropriate official of the filer (as specified in the Digital Opportunity Data Collection’s instructions) and shall report the </w:t>
      </w:r>
      <w:r w:rsidRPr="00ED6163">
        <w:rPr>
          <w:szCs w:val="22"/>
        </w:rPr>
        <w:t>title of their certifying official.</w:t>
      </w:r>
    </w:p>
    <w:p w:rsidR="00252A4C" w:rsidRPr="00ED6163" w:rsidP="00252A4C" w14:paraId="13924961" w14:textId="77777777">
      <w:pPr>
        <w:ind w:left="360" w:hanging="360"/>
        <w:rPr>
          <w:szCs w:val="22"/>
        </w:rPr>
      </w:pPr>
    </w:p>
    <w:p w:rsidR="00252A4C" w:rsidRPr="00ED6163" w:rsidP="00252A4C" w14:paraId="6E15C2D6" w14:textId="77777777">
      <w:pPr>
        <w:spacing w:after="120"/>
        <w:ind w:left="720" w:hanging="720"/>
        <w:rPr>
          <w:szCs w:val="22"/>
        </w:rPr>
      </w:pPr>
      <w:r w:rsidRPr="00ED6163">
        <w:rPr>
          <w:szCs w:val="22"/>
        </w:rPr>
        <w:t>(d)  (1)</w:t>
      </w:r>
      <w:r w:rsidRPr="00ED6163">
        <w:rPr>
          <w:szCs w:val="22"/>
        </w:rPr>
        <w:tab/>
        <w:t xml:space="preserve">All data contained in Digital Opportunity Data Collection filings will be routinely available for public disclosure, except for emergency operations contact information and other information that should not </w:t>
      </w:r>
      <w:r w:rsidRPr="00ED6163">
        <w:rPr>
          <w:szCs w:val="22"/>
        </w:rPr>
        <w:t>be routinely available for public inspection pursuant to § 0.457.</w:t>
      </w:r>
    </w:p>
    <w:p w:rsidR="00252A4C" w:rsidRPr="00ED6163" w:rsidP="00252A4C" w14:paraId="53E07936" w14:textId="77777777">
      <w:pPr>
        <w:ind w:left="720" w:hanging="360"/>
        <w:rPr>
          <w:szCs w:val="22"/>
        </w:rPr>
      </w:pPr>
      <w:r w:rsidRPr="00ED6163">
        <w:rPr>
          <w:szCs w:val="22"/>
        </w:rPr>
        <w:t>(2)</w:t>
      </w:r>
      <w:r w:rsidRPr="00ED6163">
        <w:rPr>
          <w:szCs w:val="22"/>
        </w:rPr>
        <w:tab/>
        <w:t xml:space="preserve">Filers seeking confidential treatment of any data contained in the Digital Opportunity Data Collection must submit a request that the data be treated as confidential with the submission </w:t>
      </w:r>
      <w:r w:rsidRPr="00ED6163">
        <w:rPr>
          <w:szCs w:val="22"/>
        </w:rPr>
        <w:t>of their filing, along with their reasons for withholding the information from the public, pursuant to §0.459.</w:t>
      </w:r>
    </w:p>
    <w:p w:rsidR="00252A4C" w:rsidRPr="00ED6163" w:rsidP="00252A4C" w14:paraId="6596F4FE" w14:textId="77777777">
      <w:pPr>
        <w:ind w:left="720" w:hanging="360"/>
        <w:rPr>
          <w:szCs w:val="22"/>
        </w:rPr>
      </w:pPr>
    </w:p>
    <w:p w:rsidR="00252A4C" w:rsidRPr="00ED6163" w:rsidP="00252A4C" w14:paraId="6B418F16" w14:textId="77777777">
      <w:pPr>
        <w:ind w:left="720" w:hanging="360"/>
        <w:rPr>
          <w:szCs w:val="22"/>
        </w:rPr>
      </w:pPr>
      <w:r w:rsidRPr="00ED6163">
        <w:rPr>
          <w:szCs w:val="22"/>
        </w:rPr>
        <w:t>(3)</w:t>
      </w:r>
      <w:r w:rsidRPr="00ED6163">
        <w:rPr>
          <w:szCs w:val="22"/>
        </w:rPr>
        <w:tab/>
        <w:t>The Commission shall make all decisions regarding non-disclosure of confidential information.</w:t>
      </w:r>
    </w:p>
    <w:p w:rsidR="00252A4C" w:rsidRPr="00ED6163" w:rsidP="00252A4C" w14:paraId="4D1B1E86" w14:textId="77777777">
      <w:pPr>
        <w:ind w:left="720" w:hanging="360"/>
        <w:rPr>
          <w:szCs w:val="22"/>
        </w:rPr>
      </w:pPr>
    </w:p>
    <w:p w:rsidR="00252A4C" w:rsidRPr="00ED6163" w:rsidP="00252A4C" w14:paraId="246EEB4D" w14:textId="77777777">
      <w:pPr>
        <w:ind w:left="360" w:hanging="360"/>
        <w:rPr>
          <w:szCs w:val="22"/>
        </w:rPr>
      </w:pPr>
      <w:r w:rsidRPr="00ED6163">
        <w:rPr>
          <w:szCs w:val="22"/>
        </w:rPr>
        <w:t>(e)</w:t>
      </w:r>
      <w:r w:rsidRPr="00ED6163">
        <w:rPr>
          <w:szCs w:val="22"/>
        </w:rPr>
        <w:tab/>
        <w:t>Filers shall file a revised version of th</w:t>
      </w:r>
      <w:r w:rsidRPr="00ED6163">
        <w:rPr>
          <w:szCs w:val="22"/>
        </w:rPr>
        <w:t xml:space="preserve">eir Digital Opportunity Data Collection filing if they discover a significant reporting error in their data. </w:t>
      </w:r>
    </w:p>
    <w:p w:rsidR="00252A4C" w:rsidRPr="00ED6163" w:rsidP="00252A4C" w14:paraId="4E459CAC" w14:textId="77777777">
      <w:pPr>
        <w:ind w:left="720" w:hanging="360"/>
        <w:rPr>
          <w:szCs w:val="22"/>
        </w:rPr>
      </w:pPr>
    </w:p>
    <w:p w:rsidR="00252A4C" w:rsidRPr="00ED6163" w:rsidP="00252A4C" w14:paraId="5F98590F" w14:textId="77777777">
      <w:pPr>
        <w:ind w:left="360" w:hanging="360"/>
        <w:rPr>
          <w:szCs w:val="22"/>
        </w:rPr>
      </w:pPr>
      <w:r w:rsidRPr="00ED6163">
        <w:rPr>
          <w:szCs w:val="22"/>
        </w:rPr>
        <w:t>(f)</w:t>
      </w:r>
      <w:r w:rsidRPr="00ED6163">
        <w:rPr>
          <w:szCs w:val="22"/>
        </w:rPr>
        <w:tab/>
        <w:t>Failure to file in the Digital Opportunity Data Collection in accordance with the Commission's rules and the instructions to the Digital Oppo</w:t>
      </w:r>
      <w:r w:rsidRPr="00ED6163">
        <w:rPr>
          <w:szCs w:val="22"/>
        </w:rPr>
        <w:t xml:space="preserve">rtunity Data Collection may lead to enforcement action pursuant to the Act and any other applicable law. </w:t>
      </w:r>
    </w:p>
    <w:p w:rsidR="00252A4C" w:rsidRPr="00ED6163" w:rsidP="00252A4C" w14:paraId="729D87D6" w14:textId="77777777">
      <w:pPr>
        <w:ind w:left="360" w:hanging="360"/>
        <w:rPr>
          <w:szCs w:val="22"/>
        </w:rPr>
      </w:pPr>
    </w:p>
    <w:p w:rsidR="00252A4C" w:rsidRPr="00ED6163" w:rsidP="00252A4C" w14:paraId="20711275" w14:textId="77777777">
      <w:pPr>
        <w:ind w:left="360" w:hanging="360"/>
        <w:rPr>
          <w:b/>
          <w:szCs w:val="22"/>
          <w:u w:val="single"/>
        </w:rPr>
      </w:pPr>
      <w:r w:rsidRPr="00ED6163">
        <w:rPr>
          <w:b/>
          <w:szCs w:val="22"/>
          <w:u w:val="single"/>
        </w:rPr>
        <w:t>§ 54.1403 Authority to Update the Digital Opportunity Data Collection</w:t>
      </w:r>
    </w:p>
    <w:p w:rsidR="00252A4C" w:rsidRPr="00ED6163" w:rsidP="00252A4C" w14:paraId="2CDDD3C5" w14:textId="77777777">
      <w:pPr>
        <w:ind w:left="360" w:hanging="360"/>
        <w:rPr>
          <w:szCs w:val="22"/>
        </w:rPr>
      </w:pPr>
    </w:p>
    <w:p w:rsidR="006A712A" w:rsidP="00252A4C" w14:paraId="5511E80F" w14:textId="77777777">
      <w:pPr>
        <w:ind w:left="360"/>
        <w:rPr>
          <w:szCs w:val="22"/>
        </w:rPr>
        <w:sectPr w:rsidSect="00824C08">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cols w:space="720"/>
          <w:noEndnote/>
          <w:titlePg/>
          <w:docGrid w:linePitch="299"/>
        </w:sectPr>
      </w:pPr>
      <w:r w:rsidRPr="00ED6163">
        <w:rPr>
          <w:szCs w:val="22"/>
        </w:rPr>
        <w:t xml:space="preserve">The Office of Economics and Analytics, in consultation with the Wireline Competition Bureau, the Wireless Telecommunications Bureau, and the International Bureau, </w:t>
      </w:r>
      <w:r w:rsidRPr="00ED6163">
        <w:rPr>
          <w:szCs w:val="22"/>
        </w:rPr>
        <w:t>may update the fixed broadband technologies reported in the Digital Opportunity Data Collection as necessary to reflect changes over time in technology, and the Office may implement any technical improvements, changes to the format and type of data submitt</w:t>
      </w:r>
      <w:r w:rsidRPr="00ED6163">
        <w:rPr>
          <w:szCs w:val="22"/>
        </w:rPr>
        <w:t>ed, or other clarifications to the Digital Opportunity Data Collection and its instructions.</w:t>
      </w:r>
      <w:bookmarkStart w:id="264" w:name="_Toc12632849"/>
    </w:p>
    <w:p w:rsidR="00252A4C" w:rsidRPr="00947E6A" w:rsidP="000B7690" w14:paraId="2B0069D5" w14:textId="77777777">
      <w:pPr>
        <w:pStyle w:val="Heading1"/>
        <w:numPr>
          <w:ilvl w:val="0"/>
          <w:numId w:val="0"/>
        </w:numPr>
        <w:ind w:left="720" w:hanging="720"/>
        <w:jc w:val="center"/>
        <w:rPr>
          <w:rFonts w:ascii="Times New Roman" w:hAnsi="Times New Roman"/>
          <w:b w:val="0"/>
        </w:rPr>
      </w:pPr>
      <w:bookmarkStart w:id="265" w:name="_Toc13665596"/>
      <w:bookmarkStart w:id="266" w:name="_Toc13665783"/>
      <w:bookmarkStart w:id="267" w:name="_Toc15501965"/>
      <w:r w:rsidRPr="00ED6163">
        <w:rPr>
          <w:rFonts w:ascii="Times New Roman" w:hAnsi="Times New Roman"/>
          <w:szCs w:val="22"/>
        </w:rPr>
        <w:t>APPENDIX B</w:t>
      </w:r>
      <w:bookmarkEnd w:id="264"/>
      <w:bookmarkEnd w:id="265"/>
      <w:bookmarkEnd w:id="266"/>
      <w:bookmarkEnd w:id="267"/>
    </w:p>
    <w:p w:rsidR="00252A4C" w:rsidRPr="00ED6163" w:rsidP="00252A4C" w14:paraId="49E8D6D0" w14:textId="77777777">
      <w:pPr>
        <w:jc w:val="center"/>
        <w:rPr>
          <w:b/>
          <w:szCs w:val="22"/>
        </w:rPr>
      </w:pPr>
      <w:r w:rsidRPr="00ED6163">
        <w:rPr>
          <w:b/>
          <w:szCs w:val="22"/>
        </w:rPr>
        <w:t>Final Regulatory Flexibility Analysis</w:t>
      </w:r>
    </w:p>
    <w:p w:rsidR="00252A4C" w:rsidRPr="00ED6163" w:rsidP="00252A4C" w14:paraId="0485B984" w14:textId="77777777">
      <w:pPr>
        <w:jc w:val="center"/>
        <w:rPr>
          <w:szCs w:val="22"/>
        </w:rPr>
      </w:pPr>
    </w:p>
    <w:p w:rsidR="000B7690" w:rsidP="00410009" w14:paraId="192AA92A" w14:textId="77777777">
      <w:pPr>
        <w:pStyle w:val="ParaNum"/>
        <w:numPr>
          <w:ilvl w:val="0"/>
          <w:numId w:val="27"/>
        </w:numPr>
      </w:pPr>
      <w:bookmarkStart w:id="268" w:name="_Toc491098372"/>
      <w:bookmarkStart w:id="269" w:name="_Toc492368066"/>
      <w:bookmarkStart w:id="270" w:name="_Toc492392678"/>
      <w:bookmarkStart w:id="271" w:name="_Toc492394832"/>
      <w:bookmarkStart w:id="272" w:name="_Toc492645928"/>
      <w:bookmarkStart w:id="273" w:name="_Toc493865178"/>
      <w:bookmarkStart w:id="274" w:name="_Toc496284558"/>
      <w:bookmarkStart w:id="275" w:name="_Toc496627813"/>
      <w:bookmarkStart w:id="276" w:name="_Toc496628910"/>
      <w:bookmarkStart w:id="277" w:name="_Toc498506321"/>
      <w:bookmarkStart w:id="278" w:name="_Toc498617152"/>
      <w:bookmarkStart w:id="279" w:name="_Toc498954306"/>
      <w:bookmarkStart w:id="280" w:name="_Toc499029584"/>
      <w:bookmarkStart w:id="281" w:name="_Toc510536325"/>
      <w:bookmarkStart w:id="282" w:name="_Toc510536712"/>
      <w:bookmarkStart w:id="283" w:name="_Toc511668183"/>
      <w:bookmarkStart w:id="284" w:name="_Toc512004533"/>
      <w:bookmarkStart w:id="285" w:name="_Toc514226523"/>
      <w:bookmarkStart w:id="286" w:name="_Toc10799941"/>
      <w:bookmarkStart w:id="287" w:name="_Toc11428557"/>
      <w:bookmarkStart w:id="288" w:name="_Toc243741520"/>
      <w:bookmarkStart w:id="289" w:name="_Toc243759725"/>
      <w:bookmarkStart w:id="290" w:name="_Toc243827555"/>
      <w:bookmarkStart w:id="291" w:name="_Toc243830041"/>
      <w:bookmarkStart w:id="292" w:name="_Toc243908120"/>
      <w:bookmarkStart w:id="293" w:name="_Toc480550125"/>
      <w:bookmarkStart w:id="294" w:name="_Toc480832029"/>
      <w:bookmarkStart w:id="295" w:name="_Toc480959120"/>
      <w:bookmarkStart w:id="296" w:name="_Toc480961045"/>
      <w:bookmarkStart w:id="297" w:name="_Toc480961184"/>
      <w:r>
        <w:t xml:space="preserve">      </w:t>
      </w:r>
      <w:r w:rsidRPr="000B7690">
        <w:t>As required by the Regulatory Flexibility Act of 1980, as amended (RFA),  an Initial Regulatory Flexibility</w:t>
      </w:r>
      <w:r w:rsidRPr="000B7690">
        <w:t xml:space="preserve"> Analysis (IRFA) was incorporated in the 2017 Data Collection Improvement FNPRM released in August 2017 in this proceeding.   The Commission sought written public comment on the proposals in the FNPRM, including comments on the IRFA.  No comments were file</w:t>
      </w:r>
      <w:r w:rsidRPr="000B7690">
        <w:t>d specifically in response to the IRFA.  One commenter in the proceeding referenced the IRFA in its general comments,  and we address those comments below in Section B.  This Final Regulatory Flexibility Analysis (FRFA) conforms to the RFA.</w:t>
      </w:r>
      <w:r w:rsidRPr="00410009">
        <w:rPr>
          <w:vertAlign w:val="superscript"/>
        </w:rPr>
        <w:t xml:space="preserve"> </w:t>
      </w:r>
      <w:r>
        <w:rPr>
          <w:vertAlign w:val="superscript"/>
        </w:rPr>
        <w:footnoteReference w:id="339"/>
      </w:r>
      <w:r w:rsidRPr="00ED6163">
        <w:t xml:space="preserve"> </w:t>
      </w:r>
      <w:r w:rsidRPr="000B7690">
        <w:t xml:space="preserve">   </w:t>
      </w:r>
    </w:p>
    <w:p w:rsidR="000B7690" w:rsidRPr="000B7690" w:rsidP="000B7690" w14:paraId="14A86A2E" w14:textId="77777777">
      <w:pPr>
        <w:pStyle w:val="Heading2"/>
        <w:numPr>
          <w:ilvl w:val="1"/>
          <w:numId w:val="12"/>
        </w:numPr>
        <w:rPr>
          <w:szCs w:val="22"/>
        </w:rPr>
      </w:pPr>
      <w:bookmarkStart w:id="298" w:name="_Toc480550123"/>
      <w:bookmarkStart w:id="299" w:name="_Toc480832027"/>
      <w:bookmarkStart w:id="300" w:name="_Toc480959118"/>
      <w:bookmarkStart w:id="301" w:name="_Toc480961043"/>
      <w:bookmarkStart w:id="302" w:name="_Toc480961182"/>
      <w:bookmarkStart w:id="303" w:name="_Toc482627330"/>
      <w:bookmarkStart w:id="304" w:name="_Toc482800810"/>
      <w:bookmarkStart w:id="305" w:name="_Toc489443511"/>
      <w:bookmarkStart w:id="306" w:name="_Toc489455500"/>
      <w:bookmarkStart w:id="307" w:name="_Toc13665597"/>
      <w:bookmarkStart w:id="308" w:name="_Toc13665784"/>
      <w:bookmarkStart w:id="309" w:name="_Toc15501966"/>
      <w:r w:rsidRPr="00ED6163">
        <w:rPr>
          <w:szCs w:val="22"/>
        </w:rPr>
        <w:t>Need for</w:t>
      </w:r>
      <w:r w:rsidRPr="00ED6163">
        <w:rPr>
          <w:szCs w:val="22"/>
        </w:rPr>
        <w:t>, and Objectives of, the Proposed Rules</w:t>
      </w:r>
      <w:bookmarkEnd w:id="298"/>
      <w:bookmarkEnd w:id="299"/>
      <w:bookmarkEnd w:id="300"/>
      <w:bookmarkEnd w:id="301"/>
      <w:bookmarkEnd w:id="302"/>
      <w:bookmarkEnd w:id="303"/>
      <w:bookmarkEnd w:id="304"/>
      <w:bookmarkEnd w:id="305"/>
      <w:bookmarkEnd w:id="306"/>
      <w:bookmarkEnd w:id="307"/>
      <w:bookmarkEnd w:id="308"/>
      <w:bookmarkEnd w:id="309"/>
      <w:r w:rsidRPr="00ED6163">
        <w:rPr>
          <w:szCs w:val="22"/>
        </w:rPr>
        <w:t xml:space="preserve"> </w:t>
      </w:r>
    </w:p>
    <w:p w:rsidR="00252A4C" w:rsidRPr="00ED6163" w:rsidP="00410009" w14:paraId="1BFE29D9" w14:textId="77777777">
      <w:pPr>
        <w:pStyle w:val="ParaNum"/>
      </w:pPr>
      <w:r w:rsidRPr="00ED6163">
        <w:t xml:space="preserve">The Form 477 collection has evolved into the primary data source for many Commission actions, including reporting to Congress and the public about the availability of broadband services, informing merger reviews, and </w:t>
      </w:r>
      <w:r w:rsidRPr="000B7690">
        <w:t>supporting</w:t>
      </w:r>
      <w:r w:rsidRPr="00ED6163">
        <w:t xml:space="preserve"> our universal service polici</w:t>
      </w:r>
      <w:r w:rsidRPr="00ED6163">
        <w:t xml:space="preserve">es. With the </w:t>
      </w:r>
      <w:r w:rsidRPr="00ED6163">
        <w:rPr>
          <w:i/>
        </w:rPr>
        <w:t>Report and Order</w:t>
      </w:r>
      <w:r w:rsidRPr="00ED6163">
        <w:t>, the Commission takes steps to improve the Form 477 data collection to reduce filing burdens and provide more useful information to consumers.  Specifically, we make targeted changes to streamline the filing process and elimin</w:t>
      </w:r>
      <w:r w:rsidRPr="00ED6163">
        <w:t>ate the collection of certain information that we believe is not sufficiently useful when compared with the burden imposed on filers in providing such information.  In addition, we make targeted changes such as clarifying parts of the instructions and modi</w:t>
      </w:r>
      <w:r w:rsidRPr="00ED6163">
        <w:t>fying the collection of certain data to aid in more accurate broadband data and the maps based on that data to improve the overall quality and accuracy of the data that we collect on fixed and mobile voice and broadband service.  We also streamline the nin</w:t>
      </w:r>
      <w:r w:rsidRPr="00ED6163">
        <w:t xml:space="preserve">e mobile broadband technology codes currently listed on the Form 477 down to </w:t>
      </w:r>
      <w:r>
        <w:t>four</w:t>
      </w:r>
      <w:r w:rsidRPr="00ED6163">
        <w:t xml:space="preserve"> categories of technology; require collection of facilities-based mobile broadband and voice subscription data at the census tract level; and make publicly available speed dat</w:t>
      </w:r>
      <w:r w:rsidRPr="00ED6163">
        <w:t xml:space="preserve">a that mobile broadband service providers submit on all subsequent Form 477 filings. </w:t>
      </w:r>
    </w:p>
    <w:p w:rsidR="00252A4C" w:rsidRPr="00ED6163" w:rsidP="00252A4C" w14:paraId="00983A16" w14:textId="77777777">
      <w:pPr>
        <w:numPr>
          <w:ilvl w:val="0"/>
          <w:numId w:val="2"/>
        </w:numPr>
        <w:tabs>
          <w:tab w:val="clear" w:pos="1080"/>
          <w:tab w:val="num" w:pos="1440"/>
        </w:tabs>
        <w:spacing w:after="120"/>
        <w:rPr>
          <w:szCs w:val="22"/>
        </w:rPr>
      </w:pPr>
      <w:r w:rsidRPr="00ED6163">
        <w:rPr>
          <w:szCs w:val="22"/>
        </w:rPr>
        <w:t xml:space="preserve">It </w:t>
      </w:r>
      <w:r>
        <w:rPr>
          <w:szCs w:val="22"/>
        </w:rPr>
        <w:t xml:space="preserve">also </w:t>
      </w:r>
      <w:r w:rsidRPr="00ED6163">
        <w:rPr>
          <w:szCs w:val="22"/>
        </w:rPr>
        <w:t xml:space="preserve">has become clear to the Commission that the fixed-broadband deployment data collected on Form 477 are no longer sufficient to use for targeting our </w:t>
      </w:r>
      <w:r w:rsidRPr="00ED6163">
        <w:rPr>
          <w:szCs w:val="22"/>
        </w:rPr>
        <w:t>universal service funds.</w:t>
      </w:r>
      <w:r>
        <w:rPr>
          <w:rStyle w:val="FootnoteReference"/>
          <w:sz w:val="22"/>
          <w:szCs w:val="22"/>
        </w:rPr>
        <w:footnoteReference w:id="340"/>
      </w:r>
      <w:r w:rsidRPr="00ED6163">
        <w:rPr>
          <w:szCs w:val="22"/>
        </w:rPr>
        <w:t xml:space="preserve">  Therefore, we direct the Universal Service Administrative Company (USAC)</w:t>
      </w:r>
      <w:r>
        <w:rPr>
          <w:szCs w:val="22"/>
        </w:rPr>
        <w:t xml:space="preserve">, </w:t>
      </w:r>
      <w:r w:rsidRPr="00ED6163">
        <w:rPr>
          <w:szCs w:val="22"/>
        </w:rPr>
        <w:t>under the oversight of the Commission’s Office of Economics and Analytics (OEA), the Wireline Competition Bureau (WCB), Wireless Telecommunications Bureau</w:t>
      </w:r>
      <w:r w:rsidRPr="00ED6163">
        <w:rPr>
          <w:szCs w:val="22"/>
        </w:rPr>
        <w:t xml:space="preserve"> (WTB), and the International Bureau (IB), to initiate a new data collection (the Digital Opportunity Data Collection) for fixed providers based on geospatial </w:t>
      </w:r>
      <w:r>
        <w:rPr>
          <w:szCs w:val="22"/>
        </w:rPr>
        <w:t xml:space="preserve">broadband service availability </w:t>
      </w:r>
      <w:r w:rsidRPr="00ED6163">
        <w:rPr>
          <w:szCs w:val="22"/>
        </w:rPr>
        <w:t xml:space="preserve">data that represent the actual service area where fixed broadband </w:t>
      </w:r>
      <w:r w:rsidRPr="00ED6163">
        <w:rPr>
          <w:szCs w:val="22"/>
        </w:rPr>
        <w:t>is available.</w:t>
      </w:r>
      <w:r>
        <w:rPr>
          <w:rStyle w:val="FootnoteReference"/>
          <w:sz w:val="22"/>
          <w:szCs w:val="22"/>
        </w:rPr>
        <w:footnoteReference w:id="341"/>
      </w:r>
      <w:r w:rsidRPr="00ED6163">
        <w:rPr>
          <w:szCs w:val="22"/>
        </w:rPr>
        <w:t xml:space="preserve">  At the same time, to complement this granular broadband availability data, we adopt a process to have USAC begin collecting public input, sometimes known as “crowdsourcing,” on the accuracy of service providers’ broadband deployment data. </w:t>
      </w:r>
      <w:r w:rsidRPr="00ED6163">
        <w:rPr>
          <w:szCs w:val="22"/>
        </w:rPr>
        <w:t xml:space="preserve"> Through this new tool, State, local, and Tribal governmental entities, and members of the public, will be able to submit fixed broadband availability data, leveraging their experience concerning service availability.  We believe these actions in the </w:t>
      </w:r>
      <w:r w:rsidRPr="00ED6163">
        <w:rPr>
          <w:i/>
          <w:szCs w:val="22"/>
        </w:rPr>
        <w:t>Repor</w:t>
      </w:r>
      <w:r w:rsidRPr="00ED6163">
        <w:rPr>
          <w:i/>
          <w:szCs w:val="22"/>
        </w:rPr>
        <w:t>t and Order</w:t>
      </w:r>
      <w:r w:rsidRPr="00ED6163">
        <w:rPr>
          <w:szCs w:val="22"/>
        </w:rPr>
        <w:t xml:space="preserve"> will increase the usefulness of fixed broadband deployment data to the Commission, Congress, the industry, and the public.    </w:t>
      </w:r>
    </w:p>
    <w:p w:rsidR="00252A4C" w:rsidRPr="00ED6163" w:rsidP="00252A4C" w14:paraId="6AF8FFB5" w14:textId="77777777">
      <w:pPr>
        <w:pStyle w:val="Heading2"/>
        <w:rPr>
          <w:szCs w:val="22"/>
        </w:rPr>
      </w:pPr>
      <w:bookmarkStart w:id="310" w:name="_Toc491098371"/>
      <w:bookmarkStart w:id="311" w:name="_Toc492368065"/>
      <w:bookmarkStart w:id="312" w:name="_Toc492392677"/>
      <w:bookmarkStart w:id="313" w:name="_Toc492394831"/>
      <w:bookmarkStart w:id="314" w:name="_Toc492645927"/>
      <w:bookmarkStart w:id="315" w:name="_Toc493865177"/>
      <w:bookmarkStart w:id="316" w:name="_Toc496284557"/>
      <w:bookmarkStart w:id="317" w:name="_Toc496627812"/>
      <w:bookmarkStart w:id="318" w:name="_Toc496628909"/>
      <w:bookmarkStart w:id="319" w:name="_Toc498506320"/>
      <w:bookmarkStart w:id="320" w:name="_Toc498617151"/>
      <w:bookmarkStart w:id="321" w:name="_Toc498954305"/>
      <w:bookmarkStart w:id="322" w:name="_Toc499029583"/>
      <w:bookmarkStart w:id="323" w:name="_Toc510536324"/>
      <w:bookmarkStart w:id="324" w:name="_Toc510536711"/>
      <w:bookmarkStart w:id="325" w:name="_Toc511668182"/>
      <w:bookmarkStart w:id="326" w:name="_Toc512004532"/>
      <w:bookmarkStart w:id="327" w:name="_Toc514226522"/>
      <w:bookmarkStart w:id="328" w:name="_Toc10799940"/>
      <w:bookmarkStart w:id="329" w:name="_Toc11428556"/>
      <w:bookmarkStart w:id="330" w:name="_Toc13665598"/>
      <w:bookmarkStart w:id="331" w:name="_Toc13665785"/>
      <w:bookmarkStart w:id="332" w:name="_Toc15501967"/>
      <w:r w:rsidRPr="00ED6163">
        <w:rPr>
          <w:szCs w:val="22"/>
        </w:rPr>
        <w:t>Summary of Significant Issues Raised by Public Comments in Response to the IRFA</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rsidR="00252A4C" w:rsidRPr="00ED6163" w:rsidP="00252A4C" w14:paraId="6D76B8EA" w14:textId="77777777">
      <w:pPr>
        <w:numPr>
          <w:ilvl w:val="0"/>
          <w:numId w:val="2"/>
        </w:numPr>
        <w:tabs>
          <w:tab w:val="clear" w:pos="1080"/>
          <w:tab w:val="num" w:pos="1440"/>
        </w:tabs>
        <w:spacing w:after="120"/>
        <w:rPr>
          <w:szCs w:val="22"/>
        </w:rPr>
      </w:pPr>
      <w:r w:rsidRPr="00ED6163">
        <w:rPr>
          <w:szCs w:val="22"/>
        </w:rPr>
        <w:t>The Wireless Internet Service Provide</w:t>
      </w:r>
      <w:r w:rsidRPr="00ED6163">
        <w:rPr>
          <w:szCs w:val="22"/>
        </w:rPr>
        <w:t xml:space="preserve">rs Association (WISPA) in its general comments to the </w:t>
      </w:r>
      <w:r w:rsidRPr="00ED6163">
        <w:rPr>
          <w:i/>
          <w:szCs w:val="22"/>
        </w:rPr>
        <w:t>FNPRM</w:t>
      </w:r>
      <w:r w:rsidRPr="00ED6163">
        <w:rPr>
          <w:szCs w:val="22"/>
        </w:rPr>
        <w:t xml:space="preserve"> contends that that IRFA does not meet the requirements of the Regulatory Flexibility Act (RFA) because the Commission failed “to estimate how many small broadband providers use unlicensed spectrum</w:t>
      </w:r>
      <w:r w:rsidRPr="00ED6163">
        <w:rPr>
          <w:szCs w:val="22"/>
        </w:rPr>
        <w:t>.”</w:t>
      </w:r>
      <w:r>
        <w:rPr>
          <w:szCs w:val="22"/>
          <w:vertAlign w:val="superscript"/>
        </w:rPr>
        <w:footnoteReference w:id="342"/>
      </w:r>
      <w:r w:rsidRPr="00ED6163">
        <w:rPr>
          <w:szCs w:val="22"/>
        </w:rPr>
        <w:t xml:space="preserve">  Section 603 of the RFA requires the Commission to include in the IRFA “a description of and, where feasible, an estimate of the number of small entities to which the proposed rule will apply.”</w:t>
      </w:r>
      <w:r>
        <w:rPr>
          <w:szCs w:val="22"/>
          <w:vertAlign w:val="superscript"/>
        </w:rPr>
        <w:footnoteReference w:id="343"/>
      </w:r>
      <w:r w:rsidRPr="00ED6163">
        <w:rPr>
          <w:szCs w:val="22"/>
        </w:rPr>
        <w:t xml:space="preserve">  WISPA argues that it is feasible for the Commission to</w:t>
      </w:r>
      <w:r w:rsidRPr="00ED6163">
        <w:rPr>
          <w:szCs w:val="22"/>
        </w:rPr>
        <w:t xml:space="preserve"> estimate the number of small fixed wireless Internet providers by using the information from its data collection on Form 477.</w:t>
      </w:r>
      <w:r>
        <w:rPr>
          <w:szCs w:val="22"/>
          <w:vertAlign w:val="superscript"/>
        </w:rPr>
        <w:footnoteReference w:id="344"/>
      </w:r>
      <w:r w:rsidRPr="00ED6163">
        <w:rPr>
          <w:szCs w:val="22"/>
        </w:rPr>
        <w:t xml:space="preserve"> </w:t>
      </w:r>
    </w:p>
    <w:p w:rsidR="00252A4C" w:rsidRPr="00ED6163" w:rsidP="00410009" w14:paraId="7EA0DF9E" w14:textId="77777777">
      <w:pPr>
        <w:pStyle w:val="ParaNum"/>
        <w:rPr>
          <w:b/>
        </w:rPr>
      </w:pPr>
      <w:r w:rsidRPr="00ED6163">
        <w:rPr>
          <w:rStyle w:val="normaltextrun"/>
          <w:color w:val="000000"/>
          <w:shd w:val="clear" w:color="auto" w:fill="FFFFFF"/>
        </w:rPr>
        <w:t xml:space="preserve">When we prepared the IRFA in 2017, it was not feasible for us to provide an accurate estimate of the number of small wireless </w:t>
      </w:r>
      <w:r w:rsidRPr="00ED6163">
        <w:rPr>
          <w:rStyle w:val="normaltextrun"/>
          <w:color w:val="000000"/>
          <w:shd w:val="clear" w:color="auto" w:fill="FFFFFF"/>
        </w:rPr>
        <w:t>Internet service providers (WISPs) that would be affected by the proposed rule.  Our </w:t>
      </w:r>
      <w:r w:rsidRPr="00ED6163">
        <w:rPr>
          <w:rStyle w:val="normaltextrun"/>
          <w:shd w:val="clear" w:color="auto" w:fill="FFFFFF"/>
        </w:rPr>
        <w:t>action in Section III.B. of this </w:t>
      </w:r>
      <w:r w:rsidRPr="00ED6163">
        <w:rPr>
          <w:rStyle w:val="normaltextrun"/>
          <w:i/>
          <w:shd w:val="clear" w:color="auto" w:fill="FFFFFF"/>
        </w:rPr>
        <w:t xml:space="preserve">Report </w:t>
      </w:r>
      <w:r w:rsidRPr="00ED6163">
        <w:rPr>
          <w:rStyle w:val="normaltextrun"/>
          <w:i/>
          <w:iCs/>
          <w:color w:val="000000"/>
          <w:shd w:val="clear" w:color="auto" w:fill="FFFFFF"/>
        </w:rPr>
        <w:t>and Order </w:t>
      </w:r>
      <w:r w:rsidRPr="00ED6163">
        <w:rPr>
          <w:rStyle w:val="normaltextrun"/>
          <w:color w:val="000000"/>
          <w:shd w:val="clear" w:color="auto" w:fill="FFFFFF"/>
        </w:rPr>
        <w:t>clarifies that WISPs that operate over unlicensed spectrum are required to file Form 477.  We recognize the possibility t</w:t>
      </w:r>
      <w:r w:rsidRPr="00ED6163">
        <w:rPr>
          <w:rStyle w:val="normaltextrun"/>
          <w:color w:val="000000"/>
          <w:shd w:val="clear" w:color="auto" w:fill="FFFFFF"/>
        </w:rPr>
        <w:t>hat such entities might not have filed in prior data collections because of the ambiguity in section 1.7001(a) of the Commission’s rules.  Thus, at the time, it was not feasible for us to estimate the number of small WISPs that would be affected by the pro</w:t>
      </w:r>
      <w:r w:rsidRPr="00ED6163">
        <w:rPr>
          <w:rStyle w:val="normaltextrun"/>
          <w:color w:val="000000"/>
          <w:shd w:val="clear" w:color="auto" w:fill="FFFFFF"/>
        </w:rPr>
        <w:t>posed rule.  However, we specifically considered the potential impact of the proposed rule on small WISPs in the IRFA for the </w:t>
      </w:r>
      <w:r w:rsidRPr="00ED6163">
        <w:rPr>
          <w:rStyle w:val="normaltextrun"/>
          <w:i/>
          <w:iCs/>
          <w:color w:val="000000"/>
          <w:shd w:val="clear" w:color="auto" w:fill="FFFFFF"/>
        </w:rPr>
        <w:t>2017 Data Collection Improvement FNPRM </w:t>
      </w:r>
      <w:r w:rsidRPr="00ED6163">
        <w:rPr>
          <w:rStyle w:val="normaltextrun"/>
          <w:color w:val="000000"/>
          <w:shd w:val="clear" w:color="auto" w:fill="FFFFFF"/>
        </w:rPr>
        <w:t>by including such entities in the “Broadband Internet Access Service Providers” category</w:t>
      </w:r>
      <w:bookmarkStart w:id="333" w:name="_Toc12632416"/>
      <w:r w:rsidRPr="00ED6163">
        <w:rPr>
          <w:rStyle w:val="normaltextrun"/>
          <w:color w:val="000000"/>
          <w:shd w:val="clear" w:color="auto" w:fill="FFFFFF"/>
        </w:rPr>
        <w:t>.</w:t>
      </w:r>
    </w:p>
    <w:p w:rsidR="00252A4C" w:rsidRPr="00ED6163" w:rsidP="00252A4C" w14:paraId="7CAF9EEA" w14:textId="77777777">
      <w:pPr>
        <w:pStyle w:val="Heading2"/>
        <w:rPr>
          <w:szCs w:val="22"/>
        </w:rPr>
      </w:pPr>
      <w:bookmarkStart w:id="334" w:name="_Toc13665599"/>
      <w:bookmarkStart w:id="335" w:name="_Toc13665786"/>
      <w:bookmarkStart w:id="336" w:name="_Toc15501968"/>
      <w:r w:rsidRPr="00ED6163">
        <w:rPr>
          <w:szCs w:val="22"/>
        </w:rPr>
        <w:t>R</w:t>
      </w:r>
      <w:r w:rsidRPr="00ED6163">
        <w:rPr>
          <w:szCs w:val="22"/>
        </w:rPr>
        <w:t>esponse to Comments by the Chief Counsel for Advocacy of the Small Business Administration</w:t>
      </w:r>
      <w:bookmarkEnd w:id="334"/>
      <w:bookmarkEnd w:id="335"/>
      <w:bookmarkEnd w:id="336"/>
      <w:r w:rsidRPr="00ED6163">
        <w:rPr>
          <w:szCs w:val="22"/>
        </w:rPr>
        <w:t xml:space="preserve">  </w:t>
      </w:r>
    </w:p>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333"/>
    <w:p w:rsidR="00252A4C" w:rsidRPr="00ED6163" w:rsidP="00410009" w14:paraId="78707436" w14:textId="77777777">
      <w:pPr>
        <w:pStyle w:val="ParaNum"/>
      </w:pPr>
      <w:r w:rsidRPr="00ED6163">
        <w:t xml:space="preserve"> Pursuant to the Small Business Jobs Act of 2010, which amended the RFA, the Commission is required to respond to any comments filed by the Chief Counsel for Advoc</w:t>
      </w:r>
      <w:r w:rsidRPr="00ED6163">
        <w:t>acy of the Small Business Administration (SBA) and to provide a detailed statement of any change made to the proposed rules as a result of those comments.</w:t>
      </w:r>
      <w:r>
        <w:rPr>
          <w:vertAlign w:val="superscript"/>
        </w:rPr>
        <w:footnoteReference w:id="345"/>
      </w:r>
      <w:r w:rsidRPr="00ED6163">
        <w:t xml:space="preserve">  </w:t>
      </w:r>
    </w:p>
    <w:p w:rsidR="00252A4C" w:rsidRPr="00ED6163" w:rsidP="00252A4C" w14:paraId="0D27298A" w14:textId="77777777">
      <w:pPr>
        <w:numPr>
          <w:ilvl w:val="0"/>
          <w:numId w:val="2"/>
        </w:numPr>
        <w:tabs>
          <w:tab w:val="clear" w:pos="1080"/>
          <w:tab w:val="num" w:pos="1440"/>
        </w:tabs>
        <w:spacing w:after="120"/>
        <w:rPr>
          <w:szCs w:val="22"/>
        </w:rPr>
      </w:pPr>
      <w:r w:rsidRPr="00ED6163">
        <w:rPr>
          <w:szCs w:val="22"/>
        </w:rPr>
        <w:t>The Chief Counsel did not file comments in response to the proposed rules in this proceeding.</w:t>
      </w:r>
    </w:p>
    <w:p w:rsidR="00252A4C" w:rsidRPr="00ED6163" w:rsidP="00252A4C" w14:paraId="32715898" w14:textId="77777777">
      <w:pPr>
        <w:pStyle w:val="Heading2"/>
        <w:rPr>
          <w:szCs w:val="22"/>
        </w:rPr>
      </w:pPr>
      <w:bookmarkStart w:id="337" w:name="_Toc491098373"/>
      <w:bookmarkStart w:id="338" w:name="_Toc492368067"/>
      <w:bookmarkStart w:id="339" w:name="_Toc492392679"/>
      <w:bookmarkStart w:id="340" w:name="_Toc492394833"/>
      <w:bookmarkStart w:id="341" w:name="_Toc492645929"/>
      <w:bookmarkStart w:id="342" w:name="_Toc493865179"/>
      <w:bookmarkStart w:id="343" w:name="_Toc496284559"/>
      <w:bookmarkStart w:id="344" w:name="_Toc496627814"/>
      <w:bookmarkStart w:id="345" w:name="_Toc496628911"/>
      <w:bookmarkStart w:id="346" w:name="_Toc498506322"/>
      <w:bookmarkStart w:id="347" w:name="_Toc498617153"/>
      <w:bookmarkStart w:id="348" w:name="_Toc498954307"/>
      <w:bookmarkStart w:id="349" w:name="_Toc499029585"/>
      <w:bookmarkStart w:id="350" w:name="_Toc510536326"/>
      <w:bookmarkStart w:id="351" w:name="_Toc510536713"/>
      <w:bookmarkStart w:id="352" w:name="_Toc511668184"/>
      <w:bookmarkStart w:id="353" w:name="_Toc512004534"/>
      <w:bookmarkStart w:id="354" w:name="_Toc514226524"/>
      <w:bookmarkStart w:id="355" w:name="_Toc2869157"/>
      <w:bookmarkStart w:id="356" w:name="_Toc3370504"/>
      <w:bookmarkStart w:id="357" w:name="_Toc4426883"/>
      <w:bookmarkStart w:id="358" w:name="_Toc5375760"/>
      <w:bookmarkStart w:id="359" w:name="_Toc5722216"/>
      <w:bookmarkStart w:id="360" w:name="_Toc5722468"/>
      <w:bookmarkStart w:id="361" w:name="_Toc5722876"/>
      <w:bookmarkStart w:id="362" w:name="_Toc6478992"/>
      <w:bookmarkStart w:id="363" w:name="_Toc7014306"/>
      <w:bookmarkStart w:id="364" w:name="_Toc7448667"/>
      <w:bookmarkStart w:id="365" w:name="_Toc7698872"/>
      <w:bookmarkStart w:id="366" w:name="_Toc8383630"/>
      <w:bookmarkStart w:id="367" w:name="_Toc8676811"/>
      <w:bookmarkStart w:id="368" w:name="_Toc8750466"/>
      <w:bookmarkStart w:id="369" w:name="_Toc8750578"/>
      <w:bookmarkStart w:id="370" w:name="_Toc8818602"/>
      <w:bookmarkStart w:id="371" w:name="_Toc10799942"/>
      <w:bookmarkStart w:id="372" w:name="_Toc11428558"/>
      <w:bookmarkStart w:id="373" w:name="_Toc13665600"/>
      <w:bookmarkStart w:id="374" w:name="_Toc13665787"/>
      <w:bookmarkStart w:id="375" w:name="_Toc15501969"/>
      <w:bookmarkEnd w:id="288"/>
      <w:bookmarkEnd w:id="289"/>
      <w:bookmarkEnd w:id="290"/>
      <w:bookmarkEnd w:id="291"/>
      <w:bookmarkEnd w:id="292"/>
      <w:r w:rsidRPr="00ED6163">
        <w:rPr>
          <w:szCs w:val="22"/>
        </w:rPr>
        <w:t>Des</w:t>
      </w:r>
      <w:r w:rsidRPr="00ED6163">
        <w:rPr>
          <w:szCs w:val="22"/>
        </w:rPr>
        <w:t>cription and Estimate of the Number of Small Entities to Which the Proposed Rules Will Apply</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252A4C" w:rsidRPr="00ED6163" w:rsidP="00252A4C" w14:paraId="4160814E" w14:textId="77777777">
      <w:pPr>
        <w:numPr>
          <w:ilvl w:val="0"/>
          <w:numId w:val="2"/>
        </w:numPr>
        <w:tabs>
          <w:tab w:val="clear" w:pos="1080"/>
          <w:tab w:val="num" w:pos="1440"/>
        </w:tabs>
        <w:spacing w:after="120"/>
        <w:rPr>
          <w:szCs w:val="22"/>
        </w:rPr>
      </w:pPr>
      <w:r w:rsidRPr="00ED6163">
        <w:rPr>
          <w:szCs w:val="22"/>
        </w:rPr>
        <w:t xml:space="preserve">  The RFA directs agencies to provide a description of and, where feasible, an estimate of the number of small entities that may be affected by the rules adopted h</w:t>
      </w:r>
      <w:r w:rsidRPr="00ED6163">
        <w:rPr>
          <w:szCs w:val="22"/>
        </w:rPr>
        <w:t>erein.</w:t>
      </w:r>
      <w:r>
        <w:rPr>
          <w:szCs w:val="22"/>
          <w:vertAlign w:val="superscript"/>
        </w:rPr>
        <w:footnoteReference w:id="346"/>
      </w:r>
      <w:r w:rsidRPr="00ED6163">
        <w:rPr>
          <w:szCs w:val="22"/>
        </w:rPr>
        <w:t xml:space="preserve">  The RFA generally defines the term “small entity” as having the same meaning as the terms “small business,” “small organization,” and “small governmental jurisdiction.”</w:t>
      </w:r>
      <w:r>
        <w:rPr>
          <w:szCs w:val="22"/>
          <w:vertAlign w:val="superscript"/>
        </w:rPr>
        <w:footnoteReference w:id="347"/>
      </w:r>
      <w:r w:rsidRPr="00ED6163">
        <w:rPr>
          <w:szCs w:val="22"/>
        </w:rPr>
        <w:t xml:space="preserve">  In addition, the term “small business” has the same meaning as the term “small business concern” under the Small Business Act.”</w:t>
      </w:r>
      <w:r>
        <w:rPr>
          <w:szCs w:val="22"/>
          <w:vertAlign w:val="superscript"/>
        </w:rPr>
        <w:footnoteReference w:id="348"/>
      </w:r>
      <w:r w:rsidRPr="00ED6163">
        <w:rPr>
          <w:szCs w:val="22"/>
        </w:rPr>
        <w:t xml:space="preserve">  A “small business concern” is one which:  (1) is independently owned and operated; (2) is not dominant in its field of oper</w:t>
      </w:r>
      <w:r w:rsidRPr="00ED6163">
        <w:rPr>
          <w:szCs w:val="22"/>
        </w:rPr>
        <w:t>ation; and (3) satisfies any additional criteria established by the SBA.</w:t>
      </w:r>
      <w:r>
        <w:rPr>
          <w:szCs w:val="22"/>
          <w:vertAlign w:val="superscript"/>
        </w:rPr>
        <w:footnoteReference w:id="349"/>
      </w:r>
      <w:r w:rsidRPr="00ED6163">
        <w:rPr>
          <w:szCs w:val="22"/>
        </w:rPr>
        <w:t xml:space="preserve">   </w:t>
      </w:r>
    </w:p>
    <w:p w:rsidR="00252A4C" w:rsidRPr="00ED6163" w:rsidP="00252A4C" w14:paraId="2E4D6F1E" w14:textId="77777777">
      <w:pPr>
        <w:numPr>
          <w:ilvl w:val="0"/>
          <w:numId w:val="2"/>
        </w:numPr>
        <w:tabs>
          <w:tab w:val="clear" w:pos="1080"/>
          <w:tab w:val="num" w:pos="1440"/>
        </w:tabs>
        <w:spacing w:after="120"/>
        <w:rPr>
          <w:szCs w:val="22"/>
        </w:rPr>
      </w:pPr>
      <w:r w:rsidRPr="00ED6163">
        <w:rPr>
          <w:i/>
          <w:szCs w:val="22"/>
        </w:rPr>
        <w:t>Small Businesses, Small Organizations, Small Governmental Jurisdictions</w:t>
      </w:r>
      <w:r w:rsidRPr="00ED6163">
        <w:rPr>
          <w:szCs w:val="22"/>
        </w:rPr>
        <w:t>.  Our actions, over time, may affect small entities that are not easily categorized at present.  We theref</w:t>
      </w:r>
      <w:r w:rsidRPr="00ED6163">
        <w:rPr>
          <w:szCs w:val="22"/>
        </w:rPr>
        <w:t>ore describe here, at the outset, three comprehensive small entity size standards that could be directly affected herein.</w:t>
      </w:r>
      <w:r>
        <w:rPr>
          <w:szCs w:val="22"/>
          <w:vertAlign w:val="superscript"/>
        </w:rPr>
        <w:footnoteReference w:id="350"/>
      </w:r>
      <w:r w:rsidRPr="00ED6163">
        <w:rPr>
          <w:szCs w:val="22"/>
        </w:rPr>
        <w:t xml:space="preserve">  First, while there are industry-specific size standards for small businesses that are used in the regulatory flexibility analysis, </w:t>
      </w:r>
      <w:r w:rsidRPr="00ED6163">
        <w:rPr>
          <w:szCs w:val="22"/>
        </w:rPr>
        <w:t>according to data from the SBA’s Office of Advocacy, in general a small business is an independent business having fewer than 500 employees.</w:t>
      </w:r>
      <w:r>
        <w:rPr>
          <w:szCs w:val="22"/>
          <w:vertAlign w:val="superscript"/>
        </w:rPr>
        <w:footnoteReference w:id="351"/>
      </w:r>
      <w:r w:rsidRPr="00ED6163">
        <w:rPr>
          <w:szCs w:val="22"/>
        </w:rPr>
        <w:t xml:space="preserve">  These types of small businesses represent 99.9% of all businesses in the United States which translates to 28.8 </w:t>
      </w:r>
      <w:r w:rsidRPr="00ED6163">
        <w:rPr>
          <w:szCs w:val="22"/>
        </w:rPr>
        <w:t>million businesses.</w:t>
      </w:r>
      <w:r>
        <w:rPr>
          <w:szCs w:val="22"/>
          <w:vertAlign w:val="superscript"/>
        </w:rPr>
        <w:footnoteReference w:id="352"/>
      </w:r>
      <w:r w:rsidRPr="00ED6163">
        <w:rPr>
          <w:bCs/>
          <w:szCs w:val="22"/>
        </w:rPr>
        <w:t xml:space="preserve">  </w:t>
      </w:r>
    </w:p>
    <w:p w:rsidR="00252A4C" w:rsidRPr="00ED6163" w:rsidP="00252A4C" w14:paraId="6BACAD4F" w14:textId="77777777">
      <w:pPr>
        <w:numPr>
          <w:ilvl w:val="0"/>
          <w:numId w:val="2"/>
        </w:numPr>
        <w:tabs>
          <w:tab w:val="clear" w:pos="1080"/>
          <w:tab w:val="num" w:pos="1440"/>
        </w:tabs>
        <w:spacing w:after="120"/>
        <w:rPr>
          <w:szCs w:val="22"/>
        </w:rPr>
      </w:pPr>
      <w:r w:rsidRPr="00ED6163">
        <w:rPr>
          <w:bCs/>
          <w:szCs w:val="22"/>
        </w:rPr>
        <w:t xml:space="preserve">Next, the type of small entity described as </w:t>
      </w:r>
      <w:r w:rsidRPr="00ED6163">
        <w:rPr>
          <w:szCs w:val="22"/>
        </w:rPr>
        <w:t>a “small organization” is generally “any not-for-profit enterprise which is independently owned and operated and is not dominant in its field.”</w:t>
      </w:r>
      <w:r>
        <w:rPr>
          <w:szCs w:val="22"/>
          <w:vertAlign w:val="superscript"/>
        </w:rPr>
        <w:footnoteReference w:id="353"/>
      </w:r>
      <w:r w:rsidRPr="00ED6163">
        <w:rPr>
          <w:szCs w:val="22"/>
        </w:rPr>
        <w:t xml:space="preserve">  Nationwide, as of August 2016, there were</w:t>
      </w:r>
      <w:r w:rsidRPr="00ED6163">
        <w:rPr>
          <w:szCs w:val="22"/>
        </w:rPr>
        <w:t xml:space="preserve"> approximately 356,494 small organizations based on registration and tax data filed by nonprofits with the Internal Revenue Service (IRS).</w:t>
      </w:r>
      <w:r>
        <w:rPr>
          <w:szCs w:val="22"/>
          <w:vertAlign w:val="superscript"/>
        </w:rPr>
        <w:footnoteReference w:id="354"/>
      </w:r>
      <w:r w:rsidRPr="00ED6163">
        <w:rPr>
          <w:szCs w:val="22"/>
        </w:rPr>
        <w:t xml:space="preserve"> </w:t>
      </w:r>
    </w:p>
    <w:p w:rsidR="00252A4C" w:rsidRPr="00ED6163" w:rsidP="00252A4C" w14:paraId="5A81A09D" w14:textId="77777777">
      <w:pPr>
        <w:numPr>
          <w:ilvl w:val="0"/>
          <w:numId w:val="2"/>
        </w:numPr>
        <w:tabs>
          <w:tab w:val="clear" w:pos="1080"/>
          <w:tab w:val="num" w:pos="1440"/>
        </w:tabs>
        <w:spacing w:after="120"/>
        <w:rPr>
          <w:szCs w:val="22"/>
        </w:rPr>
      </w:pPr>
      <w:r w:rsidRPr="00ED6163">
        <w:rPr>
          <w:szCs w:val="22"/>
        </w:rPr>
        <w:t xml:space="preserve">Finally, the small entity described as a “small governmental jurisdiction” is defined generally as </w:t>
      </w:r>
      <w:r w:rsidRPr="00ED6163">
        <w:rPr>
          <w:szCs w:val="22"/>
        </w:rPr>
        <w:t>“governments of cities, towns, townships, villages, school districts, or special districts, with a population of less than fifty thousand.”</w:t>
      </w:r>
      <w:r>
        <w:rPr>
          <w:szCs w:val="22"/>
          <w:vertAlign w:val="superscript"/>
        </w:rPr>
        <w:footnoteReference w:id="355"/>
      </w:r>
      <w:r w:rsidRPr="00ED6163">
        <w:rPr>
          <w:szCs w:val="22"/>
        </w:rPr>
        <w:t xml:space="preserve">  U.S. Census Bureau data published in 2012 indicate that there were </w:t>
      </w:r>
      <w:r w:rsidRPr="00ED6163">
        <w:rPr>
          <w:color w:val="000000"/>
          <w:szCs w:val="22"/>
        </w:rPr>
        <w:t xml:space="preserve">89,476 </w:t>
      </w:r>
      <w:r w:rsidRPr="00ED6163">
        <w:rPr>
          <w:szCs w:val="22"/>
        </w:rPr>
        <w:t>local governmental jurisdictions in the</w:t>
      </w:r>
      <w:r w:rsidRPr="00ED6163">
        <w:rPr>
          <w:szCs w:val="22"/>
        </w:rPr>
        <w:t xml:space="preserve"> United States.</w:t>
      </w:r>
      <w:r>
        <w:rPr>
          <w:szCs w:val="22"/>
          <w:vertAlign w:val="superscript"/>
        </w:rPr>
        <w:footnoteReference w:id="356"/>
      </w:r>
      <w:r w:rsidRPr="00ED6163">
        <w:rPr>
          <w:szCs w:val="22"/>
        </w:rPr>
        <w:t xml:space="preserve">  We estimate that, of this total, as many as 88,761 entities may qualify as “small governmental jurisdictions.”</w:t>
      </w:r>
      <w:r>
        <w:rPr>
          <w:szCs w:val="22"/>
          <w:vertAlign w:val="superscript"/>
        </w:rPr>
        <w:footnoteReference w:id="357"/>
      </w:r>
      <w:r w:rsidRPr="00ED6163">
        <w:rPr>
          <w:szCs w:val="22"/>
        </w:rPr>
        <w:t xml:space="preserve">  Thus, we estimate that most governmental jurisdictions are small.  </w:t>
      </w:r>
    </w:p>
    <w:p w:rsidR="00252A4C" w:rsidRPr="00ED6163" w:rsidP="00252A4C" w14:paraId="39FB9D0C" w14:textId="77777777">
      <w:pPr>
        <w:pStyle w:val="Heading3"/>
        <w:rPr>
          <w:szCs w:val="22"/>
        </w:rPr>
      </w:pPr>
      <w:bookmarkStart w:id="378" w:name="_Toc482627334"/>
      <w:bookmarkStart w:id="379" w:name="_Toc243741521"/>
      <w:bookmarkStart w:id="380" w:name="_Toc243759726"/>
      <w:bookmarkStart w:id="381" w:name="_Toc243827556"/>
      <w:bookmarkStart w:id="382" w:name="_Toc243830042"/>
      <w:bookmarkStart w:id="383" w:name="_Toc243908121"/>
      <w:bookmarkStart w:id="384" w:name="_Toc387908070"/>
      <w:bookmarkStart w:id="385" w:name="_Toc387910987"/>
      <w:bookmarkStart w:id="386" w:name="_Toc480550127"/>
      <w:bookmarkStart w:id="387" w:name="_Toc480832031"/>
      <w:bookmarkStart w:id="388" w:name="_Toc480959122"/>
      <w:bookmarkStart w:id="389" w:name="_Toc480961047"/>
      <w:bookmarkStart w:id="390" w:name="_Toc480961186"/>
      <w:bookmarkStart w:id="391" w:name="_Toc482800814"/>
      <w:bookmarkStart w:id="392" w:name="_Toc489443515"/>
      <w:bookmarkStart w:id="393" w:name="_Toc489455504"/>
      <w:bookmarkStart w:id="394" w:name="_Toc13665601"/>
      <w:bookmarkStart w:id="395" w:name="_Toc13665788"/>
      <w:bookmarkStart w:id="396" w:name="_Toc15501970"/>
      <w:r w:rsidRPr="00ED6163">
        <w:rPr>
          <w:szCs w:val="22"/>
        </w:rPr>
        <w:t>Broadband Internet Access Service Providers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rsidR="00252A4C" w:rsidRPr="00ED6163" w:rsidP="00252A4C" w14:paraId="04C4B26D" w14:textId="77777777">
      <w:pPr>
        <w:numPr>
          <w:ilvl w:val="0"/>
          <w:numId w:val="2"/>
        </w:numPr>
        <w:tabs>
          <w:tab w:val="clear" w:pos="1080"/>
          <w:tab w:val="num" w:pos="1440"/>
        </w:tabs>
        <w:spacing w:after="120"/>
        <w:rPr>
          <w:szCs w:val="22"/>
        </w:rPr>
      </w:pPr>
      <w:r w:rsidRPr="00ED6163">
        <w:rPr>
          <w:szCs w:val="22"/>
        </w:rPr>
        <w:t>The broadba</w:t>
      </w:r>
      <w:r w:rsidRPr="00ED6163">
        <w:rPr>
          <w:szCs w:val="22"/>
        </w:rPr>
        <w:t>nd Internet access service provider industry has changed since the definition was introduced in 2007.  The data cited below may therefore include entities that no longer provide broadband Internet access service and may exclude entities that now provide su</w:t>
      </w:r>
      <w:r w:rsidRPr="00ED6163">
        <w:rPr>
          <w:szCs w:val="22"/>
        </w:rPr>
        <w:t>ch service.  To ensure that this FRFA describes the universe of small entities that our action might affect, we discuss in turn several different types of entities that might be providing broadband Internet access service.  We note that, although we have n</w:t>
      </w:r>
      <w:r w:rsidRPr="00ED6163">
        <w:rPr>
          <w:szCs w:val="22"/>
        </w:rPr>
        <w:t>o specific information on the number of small entities that provide broadband Internet access service over unlicensed spectrum, we included these entities in our Initial Regulatory Flexibility Analysis.</w:t>
      </w:r>
    </w:p>
    <w:p w:rsidR="00252A4C" w:rsidRPr="00ED6163" w:rsidP="00252A4C" w14:paraId="08FDA3A4" w14:textId="77777777">
      <w:pPr>
        <w:numPr>
          <w:ilvl w:val="0"/>
          <w:numId w:val="2"/>
        </w:numPr>
        <w:tabs>
          <w:tab w:val="clear" w:pos="1080"/>
          <w:tab w:val="num" w:pos="1440"/>
        </w:tabs>
        <w:spacing w:after="120"/>
        <w:rPr>
          <w:szCs w:val="22"/>
        </w:rPr>
      </w:pPr>
      <w:r w:rsidRPr="00ED6163">
        <w:rPr>
          <w:bCs/>
          <w:i/>
          <w:szCs w:val="22"/>
        </w:rPr>
        <w:t>Internet</w:t>
      </w:r>
      <w:r w:rsidRPr="00ED6163">
        <w:rPr>
          <w:b/>
          <w:i/>
          <w:szCs w:val="22"/>
        </w:rPr>
        <w:t xml:space="preserve"> </w:t>
      </w:r>
      <w:r w:rsidRPr="00ED6163">
        <w:rPr>
          <w:bCs/>
          <w:i/>
          <w:szCs w:val="22"/>
        </w:rPr>
        <w:t>Service</w:t>
      </w:r>
      <w:r w:rsidRPr="00ED6163">
        <w:rPr>
          <w:b/>
          <w:i/>
          <w:szCs w:val="22"/>
        </w:rPr>
        <w:t xml:space="preserve"> </w:t>
      </w:r>
      <w:r w:rsidRPr="00ED6163">
        <w:rPr>
          <w:bCs/>
          <w:i/>
          <w:szCs w:val="22"/>
        </w:rPr>
        <w:t>Providers (Broadband)</w:t>
      </w:r>
      <w:r w:rsidRPr="00ED6163">
        <w:rPr>
          <w:i/>
          <w:szCs w:val="22"/>
        </w:rPr>
        <w:t>.</w:t>
      </w:r>
      <w:r w:rsidRPr="00ED6163">
        <w:rPr>
          <w:szCs w:val="22"/>
        </w:rPr>
        <w:t xml:space="preserve"> Broadband Int</w:t>
      </w:r>
      <w:r w:rsidRPr="00ED6163">
        <w:rPr>
          <w:szCs w:val="22"/>
        </w:rPr>
        <w:t>ernet service providers include wired (e.g., cable, DSL) and VoIP service providers using their own operated wired telecommunications infrastructure and fall in the category of Wired Telecommunication Carriers.</w:t>
      </w:r>
      <w:r>
        <w:rPr>
          <w:szCs w:val="22"/>
          <w:vertAlign w:val="superscript"/>
        </w:rPr>
        <w:footnoteReference w:id="358"/>
      </w:r>
      <w:r w:rsidRPr="00ED6163">
        <w:rPr>
          <w:szCs w:val="22"/>
        </w:rPr>
        <w:t xml:space="preserve">  Wired Telecommunications Carriers are comp</w:t>
      </w:r>
      <w:r w:rsidRPr="00ED6163">
        <w:rPr>
          <w:szCs w:val="22"/>
        </w:rPr>
        <w:t>rised of establishments primarily engaged in operating and/or providing access to transmission facilities and infrastructure that they own and/or lease for the transmission of voice, data, text, sound, and video using wired telecommunications networks.  Tr</w:t>
      </w:r>
      <w:r w:rsidRPr="00ED6163">
        <w:rPr>
          <w:szCs w:val="22"/>
        </w:rPr>
        <w:t>ansmission facilities may be based on a single technology or a combination of technologies.</w:t>
      </w:r>
      <w:r>
        <w:rPr>
          <w:szCs w:val="22"/>
          <w:vertAlign w:val="superscript"/>
        </w:rPr>
        <w:footnoteReference w:id="359"/>
      </w:r>
      <w:r w:rsidRPr="00ED6163">
        <w:rPr>
          <w:szCs w:val="22"/>
        </w:rPr>
        <w:t xml:space="preserve">  The SBA size standard for this category classifies a business as small if it has 1,500 or fewer employees.</w:t>
      </w:r>
      <w:r>
        <w:rPr>
          <w:szCs w:val="22"/>
          <w:vertAlign w:val="superscript"/>
        </w:rPr>
        <w:footnoteReference w:id="360"/>
      </w:r>
      <w:r w:rsidRPr="00ED6163">
        <w:rPr>
          <w:szCs w:val="22"/>
        </w:rPr>
        <w:t xml:space="preserve">  U.S. Census data for 2012 show that there were 3,11</w:t>
      </w:r>
      <w:r w:rsidRPr="00ED6163">
        <w:rPr>
          <w:szCs w:val="22"/>
        </w:rPr>
        <w:t>7 firms that operated that year.  Of this total, 3,083 operated with fewer than 1,000 employees.</w:t>
      </w:r>
      <w:r>
        <w:rPr>
          <w:szCs w:val="22"/>
          <w:vertAlign w:val="superscript"/>
        </w:rPr>
        <w:footnoteReference w:id="361"/>
      </w:r>
      <w:r w:rsidRPr="00ED6163">
        <w:rPr>
          <w:szCs w:val="22"/>
        </w:rPr>
        <w:t xml:space="preserve">  Consequently, under this size standard the majority of firms in this industry can be considered small.</w:t>
      </w:r>
    </w:p>
    <w:p w:rsidR="00252A4C" w:rsidRPr="00ED6163" w:rsidP="00252A4C" w14:paraId="057B8C38" w14:textId="77777777">
      <w:pPr>
        <w:numPr>
          <w:ilvl w:val="0"/>
          <w:numId w:val="2"/>
        </w:numPr>
        <w:tabs>
          <w:tab w:val="clear" w:pos="1080"/>
          <w:tab w:val="num" w:pos="1440"/>
        </w:tabs>
        <w:spacing w:after="120"/>
        <w:rPr>
          <w:szCs w:val="22"/>
        </w:rPr>
      </w:pPr>
      <w:r w:rsidRPr="00ED6163">
        <w:rPr>
          <w:bCs/>
          <w:i/>
          <w:szCs w:val="22"/>
        </w:rPr>
        <w:t>Internet</w:t>
      </w:r>
      <w:r w:rsidRPr="00ED6163">
        <w:rPr>
          <w:b/>
          <w:i/>
          <w:szCs w:val="22"/>
        </w:rPr>
        <w:t xml:space="preserve"> </w:t>
      </w:r>
      <w:r w:rsidRPr="00ED6163">
        <w:rPr>
          <w:bCs/>
          <w:i/>
          <w:szCs w:val="22"/>
        </w:rPr>
        <w:t>Service</w:t>
      </w:r>
      <w:r w:rsidRPr="00ED6163">
        <w:rPr>
          <w:b/>
          <w:i/>
          <w:szCs w:val="22"/>
        </w:rPr>
        <w:t xml:space="preserve"> </w:t>
      </w:r>
      <w:r w:rsidRPr="00ED6163">
        <w:rPr>
          <w:bCs/>
          <w:i/>
          <w:szCs w:val="22"/>
        </w:rPr>
        <w:t xml:space="preserve">Providers (Non-Broadband).  </w:t>
      </w:r>
      <w:r w:rsidRPr="00ED6163">
        <w:rPr>
          <w:szCs w:val="22"/>
        </w:rPr>
        <w:t>Internet</w:t>
      </w:r>
      <w:r w:rsidRPr="00ED6163">
        <w:rPr>
          <w:szCs w:val="22"/>
        </w:rPr>
        <w:t xml:space="preserve"> access service providers such as Dial-up Internet service providers, VoIP service providers using client-supplied telecommunications connections, and Internet service providers using client-supplied telecommunications connections (e.g., dial-up ISPs) fall</w:t>
      </w:r>
      <w:r w:rsidRPr="00ED6163">
        <w:rPr>
          <w:szCs w:val="22"/>
        </w:rPr>
        <w:t xml:space="preserve"> in the category of All Other Telecommunications. The SBA has developed a small business size standard for All Other Telecommunications, which consists of all such firms with gross annual receipts of $32.5 million or less.</w:t>
      </w:r>
      <w:r>
        <w:rPr>
          <w:szCs w:val="22"/>
          <w:vertAlign w:val="superscript"/>
        </w:rPr>
        <w:footnoteReference w:id="362"/>
      </w:r>
      <w:r w:rsidRPr="00ED6163">
        <w:rPr>
          <w:szCs w:val="22"/>
        </w:rPr>
        <w:t xml:space="preserve">  For this category, U.S. Census data for 2012 shows that there were 1,442 firms that operated for the entire year.  Of these firms, a total of 1,400 had gross annual receipts of less than $25 million.</w:t>
      </w:r>
      <w:r>
        <w:rPr>
          <w:szCs w:val="22"/>
          <w:vertAlign w:val="superscript"/>
        </w:rPr>
        <w:footnoteReference w:id="363"/>
      </w:r>
      <w:r w:rsidRPr="00ED6163">
        <w:rPr>
          <w:szCs w:val="22"/>
        </w:rPr>
        <w:t xml:space="preserve">  Consequently, under this size standard a majority o</w:t>
      </w:r>
      <w:r w:rsidRPr="00ED6163">
        <w:rPr>
          <w:szCs w:val="22"/>
        </w:rPr>
        <w:t>f “All Other Telecommunications” firms can be considered small.</w:t>
      </w:r>
    </w:p>
    <w:p w:rsidR="00252A4C" w:rsidRPr="00ED6163" w:rsidP="00252A4C" w14:paraId="6FBEF850" w14:textId="77777777">
      <w:pPr>
        <w:pStyle w:val="Heading3"/>
        <w:rPr>
          <w:szCs w:val="22"/>
        </w:rPr>
      </w:pPr>
      <w:bookmarkStart w:id="397" w:name="_Toc13665602"/>
      <w:bookmarkStart w:id="398" w:name="_Toc13665789"/>
      <w:bookmarkStart w:id="399" w:name="_Toc15501971"/>
      <w:r w:rsidRPr="00ED6163">
        <w:rPr>
          <w:szCs w:val="22"/>
        </w:rPr>
        <w:t>Wireline Providers</w:t>
      </w:r>
      <w:bookmarkEnd w:id="397"/>
      <w:bookmarkEnd w:id="398"/>
      <w:bookmarkEnd w:id="399"/>
    </w:p>
    <w:p w:rsidR="00252A4C" w:rsidRPr="00ED6163" w:rsidP="00252A4C" w14:paraId="0C490934" w14:textId="77777777">
      <w:pPr>
        <w:numPr>
          <w:ilvl w:val="0"/>
          <w:numId w:val="2"/>
        </w:numPr>
        <w:tabs>
          <w:tab w:val="clear" w:pos="1080"/>
          <w:tab w:val="num" w:pos="1440"/>
          <w:tab w:val="left" w:pos="1530"/>
        </w:tabs>
        <w:spacing w:after="120"/>
        <w:rPr>
          <w:szCs w:val="22"/>
        </w:rPr>
      </w:pPr>
      <w:r w:rsidRPr="00ED6163">
        <w:rPr>
          <w:i/>
          <w:szCs w:val="22"/>
        </w:rPr>
        <w:t>Wired Telecommunications Carriers.</w:t>
      </w:r>
      <w:r w:rsidRPr="00ED6163">
        <w:rPr>
          <w:szCs w:val="22"/>
        </w:rPr>
        <w:t xml:space="preserve">   The U.S. Census Bureau defines this industry as “establishments primarily engaged in operating and/or providing access to transmission f</w:t>
      </w:r>
      <w:r w:rsidRPr="00ED6163">
        <w:rPr>
          <w:szCs w:val="22"/>
        </w:rPr>
        <w:t>acilities and infrastructure that they own and/or lease for the transmission of voice, data, text, sound, and video using wired communications networks.  Transmission facilities may be based on a single technology or a combination of technologies.  Establi</w:t>
      </w:r>
      <w:r w:rsidRPr="00ED6163">
        <w:rPr>
          <w:szCs w:val="22"/>
        </w:rPr>
        <w:t>shments in this industry use the wired telecommunications network facilities that they operate to provide a variety of services, such as wired telephony services, including VoIP services, wired (cable) audio and video programming distribution, and wired br</w:t>
      </w:r>
      <w:r w:rsidRPr="00ED6163">
        <w:rPr>
          <w:szCs w:val="22"/>
        </w:rPr>
        <w:t>oadband internet services.  By exception, establishments providing satellite television distribution services using facilities and infrastructure that they operate are included in this industry.”</w:t>
      </w:r>
      <w:r>
        <w:rPr>
          <w:szCs w:val="22"/>
          <w:vertAlign w:val="superscript"/>
        </w:rPr>
        <w:footnoteReference w:id="364"/>
      </w:r>
      <w:r w:rsidRPr="00ED6163">
        <w:rPr>
          <w:szCs w:val="22"/>
        </w:rPr>
        <w:t xml:space="preserve">  The SBA has developed a small business size standard for </w:t>
      </w:r>
      <w:r w:rsidRPr="00ED6163">
        <w:rPr>
          <w:szCs w:val="22"/>
        </w:rPr>
        <w:t>Wired Telecommunications Carriers, which consists of all such companies having 1,500 or fewer employees.</w:t>
      </w:r>
      <w:r>
        <w:rPr>
          <w:szCs w:val="22"/>
          <w:vertAlign w:val="superscript"/>
        </w:rPr>
        <w:footnoteReference w:id="365"/>
      </w:r>
      <w:r w:rsidRPr="00ED6163">
        <w:rPr>
          <w:szCs w:val="22"/>
        </w:rPr>
        <w:t xml:space="preserve">  U.S. Census Bureau data for 2012 show that there were 3,117 firms that operated that year.</w:t>
      </w:r>
      <w:r>
        <w:rPr>
          <w:rStyle w:val="FootnoteReference"/>
          <w:sz w:val="22"/>
          <w:szCs w:val="22"/>
        </w:rPr>
        <w:footnoteReference w:id="366"/>
      </w:r>
      <w:r w:rsidRPr="00ED6163">
        <w:rPr>
          <w:szCs w:val="22"/>
        </w:rPr>
        <w:t xml:space="preserve">  Of this total, 3,083 operated with fewer than 1,000 em</w:t>
      </w:r>
      <w:r w:rsidRPr="00ED6163">
        <w:rPr>
          <w:szCs w:val="22"/>
        </w:rPr>
        <w:t>ployees.</w:t>
      </w:r>
      <w:r>
        <w:rPr>
          <w:szCs w:val="22"/>
          <w:vertAlign w:val="superscript"/>
        </w:rPr>
        <w:footnoteReference w:id="367"/>
      </w:r>
      <w:r w:rsidRPr="00ED6163">
        <w:rPr>
          <w:szCs w:val="22"/>
        </w:rPr>
        <w:t xml:space="preserve">  Thus, under this size standard, the majority of firms in this industry can be considered small.</w:t>
      </w:r>
    </w:p>
    <w:p w:rsidR="00252A4C" w:rsidRPr="00ED6163" w:rsidP="00252A4C" w14:paraId="68F2D858" w14:textId="77777777">
      <w:pPr>
        <w:numPr>
          <w:ilvl w:val="0"/>
          <w:numId w:val="2"/>
        </w:numPr>
        <w:tabs>
          <w:tab w:val="clear" w:pos="1080"/>
          <w:tab w:val="num" w:pos="1440"/>
          <w:tab w:val="left" w:pos="1530"/>
        </w:tabs>
        <w:spacing w:after="120"/>
        <w:rPr>
          <w:szCs w:val="22"/>
        </w:rPr>
      </w:pPr>
      <w:r w:rsidRPr="00ED6163">
        <w:rPr>
          <w:i/>
          <w:szCs w:val="22"/>
        </w:rPr>
        <w:t>Local Exchange Carriers (LECs).</w:t>
      </w:r>
      <w:r w:rsidRPr="00ED6163">
        <w:rPr>
          <w:szCs w:val="22"/>
        </w:rPr>
        <w:t xml:space="preserve">   Neither the Commission nor the SBA has developed a size standard for small businesses specifically applicable to l</w:t>
      </w:r>
      <w:r w:rsidRPr="00ED6163">
        <w:rPr>
          <w:szCs w:val="22"/>
        </w:rPr>
        <w:t>ocal exchange services.  The closest applicable NAICS Code category is Wired Telecommunications Carriers.</w:t>
      </w:r>
      <w:r>
        <w:rPr>
          <w:rStyle w:val="FootnoteReference"/>
          <w:sz w:val="22"/>
          <w:szCs w:val="22"/>
        </w:rPr>
        <w:footnoteReference w:id="368"/>
      </w:r>
      <w:r w:rsidRPr="00ED6163">
        <w:rPr>
          <w:szCs w:val="22"/>
        </w:rPr>
        <w:t xml:space="preserve">   Under the applicable SBA size standard, such a business is small if it has 1,500 or fewer employees.</w:t>
      </w:r>
      <w:r>
        <w:rPr>
          <w:szCs w:val="22"/>
          <w:vertAlign w:val="superscript"/>
        </w:rPr>
        <w:footnoteReference w:id="369"/>
      </w:r>
      <w:r w:rsidRPr="00ED6163">
        <w:rPr>
          <w:szCs w:val="22"/>
        </w:rPr>
        <w:t xml:space="preserve">  According to Commission data, U.S. Census </w:t>
      </w:r>
      <w:r w:rsidRPr="00ED6163">
        <w:rPr>
          <w:szCs w:val="22"/>
        </w:rPr>
        <w:t>data for 2012 show that there were 3,117 firms that operated that year.</w:t>
      </w:r>
      <w:r>
        <w:rPr>
          <w:rStyle w:val="FootnoteReference"/>
          <w:sz w:val="22"/>
          <w:szCs w:val="22"/>
        </w:rPr>
        <w:footnoteReference w:id="370"/>
      </w:r>
      <w:r w:rsidRPr="00ED6163">
        <w:rPr>
          <w:szCs w:val="22"/>
        </w:rPr>
        <w:t xml:space="preserve"> Of this total, 3,083 operated with fewer than 1,000 employees.</w:t>
      </w:r>
      <w:r>
        <w:rPr>
          <w:szCs w:val="22"/>
          <w:vertAlign w:val="superscript"/>
        </w:rPr>
        <w:footnoteReference w:id="371"/>
      </w:r>
      <w:r w:rsidRPr="00ED6163">
        <w:rPr>
          <w:szCs w:val="22"/>
        </w:rPr>
        <w:t xml:space="preserve">  Thus under this category and the associated size standard, the Commission estimates that the majority of local exchange carriers are small entities.</w:t>
      </w:r>
    </w:p>
    <w:p w:rsidR="00252A4C" w:rsidRPr="00ED6163" w:rsidP="00252A4C" w14:paraId="47629A9C" w14:textId="77777777">
      <w:pPr>
        <w:numPr>
          <w:ilvl w:val="0"/>
          <w:numId w:val="2"/>
        </w:numPr>
        <w:tabs>
          <w:tab w:val="clear" w:pos="1080"/>
          <w:tab w:val="num" w:pos="1440"/>
        </w:tabs>
        <w:spacing w:after="120"/>
        <w:rPr>
          <w:szCs w:val="22"/>
        </w:rPr>
      </w:pPr>
      <w:r w:rsidRPr="00ED6163">
        <w:rPr>
          <w:i/>
          <w:szCs w:val="22"/>
        </w:rPr>
        <w:t xml:space="preserve">Incumbent Local Exchange Carriers </w:t>
      </w:r>
      <w:r w:rsidRPr="00ED6163">
        <w:rPr>
          <w:szCs w:val="22"/>
        </w:rPr>
        <w:t>(</w:t>
      </w:r>
      <w:r w:rsidRPr="00ED6163">
        <w:rPr>
          <w:i/>
          <w:szCs w:val="22"/>
        </w:rPr>
        <w:t>Incumbent LECs</w:t>
      </w:r>
      <w:r w:rsidRPr="00ED6163">
        <w:rPr>
          <w:szCs w:val="22"/>
        </w:rPr>
        <w:t xml:space="preserve">).  </w:t>
      </w:r>
      <w:r w:rsidRPr="00ED6163">
        <w:rPr>
          <w:i/>
          <w:szCs w:val="22"/>
        </w:rPr>
        <w:t xml:space="preserve"> </w:t>
      </w:r>
      <w:r w:rsidRPr="00ED6163">
        <w:rPr>
          <w:szCs w:val="22"/>
        </w:rPr>
        <w:t xml:space="preserve">Neither the Commission nor the SBA has developed a </w:t>
      </w:r>
      <w:r w:rsidRPr="00ED6163">
        <w:rPr>
          <w:szCs w:val="22"/>
        </w:rPr>
        <w:t>small business size standard specifically for incumbent local exchange services.  The closest applicable NAICS Code category is Wired Telecommunications Carriers.</w:t>
      </w:r>
      <w:r>
        <w:rPr>
          <w:rStyle w:val="FootnoteReference"/>
          <w:sz w:val="22"/>
          <w:szCs w:val="22"/>
        </w:rPr>
        <w:footnoteReference w:id="372"/>
      </w:r>
      <w:r w:rsidRPr="00ED6163">
        <w:rPr>
          <w:szCs w:val="22"/>
        </w:rPr>
        <w:t xml:space="preserve">  Under the applicable SBA size standard, such a business is small if it has 1,500 or fewer </w:t>
      </w:r>
      <w:r w:rsidRPr="00ED6163">
        <w:rPr>
          <w:szCs w:val="22"/>
        </w:rPr>
        <w:t>employees.</w:t>
      </w:r>
      <w:r>
        <w:rPr>
          <w:szCs w:val="22"/>
          <w:vertAlign w:val="superscript"/>
        </w:rPr>
        <w:footnoteReference w:id="373"/>
      </w:r>
      <w:r w:rsidRPr="00ED6163">
        <w:rPr>
          <w:szCs w:val="22"/>
        </w:rPr>
        <w:t xml:space="preserve">  According to U.S. Census Bureau data for 2012, 3,117 firms operated in that year.</w:t>
      </w:r>
      <w:r>
        <w:rPr>
          <w:rStyle w:val="FootnoteReference"/>
          <w:sz w:val="22"/>
          <w:szCs w:val="22"/>
        </w:rPr>
        <w:footnoteReference w:id="374"/>
      </w:r>
      <w:r w:rsidRPr="00ED6163">
        <w:rPr>
          <w:szCs w:val="22"/>
        </w:rPr>
        <w:t xml:space="preserve">  Of this total, 3,083 operated with fewer than 1,000 employees.</w:t>
      </w:r>
      <w:r>
        <w:rPr>
          <w:szCs w:val="22"/>
          <w:vertAlign w:val="superscript"/>
        </w:rPr>
        <w:footnoteReference w:id="375"/>
      </w:r>
      <w:r w:rsidRPr="00ED6163">
        <w:rPr>
          <w:szCs w:val="22"/>
        </w:rPr>
        <w:t xml:space="preserve">  Consequently, the Commission estimates that most providers of incumbent local exchange serv</w:t>
      </w:r>
      <w:r w:rsidRPr="00ED6163">
        <w:rPr>
          <w:szCs w:val="22"/>
        </w:rPr>
        <w:t>ice are small businesses that may be affected by our actions</w:t>
      </w:r>
      <w:r w:rsidRPr="00ED6163">
        <w:rPr>
          <w:i/>
          <w:szCs w:val="22"/>
        </w:rPr>
        <w:t>.</w:t>
      </w:r>
      <w:r w:rsidRPr="00ED6163">
        <w:rPr>
          <w:szCs w:val="22"/>
        </w:rPr>
        <w:t xml:space="preserve">  According to Commission data, 1,307 Incumbent LECs reported that they were incumbent local exchange service providers.</w:t>
      </w:r>
      <w:r>
        <w:rPr>
          <w:spacing w:val="-2"/>
          <w:szCs w:val="22"/>
          <w:vertAlign w:val="superscript"/>
        </w:rPr>
        <w:footnoteReference w:id="376"/>
      </w:r>
      <w:r w:rsidRPr="00ED6163">
        <w:rPr>
          <w:szCs w:val="22"/>
        </w:rPr>
        <w:t xml:space="preserve">  Of this total, an estimated 1,006 have 1,500 or fewer employees.</w:t>
      </w:r>
      <w:r>
        <w:rPr>
          <w:spacing w:val="-2"/>
          <w:szCs w:val="22"/>
          <w:vertAlign w:val="superscript"/>
        </w:rPr>
        <w:footnoteReference w:id="377"/>
      </w:r>
      <w:r w:rsidRPr="00ED6163">
        <w:rPr>
          <w:szCs w:val="22"/>
        </w:rPr>
        <w:t xml:space="preserve">  Thu</w:t>
      </w:r>
      <w:r w:rsidRPr="00ED6163">
        <w:rPr>
          <w:szCs w:val="22"/>
        </w:rPr>
        <w:t>s, using the SBA’s size standard, the majority of Incumbent LECs can be considered small entities.</w:t>
      </w:r>
    </w:p>
    <w:p w:rsidR="00252A4C" w:rsidRPr="00ED6163" w:rsidP="00252A4C" w14:paraId="2CD22911" w14:textId="77777777">
      <w:pPr>
        <w:numPr>
          <w:ilvl w:val="0"/>
          <w:numId w:val="2"/>
        </w:numPr>
        <w:tabs>
          <w:tab w:val="clear" w:pos="1080"/>
          <w:tab w:val="num" w:pos="1440"/>
        </w:tabs>
        <w:spacing w:after="120"/>
        <w:rPr>
          <w:szCs w:val="22"/>
        </w:rPr>
      </w:pPr>
      <w:r w:rsidRPr="00ED6163">
        <w:rPr>
          <w:i/>
          <w:szCs w:val="22"/>
        </w:rPr>
        <w:t>Competitive Local Exchange Carriers (Competitive LECs), Competitive Access Providers (CAPs), Shared-Tenant Service Providers, and Other Local Service Provide</w:t>
      </w:r>
      <w:r w:rsidRPr="00ED6163">
        <w:rPr>
          <w:i/>
          <w:szCs w:val="22"/>
        </w:rPr>
        <w:t>rs</w:t>
      </w:r>
      <w:r w:rsidRPr="00ED6163">
        <w:rPr>
          <w:szCs w:val="22"/>
        </w:rPr>
        <w:t>.   Neither the Commission nor the SBA has developed a small business size standard specifically for these service providers.  The appropriate NAICS Code category is Wired Telecommunications Carriers and under that size standard, such a business is small</w:t>
      </w:r>
      <w:r w:rsidRPr="00ED6163">
        <w:rPr>
          <w:szCs w:val="22"/>
        </w:rPr>
        <w:t xml:space="preserve"> if it has 1,500 or fewer employees.</w:t>
      </w:r>
      <w:r>
        <w:rPr>
          <w:spacing w:val="-2"/>
          <w:szCs w:val="22"/>
          <w:vertAlign w:val="superscript"/>
        </w:rPr>
        <w:footnoteReference w:id="378"/>
      </w:r>
      <w:r w:rsidRPr="00ED6163">
        <w:rPr>
          <w:szCs w:val="22"/>
          <w:vertAlign w:val="superscript"/>
        </w:rPr>
        <w:t xml:space="preserve"> </w:t>
      </w:r>
      <w:r w:rsidRPr="00ED6163">
        <w:rPr>
          <w:szCs w:val="22"/>
        </w:rPr>
        <w:t xml:space="preserve"> U.S. Census Bureau data for 2012 indicate that 3,117 firms operated during that year.</w:t>
      </w:r>
      <w:r>
        <w:rPr>
          <w:rStyle w:val="FootnoteReference"/>
          <w:sz w:val="22"/>
          <w:szCs w:val="22"/>
        </w:rPr>
        <w:footnoteReference w:id="379"/>
      </w:r>
      <w:r w:rsidRPr="00ED6163">
        <w:rPr>
          <w:szCs w:val="22"/>
        </w:rPr>
        <w:t xml:space="preserve">  Of that number, 3,083 operated with fewer than 1,000 employees.</w:t>
      </w:r>
      <w:r>
        <w:rPr>
          <w:szCs w:val="22"/>
          <w:vertAlign w:val="superscript"/>
        </w:rPr>
        <w:footnoteReference w:id="380"/>
      </w:r>
      <w:r w:rsidRPr="00ED6163">
        <w:rPr>
          <w:szCs w:val="22"/>
        </w:rPr>
        <w:t xml:space="preserve">  Based on these data, the Commission concludes that the major</w:t>
      </w:r>
      <w:r w:rsidRPr="00ED6163">
        <w:rPr>
          <w:szCs w:val="22"/>
        </w:rPr>
        <w:t>ity of Competitive LECS, CAPs, Shared-Tenant Service Providers, and Other Local Service Providers, are small entities.  According to Commission data, 1,442 carriers reported that they were engaged in the provision of either competitive local exchange servi</w:t>
      </w:r>
      <w:r w:rsidRPr="00ED6163">
        <w:rPr>
          <w:szCs w:val="22"/>
        </w:rPr>
        <w:t>ces or competitive access provider services.</w:t>
      </w:r>
      <w:r>
        <w:rPr>
          <w:spacing w:val="-2"/>
          <w:szCs w:val="22"/>
          <w:vertAlign w:val="superscript"/>
        </w:rPr>
        <w:footnoteReference w:id="381"/>
      </w:r>
      <w:r w:rsidRPr="00ED6163">
        <w:rPr>
          <w:szCs w:val="22"/>
        </w:rPr>
        <w:t xml:space="preserve">  Of these 1,442 carriers, an estimated 1,256 have 1,500 or fewer employees.</w:t>
      </w:r>
      <w:r>
        <w:rPr>
          <w:spacing w:val="-2"/>
          <w:szCs w:val="22"/>
          <w:vertAlign w:val="superscript"/>
        </w:rPr>
        <w:footnoteReference w:id="382"/>
      </w:r>
      <w:r w:rsidRPr="00ED6163">
        <w:rPr>
          <w:szCs w:val="22"/>
        </w:rPr>
        <w:t xml:space="preserve">  In addition, 17 carriers have reported that they are Shared-Tenant Service Providers, and all 17 are estimated to have 1,500 or fewer employees.</w:t>
      </w:r>
      <w:r>
        <w:rPr>
          <w:spacing w:val="-2"/>
          <w:szCs w:val="22"/>
          <w:vertAlign w:val="superscript"/>
        </w:rPr>
        <w:footnoteReference w:id="383"/>
      </w:r>
      <w:r w:rsidRPr="00ED6163">
        <w:rPr>
          <w:szCs w:val="22"/>
        </w:rPr>
        <w:t xml:space="preserve">  Also, 72 carriers have reported that they are Other Local Service Providers.</w:t>
      </w:r>
      <w:r>
        <w:rPr>
          <w:spacing w:val="-2"/>
          <w:szCs w:val="22"/>
          <w:vertAlign w:val="superscript"/>
        </w:rPr>
        <w:footnoteReference w:id="384"/>
      </w:r>
      <w:r w:rsidRPr="00ED6163">
        <w:rPr>
          <w:szCs w:val="22"/>
        </w:rPr>
        <w:t xml:space="preserve">   Of this total, 70 have 1,</w:t>
      </w:r>
      <w:r w:rsidRPr="00ED6163">
        <w:rPr>
          <w:szCs w:val="22"/>
        </w:rPr>
        <w:t>500 or fewer employees.</w:t>
      </w:r>
      <w:r>
        <w:rPr>
          <w:spacing w:val="-2"/>
          <w:szCs w:val="22"/>
          <w:vertAlign w:val="superscript"/>
        </w:rPr>
        <w:footnoteReference w:id="385"/>
      </w:r>
      <w:r w:rsidRPr="00ED6163">
        <w:rPr>
          <w:szCs w:val="22"/>
        </w:rPr>
        <w:t xml:space="preserve">  Consequently, based on internally researched FCC data, the Commission estimates that most providers of competitive local exchange service, competitive access providers, Shared-Tenant Service Providers, and Other Local Service Pro</w:t>
      </w:r>
      <w:r w:rsidRPr="00ED6163">
        <w:rPr>
          <w:szCs w:val="22"/>
        </w:rPr>
        <w:t>viders are small entities.</w:t>
      </w:r>
      <w:r>
        <w:rPr>
          <w:szCs w:val="22"/>
          <w:vertAlign w:val="superscript"/>
        </w:rPr>
        <w:footnoteReference w:id="386"/>
      </w:r>
      <w:r w:rsidRPr="00ED6163">
        <w:rPr>
          <w:szCs w:val="22"/>
        </w:rPr>
        <w:t xml:space="preserve"> </w:t>
      </w:r>
    </w:p>
    <w:p w:rsidR="00252A4C" w:rsidRPr="00ED6163" w:rsidP="00410009" w14:paraId="157E3537" w14:textId="77777777">
      <w:pPr>
        <w:widowControl/>
        <w:numPr>
          <w:ilvl w:val="0"/>
          <w:numId w:val="2"/>
        </w:numPr>
        <w:tabs>
          <w:tab w:val="clear" w:pos="1080"/>
          <w:tab w:val="num" w:pos="1440"/>
        </w:tabs>
        <w:spacing w:after="120"/>
        <w:rPr>
          <w:szCs w:val="22"/>
        </w:rPr>
      </w:pPr>
      <w:r w:rsidRPr="00ED6163">
        <w:rPr>
          <w:i/>
          <w:szCs w:val="22"/>
        </w:rPr>
        <w:t xml:space="preserve">Interexchange Carriers (IXCs).  </w:t>
      </w:r>
      <w:r w:rsidRPr="00ED6163">
        <w:rPr>
          <w:szCs w:val="22"/>
        </w:rPr>
        <w:t>Neither the Commission nor the SBA has developed a definition for Interexchange Carriers.  The closest NAICS Code category is Wired Telecommunications Carriers.</w:t>
      </w:r>
      <w:r>
        <w:rPr>
          <w:rStyle w:val="FootnoteReference"/>
          <w:sz w:val="22"/>
          <w:szCs w:val="22"/>
        </w:rPr>
        <w:footnoteReference w:id="387"/>
      </w:r>
      <w:r w:rsidRPr="00ED6163">
        <w:rPr>
          <w:szCs w:val="22"/>
        </w:rPr>
        <w:t xml:space="preserve">  The applicable size standard u</w:t>
      </w:r>
      <w:r w:rsidRPr="00ED6163">
        <w:rPr>
          <w:szCs w:val="22"/>
        </w:rPr>
        <w:t>nder SBA rules consists of all such companies having 1,500 or fewer employees.</w:t>
      </w:r>
      <w:r>
        <w:rPr>
          <w:spacing w:val="-2"/>
          <w:szCs w:val="22"/>
          <w:vertAlign w:val="superscript"/>
        </w:rPr>
        <w:footnoteReference w:id="388"/>
      </w:r>
      <w:r w:rsidRPr="00ED6163">
        <w:rPr>
          <w:szCs w:val="22"/>
        </w:rPr>
        <w:t xml:space="preserve">  U.S. Census Bureau data for 2012 indicate that 3,117 firms operated during that year.</w:t>
      </w:r>
      <w:r>
        <w:rPr>
          <w:rStyle w:val="FootnoteReference"/>
          <w:sz w:val="22"/>
          <w:szCs w:val="22"/>
        </w:rPr>
        <w:footnoteReference w:id="389"/>
      </w:r>
      <w:r w:rsidRPr="00ED6163">
        <w:rPr>
          <w:szCs w:val="22"/>
        </w:rPr>
        <w:t xml:space="preserve">  Of that number, 3,083 operated with fewer than 1,000 employees.</w:t>
      </w:r>
      <w:r>
        <w:rPr>
          <w:szCs w:val="22"/>
          <w:vertAlign w:val="superscript"/>
        </w:rPr>
        <w:footnoteReference w:id="390"/>
      </w:r>
      <w:r w:rsidRPr="00ED6163">
        <w:rPr>
          <w:szCs w:val="22"/>
        </w:rPr>
        <w:t xml:space="preserve">  According to inter</w:t>
      </w:r>
      <w:r w:rsidRPr="00ED6163">
        <w:rPr>
          <w:szCs w:val="22"/>
        </w:rPr>
        <w:t>nally developed Commission data, 359 companies reported that their primary telecommunications service activity was the provision of interexchange services.</w:t>
      </w:r>
      <w:r>
        <w:rPr>
          <w:spacing w:val="-2"/>
          <w:szCs w:val="22"/>
          <w:vertAlign w:val="superscript"/>
        </w:rPr>
        <w:footnoteReference w:id="391"/>
      </w:r>
      <w:r w:rsidRPr="00ED6163">
        <w:rPr>
          <w:szCs w:val="22"/>
        </w:rPr>
        <w:t xml:space="preserve">  Of this total, an estimated 317 have 1,500 or fewer employees.</w:t>
      </w:r>
      <w:r>
        <w:rPr>
          <w:spacing w:val="-2"/>
          <w:szCs w:val="22"/>
          <w:vertAlign w:val="superscript"/>
        </w:rPr>
        <w:footnoteReference w:id="392"/>
      </w:r>
      <w:r w:rsidRPr="00ED6163">
        <w:rPr>
          <w:szCs w:val="22"/>
        </w:rPr>
        <w:t xml:space="preserve">  Consequently, the Commission es</w:t>
      </w:r>
      <w:r w:rsidRPr="00ED6163">
        <w:rPr>
          <w:szCs w:val="22"/>
        </w:rPr>
        <w:t>timates that the majority of interexchange service providers are small entities.</w:t>
      </w:r>
    </w:p>
    <w:p w:rsidR="00252A4C" w:rsidRPr="00ED6163" w:rsidP="00252A4C" w14:paraId="25CC2FC3" w14:textId="77777777">
      <w:pPr>
        <w:numPr>
          <w:ilvl w:val="0"/>
          <w:numId w:val="2"/>
        </w:numPr>
        <w:tabs>
          <w:tab w:val="clear" w:pos="1080"/>
          <w:tab w:val="num" w:pos="1440"/>
        </w:tabs>
        <w:spacing w:after="120"/>
        <w:rPr>
          <w:szCs w:val="22"/>
        </w:rPr>
      </w:pPr>
      <w:r w:rsidRPr="00ED6163">
        <w:rPr>
          <w:i/>
          <w:szCs w:val="22"/>
        </w:rPr>
        <w:t xml:space="preserve">Operator Service Providers </w:t>
      </w:r>
      <w:r w:rsidRPr="00ED6163">
        <w:rPr>
          <w:szCs w:val="22"/>
        </w:rPr>
        <w:t>(</w:t>
      </w:r>
      <w:r w:rsidRPr="00ED6163">
        <w:rPr>
          <w:i/>
          <w:szCs w:val="22"/>
        </w:rPr>
        <w:t>OSPs</w:t>
      </w:r>
      <w:r w:rsidRPr="00ED6163">
        <w:rPr>
          <w:szCs w:val="22"/>
        </w:rPr>
        <w:t xml:space="preserve">).  Neither the Commission nor the SBA has developed a small business size standard specifically for operator service providers.  The </w:t>
      </w:r>
      <w:r w:rsidRPr="00ED6163">
        <w:rPr>
          <w:szCs w:val="22"/>
        </w:rPr>
        <w:t>closest applicable size standard under SBA rules is the category of Wired Telecommunications Carriers.</w:t>
      </w:r>
      <w:r>
        <w:rPr>
          <w:rStyle w:val="FootnoteReference"/>
          <w:sz w:val="22"/>
          <w:szCs w:val="22"/>
        </w:rPr>
        <w:footnoteReference w:id="393"/>
      </w:r>
      <w:r w:rsidRPr="00ED6163">
        <w:rPr>
          <w:szCs w:val="22"/>
        </w:rPr>
        <w:t xml:space="preserve">  Under the size standard for Wired Telecommunications Carriers, such a business is small if it has 1,500 or fewer employees.</w:t>
      </w:r>
      <w:r>
        <w:rPr>
          <w:szCs w:val="22"/>
          <w:vertAlign w:val="superscript"/>
        </w:rPr>
        <w:footnoteReference w:id="394"/>
      </w:r>
      <w:r w:rsidRPr="00ED6163">
        <w:rPr>
          <w:szCs w:val="22"/>
        </w:rPr>
        <w:t xml:space="preserve">  U.S. Census Bureau data</w:t>
      </w:r>
      <w:r w:rsidRPr="00ED6163">
        <w:rPr>
          <w:szCs w:val="22"/>
        </w:rPr>
        <w:t xml:space="preserve"> for 2012 show that there were 3,117 firms that operated that year.</w:t>
      </w:r>
      <w:r>
        <w:rPr>
          <w:rStyle w:val="FootnoteReference"/>
          <w:sz w:val="22"/>
          <w:szCs w:val="22"/>
        </w:rPr>
        <w:footnoteReference w:id="395"/>
      </w:r>
      <w:r w:rsidRPr="00ED6163">
        <w:rPr>
          <w:szCs w:val="22"/>
        </w:rPr>
        <w:t xml:space="preserve">  Of this total, 3,083 operated with fewer than 1,000 employees.</w:t>
      </w:r>
      <w:r>
        <w:rPr>
          <w:szCs w:val="22"/>
          <w:vertAlign w:val="superscript"/>
        </w:rPr>
        <w:footnoteReference w:id="396"/>
      </w:r>
      <w:r w:rsidRPr="00ED6163">
        <w:rPr>
          <w:szCs w:val="22"/>
        </w:rPr>
        <w:t xml:space="preserve">  Thus, under this size standard, the majority of firms in this industry can be considered small.</w:t>
      </w:r>
    </w:p>
    <w:p w:rsidR="00252A4C" w:rsidRPr="00ED6163" w:rsidP="00252A4C" w14:paraId="255108D5" w14:textId="77777777">
      <w:pPr>
        <w:numPr>
          <w:ilvl w:val="0"/>
          <w:numId w:val="2"/>
        </w:numPr>
        <w:tabs>
          <w:tab w:val="clear" w:pos="1080"/>
          <w:tab w:val="num" w:pos="1440"/>
        </w:tabs>
        <w:spacing w:after="120"/>
        <w:rPr>
          <w:szCs w:val="22"/>
        </w:rPr>
      </w:pPr>
      <w:r w:rsidRPr="00ED6163">
        <w:rPr>
          <w:szCs w:val="22"/>
        </w:rPr>
        <w:t>According to Commission</w:t>
      </w:r>
      <w:r w:rsidRPr="00ED6163">
        <w:rPr>
          <w:szCs w:val="22"/>
        </w:rPr>
        <w:t xml:space="preserve"> data, 33 carriers have reported that they are engaged in the provision of operator services.</w:t>
      </w:r>
      <w:r>
        <w:rPr>
          <w:szCs w:val="22"/>
          <w:vertAlign w:val="superscript"/>
        </w:rPr>
        <w:footnoteReference w:id="397"/>
      </w:r>
      <w:r w:rsidRPr="00ED6163">
        <w:rPr>
          <w:szCs w:val="22"/>
        </w:rPr>
        <w:t xml:space="preserve">  Of these, an estimated 31 have 1,500 or fewer employees and two have more than 1,500 employees.</w:t>
      </w:r>
      <w:r>
        <w:rPr>
          <w:szCs w:val="22"/>
          <w:vertAlign w:val="superscript"/>
        </w:rPr>
        <w:footnoteReference w:id="398"/>
      </w:r>
      <w:r w:rsidRPr="00ED6163">
        <w:rPr>
          <w:szCs w:val="22"/>
        </w:rPr>
        <w:t xml:space="preserve">  Consequently, the Commission estimates that the majority of </w:t>
      </w:r>
      <w:r w:rsidRPr="00ED6163">
        <w:rPr>
          <w:szCs w:val="22"/>
        </w:rPr>
        <w:t xml:space="preserve">OSPs are small entities. </w:t>
      </w:r>
    </w:p>
    <w:p w:rsidR="00252A4C" w:rsidRPr="00ED6163" w:rsidP="00252A4C" w14:paraId="30CCA7AD" w14:textId="77777777">
      <w:pPr>
        <w:numPr>
          <w:ilvl w:val="0"/>
          <w:numId w:val="2"/>
        </w:numPr>
        <w:tabs>
          <w:tab w:val="clear" w:pos="1080"/>
          <w:tab w:val="num" w:pos="1440"/>
        </w:tabs>
        <w:spacing w:after="120"/>
        <w:rPr>
          <w:szCs w:val="22"/>
        </w:rPr>
      </w:pPr>
      <w:r w:rsidRPr="00ED6163">
        <w:rPr>
          <w:i/>
          <w:szCs w:val="22"/>
        </w:rPr>
        <w:t>Other Toll Carriers</w:t>
      </w:r>
      <w:r w:rsidRPr="00ED6163">
        <w:rPr>
          <w:szCs w:val="22"/>
        </w:rPr>
        <w:t>.   Neither the Commission nor the SBA has developed a definition for small businesses specifically applicable to Other Toll Carriers.  This category includes toll carriers that do not fall within the categories</w:t>
      </w:r>
      <w:r w:rsidRPr="00ED6163">
        <w:rPr>
          <w:szCs w:val="22"/>
        </w:rPr>
        <w:t xml:space="preserve"> of interexchange carriers, operator service providers, prepaid calling card providers, satellite service carriers, or toll resellers.  The closest applicable size standard under SBA rules is for Wired Telecommunications Carriers and the applicable small b</w:t>
      </w:r>
      <w:r w:rsidRPr="00ED6163">
        <w:rPr>
          <w:szCs w:val="22"/>
        </w:rPr>
        <w:t>usiness size standard under SBA rules consists of all such companies having 1,500 or fewer employees.</w:t>
      </w:r>
      <w:r>
        <w:rPr>
          <w:spacing w:val="-2"/>
          <w:szCs w:val="22"/>
          <w:vertAlign w:val="superscript"/>
        </w:rPr>
        <w:footnoteReference w:id="399"/>
      </w:r>
      <w:r w:rsidRPr="00ED6163">
        <w:rPr>
          <w:szCs w:val="22"/>
        </w:rPr>
        <w:t xml:space="preserve">  U.S. Census data for 2012 indicate that 3,117 firms operated during that year.</w:t>
      </w:r>
      <w:r>
        <w:rPr>
          <w:rStyle w:val="FootnoteReference"/>
          <w:sz w:val="22"/>
          <w:szCs w:val="22"/>
        </w:rPr>
        <w:footnoteReference w:id="400"/>
      </w:r>
      <w:r w:rsidRPr="00ED6163">
        <w:rPr>
          <w:szCs w:val="22"/>
        </w:rPr>
        <w:t xml:space="preserve">  Of that number, 3,083 operated with fewer than 1,000 employees.</w:t>
      </w:r>
      <w:r>
        <w:rPr>
          <w:szCs w:val="22"/>
          <w:vertAlign w:val="superscript"/>
        </w:rPr>
        <w:footnoteReference w:id="401"/>
      </w:r>
      <w:r w:rsidRPr="00ED6163">
        <w:rPr>
          <w:szCs w:val="22"/>
        </w:rPr>
        <w:t xml:space="preserve">  Ac</w:t>
      </w:r>
      <w:r w:rsidRPr="00ED6163">
        <w:rPr>
          <w:szCs w:val="22"/>
        </w:rPr>
        <w:t>cording to Commission data, 284 companies reported that their primary telecommunications service activity was the provision of other toll carriage.</w:t>
      </w:r>
      <w:r>
        <w:rPr>
          <w:spacing w:val="-2"/>
          <w:szCs w:val="22"/>
          <w:vertAlign w:val="superscript"/>
        </w:rPr>
        <w:footnoteReference w:id="402"/>
      </w:r>
      <w:r w:rsidRPr="00ED6163">
        <w:rPr>
          <w:szCs w:val="22"/>
        </w:rPr>
        <w:t xml:space="preserve">  Of these, an estimated 279 have 1,500 or fewer employees.</w:t>
      </w:r>
      <w:r>
        <w:rPr>
          <w:spacing w:val="-2"/>
          <w:szCs w:val="22"/>
          <w:vertAlign w:val="superscript"/>
        </w:rPr>
        <w:footnoteReference w:id="403"/>
      </w:r>
      <w:r w:rsidRPr="00ED6163">
        <w:rPr>
          <w:szCs w:val="22"/>
        </w:rPr>
        <w:t xml:space="preserve">  Consequently, the Commission estimates that </w:t>
      </w:r>
      <w:r w:rsidRPr="00ED6163">
        <w:rPr>
          <w:szCs w:val="22"/>
        </w:rPr>
        <w:t>most Other Toll Carriers are small entities.</w:t>
      </w:r>
    </w:p>
    <w:p w:rsidR="00252A4C" w:rsidRPr="00ED6163" w:rsidP="00252A4C" w14:paraId="36495896" w14:textId="77777777">
      <w:pPr>
        <w:pStyle w:val="Heading3"/>
        <w:rPr>
          <w:szCs w:val="22"/>
        </w:rPr>
      </w:pPr>
      <w:bookmarkStart w:id="400" w:name="_Toc482627336"/>
      <w:bookmarkStart w:id="401" w:name="_Toc480550129"/>
      <w:bookmarkStart w:id="402" w:name="_Toc480832033"/>
      <w:bookmarkStart w:id="403" w:name="_Toc480959124"/>
      <w:bookmarkStart w:id="404" w:name="_Toc480961049"/>
      <w:bookmarkStart w:id="405" w:name="_Toc480961188"/>
      <w:bookmarkStart w:id="406" w:name="_Toc482800816"/>
      <w:bookmarkStart w:id="407" w:name="_Toc489443517"/>
      <w:bookmarkStart w:id="408" w:name="_Toc489455506"/>
      <w:bookmarkStart w:id="409" w:name="_Toc13665603"/>
      <w:bookmarkStart w:id="410" w:name="_Toc13665790"/>
      <w:bookmarkStart w:id="411" w:name="_Toc15501972"/>
      <w:bookmarkEnd w:id="293"/>
      <w:bookmarkEnd w:id="294"/>
      <w:bookmarkEnd w:id="295"/>
      <w:bookmarkEnd w:id="296"/>
      <w:bookmarkEnd w:id="297"/>
      <w:r w:rsidRPr="00ED6163">
        <w:rPr>
          <w:szCs w:val="22"/>
        </w:rPr>
        <w:t>Wireless Providers – Fixed and Mobile</w:t>
      </w:r>
      <w:bookmarkEnd w:id="400"/>
      <w:bookmarkEnd w:id="401"/>
      <w:bookmarkEnd w:id="402"/>
      <w:bookmarkEnd w:id="403"/>
      <w:bookmarkEnd w:id="404"/>
      <w:bookmarkEnd w:id="405"/>
      <w:bookmarkEnd w:id="406"/>
      <w:bookmarkEnd w:id="407"/>
      <w:bookmarkEnd w:id="408"/>
      <w:bookmarkEnd w:id="409"/>
      <w:bookmarkEnd w:id="410"/>
      <w:bookmarkEnd w:id="411"/>
    </w:p>
    <w:p w:rsidR="00252A4C" w:rsidRPr="00ED6163" w:rsidP="00252A4C" w14:paraId="36D849EF" w14:textId="77777777">
      <w:pPr>
        <w:numPr>
          <w:ilvl w:val="0"/>
          <w:numId w:val="2"/>
        </w:numPr>
        <w:tabs>
          <w:tab w:val="clear" w:pos="1080"/>
          <w:tab w:val="num" w:pos="1440"/>
        </w:tabs>
        <w:spacing w:after="120"/>
        <w:rPr>
          <w:szCs w:val="22"/>
        </w:rPr>
      </w:pPr>
      <w:r w:rsidRPr="00ED6163">
        <w:rPr>
          <w:szCs w:val="22"/>
        </w:rPr>
        <w:t>The broadband Internet access service provider category covered by these new rules may cover multiple wireless firms and categories of regulated wireless services.  Thus, to</w:t>
      </w:r>
      <w:r w:rsidRPr="00ED6163">
        <w:rPr>
          <w:szCs w:val="22"/>
        </w:rPr>
        <w:t xml:space="preserve"> the extent the wireless services listed below are used by wireless firms for broadband Internet access service, the actions may have an impact on those small businesses as set forth above and further below.  In addition, for those services subject to auct</w:t>
      </w:r>
      <w:r w:rsidRPr="00ED6163">
        <w:rPr>
          <w:szCs w:val="22"/>
        </w:rPr>
        <w:t>ions, we note that, as a general matter, the number of winning bidders that claim to qualify as small businesses at the close of an auction does not necessarily represent the number of small businesses currently in service.  Also, the Commission does not g</w:t>
      </w:r>
      <w:r w:rsidRPr="00ED6163">
        <w:rPr>
          <w:szCs w:val="22"/>
        </w:rPr>
        <w:t>enerally track subsequent business size unless, in the context of assignments and transfers or reportable eligibility events, unjust enrichment issues are implicated.</w:t>
      </w:r>
    </w:p>
    <w:p w:rsidR="00252A4C" w:rsidRPr="00ED6163" w:rsidP="00252A4C" w14:paraId="22992EB1" w14:textId="77777777">
      <w:pPr>
        <w:numPr>
          <w:ilvl w:val="0"/>
          <w:numId w:val="2"/>
        </w:numPr>
        <w:tabs>
          <w:tab w:val="clear" w:pos="1080"/>
          <w:tab w:val="num" w:pos="1440"/>
        </w:tabs>
        <w:spacing w:after="120"/>
        <w:rPr>
          <w:szCs w:val="22"/>
        </w:rPr>
      </w:pPr>
      <w:r w:rsidRPr="00ED6163">
        <w:rPr>
          <w:i/>
          <w:szCs w:val="22"/>
        </w:rPr>
        <w:t>Wireless Telecommunications Carriers (except Satellite</w:t>
      </w:r>
      <w:r w:rsidRPr="00ED6163">
        <w:rPr>
          <w:szCs w:val="22"/>
        </w:rPr>
        <w:t xml:space="preserve">). This industry comprises </w:t>
      </w:r>
      <w:r w:rsidRPr="00ED6163">
        <w:rPr>
          <w:szCs w:val="22"/>
        </w:rPr>
        <w:t>establishments engaged in operating and maintaining switching and transmission facilities to provide communications via the airwaves.  Establishments in this industry have spectrum licenses and provide services using that spectrum, such as cellular service</w:t>
      </w:r>
      <w:r w:rsidRPr="00ED6163">
        <w:rPr>
          <w:szCs w:val="22"/>
        </w:rPr>
        <w:t>s, paging services, wireless internet access, and wireless video services.</w:t>
      </w:r>
      <w:r>
        <w:rPr>
          <w:szCs w:val="22"/>
          <w:vertAlign w:val="superscript"/>
        </w:rPr>
        <w:footnoteReference w:id="404"/>
      </w:r>
      <w:r w:rsidRPr="00ED6163">
        <w:rPr>
          <w:szCs w:val="22"/>
        </w:rPr>
        <w:t xml:space="preserve">  The appropriate size standard under SBA rules is that such a business is small if it has 1,500 or fewer employees.</w:t>
      </w:r>
      <w:r>
        <w:rPr>
          <w:szCs w:val="22"/>
          <w:vertAlign w:val="superscript"/>
        </w:rPr>
        <w:footnoteReference w:id="405"/>
      </w:r>
      <w:r w:rsidRPr="00ED6163">
        <w:rPr>
          <w:szCs w:val="22"/>
        </w:rPr>
        <w:t xml:space="preserve">  For this industry, U.S. Census data for 2012 show that there</w:t>
      </w:r>
      <w:r w:rsidRPr="00ED6163">
        <w:rPr>
          <w:szCs w:val="22"/>
        </w:rPr>
        <w:t xml:space="preserve"> were 967 firms that operated for the entire year.</w:t>
      </w:r>
      <w:r>
        <w:rPr>
          <w:szCs w:val="22"/>
          <w:vertAlign w:val="superscript"/>
        </w:rPr>
        <w:footnoteReference w:id="406"/>
      </w:r>
      <w:r w:rsidRPr="00ED6163">
        <w:rPr>
          <w:szCs w:val="22"/>
        </w:rPr>
        <w:t xml:space="preserve">  Of this total, 955 firms had employment of 999 or fewer employees and 12 had employment of 1000 employees or more.</w:t>
      </w:r>
      <w:r>
        <w:rPr>
          <w:szCs w:val="22"/>
          <w:vertAlign w:val="superscript"/>
        </w:rPr>
        <w:footnoteReference w:id="407"/>
      </w:r>
      <w:r w:rsidRPr="00ED6163">
        <w:rPr>
          <w:szCs w:val="22"/>
        </w:rPr>
        <w:t xml:space="preserve">  Thus, under this category and the associated size standard, the Commission estimates</w:t>
      </w:r>
      <w:r w:rsidRPr="00ED6163">
        <w:rPr>
          <w:szCs w:val="22"/>
        </w:rPr>
        <w:t xml:space="preserve"> that the majority of wireless telecommunications carriers (except satellite) are small entities.  </w:t>
      </w:r>
    </w:p>
    <w:p w:rsidR="00252A4C" w:rsidRPr="00ED6163" w:rsidP="00252A4C" w14:paraId="69A1001C" w14:textId="77777777">
      <w:pPr>
        <w:numPr>
          <w:ilvl w:val="0"/>
          <w:numId w:val="2"/>
        </w:numPr>
        <w:tabs>
          <w:tab w:val="clear" w:pos="1080"/>
          <w:tab w:val="num" w:pos="1440"/>
        </w:tabs>
        <w:spacing w:after="120"/>
        <w:rPr>
          <w:szCs w:val="22"/>
        </w:rPr>
      </w:pPr>
      <w:r w:rsidRPr="00ED6163">
        <w:rPr>
          <w:szCs w:val="22"/>
        </w:rPr>
        <w:t>The Commission’s own data—available in its Universal Licensing System—indicate that, as of August 31, 2018, there are 265 Cellular licensees that will be af</w:t>
      </w:r>
      <w:r w:rsidRPr="00ED6163">
        <w:rPr>
          <w:szCs w:val="22"/>
        </w:rPr>
        <w:t>fected by our actions.</w:t>
      </w:r>
      <w:r>
        <w:rPr>
          <w:rStyle w:val="FootnoteReference"/>
          <w:sz w:val="22"/>
          <w:szCs w:val="22"/>
        </w:rPr>
        <w:footnoteReference w:id="408"/>
      </w:r>
      <w:r w:rsidRPr="00ED6163">
        <w:rPr>
          <w:szCs w:val="22"/>
        </w:rPr>
        <w:t xml:space="preserve">  The Commission does not know how many of these licensees are small, as the Commission does not collect that information for these types of entities.  Similarly, according to internally-developed Commission data, 413 carriers repor</w:t>
      </w:r>
      <w:r w:rsidRPr="00ED6163">
        <w:rPr>
          <w:szCs w:val="22"/>
        </w:rPr>
        <w:t>ted that they were engaged in the provision of wireless telephony, including cellular service, Personal Communications Service (PCS), and Specialized Mobile Radio (SMR) Telephony services.</w:t>
      </w:r>
      <w:r>
        <w:rPr>
          <w:rStyle w:val="FootnoteReference"/>
          <w:sz w:val="22"/>
          <w:szCs w:val="22"/>
        </w:rPr>
        <w:footnoteReference w:id="409"/>
      </w:r>
      <w:r w:rsidRPr="00ED6163">
        <w:rPr>
          <w:szCs w:val="22"/>
        </w:rPr>
        <w:t xml:space="preserve">  Of this total, an estimated 261 have 1,500 or fewer employees, a</w:t>
      </w:r>
      <w:r w:rsidRPr="00ED6163">
        <w:rPr>
          <w:szCs w:val="22"/>
        </w:rPr>
        <w:t>nd 152 have more than 1,500 employees.</w:t>
      </w:r>
      <w:r>
        <w:rPr>
          <w:rStyle w:val="FootnoteReference"/>
          <w:sz w:val="22"/>
          <w:szCs w:val="22"/>
        </w:rPr>
        <w:footnoteReference w:id="410"/>
      </w:r>
      <w:r w:rsidRPr="00ED6163">
        <w:rPr>
          <w:szCs w:val="22"/>
        </w:rPr>
        <w:t xml:space="preserve">  Thus, using available data, we estimate that the majority of wireless firms can be considered small.  </w:t>
      </w:r>
    </w:p>
    <w:p w:rsidR="00252A4C" w:rsidRPr="00ED6163" w:rsidP="00252A4C" w14:paraId="608E1AC5" w14:textId="77777777">
      <w:pPr>
        <w:widowControl/>
        <w:numPr>
          <w:ilvl w:val="0"/>
          <w:numId w:val="2"/>
        </w:numPr>
        <w:tabs>
          <w:tab w:val="clear" w:pos="1080"/>
          <w:tab w:val="num" w:pos="1440"/>
        </w:tabs>
        <w:spacing w:after="220"/>
        <w:rPr>
          <w:szCs w:val="22"/>
        </w:rPr>
      </w:pPr>
      <w:r w:rsidRPr="00ED6163">
        <w:rPr>
          <w:i/>
          <w:szCs w:val="22"/>
        </w:rPr>
        <w:t>Wireless Communications Services</w:t>
      </w:r>
      <w:r w:rsidRPr="00ED6163">
        <w:rPr>
          <w:szCs w:val="22"/>
        </w:rPr>
        <w:t xml:space="preserve">.  This service can be used for fixed, mobile, radiolocation, and </w:t>
      </w:r>
      <w:r w:rsidRPr="00ED6163">
        <w:rPr>
          <w:szCs w:val="22"/>
        </w:rPr>
        <w:t>digital audio broadcasting satellite uses.  The Commission defined “small business” for the wireless communications services (WCS) auction as an entity with average gross revenues of $40 million for each of the three preceding years, and a “very small busi</w:t>
      </w:r>
      <w:r w:rsidRPr="00ED6163">
        <w:rPr>
          <w:szCs w:val="22"/>
        </w:rPr>
        <w:t>ness” as an entity with average gross revenues of $15 million for each of the three preceding years.</w:t>
      </w:r>
      <w:r>
        <w:rPr>
          <w:szCs w:val="22"/>
          <w:vertAlign w:val="superscript"/>
        </w:rPr>
        <w:footnoteReference w:id="411"/>
      </w:r>
      <w:r w:rsidRPr="00ED6163">
        <w:rPr>
          <w:szCs w:val="22"/>
        </w:rPr>
        <w:t xml:space="preserve">  The SBA has approved these small business size standards.</w:t>
      </w:r>
      <w:r>
        <w:rPr>
          <w:szCs w:val="22"/>
          <w:vertAlign w:val="superscript"/>
        </w:rPr>
        <w:footnoteReference w:id="412"/>
      </w:r>
      <w:r w:rsidRPr="00ED6163">
        <w:rPr>
          <w:szCs w:val="22"/>
        </w:rPr>
        <w:t xml:space="preserve">  In the Commission’s auction for geographic area licenses in the WCS, there were seven winni</w:t>
      </w:r>
      <w:r w:rsidRPr="00ED6163">
        <w:rPr>
          <w:szCs w:val="22"/>
        </w:rPr>
        <w:t xml:space="preserve">ng bidders that qualified as “very small business” entities and one that qualified as a “small business” entity. </w:t>
      </w:r>
    </w:p>
    <w:p w:rsidR="00252A4C" w:rsidRPr="00ED6163" w:rsidP="00252A4C" w14:paraId="46A5E749" w14:textId="77777777">
      <w:pPr>
        <w:numPr>
          <w:ilvl w:val="0"/>
          <w:numId w:val="2"/>
        </w:numPr>
        <w:tabs>
          <w:tab w:val="clear" w:pos="1080"/>
          <w:tab w:val="num" w:pos="1440"/>
        </w:tabs>
        <w:spacing w:after="120"/>
        <w:rPr>
          <w:szCs w:val="22"/>
        </w:rPr>
      </w:pPr>
      <w:r w:rsidRPr="00ED6163">
        <w:rPr>
          <w:i/>
          <w:szCs w:val="22"/>
        </w:rPr>
        <w:t>1670–1675 MHz Services</w:t>
      </w:r>
      <w:r w:rsidRPr="00ED6163">
        <w:rPr>
          <w:szCs w:val="22"/>
        </w:rPr>
        <w:t>.  This service can be used for fixed and mobile uses, except aeronautical mobile.</w:t>
      </w:r>
      <w:r>
        <w:rPr>
          <w:szCs w:val="22"/>
          <w:vertAlign w:val="superscript"/>
        </w:rPr>
        <w:footnoteReference w:id="413"/>
      </w:r>
      <w:r w:rsidRPr="00ED6163">
        <w:rPr>
          <w:szCs w:val="22"/>
        </w:rPr>
        <w:t xml:space="preserve">  An auction for one license in the </w:t>
      </w:r>
      <w:r w:rsidRPr="00ED6163">
        <w:rPr>
          <w:szCs w:val="22"/>
        </w:rPr>
        <w:t>1670–1675 MHz band was conducted in 2003.  One license was awarded.  The winning bidder was not a small entity.</w:t>
      </w:r>
    </w:p>
    <w:p w:rsidR="00252A4C" w:rsidRPr="00ED6163" w:rsidP="00252A4C" w14:paraId="65A6AEB0" w14:textId="77777777">
      <w:pPr>
        <w:numPr>
          <w:ilvl w:val="0"/>
          <w:numId w:val="2"/>
        </w:numPr>
        <w:tabs>
          <w:tab w:val="clear" w:pos="1080"/>
          <w:tab w:val="num" w:pos="1440"/>
        </w:tabs>
        <w:spacing w:after="120"/>
        <w:rPr>
          <w:szCs w:val="22"/>
        </w:rPr>
      </w:pPr>
      <w:r w:rsidRPr="00ED6163">
        <w:rPr>
          <w:i/>
          <w:szCs w:val="22"/>
        </w:rPr>
        <w:t>Wireless Telephony</w:t>
      </w:r>
      <w:r w:rsidRPr="00ED6163">
        <w:rPr>
          <w:szCs w:val="22"/>
        </w:rPr>
        <w:t>.  Wireless telephony includes cellular, personal communications services, and specialized mobile radio telephony carriers.  T</w:t>
      </w:r>
      <w:r w:rsidRPr="00ED6163">
        <w:rPr>
          <w:szCs w:val="22"/>
        </w:rPr>
        <w:t>he closest applicable SBA category is Wireless Telecommunications Carriers (except Satellite).</w:t>
      </w:r>
      <w:r>
        <w:rPr>
          <w:szCs w:val="22"/>
          <w:vertAlign w:val="superscript"/>
        </w:rPr>
        <w:footnoteReference w:id="414"/>
      </w:r>
      <w:r w:rsidRPr="00ED6163">
        <w:rPr>
          <w:szCs w:val="22"/>
        </w:rPr>
        <w:t xml:space="preserve">  Under the SBA small business size standard,  a business is small if it has 1,500 or fewer employees.</w:t>
      </w:r>
      <w:r>
        <w:rPr>
          <w:szCs w:val="22"/>
          <w:vertAlign w:val="superscript"/>
        </w:rPr>
        <w:footnoteReference w:id="415"/>
      </w:r>
      <w:r w:rsidRPr="00ED6163">
        <w:rPr>
          <w:szCs w:val="22"/>
        </w:rPr>
        <w:t xml:space="preserve">  For this industry, U.S. Census Bureau data for 2012 sh</w:t>
      </w:r>
      <w:r w:rsidRPr="00ED6163">
        <w:rPr>
          <w:szCs w:val="22"/>
        </w:rPr>
        <w:t>ow that there were 967 firms that operated for the entire year.</w:t>
      </w:r>
      <w:r>
        <w:rPr>
          <w:rStyle w:val="FootnoteReference"/>
          <w:sz w:val="22"/>
          <w:szCs w:val="22"/>
        </w:rPr>
        <w:footnoteReference w:id="416"/>
      </w:r>
      <w:r w:rsidRPr="00ED6163">
        <w:rPr>
          <w:szCs w:val="22"/>
        </w:rPr>
        <w:t xml:space="preserve">  Of this total, 955 firms had fewer than 1,000 employees and 12 firms had 1000 employees or more.</w:t>
      </w:r>
      <w:r>
        <w:rPr>
          <w:szCs w:val="22"/>
          <w:vertAlign w:val="superscript"/>
        </w:rPr>
        <w:footnoteReference w:id="417"/>
      </w:r>
      <w:r w:rsidRPr="00ED6163">
        <w:rPr>
          <w:szCs w:val="22"/>
        </w:rPr>
        <w:t xml:space="preserve">  Thus, under this category and the associated size standard, the Commission estimates that</w:t>
      </w:r>
      <w:r w:rsidRPr="00ED6163">
        <w:rPr>
          <w:szCs w:val="22"/>
        </w:rPr>
        <w:t xml:space="preserve"> a majority of these entities can be considered small.  According to Commission data, 413 carriers reported that they were engaged in wireless telephony.</w:t>
      </w:r>
      <w:r>
        <w:rPr>
          <w:szCs w:val="22"/>
          <w:vertAlign w:val="superscript"/>
        </w:rPr>
        <w:footnoteReference w:id="418"/>
      </w:r>
      <w:r w:rsidRPr="00ED6163">
        <w:rPr>
          <w:szCs w:val="22"/>
        </w:rPr>
        <w:t xml:space="preserve">  Of these, an estimated 261 have 1,500 or fewer employees and 152 have more than 1,500 employees.</w:t>
      </w:r>
      <w:r>
        <w:rPr>
          <w:szCs w:val="22"/>
          <w:vertAlign w:val="superscript"/>
        </w:rPr>
        <w:footnoteReference w:id="419"/>
      </w:r>
      <w:r w:rsidRPr="00ED6163">
        <w:rPr>
          <w:szCs w:val="22"/>
        </w:rPr>
        <w:t xml:space="preserve"> </w:t>
      </w:r>
      <w:r w:rsidRPr="00ED6163">
        <w:rPr>
          <w:szCs w:val="22"/>
        </w:rPr>
        <w:t xml:space="preserve"> Therefore, more than half of these entities can be considered small.</w:t>
      </w:r>
    </w:p>
    <w:p w:rsidR="00252A4C" w:rsidRPr="00ED6163" w:rsidP="00252A4C" w14:paraId="4688879B" w14:textId="77777777">
      <w:pPr>
        <w:numPr>
          <w:ilvl w:val="0"/>
          <w:numId w:val="2"/>
        </w:numPr>
        <w:tabs>
          <w:tab w:val="clear" w:pos="1080"/>
          <w:tab w:val="num" w:pos="1440"/>
        </w:tabs>
        <w:spacing w:after="120"/>
        <w:rPr>
          <w:szCs w:val="22"/>
        </w:rPr>
      </w:pPr>
      <w:r w:rsidRPr="00ED6163">
        <w:rPr>
          <w:i/>
          <w:szCs w:val="22"/>
        </w:rPr>
        <w:t>Broadband Personal Communications Service.</w:t>
      </w:r>
      <w:r w:rsidRPr="00ED6163">
        <w:rPr>
          <w:szCs w:val="22"/>
        </w:rPr>
        <w:t xml:space="preserve">  The broadband personal communications services (PCS) spectrum is divided into six frequency blocks designated A through F, and the Commission </w:t>
      </w:r>
      <w:r w:rsidRPr="00ED6163">
        <w:rPr>
          <w:szCs w:val="22"/>
        </w:rPr>
        <w:t>has held auctions for each block.  The Commission initially defined a “small business” for C- and F-Block licenses as an entity that has average gross revenues of $40 million or less in the three previous calendar years.</w:t>
      </w:r>
      <w:r>
        <w:rPr>
          <w:szCs w:val="22"/>
          <w:vertAlign w:val="superscript"/>
        </w:rPr>
        <w:footnoteReference w:id="420"/>
      </w:r>
      <w:r w:rsidRPr="00ED6163">
        <w:rPr>
          <w:szCs w:val="22"/>
        </w:rPr>
        <w:t xml:space="preserve">  For F-Block licenses, an additio</w:t>
      </w:r>
      <w:r w:rsidRPr="00ED6163">
        <w:rPr>
          <w:szCs w:val="22"/>
        </w:rPr>
        <w:t>nal small business size standard for “very small business” was added and is defined as an entity that, together with its affiliates, has average gross revenues of not more than $15 million for the preceding three calendar years.</w:t>
      </w:r>
      <w:r>
        <w:rPr>
          <w:szCs w:val="22"/>
          <w:vertAlign w:val="superscript"/>
        </w:rPr>
        <w:footnoteReference w:id="421"/>
      </w:r>
      <w:r w:rsidRPr="00ED6163">
        <w:rPr>
          <w:szCs w:val="22"/>
        </w:rPr>
        <w:t xml:space="preserve">  These standards, definin</w:t>
      </w:r>
      <w:r w:rsidRPr="00ED6163">
        <w:rPr>
          <w:szCs w:val="22"/>
        </w:rPr>
        <w:t>g “small entity” in the context of broadband PCS auctions, have been approved by the SBA.</w:t>
      </w:r>
      <w:r>
        <w:rPr>
          <w:szCs w:val="22"/>
          <w:vertAlign w:val="superscript"/>
        </w:rPr>
        <w:footnoteReference w:id="422"/>
      </w:r>
      <w:r w:rsidRPr="00ED6163">
        <w:rPr>
          <w:szCs w:val="22"/>
        </w:rPr>
        <w:t xml:space="preserve">  No small businesses within the SBA-approved small business size standards bid successfully for licenses in Blocks A and B.  There were 90 winning bidders that clai</w:t>
      </w:r>
      <w:r w:rsidRPr="00ED6163">
        <w:rPr>
          <w:szCs w:val="22"/>
        </w:rPr>
        <w:t>med small business status in the first two C-Block auctions.  A total of 93 bidders that claimed small business status won approximately 40 percent of the 1,479 licenses in the first auction for the D, E, and F Blocks.</w:t>
      </w:r>
      <w:r>
        <w:rPr>
          <w:szCs w:val="22"/>
          <w:vertAlign w:val="superscript"/>
        </w:rPr>
        <w:footnoteReference w:id="423"/>
      </w:r>
      <w:r w:rsidRPr="00ED6163">
        <w:rPr>
          <w:szCs w:val="22"/>
        </w:rPr>
        <w:t xml:space="preserve">  On April 15, 1999, the Commission </w:t>
      </w:r>
      <w:r w:rsidRPr="00ED6163">
        <w:rPr>
          <w:szCs w:val="22"/>
        </w:rPr>
        <w:t>completed the reauction of 347 C-, D-, E-, and F-Block licenses in Auction No. 22.</w:t>
      </w:r>
      <w:r>
        <w:rPr>
          <w:szCs w:val="22"/>
          <w:vertAlign w:val="superscript"/>
        </w:rPr>
        <w:footnoteReference w:id="424"/>
      </w:r>
      <w:r w:rsidRPr="00ED6163">
        <w:rPr>
          <w:szCs w:val="22"/>
        </w:rPr>
        <w:t xml:space="preserve">  Of the 57 winning bidders in that auction, 48 claimed small business status and won 277 licenses.</w:t>
      </w:r>
    </w:p>
    <w:p w:rsidR="00252A4C" w:rsidRPr="00ED6163" w:rsidP="00252A4C" w14:paraId="7EC70DD6" w14:textId="77777777">
      <w:pPr>
        <w:widowControl/>
        <w:numPr>
          <w:ilvl w:val="0"/>
          <w:numId w:val="2"/>
        </w:numPr>
        <w:tabs>
          <w:tab w:val="clear" w:pos="1080"/>
          <w:tab w:val="num" w:pos="1440"/>
        </w:tabs>
        <w:spacing w:after="120"/>
        <w:rPr>
          <w:szCs w:val="22"/>
        </w:rPr>
      </w:pPr>
      <w:r w:rsidRPr="00ED6163">
        <w:rPr>
          <w:szCs w:val="22"/>
        </w:rPr>
        <w:t>On January 26, 2001, the Commission completed the auction of 422 C and F</w:t>
      </w:r>
      <w:r w:rsidRPr="00ED6163">
        <w:rPr>
          <w:szCs w:val="22"/>
        </w:rPr>
        <w:t xml:space="preserve"> Block Broadband PCS licenses in Auction No. 35.  Of the 35 winning bidders in that auction, 29 claimed small business status.  Subsequent events concerning Auction 35, including judicial and agency determinations, resulted in a total of 163 C and F Block </w:t>
      </w:r>
      <w:r w:rsidRPr="00ED6163">
        <w:rPr>
          <w:szCs w:val="22"/>
        </w:rPr>
        <w:t>licenses being available for grant.  On February 15, 2005, the Commission completed an auction of 242 C-, D-, E-, and F-Block licenses in Auction No. 58.  Of the 24 winning bidders in that auction, 16 claimed small business status and won 156 licenses.  On</w:t>
      </w:r>
      <w:r w:rsidRPr="00ED6163">
        <w:rPr>
          <w:szCs w:val="22"/>
        </w:rPr>
        <w:t xml:space="preserve"> May 21, 2007, the Commission completed an auction of 33 licenses in the A, C, and F Blocks in Auction No. 71.  Of the 12 winning bidders in that auction, five claimed small business status and won 18 licenses.  On August 20, 2008, the Commission completed</w:t>
      </w:r>
      <w:r w:rsidRPr="00ED6163">
        <w:rPr>
          <w:szCs w:val="22"/>
        </w:rPr>
        <w:t xml:space="preserve"> the auction of 20 C-, D-, E-, and F-Block Broadband PCS licenses in Auction No. 78.  Of the eight winning bidders for Broadband PCS licenses in that auction, six claimed small business status and won 14 licenses. </w:t>
      </w:r>
    </w:p>
    <w:p w:rsidR="00252A4C" w:rsidRPr="00ED6163" w:rsidP="00252A4C" w14:paraId="356AC45A" w14:textId="77777777">
      <w:pPr>
        <w:numPr>
          <w:ilvl w:val="0"/>
          <w:numId w:val="2"/>
        </w:numPr>
        <w:tabs>
          <w:tab w:val="clear" w:pos="1080"/>
          <w:tab w:val="num" w:pos="1440"/>
        </w:tabs>
        <w:spacing w:after="120"/>
        <w:rPr>
          <w:szCs w:val="22"/>
        </w:rPr>
      </w:pPr>
      <w:r w:rsidRPr="00ED6163">
        <w:rPr>
          <w:i/>
          <w:szCs w:val="22"/>
        </w:rPr>
        <w:t>Specialized Mobile Radio Licenses.</w:t>
      </w:r>
      <w:r w:rsidRPr="00ED6163">
        <w:rPr>
          <w:szCs w:val="22"/>
        </w:rPr>
        <w:t xml:space="preserve">  The C</w:t>
      </w:r>
      <w:r w:rsidRPr="00ED6163">
        <w:rPr>
          <w:szCs w:val="22"/>
        </w:rPr>
        <w:t>ommission awards “small entity” bidding credits in auctions for Specialized Mobile Radio (SMR) geographic area licenses in the 800 MHz and 900 MHz bands to firms that had revenues of no more than $15 million in each of the three previous calendar years.</w:t>
      </w:r>
      <w:r>
        <w:rPr>
          <w:szCs w:val="22"/>
          <w:vertAlign w:val="superscript"/>
        </w:rPr>
        <w:footnoteReference w:id="425"/>
      </w:r>
      <w:r w:rsidRPr="00ED6163">
        <w:rPr>
          <w:szCs w:val="22"/>
        </w:rPr>
        <w:t xml:space="preserve"> </w:t>
      </w:r>
      <w:r w:rsidRPr="00ED6163">
        <w:rPr>
          <w:szCs w:val="22"/>
        </w:rPr>
        <w:t xml:space="preserve"> The Commission awards “very small entity” bidding credits to firms that had revenues of no more than $3 million in each of the three previous calendar years.</w:t>
      </w:r>
      <w:r>
        <w:rPr>
          <w:szCs w:val="22"/>
          <w:vertAlign w:val="superscript"/>
        </w:rPr>
        <w:footnoteReference w:id="426"/>
      </w:r>
      <w:r w:rsidRPr="00ED6163">
        <w:rPr>
          <w:szCs w:val="22"/>
        </w:rPr>
        <w:t xml:space="preserve">  The SBA has approved these small business size standards for the 900 MHz Service.</w:t>
      </w:r>
      <w:r>
        <w:rPr>
          <w:szCs w:val="22"/>
          <w:vertAlign w:val="superscript"/>
        </w:rPr>
        <w:footnoteReference w:id="427"/>
      </w:r>
      <w:r w:rsidRPr="00ED6163">
        <w:rPr>
          <w:szCs w:val="22"/>
        </w:rPr>
        <w:t xml:space="preserve">  The Commission has held auctions for geographic area licenses in the 800 MHz and 900 MHz bands.  The 900 MHz SMR auction began on December 5, 1995, and closed on April 1</w:t>
      </w:r>
      <w:r w:rsidRPr="00ED6163">
        <w:rPr>
          <w:szCs w:val="22"/>
        </w:rPr>
        <w:t>5, 1996.  Sixty bidders claiming that they qualified as small businesses under the $15 million size standard won 263 geographic area licenses in the 900 MHz SMR band.  The 800 MHz SMR auction for the upper 200 channels began on October 28, 1997, and was co</w:t>
      </w:r>
      <w:r w:rsidRPr="00ED6163">
        <w:rPr>
          <w:szCs w:val="22"/>
        </w:rPr>
        <w:t>mpleted on December 8, 1997.  Ten bidders claiming that they qualified as small businesses under the $15 million size standard won 38 geographic area licenses for the upper 200 channels in the 800 MHz SMR band.</w:t>
      </w:r>
      <w:r>
        <w:rPr>
          <w:szCs w:val="22"/>
          <w:vertAlign w:val="superscript"/>
        </w:rPr>
        <w:footnoteReference w:id="428"/>
      </w:r>
      <w:r w:rsidRPr="00ED6163">
        <w:rPr>
          <w:szCs w:val="22"/>
        </w:rPr>
        <w:t xml:space="preserve">  A second auction for the 800 MHz band conducted in 2002 and included 23 BEA licenses.  One bidder claiming small business status won five licenses.</w:t>
      </w:r>
      <w:r>
        <w:rPr>
          <w:szCs w:val="22"/>
          <w:vertAlign w:val="superscript"/>
        </w:rPr>
        <w:footnoteReference w:id="429"/>
      </w:r>
    </w:p>
    <w:p w:rsidR="00252A4C" w:rsidRPr="00ED6163" w:rsidP="00252A4C" w14:paraId="5BFB830A" w14:textId="77777777">
      <w:pPr>
        <w:numPr>
          <w:ilvl w:val="0"/>
          <w:numId w:val="2"/>
        </w:numPr>
        <w:tabs>
          <w:tab w:val="clear" w:pos="1080"/>
          <w:tab w:val="num" w:pos="1440"/>
        </w:tabs>
        <w:spacing w:after="120"/>
        <w:rPr>
          <w:szCs w:val="22"/>
        </w:rPr>
      </w:pPr>
      <w:r w:rsidRPr="00ED6163">
        <w:rPr>
          <w:szCs w:val="22"/>
        </w:rPr>
        <w:t>The auction of the 1,053 800 MHz SMR geographic area licenses for the General Category channels was cond</w:t>
      </w:r>
      <w:r w:rsidRPr="00ED6163">
        <w:rPr>
          <w:szCs w:val="22"/>
        </w:rPr>
        <w:t>ucted in 2000.  Eleven bidders won 108 geographic area licenses for the General Category channels in the 800 MHz SMR band and qualified as small businesses under the $15 million size standard.</w:t>
      </w:r>
      <w:r>
        <w:rPr>
          <w:szCs w:val="22"/>
          <w:vertAlign w:val="superscript"/>
        </w:rPr>
        <w:footnoteReference w:id="430"/>
      </w:r>
      <w:r w:rsidRPr="00ED6163">
        <w:rPr>
          <w:szCs w:val="22"/>
        </w:rPr>
        <w:t xml:space="preserve">  In an auction completed in 2000, a total of 2,800 Economic A</w:t>
      </w:r>
      <w:r w:rsidRPr="00ED6163">
        <w:rPr>
          <w:szCs w:val="22"/>
        </w:rPr>
        <w:t>rea licenses in the lower 80 channels of the 800 MHz SMR service were awarded.</w:t>
      </w:r>
      <w:r>
        <w:rPr>
          <w:szCs w:val="22"/>
          <w:vertAlign w:val="superscript"/>
        </w:rPr>
        <w:footnoteReference w:id="431"/>
      </w:r>
      <w:r w:rsidRPr="00ED6163">
        <w:rPr>
          <w:szCs w:val="22"/>
        </w:rPr>
        <w:t xml:space="preserve">  Of the 22 winning bidders, 19 claimed small business status and won 129 licenses.  Thus, combining all four auctions, 41 winning bidders for geographic licenses in the 800 MH</w:t>
      </w:r>
      <w:r w:rsidRPr="00ED6163">
        <w:rPr>
          <w:szCs w:val="22"/>
        </w:rPr>
        <w:t>z SMR band claimed status as small businesses.</w:t>
      </w:r>
    </w:p>
    <w:p w:rsidR="00252A4C" w:rsidRPr="00ED6163" w:rsidP="00252A4C" w14:paraId="5ADF085F" w14:textId="77777777">
      <w:pPr>
        <w:widowControl/>
        <w:numPr>
          <w:ilvl w:val="0"/>
          <w:numId w:val="2"/>
        </w:numPr>
        <w:tabs>
          <w:tab w:val="clear" w:pos="1080"/>
          <w:tab w:val="num" w:pos="1440"/>
        </w:tabs>
        <w:spacing w:after="120"/>
        <w:rPr>
          <w:szCs w:val="22"/>
        </w:rPr>
      </w:pPr>
      <w:r w:rsidRPr="00ED6163">
        <w:rPr>
          <w:szCs w:val="22"/>
        </w:rPr>
        <w:t>In addition, there are numerous incumbent site-by-site SMR licenses and licensees with extended implementation authorizations in the 800 and 900 MHz bands.  We do not know how many firms provide 800 MHz or 900</w:t>
      </w:r>
      <w:r w:rsidRPr="00ED6163">
        <w:rPr>
          <w:szCs w:val="22"/>
        </w:rPr>
        <w:t xml:space="preserve"> MHz geographic area SMR service pursuant to extended implementation authorizations, nor how many of these providers have annual revenues of no more than $15 million.  One firm has over $15 million in revenues.  In addition, we do not know how many of thes</w:t>
      </w:r>
      <w:r w:rsidRPr="00ED6163">
        <w:rPr>
          <w:szCs w:val="22"/>
        </w:rPr>
        <w:t>e firms have 1,500 or fewer employees, which is the SBA-determined size standard.</w:t>
      </w:r>
      <w:r>
        <w:rPr>
          <w:szCs w:val="22"/>
          <w:vertAlign w:val="superscript"/>
        </w:rPr>
        <w:footnoteReference w:id="432"/>
      </w:r>
      <w:r w:rsidRPr="00ED6163">
        <w:rPr>
          <w:szCs w:val="22"/>
        </w:rPr>
        <w:t xml:space="preserve">  We assume, for purposes of this analysis, that all of the remaining extended implementation authorizations are held by small entities, as defined by the SBA.</w:t>
      </w:r>
    </w:p>
    <w:p w:rsidR="00252A4C" w:rsidRPr="00ED6163" w:rsidP="00252A4C" w14:paraId="39511A60" w14:textId="77777777">
      <w:pPr>
        <w:numPr>
          <w:ilvl w:val="0"/>
          <w:numId w:val="2"/>
        </w:numPr>
        <w:tabs>
          <w:tab w:val="clear" w:pos="1080"/>
          <w:tab w:val="num" w:pos="1440"/>
        </w:tabs>
        <w:spacing w:after="120"/>
        <w:rPr>
          <w:szCs w:val="22"/>
        </w:rPr>
      </w:pPr>
      <w:r w:rsidRPr="00ED6163">
        <w:rPr>
          <w:i/>
          <w:szCs w:val="22"/>
        </w:rPr>
        <w:t>Lower 700 MHz</w:t>
      </w:r>
      <w:r w:rsidRPr="00ED6163">
        <w:rPr>
          <w:i/>
          <w:szCs w:val="22"/>
        </w:rPr>
        <w:t xml:space="preserve"> Band Licenses</w:t>
      </w:r>
      <w:r w:rsidRPr="00ED6163">
        <w:rPr>
          <w:szCs w:val="22"/>
        </w:rPr>
        <w:t>.  The Commission previously adopted criteria for defining three groups of small businesses for purposes of determining their eligibility for special provisions such as bidding credits.</w:t>
      </w:r>
      <w:r>
        <w:rPr>
          <w:szCs w:val="22"/>
          <w:vertAlign w:val="superscript"/>
        </w:rPr>
        <w:footnoteReference w:id="433"/>
      </w:r>
      <w:r w:rsidRPr="00ED6163">
        <w:rPr>
          <w:szCs w:val="22"/>
        </w:rPr>
        <w:t xml:space="preserve">  The Commission defined a “small business” as an entit</w:t>
      </w:r>
      <w:r w:rsidRPr="00ED6163">
        <w:rPr>
          <w:szCs w:val="22"/>
        </w:rPr>
        <w:t>y that, together with its affiliates and controlling principals, has average gross revenues not exceeding $40 million for the preceding three years.</w:t>
      </w:r>
      <w:r>
        <w:rPr>
          <w:szCs w:val="22"/>
          <w:vertAlign w:val="superscript"/>
        </w:rPr>
        <w:footnoteReference w:id="434"/>
      </w:r>
      <w:r w:rsidRPr="00ED6163">
        <w:rPr>
          <w:szCs w:val="22"/>
        </w:rPr>
        <w:t xml:space="preserve">  A “very small business” is defined as an entity that, together with its affiliates and controlling princ</w:t>
      </w:r>
      <w:r w:rsidRPr="00ED6163">
        <w:rPr>
          <w:szCs w:val="22"/>
        </w:rPr>
        <w:t>ipals, has average gross revenues that are not more than $15 million for the preceding three years.</w:t>
      </w:r>
      <w:r>
        <w:rPr>
          <w:szCs w:val="22"/>
          <w:vertAlign w:val="superscript"/>
        </w:rPr>
        <w:footnoteReference w:id="435"/>
      </w:r>
      <w:r w:rsidRPr="00ED6163">
        <w:rPr>
          <w:szCs w:val="22"/>
        </w:rPr>
        <w:t xml:space="preserve">  Additionally, the lower 700 MHz Service had a third category of small business status for Metropolitan/Rural Service Area (MSA/RSA) licenses—“entrepreneu</w:t>
      </w:r>
      <w:r w:rsidRPr="00ED6163">
        <w:rPr>
          <w:szCs w:val="22"/>
        </w:rPr>
        <w:t>r”—which is defined as an entity that, together with its affiliates and controlling principals, has average gross revenues that are not more than $3 million for the preceding three years.</w:t>
      </w:r>
      <w:r>
        <w:rPr>
          <w:szCs w:val="22"/>
          <w:vertAlign w:val="superscript"/>
        </w:rPr>
        <w:footnoteReference w:id="436"/>
      </w:r>
      <w:r w:rsidRPr="00ED6163">
        <w:rPr>
          <w:szCs w:val="22"/>
        </w:rPr>
        <w:t xml:space="preserve">  The SBA approved these small size standards.</w:t>
      </w:r>
      <w:r>
        <w:rPr>
          <w:szCs w:val="22"/>
          <w:vertAlign w:val="superscript"/>
        </w:rPr>
        <w:footnoteReference w:id="437"/>
      </w:r>
      <w:r w:rsidRPr="00ED6163">
        <w:rPr>
          <w:szCs w:val="22"/>
        </w:rPr>
        <w:t xml:space="preserve">  An auction of 740</w:t>
      </w:r>
      <w:r w:rsidRPr="00ED6163">
        <w:rPr>
          <w:szCs w:val="22"/>
        </w:rPr>
        <w:t xml:space="preserve"> licenses (one license in each of the 734 MSAs/RSAs and one license in each of the six Economic Area Groupings (EAGs)) commenced on August 27, 2002, and closed on September 18, 2002.  Of the 740 licenses available for auction, 484 licenses were won by 102 </w:t>
      </w:r>
      <w:r w:rsidRPr="00ED6163">
        <w:rPr>
          <w:szCs w:val="22"/>
        </w:rPr>
        <w:t>winning bidders.  Seventy-two of the winning bidders claimed small business, very small business, or entrepreneur status and won a total of 329 licenses.</w:t>
      </w:r>
      <w:r>
        <w:rPr>
          <w:szCs w:val="22"/>
          <w:vertAlign w:val="superscript"/>
        </w:rPr>
        <w:footnoteReference w:id="438"/>
      </w:r>
      <w:r w:rsidRPr="00ED6163">
        <w:rPr>
          <w:szCs w:val="22"/>
        </w:rPr>
        <w:t xml:space="preserve">  A second auction commenced on May 28, 2003, closed on June 13, 2003, and included 256 licenses:  5 </w:t>
      </w:r>
      <w:r w:rsidRPr="00ED6163">
        <w:rPr>
          <w:szCs w:val="22"/>
        </w:rPr>
        <w:t>EAG licenses and 476 Cellular Market Area licenses.</w:t>
      </w:r>
      <w:r>
        <w:rPr>
          <w:szCs w:val="22"/>
          <w:vertAlign w:val="superscript"/>
        </w:rPr>
        <w:footnoteReference w:id="439"/>
      </w:r>
      <w:r w:rsidRPr="00ED6163">
        <w:rPr>
          <w:szCs w:val="22"/>
        </w:rPr>
        <w:t xml:space="preserve">  Seventeen winning bidders claimed small or very small business status and won 60 licenses, and nine winning bidders claimed entrepreneur status and won 154 licenses.</w:t>
      </w:r>
      <w:r>
        <w:rPr>
          <w:szCs w:val="22"/>
          <w:vertAlign w:val="superscript"/>
        </w:rPr>
        <w:footnoteReference w:id="440"/>
      </w:r>
      <w:r w:rsidRPr="00ED6163">
        <w:rPr>
          <w:szCs w:val="22"/>
        </w:rPr>
        <w:t xml:space="preserve">  On July 26, 2005, the Commission</w:t>
      </w:r>
      <w:r w:rsidRPr="00ED6163">
        <w:rPr>
          <w:szCs w:val="22"/>
        </w:rPr>
        <w:t xml:space="preserve"> completed an auction of 5 licenses in the Lower 700 MHz band (Auction No. 60).  There were three winning bidders for five licenses.  All three winning bidders claimed small business status.</w:t>
      </w:r>
    </w:p>
    <w:p w:rsidR="00252A4C" w:rsidRPr="00ED6163" w:rsidP="00252A4C" w14:paraId="776DA3FF" w14:textId="77777777">
      <w:pPr>
        <w:widowControl/>
        <w:numPr>
          <w:ilvl w:val="0"/>
          <w:numId w:val="2"/>
        </w:numPr>
        <w:tabs>
          <w:tab w:val="clear" w:pos="1080"/>
          <w:tab w:val="num" w:pos="1440"/>
        </w:tabs>
        <w:spacing w:after="120"/>
        <w:rPr>
          <w:szCs w:val="22"/>
        </w:rPr>
      </w:pPr>
      <w:r w:rsidRPr="00ED6163">
        <w:rPr>
          <w:szCs w:val="22"/>
        </w:rPr>
        <w:t>In 2007, the Commission reexamined its rules governing the 700 MH</w:t>
      </w:r>
      <w:r w:rsidRPr="00ED6163">
        <w:rPr>
          <w:szCs w:val="22"/>
        </w:rPr>
        <w:t xml:space="preserve">z band in the </w:t>
      </w:r>
      <w:r w:rsidRPr="00ED6163">
        <w:rPr>
          <w:i/>
          <w:szCs w:val="22"/>
        </w:rPr>
        <w:t>700 MHz Second Report and Order</w:t>
      </w:r>
      <w:r w:rsidRPr="00ED6163">
        <w:rPr>
          <w:szCs w:val="22"/>
        </w:rPr>
        <w:t>.</w:t>
      </w:r>
      <w:r>
        <w:rPr>
          <w:szCs w:val="22"/>
          <w:vertAlign w:val="superscript"/>
        </w:rPr>
        <w:footnoteReference w:id="441"/>
      </w:r>
      <w:r w:rsidRPr="00ED6163">
        <w:rPr>
          <w:szCs w:val="22"/>
        </w:rPr>
        <w:t xml:space="preserve">  An auction of 700 MHz licenses commenced January 24, 2008 and closed on March 18, 2008, which included, 176 Economic Area licenses in the A Block, 734 Cellular Market Area licenses in the B Block, and 176 E</w:t>
      </w:r>
      <w:r w:rsidRPr="00ED6163">
        <w:rPr>
          <w:szCs w:val="22"/>
        </w:rPr>
        <w:t>A licenses in the E Block.</w:t>
      </w:r>
      <w:r>
        <w:rPr>
          <w:szCs w:val="22"/>
          <w:vertAlign w:val="superscript"/>
        </w:rPr>
        <w:footnoteReference w:id="442"/>
      </w:r>
      <w:r w:rsidRPr="00ED6163">
        <w:rPr>
          <w:szCs w:val="22"/>
        </w:rPr>
        <w:t xml:space="preserve">  Twenty winning bidders, claiming small business status (those with attributable average annual gross revenues that exceed $15 million and do not exceed $40 million for the preceding three years) won 49 licenses.  Thirty-three </w:t>
      </w:r>
      <w:r w:rsidRPr="00ED6163">
        <w:rPr>
          <w:szCs w:val="22"/>
        </w:rPr>
        <w:t>winning bidders claiming very small business status (those with attributable average annual gross revenues that do not exceed $15 million for the preceding three years) won 325 licenses.</w:t>
      </w:r>
    </w:p>
    <w:p w:rsidR="00252A4C" w:rsidRPr="00ED6163" w:rsidP="00252A4C" w14:paraId="443966A5" w14:textId="77777777">
      <w:pPr>
        <w:numPr>
          <w:ilvl w:val="0"/>
          <w:numId w:val="2"/>
        </w:numPr>
        <w:tabs>
          <w:tab w:val="clear" w:pos="1080"/>
          <w:tab w:val="num" w:pos="1440"/>
        </w:tabs>
        <w:spacing w:after="120"/>
        <w:rPr>
          <w:szCs w:val="22"/>
        </w:rPr>
      </w:pPr>
      <w:r w:rsidRPr="00ED6163">
        <w:rPr>
          <w:i/>
          <w:szCs w:val="22"/>
        </w:rPr>
        <w:t>Upper 700 MHz Band Licenses</w:t>
      </w:r>
      <w:r w:rsidRPr="00ED6163">
        <w:rPr>
          <w:szCs w:val="22"/>
        </w:rPr>
        <w:t xml:space="preserve">.  In the </w:t>
      </w:r>
      <w:r w:rsidRPr="00ED6163">
        <w:rPr>
          <w:i/>
          <w:szCs w:val="22"/>
        </w:rPr>
        <w:t>700 MHz Second Report and Order</w:t>
      </w:r>
      <w:r w:rsidRPr="00ED6163">
        <w:rPr>
          <w:szCs w:val="22"/>
        </w:rPr>
        <w:t>,</w:t>
      </w:r>
      <w:r w:rsidRPr="00ED6163">
        <w:rPr>
          <w:szCs w:val="22"/>
        </w:rPr>
        <w:t xml:space="preserve"> the Commission revised its rules regarding Upper 700 MHz licenses.</w:t>
      </w:r>
      <w:r>
        <w:rPr>
          <w:szCs w:val="22"/>
          <w:vertAlign w:val="superscript"/>
        </w:rPr>
        <w:footnoteReference w:id="443"/>
      </w:r>
      <w:r w:rsidRPr="00ED6163">
        <w:rPr>
          <w:szCs w:val="22"/>
        </w:rPr>
        <w:t xml:space="preserve">  On January 24, 2008, the Commission commenced Auction 73 in which several licenses in the Upper 700 MHz band were available for licensing:  12 Regional Economic Area Grouping licenses i</w:t>
      </w:r>
      <w:r w:rsidRPr="00ED6163">
        <w:rPr>
          <w:szCs w:val="22"/>
        </w:rPr>
        <w:t>n the C Block and one nationwide license in the D Block.</w:t>
      </w:r>
      <w:r>
        <w:rPr>
          <w:szCs w:val="22"/>
          <w:vertAlign w:val="superscript"/>
        </w:rPr>
        <w:footnoteReference w:id="444"/>
      </w:r>
      <w:r w:rsidRPr="00ED6163">
        <w:rPr>
          <w:szCs w:val="22"/>
        </w:rPr>
        <w:t xml:space="preserve">  The auction concluded on March 18, 2008, with three winning bidders claiming very small business status (those with attributable average annual gross revenues that do not exceed $15 million for th</w:t>
      </w:r>
      <w:r w:rsidRPr="00ED6163">
        <w:rPr>
          <w:szCs w:val="22"/>
        </w:rPr>
        <w:t>e preceding three years) and winning five licenses.</w:t>
      </w:r>
    </w:p>
    <w:p w:rsidR="00252A4C" w:rsidRPr="00ED6163" w:rsidP="0040438C" w14:paraId="6923AF44" w14:textId="77777777">
      <w:pPr>
        <w:widowControl/>
        <w:numPr>
          <w:ilvl w:val="0"/>
          <w:numId w:val="2"/>
        </w:numPr>
        <w:tabs>
          <w:tab w:val="clear" w:pos="1080"/>
          <w:tab w:val="num" w:pos="1440"/>
        </w:tabs>
        <w:spacing w:after="120"/>
        <w:rPr>
          <w:szCs w:val="22"/>
        </w:rPr>
      </w:pPr>
      <w:r w:rsidRPr="00ED6163">
        <w:rPr>
          <w:i/>
          <w:szCs w:val="22"/>
        </w:rPr>
        <w:t>700 MHz Guard Band Licensees</w:t>
      </w:r>
      <w:r w:rsidRPr="00ED6163">
        <w:rPr>
          <w:szCs w:val="22"/>
        </w:rPr>
        <w:t xml:space="preserve">.  In 2000, in the </w:t>
      </w:r>
      <w:r w:rsidRPr="00ED6163">
        <w:rPr>
          <w:i/>
          <w:szCs w:val="22"/>
        </w:rPr>
        <w:t>700 MHz Guard Band Order</w:t>
      </w:r>
      <w:r w:rsidRPr="00ED6163">
        <w:rPr>
          <w:szCs w:val="22"/>
        </w:rPr>
        <w:t>, the Commission adopted size standards for “small businesses” and “very small businesses” for purposes of determining their eligibil</w:t>
      </w:r>
      <w:r w:rsidRPr="00ED6163">
        <w:rPr>
          <w:szCs w:val="22"/>
        </w:rPr>
        <w:t>ity for special provisions such as bidding credits and installment payments.</w:t>
      </w:r>
      <w:r>
        <w:rPr>
          <w:szCs w:val="22"/>
          <w:vertAlign w:val="superscript"/>
        </w:rPr>
        <w:footnoteReference w:id="445"/>
      </w:r>
      <w:r w:rsidRPr="00ED6163">
        <w:rPr>
          <w:szCs w:val="22"/>
        </w:rPr>
        <w:t xml:space="preserve">  A small business in this service is an entity that, together with its affiliates and controlling principals, has average gross revenues not exceeding $40 million for the preceding three years.</w:t>
      </w:r>
      <w:r>
        <w:rPr>
          <w:szCs w:val="22"/>
          <w:vertAlign w:val="superscript"/>
        </w:rPr>
        <w:footnoteReference w:id="446"/>
      </w:r>
      <w:r w:rsidRPr="00ED6163">
        <w:rPr>
          <w:szCs w:val="22"/>
        </w:rPr>
        <w:t xml:space="preserve">  Additionally, a very small business is an entity that, tog</w:t>
      </w:r>
      <w:r w:rsidRPr="00ED6163">
        <w:rPr>
          <w:szCs w:val="22"/>
        </w:rPr>
        <w:t>ether with its affiliates and controlling principals, has average gross revenues that are not more than $15 million for the preceding three years.</w:t>
      </w:r>
      <w:r>
        <w:rPr>
          <w:szCs w:val="22"/>
          <w:vertAlign w:val="superscript"/>
        </w:rPr>
        <w:footnoteReference w:id="447"/>
      </w:r>
      <w:r w:rsidRPr="00ED6163">
        <w:rPr>
          <w:szCs w:val="22"/>
        </w:rPr>
        <w:t xml:space="preserve">  SBA approval of these definitions is not required.</w:t>
      </w:r>
      <w:r>
        <w:rPr>
          <w:szCs w:val="22"/>
          <w:vertAlign w:val="superscript"/>
        </w:rPr>
        <w:footnoteReference w:id="448"/>
      </w:r>
      <w:r w:rsidRPr="00ED6163">
        <w:rPr>
          <w:szCs w:val="22"/>
        </w:rPr>
        <w:t xml:space="preserve">  An auction of 52 Major Economic Area licenses commen</w:t>
      </w:r>
      <w:r w:rsidRPr="00ED6163">
        <w:rPr>
          <w:szCs w:val="22"/>
        </w:rPr>
        <w:t>ced on September 6, 2000, and closed on September 21, 2000.</w:t>
      </w:r>
      <w:r>
        <w:rPr>
          <w:szCs w:val="22"/>
          <w:vertAlign w:val="superscript"/>
        </w:rPr>
        <w:footnoteReference w:id="449"/>
      </w:r>
      <w:r w:rsidRPr="00ED6163">
        <w:rPr>
          <w:szCs w:val="22"/>
        </w:rPr>
        <w:t xml:space="preserve">  Of the 104 licenses auctioned, 96 licenses were sold to nine bidders.  Five of these bidders were small businesses that won a total of 26 licenses.  A second auction of 700 MHz Guard Band licenses commenced on February 13, 2001, and closed on February 21</w:t>
      </w:r>
      <w:r w:rsidRPr="00ED6163">
        <w:rPr>
          <w:szCs w:val="22"/>
        </w:rPr>
        <w:t>, 2001.  All eight of the licenses auctioned were sold to three bidders.  One of these bidders was a small business that won a total of two licenses.</w:t>
      </w:r>
      <w:r>
        <w:rPr>
          <w:szCs w:val="22"/>
          <w:vertAlign w:val="superscript"/>
        </w:rPr>
        <w:footnoteReference w:id="450"/>
      </w:r>
    </w:p>
    <w:p w:rsidR="00252A4C" w:rsidRPr="00ED6163" w:rsidP="00252A4C" w14:paraId="1907B00D" w14:textId="77777777">
      <w:pPr>
        <w:numPr>
          <w:ilvl w:val="0"/>
          <w:numId w:val="2"/>
        </w:numPr>
        <w:tabs>
          <w:tab w:val="clear" w:pos="1080"/>
          <w:tab w:val="num" w:pos="1440"/>
        </w:tabs>
        <w:spacing w:after="120"/>
        <w:rPr>
          <w:szCs w:val="22"/>
        </w:rPr>
      </w:pPr>
      <w:r w:rsidRPr="00ED6163">
        <w:rPr>
          <w:i/>
          <w:szCs w:val="22"/>
        </w:rPr>
        <w:t>Air-Ground Radiotelephone Service</w:t>
      </w:r>
      <w:r w:rsidRPr="00ED6163">
        <w:rPr>
          <w:szCs w:val="22"/>
        </w:rPr>
        <w:t>.  The Commission has previously used the SBA’s small business size sta</w:t>
      </w:r>
      <w:r w:rsidRPr="00ED6163">
        <w:rPr>
          <w:szCs w:val="22"/>
        </w:rPr>
        <w:t>ndard applicable to Wireless Telecommunications Carriers (except Satellite).</w:t>
      </w:r>
      <w:r>
        <w:rPr>
          <w:rStyle w:val="FootnoteReference"/>
          <w:sz w:val="22"/>
          <w:szCs w:val="22"/>
        </w:rPr>
        <w:footnoteReference w:id="451"/>
      </w:r>
      <w:r w:rsidRPr="00ED6163">
        <w:rPr>
          <w:szCs w:val="22"/>
        </w:rPr>
        <w:t xml:space="preserve"> The appropriate size standard under SBA rules is that such a business is small if it has 1,500 or fewer employees.</w:t>
      </w:r>
      <w:r>
        <w:rPr>
          <w:rStyle w:val="FootnoteReference"/>
          <w:sz w:val="22"/>
          <w:szCs w:val="22"/>
        </w:rPr>
        <w:footnoteReference w:id="452"/>
      </w:r>
      <w:r w:rsidRPr="00ED6163">
        <w:rPr>
          <w:szCs w:val="22"/>
        </w:rPr>
        <w:t xml:space="preserve">  For this industry, U.S. Census Bureau data for 2012 show th</w:t>
      </w:r>
      <w:r w:rsidRPr="00ED6163">
        <w:rPr>
          <w:szCs w:val="22"/>
        </w:rPr>
        <w:t>at there were 967 firms that operated for the entire year.  Of this total, 955 firms had fewer than 1,000 employees and 12 had employment of 1,000 employees or more.</w:t>
      </w:r>
      <w:r>
        <w:rPr>
          <w:szCs w:val="22"/>
          <w:vertAlign w:val="superscript"/>
        </w:rPr>
        <w:footnoteReference w:id="453"/>
      </w:r>
      <w:r w:rsidRPr="00ED6163">
        <w:rPr>
          <w:szCs w:val="22"/>
        </w:rPr>
        <w:t xml:space="preserve">  There are approximately 100 licensees in the Air-Ground Radiotelephone Service, and we </w:t>
      </w:r>
      <w:r w:rsidRPr="00ED6163">
        <w:rPr>
          <w:szCs w:val="22"/>
        </w:rPr>
        <w:t xml:space="preserve">estimate that almost all of them qualify as small entities under the SBA definition.  </w:t>
      </w:r>
    </w:p>
    <w:p w:rsidR="00252A4C" w:rsidRPr="00ED6163" w:rsidP="00252A4C" w14:paraId="56F9AF39" w14:textId="77777777">
      <w:pPr>
        <w:numPr>
          <w:ilvl w:val="0"/>
          <w:numId w:val="2"/>
        </w:numPr>
        <w:tabs>
          <w:tab w:val="clear" w:pos="1080"/>
          <w:tab w:val="num" w:pos="1440"/>
        </w:tabs>
        <w:spacing w:after="120"/>
        <w:rPr>
          <w:szCs w:val="22"/>
        </w:rPr>
      </w:pPr>
      <w:r w:rsidRPr="00ED6163">
        <w:rPr>
          <w:szCs w:val="22"/>
        </w:rPr>
        <w:t>For purposes of assigning Air-Ground Radiotelephone Service licenses through competitive bidding, the Commission has defined “small business” as an entity that, together</w:t>
      </w:r>
      <w:r w:rsidRPr="00ED6163">
        <w:rPr>
          <w:szCs w:val="22"/>
        </w:rPr>
        <w:t xml:space="preserve"> with controlling interests and affiliates, has average annual gross revenues for the preceding three years not exceeding $40 million.</w:t>
      </w:r>
      <w:r>
        <w:rPr>
          <w:szCs w:val="22"/>
          <w:vertAlign w:val="superscript"/>
        </w:rPr>
        <w:footnoteReference w:id="454"/>
      </w:r>
      <w:r w:rsidRPr="00ED6163">
        <w:rPr>
          <w:szCs w:val="22"/>
        </w:rPr>
        <w:t xml:space="preserve">  A “very small business” is defined as an entity that, together with controlling interests and affiliates, has average </w:t>
      </w:r>
      <w:r w:rsidRPr="00ED6163">
        <w:rPr>
          <w:szCs w:val="22"/>
        </w:rPr>
        <w:t>annual gross revenues for the preceding three years not exceeding $15 million.</w:t>
      </w:r>
      <w:r>
        <w:rPr>
          <w:szCs w:val="22"/>
          <w:vertAlign w:val="superscript"/>
        </w:rPr>
        <w:footnoteReference w:id="455"/>
      </w:r>
      <w:r w:rsidRPr="00ED6163">
        <w:rPr>
          <w:szCs w:val="22"/>
        </w:rPr>
        <w:t xml:space="preserve">  These definitions were approved by the SBA.</w:t>
      </w:r>
      <w:r>
        <w:rPr>
          <w:szCs w:val="22"/>
          <w:vertAlign w:val="superscript"/>
        </w:rPr>
        <w:footnoteReference w:id="456"/>
      </w:r>
      <w:r w:rsidRPr="00ED6163">
        <w:rPr>
          <w:szCs w:val="22"/>
        </w:rPr>
        <w:t xml:space="preserve">  In May 2006, the Commission completed an auction of nationwide commercial Air-Ground Radiotelephone Service licenses in the 800</w:t>
      </w:r>
      <w:r w:rsidRPr="00ED6163">
        <w:rPr>
          <w:szCs w:val="22"/>
        </w:rPr>
        <w:t xml:space="preserve"> MHz band (Auction No. 65).  On June 2, 2006, the auction closed with two winning bidders winning two Air-Ground Radiotelephone Services licenses.  Neither of the winning bidders claimed small business status.</w:t>
      </w:r>
    </w:p>
    <w:p w:rsidR="00252A4C" w:rsidRPr="00ED6163" w:rsidP="00252A4C" w14:paraId="43C40901" w14:textId="77777777">
      <w:pPr>
        <w:numPr>
          <w:ilvl w:val="0"/>
          <w:numId w:val="2"/>
        </w:numPr>
        <w:tabs>
          <w:tab w:val="clear" w:pos="1080"/>
          <w:tab w:val="num" w:pos="1440"/>
        </w:tabs>
        <w:spacing w:after="120"/>
        <w:rPr>
          <w:szCs w:val="22"/>
        </w:rPr>
      </w:pPr>
      <w:r w:rsidRPr="00ED6163">
        <w:rPr>
          <w:i/>
          <w:szCs w:val="22"/>
        </w:rPr>
        <w:t xml:space="preserve">AWS Services (1710–1755 MHz and 2110–2155 MHz </w:t>
      </w:r>
      <w:r w:rsidRPr="00ED6163">
        <w:rPr>
          <w:i/>
          <w:szCs w:val="22"/>
        </w:rPr>
        <w:t>bands (AWS-1); 1915–1920 MHz, 1995–2000 MHz, 2020–2025 MHz and 2175–2180 MHz bands (AWS-2); 2155–2175 MHz band (AWS-3))</w:t>
      </w:r>
      <w:r w:rsidRPr="00ED6163">
        <w:rPr>
          <w:szCs w:val="22"/>
        </w:rPr>
        <w:t>.  For the AWS-1 bands,</w:t>
      </w:r>
      <w:r>
        <w:rPr>
          <w:szCs w:val="22"/>
          <w:vertAlign w:val="superscript"/>
        </w:rPr>
        <w:footnoteReference w:id="457"/>
      </w:r>
      <w:r w:rsidRPr="00ED6163">
        <w:rPr>
          <w:szCs w:val="22"/>
        </w:rPr>
        <w:t xml:space="preserve"> the Commission has defined a “small business” as an entity with average annual gross revenues for the preceding</w:t>
      </w:r>
      <w:r w:rsidRPr="00ED6163">
        <w:rPr>
          <w:szCs w:val="22"/>
        </w:rPr>
        <w:t xml:space="preserve"> three years not exceeding $40 million, and a “very small business” as an entity with average annual gross revenues for the preceding three years not exceeding $15 million.  For AWS-2 and AWS-3, although we do not know for certain which entities are likely</w:t>
      </w:r>
      <w:r w:rsidRPr="00ED6163">
        <w:rPr>
          <w:szCs w:val="22"/>
        </w:rPr>
        <w:t xml:space="preserve"> to apply for these frequencies, we note that the AWS-1 bands are comparable to those used for cellular service and personal communications service.  The Commission has not yet adopted size standards for the AWS-2 or AWS-3 bands but proposes to treat both </w:t>
      </w:r>
      <w:r w:rsidRPr="00ED6163">
        <w:rPr>
          <w:szCs w:val="22"/>
        </w:rPr>
        <w:t>AWS-2 and AWS-3 similarly to broadband PCS service and AWS-1 service due to the comparable capital requirements and other factors, such as issues involved in relocating incumbents and developing markets, technologies, and services.</w:t>
      </w:r>
      <w:r>
        <w:rPr>
          <w:szCs w:val="22"/>
          <w:vertAlign w:val="superscript"/>
        </w:rPr>
        <w:footnoteReference w:id="458"/>
      </w:r>
    </w:p>
    <w:p w:rsidR="00252A4C" w:rsidRPr="00ED6163" w:rsidP="00252A4C" w14:paraId="529A4966" w14:textId="77777777">
      <w:pPr>
        <w:numPr>
          <w:ilvl w:val="0"/>
          <w:numId w:val="2"/>
        </w:numPr>
        <w:tabs>
          <w:tab w:val="clear" w:pos="1080"/>
          <w:tab w:val="num" w:pos="1440"/>
        </w:tabs>
        <w:spacing w:after="120"/>
        <w:rPr>
          <w:szCs w:val="22"/>
        </w:rPr>
      </w:pPr>
      <w:r w:rsidRPr="00ED6163">
        <w:rPr>
          <w:i/>
          <w:szCs w:val="22"/>
        </w:rPr>
        <w:t>3650–3700 MHz band</w:t>
      </w:r>
      <w:r w:rsidRPr="00ED6163">
        <w:rPr>
          <w:szCs w:val="22"/>
        </w:rPr>
        <w:t>.  I</w:t>
      </w:r>
      <w:r w:rsidRPr="00ED6163">
        <w:rPr>
          <w:szCs w:val="22"/>
        </w:rPr>
        <w:t xml:space="preserve">n March 2005, the Commission released a </w:t>
      </w:r>
      <w:r w:rsidRPr="00ED6163">
        <w:rPr>
          <w:i/>
          <w:szCs w:val="22"/>
        </w:rPr>
        <w:t>Report and Order and Memorandum Opinion and Order</w:t>
      </w:r>
      <w:r w:rsidRPr="00ED6163">
        <w:rPr>
          <w:szCs w:val="22"/>
        </w:rPr>
        <w:t xml:space="preserve"> that provides for nationwide, non-exclusive licensing of terrestrial operations, using contention-based technologies, in the 3650 MHz band (i.e., 3650–3700 MHz).  As </w:t>
      </w:r>
      <w:r w:rsidRPr="00ED6163">
        <w:rPr>
          <w:szCs w:val="22"/>
        </w:rPr>
        <w:t>of April 2010, more than 1,270 licenses have been granted and more than 7,433 sites have been registered.  The Commission has not developed a definition of small entities applicable to 3650–3700 MHz band nationwide, non-exclusive licenses.  However, we est</w:t>
      </w:r>
      <w:r w:rsidRPr="00ED6163">
        <w:rPr>
          <w:szCs w:val="22"/>
        </w:rPr>
        <w:t>imate that the majority of these licensees are Internet Access Service Providers (ISPs) and that most of those licensees are small businesses.</w:t>
      </w:r>
    </w:p>
    <w:p w:rsidR="00252A4C" w:rsidRPr="00ED6163" w:rsidP="00252A4C" w14:paraId="03FEA653" w14:textId="77777777">
      <w:pPr>
        <w:numPr>
          <w:ilvl w:val="0"/>
          <w:numId w:val="2"/>
        </w:numPr>
        <w:tabs>
          <w:tab w:val="clear" w:pos="1080"/>
          <w:tab w:val="num" w:pos="1440"/>
        </w:tabs>
        <w:spacing w:after="120"/>
        <w:rPr>
          <w:szCs w:val="22"/>
        </w:rPr>
      </w:pPr>
      <w:r w:rsidRPr="00ED6163">
        <w:rPr>
          <w:i/>
          <w:szCs w:val="22"/>
        </w:rPr>
        <w:t>Fixed Microwave Services.</w:t>
      </w:r>
      <w:r w:rsidRPr="00ED6163">
        <w:rPr>
          <w:szCs w:val="22"/>
        </w:rPr>
        <w:t xml:space="preserve">  Microwave services include common carrier,</w:t>
      </w:r>
      <w:r>
        <w:rPr>
          <w:szCs w:val="22"/>
          <w:vertAlign w:val="superscript"/>
        </w:rPr>
        <w:footnoteReference w:id="459"/>
      </w:r>
      <w:r w:rsidRPr="00ED6163">
        <w:rPr>
          <w:szCs w:val="22"/>
        </w:rPr>
        <w:t xml:space="preserve"> private-operational fixed,</w:t>
      </w:r>
      <w:r>
        <w:rPr>
          <w:szCs w:val="22"/>
          <w:vertAlign w:val="superscript"/>
        </w:rPr>
        <w:footnoteReference w:id="460"/>
      </w:r>
      <w:r w:rsidRPr="00ED6163">
        <w:rPr>
          <w:szCs w:val="22"/>
        </w:rPr>
        <w:t xml:space="preserve"> and broadcas</w:t>
      </w:r>
      <w:r w:rsidRPr="00ED6163">
        <w:rPr>
          <w:szCs w:val="22"/>
        </w:rPr>
        <w:t>t auxiliary radio services.</w:t>
      </w:r>
      <w:r>
        <w:rPr>
          <w:szCs w:val="22"/>
          <w:vertAlign w:val="superscript"/>
        </w:rPr>
        <w:footnoteReference w:id="461"/>
      </w:r>
      <w:r w:rsidRPr="00ED6163">
        <w:rPr>
          <w:szCs w:val="22"/>
        </w:rPr>
        <w:t xml:space="preserve">  They also include the Local Multipoint Distribution Service (LMDS),</w:t>
      </w:r>
      <w:r>
        <w:rPr>
          <w:szCs w:val="22"/>
          <w:vertAlign w:val="superscript"/>
        </w:rPr>
        <w:footnoteReference w:id="462"/>
      </w:r>
      <w:r w:rsidRPr="00ED6163">
        <w:rPr>
          <w:szCs w:val="22"/>
        </w:rPr>
        <w:t xml:space="preserve"> the Digital Electronic Message Service (DEMS),</w:t>
      </w:r>
      <w:r>
        <w:rPr>
          <w:szCs w:val="22"/>
          <w:vertAlign w:val="superscript"/>
        </w:rPr>
        <w:footnoteReference w:id="463"/>
      </w:r>
      <w:r w:rsidRPr="00ED6163">
        <w:rPr>
          <w:szCs w:val="22"/>
        </w:rPr>
        <w:t xml:space="preserve"> and the 24 GHz Service,</w:t>
      </w:r>
      <w:r>
        <w:rPr>
          <w:szCs w:val="22"/>
          <w:vertAlign w:val="superscript"/>
        </w:rPr>
        <w:footnoteReference w:id="464"/>
      </w:r>
      <w:r w:rsidRPr="00ED6163">
        <w:rPr>
          <w:szCs w:val="22"/>
        </w:rPr>
        <w:t xml:space="preserve"> where licensees can choose between common carrier and non-common carrier status.</w:t>
      </w:r>
      <w:r>
        <w:rPr>
          <w:szCs w:val="22"/>
          <w:vertAlign w:val="superscript"/>
        </w:rPr>
        <w:footnoteReference w:id="465"/>
      </w:r>
      <w:r w:rsidRPr="00ED6163">
        <w:rPr>
          <w:szCs w:val="22"/>
        </w:rPr>
        <w:t xml:space="preserve">  At present, there are approximately 36,708 common carrier fixed licensees and 59,291 private operational-fixed licensees and broadcast auxiliary radio licensees in the microwave services.  There are approximately 135 LMDS licensees, three DEMS licensee</w:t>
      </w:r>
      <w:r w:rsidRPr="00ED6163">
        <w:rPr>
          <w:szCs w:val="22"/>
        </w:rPr>
        <w:t>s, and three 24 GHz licensees.  The Commission has not yet defined a small business with respect to microwave services.  The closest applicable SBA category is Wireless Telecommunications Carriers (except Satellite)</w:t>
      </w:r>
      <w:r>
        <w:rPr>
          <w:rStyle w:val="FootnoteReference"/>
          <w:sz w:val="22"/>
          <w:szCs w:val="22"/>
        </w:rPr>
        <w:footnoteReference w:id="466"/>
      </w:r>
      <w:r w:rsidRPr="00ED6163">
        <w:rPr>
          <w:szCs w:val="22"/>
        </w:rPr>
        <w:t xml:space="preserve"> and the appropriate size standard for </w:t>
      </w:r>
      <w:r w:rsidRPr="00ED6163">
        <w:rPr>
          <w:szCs w:val="22"/>
        </w:rPr>
        <w:t>this category under SBA rules is that such a business is small if it has 1,500 or fewer employees.</w:t>
      </w:r>
      <w:r>
        <w:rPr>
          <w:szCs w:val="22"/>
          <w:vertAlign w:val="superscript"/>
        </w:rPr>
        <w:footnoteReference w:id="467"/>
      </w:r>
      <w:r w:rsidRPr="00ED6163">
        <w:rPr>
          <w:szCs w:val="22"/>
        </w:rPr>
        <w:t xml:space="preserve">  For this industry, U.S. Census Bureau data for 2012 show that there were 967 firms that operated for the entire year.</w:t>
      </w:r>
      <w:r>
        <w:rPr>
          <w:rStyle w:val="FootnoteReference"/>
          <w:sz w:val="22"/>
          <w:szCs w:val="22"/>
        </w:rPr>
        <w:footnoteReference w:id="468"/>
      </w:r>
      <w:r w:rsidRPr="00ED6163">
        <w:rPr>
          <w:szCs w:val="22"/>
        </w:rPr>
        <w:t xml:space="preserve">  Of this total, 955 firms had fewer than 1,000 employees and 12 had employment of 1,000 employees or more.</w:t>
      </w:r>
      <w:r>
        <w:rPr>
          <w:szCs w:val="22"/>
          <w:vertAlign w:val="superscript"/>
        </w:rPr>
        <w:footnoteReference w:id="469"/>
      </w:r>
      <w:r w:rsidRPr="00ED6163">
        <w:rPr>
          <w:szCs w:val="22"/>
        </w:rPr>
        <w:t xml:space="preserve">  Thus, under this SBA cat</w:t>
      </w:r>
      <w:r w:rsidRPr="00ED6163">
        <w:rPr>
          <w:szCs w:val="22"/>
        </w:rPr>
        <w:t>egory and the associated size standard, the Commission estimates that a majority of fixed microwave service licensees can be considered small.</w:t>
      </w:r>
    </w:p>
    <w:p w:rsidR="00252A4C" w:rsidRPr="00ED6163" w:rsidP="00252A4C" w14:paraId="5B3F7094" w14:textId="77777777">
      <w:pPr>
        <w:numPr>
          <w:ilvl w:val="0"/>
          <w:numId w:val="2"/>
        </w:numPr>
        <w:tabs>
          <w:tab w:val="clear" w:pos="1080"/>
          <w:tab w:val="num" w:pos="1440"/>
        </w:tabs>
        <w:spacing w:after="120"/>
        <w:rPr>
          <w:szCs w:val="22"/>
        </w:rPr>
      </w:pPr>
      <w:r w:rsidRPr="00ED6163">
        <w:rPr>
          <w:szCs w:val="22"/>
        </w:rPr>
        <w:t xml:space="preserve">  The Commission does not have data specifying the number of these licensees that have more than 1,500 employees,</w:t>
      </w:r>
      <w:r w:rsidRPr="00ED6163">
        <w:rPr>
          <w:szCs w:val="22"/>
        </w:rPr>
        <w:t xml:space="preserve"> and thus is unable at this time to estimate with greater precision the number of fixed microwave service licensees that would qualify as small business concerns under the SBA’s small business size standard.  Consequently, the Commission estimates that the</w:t>
      </w:r>
      <w:r w:rsidRPr="00ED6163">
        <w:rPr>
          <w:szCs w:val="22"/>
        </w:rPr>
        <w:t>re are up to 36,708 common carrier fixed licensees and up to 59,291 private operational-fixed licensees and broadcast auxiliary radio licensees in the microwave services that may be small and may be affected by the rules and policies adopted herein.  We no</w:t>
      </w:r>
      <w:r w:rsidRPr="00ED6163">
        <w:rPr>
          <w:szCs w:val="22"/>
        </w:rPr>
        <w:t xml:space="preserve">te, however, that the common carrier microwave fixed licensee category does include some large entities.  </w:t>
      </w:r>
    </w:p>
    <w:p w:rsidR="00252A4C" w:rsidRPr="00ED6163" w:rsidP="00252A4C" w14:paraId="2BCEC0F9" w14:textId="77777777">
      <w:pPr>
        <w:numPr>
          <w:ilvl w:val="0"/>
          <w:numId w:val="2"/>
        </w:numPr>
        <w:tabs>
          <w:tab w:val="clear" w:pos="1080"/>
          <w:tab w:val="num" w:pos="1440"/>
        </w:tabs>
        <w:spacing w:after="120"/>
        <w:rPr>
          <w:szCs w:val="22"/>
        </w:rPr>
      </w:pPr>
      <w:r w:rsidRPr="00ED6163">
        <w:rPr>
          <w:i/>
          <w:szCs w:val="22"/>
        </w:rPr>
        <w:t>Broadband Radio Service and Educational Broadband Service.</w:t>
      </w:r>
      <w:r w:rsidRPr="00ED6163">
        <w:rPr>
          <w:szCs w:val="22"/>
        </w:rPr>
        <w:t xml:space="preserve">  Broadband Radio Service systems, previously referred to as Multipoint Distribution Servic</w:t>
      </w:r>
      <w:r w:rsidRPr="00ED6163">
        <w:rPr>
          <w:szCs w:val="22"/>
        </w:rPr>
        <w:t xml:space="preserve">e (MDS) and Multichannel Multipoint Distribution Service (MMDS) systems and “wireless cable,” transmit video programming to subscribers and provide two-way high-speed data operations using the microwave frequencies of the Broadband Radio Service (BRS) and </w:t>
      </w:r>
      <w:r w:rsidRPr="00ED6163">
        <w:rPr>
          <w:szCs w:val="22"/>
        </w:rPr>
        <w:t>Educational Broadband Service (EBS) (previously referred to as the Instructional Television Fixed Service (ITFS)).</w:t>
      </w:r>
      <w:r>
        <w:rPr>
          <w:szCs w:val="22"/>
          <w:vertAlign w:val="superscript"/>
        </w:rPr>
        <w:footnoteReference w:id="470"/>
      </w:r>
      <w:r w:rsidRPr="00ED6163">
        <w:rPr>
          <w:szCs w:val="22"/>
        </w:rPr>
        <w:t xml:space="preserve">  </w:t>
      </w:r>
    </w:p>
    <w:p w:rsidR="00252A4C" w:rsidRPr="00ED6163" w:rsidP="00252A4C" w14:paraId="35CDD6D1" w14:textId="77777777">
      <w:pPr>
        <w:numPr>
          <w:ilvl w:val="0"/>
          <w:numId w:val="2"/>
        </w:numPr>
        <w:tabs>
          <w:tab w:val="clear" w:pos="1080"/>
          <w:tab w:val="num" w:pos="1440"/>
        </w:tabs>
        <w:spacing w:after="120"/>
        <w:rPr>
          <w:szCs w:val="22"/>
        </w:rPr>
      </w:pPr>
      <w:r w:rsidRPr="00ED6163">
        <w:rPr>
          <w:i/>
          <w:szCs w:val="22"/>
        </w:rPr>
        <w:t>BRS -</w:t>
      </w:r>
      <w:r w:rsidRPr="00ED6163">
        <w:rPr>
          <w:szCs w:val="22"/>
        </w:rPr>
        <w:t xml:space="preserve"> In connection with the 1996 BRS auction, the Commission established a small business size standard as an entity that had annual ave</w:t>
      </w:r>
      <w:r w:rsidRPr="00ED6163">
        <w:rPr>
          <w:szCs w:val="22"/>
        </w:rPr>
        <w:t>rage gross revenues of no more than $40 million in the previous three calendar years.</w:t>
      </w:r>
      <w:r>
        <w:rPr>
          <w:szCs w:val="22"/>
          <w:vertAlign w:val="superscript"/>
        </w:rPr>
        <w:footnoteReference w:id="471"/>
      </w:r>
      <w:r w:rsidRPr="00ED6163">
        <w:rPr>
          <w:szCs w:val="22"/>
        </w:rPr>
        <w:t xml:space="preserve">  The BRS auctions resulted in 67 successful bidders obtaining licensing opportunities for 493 Basic Trading Areas (BTAs).  Of the 67 auction winners, 61 met the definition of a small business.  BRS also includes licensees of stations authorized prior to t</w:t>
      </w:r>
      <w:r w:rsidRPr="00ED6163">
        <w:rPr>
          <w:szCs w:val="22"/>
        </w:rPr>
        <w:t>he auction.  At this time, we estimate that of the 61 small business BRS auction winners, 48 remain small business licensees.  In addition to the 48 small businesses that hold BTA authorizations, there are approximately 392 incumbent BRS licensees that are</w:t>
      </w:r>
      <w:r w:rsidRPr="00ED6163">
        <w:rPr>
          <w:szCs w:val="22"/>
        </w:rPr>
        <w:t xml:space="preserve"> considered small entities.</w:t>
      </w:r>
      <w:r>
        <w:rPr>
          <w:szCs w:val="22"/>
          <w:vertAlign w:val="superscript"/>
        </w:rPr>
        <w:footnoteReference w:id="472"/>
      </w:r>
      <w:r w:rsidRPr="00ED6163">
        <w:rPr>
          <w:szCs w:val="22"/>
        </w:rPr>
        <w:t xml:space="preserve">  After adding the number of small business auction licensees to the number of incumbent licensees not already counted, we find that there are currently approximately 440 BRS licensees that are defined as small businesses under</w:t>
      </w:r>
      <w:r w:rsidRPr="00ED6163">
        <w:rPr>
          <w:szCs w:val="22"/>
        </w:rPr>
        <w:t xml:space="preserve"> either the SBA or the Commission’s rules.</w:t>
      </w:r>
    </w:p>
    <w:p w:rsidR="00252A4C" w:rsidRPr="00ED6163" w:rsidP="00252A4C" w14:paraId="34B6D8E8" w14:textId="77777777">
      <w:pPr>
        <w:numPr>
          <w:ilvl w:val="0"/>
          <w:numId w:val="2"/>
        </w:numPr>
        <w:tabs>
          <w:tab w:val="clear" w:pos="1080"/>
          <w:tab w:val="num" w:pos="1440"/>
        </w:tabs>
        <w:spacing w:after="120"/>
        <w:rPr>
          <w:szCs w:val="22"/>
        </w:rPr>
      </w:pPr>
      <w:r w:rsidRPr="00ED6163">
        <w:rPr>
          <w:szCs w:val="22"/>
        </w:rPr>
        <w:t>In 2009, the Commission conducted Auction 86, the sale of 78 licenses in the BRS areas.</w:t>
      </w:r>
      <w:r>
        <w:rPr>
          <w:szCs w:val="22"/>
          <w:vertAlign w:val="superscript"/>
        </w:rPr>
        <w:footnoteReference w:id="473"/>
      </w:r>
      <w:r w:rsidRPr="00ED6163">
        <w:rPr>
          <w:szCs w:val="22"/>
        </w:rPr>
        <w:t xml:space="preserve">  The Commission offered three levels of bidding credits: (1) a bidder with attributed average annual gross revenues that ex</w:t>
      </w:r>
      <w:r w:rsidRPr="00ED6163">
        <w:rPr>
          <w:szCs w:val="22"/>
        </w:rPr>
        <w:t>ceed $15 million and do not exceed $40 million for the preceding three years (small business) received a 15 percent discount on its winning bid; (2) a bidder with attributed average annual gross revenues that exceed $3 million and do not exceed $15 million</w:t>
      </w:r>
      <w:r w:rsidRPr="00ED6163">
        <w:rPr>
          <w:szCs w:val="22"/>
        </w:rPr>
        <w:t xml:space="preserve"> for the preceding three years (very small business) received a 25 percent discount on its winning bid; and (3) a bidder with attributed average annual gross revenues that do not exceed $3 million for the preceding three years (entrepreneur) received a 35 </w:t>
      </w:r>
      <w:r w:rsidRPr="00ED6163">
        <w:rPr>
          <w:szCs w:val="22"/>
        </w:rPr>
        <w:t>percent discount on its winning bid.</w:t>
      </w:r>
      <w:r>
        <w:rPr>
          <w:szCs w:val="22"/>
          <w:vertAlign w:val="superscript"/>
        </w:rPr>
        <w:footnoteReference w:id="474"/>
      </w:r>
      <w:r w:rsidRPr="00ED6163">
        <w:rPr>
          <w:szCs w:val="22"/>
        </w:rPr>
        <w:t xml:space="preserve">  Auction 86 concluded in 2009 with the sale of 61 licenses.</w:t>
      </w:r>
      <w:r>
        <w:rPr>
          <w:szCs w:val="22"/>
          <w:vertAlign w:val="superscript"/>
        </w:rPr>
        <w:footnoteReference w:id="475"/>
      </w:r>
      <w:r w:rsidRPr="00ED6163">
        <w:rPr>
          <w:szCs w:val="22"/>
        </w:rPr>
        <w:t xml:space="preserve">  Of the ten winning bidders, two bidders that claimed small business status won four licenses; one bidder that claimed very small business status won three</w:t>
      </w:r>
      <w:r w:rsidRPr="00ED6163">
        <w:rPr>
          <w:szCs w:val="22"/>
        </w:rPr>
        <w:t xml:space="preserve"> licenses; and two bidders that claimed entrepreneur status won six licenses.</w:t>
      </w:r>
    </w:p>
    <w:p w:rsidR="00252A4C" w:rsidRPr="00ED6163" w:rsidP="00252A4C" w14:paraId="65AC12F9" w14:textId="77777777">
      <w:pPr>
        <w:numPr>
          <w:ilvl w:val="0"/>
          <w:numId w:val="2"/>
        </w:numPr>
        <w:tabs>
          <w:tab w:val="clear" w:pos="1080"/>
          <w:tab w:val="num" w:pos="1440"/>
        </w:tabs>
        <w:spacing w:after="120"/>
        <w:rPr>
          <w:szCs w:val="22"/>
        </w:rPr>
      </w:pPr>
      <w:r w:rsidRPr="00ED6163">
        <w:rPr>
          <w:i/>
          <w:szCs w:val="22"/>
        </w:rPr>
        <w:t>EBS</w:t>
      </w:r>
      <w:r w:rsidRPr="00ED6163">
        <w:rPr>
          <w:szCs w:val="22"/>
        </w:rPr>
        <w:t xml:space="preserve"> - The SBA’s Cable Television Distribution Services small business size standard is applicable to EBS.  There are presently 2,436 EBS licensees.  All but 100 of these licenses</w:t>
      </w:r>
      <w:r w:rsidRPr="00ED6163">
        <w:rPr>
          <w:szCs w:val="22"/>
        </w:rPr>
        <w:t xml:space="preserve"> are held by educational institutions.  Educational institutions are included in this analysis as small entities.</w:t>
      </w:r>
      <w:r>
        <w:rPr>
          <w:szCs w:val="22"/>
          <w:vertAlign w:val="superscript"/>
        </w:rPr>
        <w:footnoteReference w:id="476"/>
      </w:r>
      <w:r w:rsidRPr="00ED6163">
        <w:rPr>
          <w:szCs w:val="22"/>
        </w:rPr>
        <w:t xml:space="preserve">  Thus, we estimate that at least 2,336 licensees are small businesses.  Since 2007,</w:t>
      </w:r>
      <w:r w:rsidRPr="00ED6163">
        <w:rPr>
          <w:i/>
          <w:szCs w:val="22"/>
        </w:rPr>
        <w:t xml:space="preserve"> </w:t>
      </w:r>
      <w:r w:rsidRPr="00ED6163">
        <w:rPr>
          <w:szCs w:val="22"/>
        </w:rPr>
        <w:t>Cable Television Distribution Services have been defined</w:t>
      </w:r>
      <w:r w:rsidRPr="00ED6163">
        <w:rPr>
          <w:szCs w:val="22"/>
        </w:rPr>
        <w:t xml:space="preserve"> within the broad economic census category of Wired Telecommunications Carriers.   Wired Telecommunications Carriers are</w:t>
      </w:r>
      <w:r w:rsidRPr="00ED6163">
        <w:rPr>
          <w:rFonts w:eastAsia="Arial"/>
          <w:szCs w:val="22"/>
        </w:rPr>
        <w:t xml:space="preserve"> comprised of establishments </w:t>
      </w:r>
      <w:r w:rsidRPr="00ED6163">
        <w:rPr>
          <w:szCs w:val="22"/>
        </w:rPr>
        <w:t>primarily</w:t>
      </w:r>
      <w:r w:rsidRPr="00ED6163">
        <w:rPr>
          <w:rFonts w:eastAsia="Arial"/>
          <w:szCs w:val="22"/>
        </w:rPr>
        <w:t xml:space="preserve"> engaged in operating and/or providing access to transmission facilities and infrastructure that t</w:t>
      </w:r>
      <w:r w:rsidRPr="00ED6163">
        <w:rPr>
          <w:rFonts w:eastAsia="Arial"/>
          <w:szCs w:val="22"/>
        </w:rPr>
        <w:t>hey own and/or lease for the transmission of voice, data, text, sound, and video using wired telecommunications networks.  Transmission facilities may be based on a single technology or a combination of technologies.”</w:t>
      </w:r>
      <w:r>
        <w:rPr>
          <w:szCs w:val="22"/>
          <w:vertAlign w:val="superscript"/>
        </w:rPr>
        <w:footnoteReference w:id="477"/>
      </w:r>
      <w:r w:rsidRPr="00ED6163">
        <w:rPr>
          <w:szCs w:val="22"/>
        </w:rPr>
        <w:t xml:space="preserve">  The SBA’s small business size stand</w:t>
      </w:r>
      <w:r w:rsidRPr="00ED6163">
        <w:rPr>
          <w:szCs w:val="22"/>
        </w:rPr>
        <w:t>ard for this category is all such firms having 1,500 or fewer employees.</w:t>
      </w:r>
      <w:r>
        <w:rPr>
          <w:szCs w:val="22"/>
          <w:vertAlign w:val="superscript"/>
        </w:rPr>
        <w:footnoteReference w:id="478"/>
      </w:r>
      <w:r w:rsidRPr="00ED6163">
        <w:rPr>
          <w:szCs w:val="22"/>
        </w:rPr>
        <w:t xml:space="preserve">  U.S. Census data for 2012 show that there were 3,117 firms that operated that year.  Of this total, 3,083 operated with fewer than 1,000 employees.  Thus, under this size standard,</w:t>
      </w:r>
      <w:r w:rsidRPr="00ED6163">
        <w:rPr>
          <w:szCs w:val="22"/>
        </w:rPr>
        <w:t xml:space="preserve"> the majority of firms in this industry can be considered small.   </w:t>
      </w:r>
      <w:bookmarkStart w:id="412" w:name="_Toc482627337"/>
      <w:bookmarkStart w:id="413" w:name="_Toc243741524"/>
      <w:bookmarkStart w:id="414" w:name="_Toc243759729"/>
      <w:bookmarkStart w:id="415" w:name="_Toc243827559"/>
      <w:bookmarkStart w:id="416" w:name="_Toc243830045"/>
      <w:bookmarkStart w:id="417" w:name="_Toc243908124"/>
      <w:bookmarkStart w:id="418" w:name="_Toc387908073"/>
      <w:bookmarkStart w:id="419" w:name="_Toc387910990"/>
      <w:bookmarkStart w:id="420" w:name="_Toc480550130"/>
      <w:bookmarkStart w:id="421" w:name="_Toc480832034"/>
      <w:bookmarkStart w:id="422" w:name="_Toc480959125"/>
      <w:bookmarkStart w:id="423" w:name="_Toc480961050"/>
      <w:bookmarkStart w:id="424" w:name="_Toc480961189"/>
      <w:bookmarkStart w:id="425" w:name="_Toc482800817"/>
    </w:p>
    <w:p w:rsidR="00252A4C" w:rsidRPr="00ED6163" w:rsidP="00252A4C" w14:paraId="1560BA5E" w14:textId="77777777">
      <w:pPr>
        <w:pStyle w:val="Heading3"/>
        <w:rPr>
          <w:szCs w:val="22"/>
        </w:rPr>
      </w:pPr>
      <w:bookmarkStart w:id="426" w:name="_Toc489443518"/>
      <w:bookmarkStart w:id="427" w:name="_Toc489455507"/>
      <w:bookmarkStart w:id="428" w:name="_Toc13665604"/>
      <w:bookmarkStart w:id="429" w:name="_Toc13665791"/>
      <w:bookmarkStart w:id="430" w:name="_Toc15501973"/>
      <w:r w:rsidRPr="00ED6163">
        <w:rPr>
          <w:szCs w:val="22"/>
        </w:rPr>
        <w:t>Satellite Service Providers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rsidR="00252A4C" w:rsidRPr="00ED6163" w:rsidP="00252A4C" w14:paraId="3ADA6ECE" w14:textId="77777777">
      <w:pPr>
        <w:numPr>
          <w:ilvl w:val="0"/>
          <w:numId w:val="2"/>
        </w:numPr>
        <w:tabs>
          <w:tab w:val="clear" w:pos="1080"/>
          <w:tab w:val="num" w:pos="1440"/>
        </w:tabs>
        <w:spacing w:after="120"/>
        <w:rPr>
          <w:szCs w:val="22"/>
        </w:rPr>
      </w:pPr>
      <w:bookmarkStart w:id="431" w:name="_DV_C618"/>
      <w:r w:rsidRPr="00ED6163">
        <w:rPr>
          <w:i/>
          <w:szCs w:val="22"/>
        </w:rPr>
        <w:t>Satellite Telecommunications.</w:t>
      </w:r>
      <w:r w:rsidRPr="00ED6163">
        <w:rPr>
          <w:szCs w:val="22"/>
          <w:shd w:val="clear" w:color="auto" w:fill="FFFFFF"/>
        </w:rPr>
        <w:t xml:space="preserve">  </w:t>
      </w:r>
      <w:r w:rsidRPr="00ED6163">
        <w:rPr>
          <w:szCs w:val="22"/>
        </w:rPr>
        <w:t>This category comprises firms “primarily engaged in providing telecommunications services to other establishments in the telecomm</w:t>
      </w:r>
      <w:r w:rsidRPr="00ED6163">
        <w:rPr>
          <w:szCs w:val="22"/>
        </w:rPr>
        <w:t>unications and broadcasting industries by forwarding and receiving communications signals via a system of satellites or reselling satellite telecommunications.”</w:t>
      </w:r>
      <w:r>
        <w:rPr>
          <w:szCs w:val="22"/>
          <w:vertAlign w:val="superscript"/>
        </w:rPr>
        <w:footnoteReference w:id="479"/>
      </w:r>
      <w:r w:rsidRPr="00ED6163">
        <w:rPr>
          <w:szCs w:val="22"/>
        </w:rPr>
        <w:t xml:space="preserve">  Satellite telecommunications service providers include satellite and earth station operators</w:t>
      </w:r>
      <w:r w:rsidRPr="00ED6163">
        <w:rPr>
          <w:szCs w:val="22"/>
        </w:rPr>
        <w:t>. The category has a small business size standard of $32.5 million or less in average annual receipts, under SBA rules.</w:t>
      </w:r>
      <w:r>
        <w:rPr>
          <w:szCs w:val="22"/>
          <w:vertAlign w:val="superscript"/>
        </w:rPr>
        <w:footnoteReference w:id="480"/>
      </w:r>
      <w:r w:rsidRPr="00ED6163">
        <w:rPr>
          <w:szCs w:val="22"/>
        </w:rPr>
        <w:t xml:space="preserve">  For this category, U.S. Census Bureau data for 2012 show that a total of 333 firms operated for the entire year.</w:t>
      </w:r>
      <w:bookmarkEnd w:id="431"/>
      <w:r>
        <w:rPr>
          <w:szCs w:val="22"/>
          <w:vertAlign w:val="superscript"/>
        </w:rPr>
        <w:footnoteReference w:id="481"/>
      </w:r>
      <w:r w:rsidRPr="00ED6163">
        <w:rPr>
          <w:szCs w:val="22"/>
        </w:rPr>
        <w:t xml:space="preserve">  Of this total, 29</w:t>
      </w:r>
      <w:r w:rsidRPr="00ED6163">
        <w:rPr>
          <w:szCs w:val="22"/>
        </w:rPr>
        <w:t>9 firms had annual receipts of less than $25 million.</w:t>
      </w:r>
      <w:r>
        <w:rPr>
          <w:szCs w:val="22"/>
          <w:vertAlign w:val="superscript"/>
        </w:rPr>
        <w:footnoteReference w:id="482"/>
      </w:r>
      <w:r w:rsidRPr="00ED6163">
        <w:rPr>
          <w:szCs w:val="22"/>
        </w:rPr>
        <w:t xml:space="preserve">  Consequently, we estimate that the majority of satellite telecommunications providers are small entities.</w:t>
      </w:r>
      <w:bookmarkStart w:id="432" w:name="_DV_C621"/>
    </w:p>
    <w:bookmarkEnd w:id="432"/>
    <w:p w:rsidR="00252A4C" w:rsidRPr="00ED6163" w:rsidP="00252A4C" w14:paraId="68D9B9B0" w14:textId="77777777">
      <w:pPr>
        <w:numPr>
          <w:ilvl w:val="0"/>
          <w:numId w:val="2"/>
        </w:numPr>
        <w:tabs>
          <w:tab w:val="clear" w:pos="1080"/>
          <w:tab w:val="num" w:pos="1440"/>
        </w:tabs>
        <w:spacing w:after="120"/>
        <w:rPr>
          <w:szCs w:val="22"/>
        </w:rPr>
      </w:pPr>
      <w:r w:rsidRPr="00ED6163">
        <w:rPr>
          <w:i/>
          <w:szCs w:val="22"/>
        </w:rPr>
        <w:t>All Other Telecommunications.</w:t>
      </w:r>
      <w:r w:rsidRPr="00ED6163">
        <w:rPr>
          <w:szCs w:val="22"/>
        </w:rPr>
        <w:t xml:space="preserve">  The </w:t>
      </w:r>
      <w:r w:rsidRPr="00ED6163">
        <w:rPr>
          <w:b/>
          <w:szCs w:val="22"/>
        </w:rPr>
        <w:t>“</w:t>
      </w:r>
      <w:r w:rsidRPr="00ED6163">
        <w:rPr>
          <w:szCs w:val="22"/>
        </w:rPr>
        <w:t>All Other Telecommunications” category is comprised of es</w:t>
      </w:r>
      <w:r w:rsidRPr="00ED6163">
        <w:rPr>
          <w:szCs w:val="22"/>
        </w:rPr>
        <w:t>tablishments that are primarily engaged in providing specialized telecommunications services, such as satellite tracking, communications telemetry, and radar station operation.</w:t>
      </w:r>
      <w:r>
        <w:rPr>
          <w:rStyle w:val="FootnoteReference"/>
          <w:sz w:val="22"/>
          <w:szCs w:val="22"/>
        </w:rPr>
        <w:footnoteReference w:id="483"/>
      </w:r>
      <w:r w:rsidRPr="00ED6163">
        <w:rPr>
          <w:szCs w:val="22"/>
        </w:rPr>
        <w:t xml:space="preserve"> This industry also includes establishments primarily engaged in providing sat</w:t>
      </w:r>
      <w:r w:rsidRPr="00ED6163">
        <w:rPr>
          <w:szCs w:val="22"/>
        </w:rPr>
        <w:t>ellite terminal stations and associated facilities connected with one or more terrestrial systems and capable of transmitting telecommunications to, and receiving telecommunications from, satellite systems.</w:t>
      </w:r>
      <w:r>
        <w:rPr>
          <w:rStyle w:val="FootnoteReference"/>
          <w:sz w:val="22"/>
          <w:szCs w:val="22"/>
        </w:rPr>
        <w:footnoteReference w:id="484"/>
      </w:r>
      <w:r w:rsidRPr="00ED6163">
        <w:rPr>
          <w:szCs w:val="22"/>
        </w:rPr>
        <w:t xml:space="preserve">  Establishments providing Internet services or </w:t>
      </w:r>
      <w:r w:rsidRPr="00ED6163">
        <w:rPr>
          <w:szCs w:val="22"/>
        </w:rPr>
        <w:t>voice over Internet protocol (VoIP) services via client-supplied telecommunications connections are also included in this industry.</w:t>
      </w:r>
      <w:r>
        <w:rPr>
          <w:szCs w:val="22"/>
          <w:vertAlign w:val="superscript"/>
        </w:rPr>
        <w:footnoteReference w:id="485"/>
      </w:r>
      <w:r w:rsidRPr="00ED6163">
        <w:rPr>
          <w:szCs w:val="22"/>
        </w:rPr>
        <w:t xml:space="preserve">  The SBA has developed a small business size standard for “All Other Telecommunications,” which consists of all such firms</w:t>
      </w:r>
      <w:r w:rsidRPr="00ED6163">
        <w:rPr>
          <w:szCs w:val="22"/>
        </w:rPr>
        <w:t xml:space="preserve"> with gross annual receipts of $32.5 million or less.</w:t>
      </w:r>
      <w:r>
        <w:rPr>
          <w:szCs w:val="22"/>
          <w:vertAlign w:val="superscript"/>
        </w:rPr>
        <w:footnoteReference w:id="486"/>
      </w:r>
      <w:r w:rsidRPr="00ED6163">
        <w:rPr>
          <w:szCs w:val="22"/>
        </w:rPr>
        <w:t xml:space="preserve">  For this category, U.S. Census Bureau data for 2012 show that there were 1,442 firms that operated for the entire year.</w:t>
      </w:r>
      <w:r>
        <w:rPr>
          <w:rStyle w:val="FootnoteReference"/>
          <w:sz w:val="22"/>
          <w:szCs w:val="22"/>
        </w:rPr>
        <w:footnoteReference w:id="487"/>
      </w:r>
      <w:r w:rsidRPr="00ED6163">
        <w:rPr>
          <w:szCs w:val="22"/>
        </w:rPr>
        <w:t xml:space="preserve">  Of these firms, a total of 1,400 had gross annual receipts of less than $25 million.</w:t>
      </w:r>
      <w:r>
        <w:rPr>
          <w:szCs w:val="22"/>
          <w:vertAlign w:val="superscript"/>
        </w:rPr>
        <w:footnoteReference w:id="488"/>
      </w:r>
      <w:r w:rsidRPr="00ED6163">
        <w:rPr>
          <w:szCs w:val="22"/>
        </w:rPr>
        <w:t xml:space="preserve">  Consequently, a majority of “All Other Tele</w:t>
      </w:r>
      <w:r w:rsidRPr="00ED6163">
        <w:rPr>
          <w:szCs w:val="22"/>
        </w:rPr>
        <w:t>communications” firms potentially affected by our action can be considered small.</w:t>
      </w:r>
    </w:p>
    <w:p w:rsidR="00252A4C" w:rsidRPr="00ED6163" w:rsidP="00252A4C" w14:paraId="03B58183" w14:textId="77777777">
      <w:pPr>
        <w:pStyle w:val="Heading3"/>
        <w:rPr>
          <w:szCs w:val="22"/>
        </w:rPr>
      </w:pPr>
      <w:bookmarkStart w:id="433" w:name="_Toc243741525"/>
      <w:bookmarkStart w:id="434" w:name="_Toc243759730"/>
      <w:bookmarkStart w:id="435" w:name="_Toc243827560"/>
      <w:bookmarkStart w:id="436" w:name="_Toc243830046"/>
      <w:bookmarkStart w:id="437" w:name="_Toc482627338"/>
      <w:bookmarkStart w:id="438" w:name="_Toc243908125"/>
      <w:bookmarkStart w:id="439" w:name="_Toc387908074"/>
      <w:bookmarkStart w:id="440" w:name="_Toc387910991"/>
      <w:bookmarkStart w:id="441" w:name="_Toc480550131"/>
      <w:bookmarkStart w:id="442" w:name="_Toc480832035"/>
      <w:bookmarkStart w:id="443" w:name="_Toc480959126"/>
      <w:bookmarkStart w:id="444" w:name="_Toc480961051"/>
      <w:bookmarkStart w:id="445" w:name="_Toc480961190"/>
      <w:bookmarkStart w:id="446" w:name="_Toc482800818"/>
      <w:bookmarkStart w:id="447" w:name="_Toc489443519"/>
      <w:bookmarkStart w:id="448" w:name="_Toc489455508"/>
      <w:bookmarkStart w:id="449" w:name="_Toc13665605"/>
      <w:bookmarkStart w:id="450" w:name="_Toc13665792"/>
      <w:bookmarkStart w:id="451" w:name="_Toc15501974"/>
      <w:r w:rsidRPr="00ED6163">
        <w:rPr>
          <w:szCs w:val="22"/>
        </w:rPr>
        <w:t>Cable Service</w:t>
      </w:r>
      <w:bookmarkEnd w:id="433"/>
      <w:bookmarkEnd w:id="434"/>
      <w:bookmarkEnd w:id="435"/>
      <w:bookmarkEnd w:id="436"/>
      <w:r w:rsidRPr="00ED6163">
        <w:rPr>
          <w:szCs w:val="22"/>
        </w:rPr>
        <w:t xml:space="preserve"> Providers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rsidR="00252A4C" w:rsidRPr="00ED6163" w:rsidP="00252A4C" w14:paraId="653639A2" w14:textId="77777777">
      <w:pPr>
        <w:numPr>
          <w:ilvl w:val="0"/>
          <w:numId w:val="2"/>
        </w:numPr>
        <w:tabs>
          <w:tab w:val="clear" w:pos="1080"/>
          <w:tab w:val="num" w:pos="1440"/>
        </w:tabs>
        <w:spacing w:after="120"/>
        <w:rPr>
          <w:szCs w:val="22"/>
        </w:rPr>
      </w:pPr>
      <w:r w:rsidRPr="00ED6163">
        <w:rPr>
          <w:i/>
          <w:szCs w:val="22"/>
        </w:rPr>
        <w:t>Cable and Other Subscription Programming.</w:t>
      </w:r>
      <w:r w:rsidRPr="00ED6163">
        <w:rPr>
          <w:b/>
          <w:szCs w:val="22"/>
        </w:rPr>
        <w:t xml:space="preserve">  </w:t>
      </w:r>
      <w:r w:rsidRPr="00ED6163">
        <w:rPr>
          <w:szCs w:val="22"/>
        </w:rPr>
        <w:t xml:space="preserve">This industry comprises establishments primarily engaged in operating studios and facilities for the </w:t>
      </w:r>
      <w:r w:rsidRPr="00ED6163">
        <w:rPr>
          <w:szCs w:val="22"/>
        </w:rPr>
        <w:t>broadcasting of programs on a subscription or fee basis.  The broadcast programming is typically narrowcast in nature (e.g. limited format, such as news, sports, education, or youth-oriented).  These establishments produce programming in their own faciliti</w:t>
      </w:r>
      <w:r w:rsidRPr="00ED6163">
        <w:rPr>
          <w:szCs w:val="22"/>
        </w:rPr>
        <w:t>es or acquire programming from external sources.  The programming material is usually delivered to a third party, such as cable systems or direct-to-home satellite systems, for transmission to viewers.</w:t>
      </w:r>
      <w:r>
        <w:rPr>
          <w:szCs w:val="22"/>
          <w:vertAlign w:val="superscript"/>
        </w:rPr>
        <w:footnoteReference w:id="489"/>
      </w:r>
      <w:r w:rsidRPr="00ED6163">
        <w:rPr>
          <w:szCs w:val="22"/>
        </w:rPr>
        <w:t xml:space="preserve">  The SBA size standard for this industry establishes</w:t>
      </w:r>
      <w:r w:rsidRPr="00ED6163">
        <w:rPr>
          <w:szCs w:val="22"/>
        </w:rPr>
        <w:t xml:space="preserve"> as small, any company in this category that has annual receipts of $38.5 million or less.</w:t>
      </w:r>
      <w:r>
        <w:rPr>
          <w:rStyle w:val="FootnoteReference"/>
          <w:sz w:val="22"/>
          <w:szCs w:val="22"/>
        </w:rPr>
        <w:footnoteReference w:id="490"/>
      </w:r>
      <w:r w:rsidRPr="00ED6163">
        <w:rPr>
          <w:szCs w:val="22"/>
        </w:rPr>
        <w:t xml:space="preserve">   According to 2012 U.S. Census Bureau data, 367 firms operated for the entire year.</w:t>
      </w:r>
      <w:r>
        <w:rPr>
          <w:rStyle w:val="FootnoteReference"/>
          <w:sz w:val="22"/>
          <w:szCs w:val="22"/>
        </w:rPr>
        <w:footnoteReference w:id="491"/>
      </w:r>
      <w:r w:rsidRPr="00ED6163">
        <w:rPr>
          <w:szCs w:val="22"/>
        </w:rPr>
        <w:t xml:space="preserve">  Of that number, 319 operated with annual receipts of less than $25 million </w:t>
      </w:r>
      <w:r w:rsidRPr="00ED6163">
        <w:rPr>
          <w:szCs w:val="22"/>
        </w:rPr>
        <w:t>a year and 48 firms operated with annual receipts of $25 million or more.</w:t>
      </w:r>
      <w:r>
        <w:rPr>
          <w:rStyle w:val="FootnoteReference"/>
          <w:sz w:val="22"/>
          <w:szCs w:val="22"/>
        </w:rPr>
        <w:footnoteReference w:id="492"/>
      </w:r>
      <w:r w:rsidRPr="00ED6163">
        <w:rPr>
          <w:szCs w:val="22"/>
        </w:rPr>
        <w:t xml:space="preserve">  Based on this data, the Commission estimates that the majority of firms operating in this industry are small.</w:t>
      </w:r>
    </w:p>
    <w:p w:rsidR="00252A4C" w:rsidRPr="00ED6163" w:rsidP="00252A4C" w14:paraId="6C4DDAC9" w14:textId="77777777">
      <w:pPr>
        <w:numPr>
          <w:ilvl w:val="0"/>
          <w:numId w:val="2"/>
        </w:numPr>
        <w:tabs>
          <w:tab w:val="clear" w:pos="1080"/>
          <w:tab w:val="num" w:pos="1440"/>
        </w:tabs>
        <w:spacing w:after="120"/>
        <w:rPr>
          <w:szCs w:val="22"/>
        </w:rPr>
      </w:pPr>
      <w:r w:rsidRPr="00ED6163">
        <w:rPr>
          <w:i/>
          <w:szCs w:val="22"/>
        </w:rPr>
        <w:t xml:space="preserve">Cable Companies and Systems (Rate Regulation). </w:t>
      </w:r>
      <w:r w:rsidRPr="00ED6163">
        <w:rPr>
          <w:szCs w:val="22"/>
        </w:rPr>
        <w:t>The Commission has dev</w:t>
      </w:r>
      <w:r w:rsidRPr="00ED6163">
        <w:rPr>
          <w:szCs w:val="22"/>
        </w:rPr>
        <w:t>eloped its own small business size standards for the purpose of cable rate regulation.  Under the Commission's rules, a “small cable company” is one serving 400,000 or fewer subscribers nationwide.</w:t>
      </w:r>
      <w:r>
        <w:rPr>
          <w:szCs w:val="22"/>
          <w:vertAlign w:val="superscript"/>
        </w:rPr>
        <w:footnoteReference w:id="493"/>
      </w:r>
      <w:r w:rsidRPr="00ED6163">
        <w:rPr>
          <w:szCs w:val="22"/>
        </w:rPr>
        <w:t xml:space="preserve">  Industry data indicate that there are currently 4,600 a</w:t>
      </w:r>
      <w:r w:rsidRPr="00ED6163">
        <w:rPr>
          <w:szCs w:val="22"/>
        </w:rPr>
        <w:t>ctive cable systems in the United States.</w:t>
      </w:r>
      <w:r>
        <w:rPr>
          <w:szCs w:val="22"/>
          <w:vertAlign w:val="superscript"/>
        </w:rPr>
        <w:footnoteReference w:id="494"/>
      </w:r>
      <w:r w:rsidRPr="00ED6163">
        <w:rPr>
          <w:szCs w:val="22"/>
        </w:rPr>
        <w:t xml:space="preserve">  Of this total, all but eleven cable operators nationwide are small under the 400,000-subscriber size standard.</w:t>
      </w:r>
      <w:r>
        <w:rPr>
          <w:szCs w:val="22"/>
          <w:vertAlign w:val="superscript"/>
        </w:rPr>
        <w:footnoteReference w:id="495"/>
      </w:r>
      <w:r w:rsidRPr="00ED6163">
        <w:rPr>
          <w:szCs w:val="22"/>
        </w:rPr>
        <w:t xml:space="preserve">  In addition, under the Commission's rate regulation rules, a “small system” is a cable system ser</w:t>
      </w:r>
      <w:r w:rsidRPr="00ED6163">
        <w:rPr>
          <w:szCs w:val="22"/>
        </w:rPr>
        <w:t>ving 15,000 or fewer subscribers.</w:t>
      </w:r>
      <w:r>
        <w:rPr>
          <w:szCs w:val="22"/>
          <w:vertAlign w:val="superscript"/>
        </w:rPr>
        <w:footnoteReference w:id="496"/>
      </w:r>
      <w:r w:rsidRPr="00ED6163">
        <w:rPr>
          <w:szCs w:val="22"/>
        </w:rPr>
        <w:t xml:space="preserve">  Current Commission records show 4,600 cable systems nationwide.  Of this total, 3,900 cable systems have fewer than 15,000 subscribers, and 700 systems have 15,000 or more subscribers, based on the same records.</w:t>
      </w:r>
      <w:r>
        <w:rPr>
          <w:szCs w:val="22"/>
          <w:vertAlign w:val="superscript"/>
        </w:rPr>
        <w:footnoteReference w:id="497"/>
      </w:r>
      <w:r w:rsidRPr="00ED6163">
        <w:rPr>
          <w:szCs w:val="22"/>
        </w:rPr>
        <w:t xml:space="preserve">  Thus</w:t>
      </w:r>
      <w:r w:rsidRPr="00ED6163">
        <w:rPr>
          <w:szCs w:val="22"/>
        </w:rPr>
        <w:t>, under this standard as well, we estimate that most cable systems are small entities.</w:t>
      </w:r>
    </w:p>
    <w:p w:rsidR="00252A4C" w:rsidRPr="00ED6163" w:rsidP="00252A4C" w14:paraId="01CF302F" w14:textId="77777777">
      <w:pPr>
        <w:numPr>
          <w:ilvl w:val="0"/>
          <w:numId w:val="2"/>
        </w:numPr>
        <w:tabs>
          <w:tab w:val="clear" w:pos="1080"/>
          <w:tab w:val="num" w:pos="1440"/>
        </w:tabs>
        <w:spacing w:after="120"/>
        <w:rPr>
          <w:szCs w:val="22"/>
        </w:rPr>
      </w:pPr>
      <w:r w:rsidRPr="00ED6163">
        <w:rPr>
          <w:i/>
          <w:szCs w:val="22"/>
        </w:rPr>
        <w:t>Cable System Operators (Telecom Act Standard).</w:t>
      </w:r>
      <w:r w:rsidRPr="00ED6163">
        <w:rPr>
          <w:szCs w:val="22"/>
        </w:rPr>
        <w:t xml:space="preserve">  The Communications Act of 1934, as amended, also contains a size standard for small cable system operators, which is “a c</w:t>
      </w:r>
      <w:r w:rsidRPr="00ED6163">
        <w:rPr>
          <w:szCs w:val="22"/>
        </w:rPr>
        <w:t>able operator that, directly or through an affiliate, serves in the aggregate fewer than 1 percent of all subscribers in the United States and is not affiliated with any entity or entities whose gross annual revenues in the aggregate exceed $250,000,000.”</w:t>
      </w:r>
      <w:r>
        <w:rPr>
          <w:szCs w:val="22"/>
          <w:vertAlign w:val="superscript"/>
        </w:rPr>
        <w:footnoteReference w:id="498"/>
      </w:r>
      <w:r w:rsidRPr="00ED6163">
        <w:rPr>
          <w:szCs w:val="22"/>
        </w:rPr>
        <w:t xml:space="preserve">  There are approximately 52,403,705 cable video subscribers in the United States today.</w:t>
      </w:r>
      <w:r>
        <w:rPr>
          <w:szCs w:val="22"/>
          <w:vertAlign w:val="superscript"/>
        </w:rPr>
        <w:footnoteReference w:id="499"/>
      </w:r>
      <w:r w:rsidRPr="00ED6163">
        <w:rPr>
          <w:szCs w:val="22"/>
        </w:rPr>
        <w:t xml:space="preserve">  Accordingly, an operator serving fewer than 524,037 subscribers shall be deemed a small operator if its annual revenues, when combined with the total annual revenu</w:t>
      </w:r>
      <w:r w:rsidRPr="00ED6163">
        <w:rPr>
          <w:szCs w:val="22"/>
        </w:rPr>
        <w:t>es of all its affiliates, do not exceed $250 million in the aggregate.</w:t>
      </w:r>
      <w:r>
        <w:rPr>
          <w:szCs w:val="22"/>
          <w:vertAlign w:val="superscript"/>
        </w:rPr>
        <w:footnoteReference w:id="500"/>
      </w:r>
      <w:r w:rsidRPr="00ED6163">
        <w:rPr>
          <w:szCs w:val="22"/>
        </w:rPr>
        <w:t xml:space="preserve">  Based on available data, we find that all but nine incumbent cable operators are small entities under this size standard.</w:t>
      </w:r>
      <w:r>
        <w:rPr>
          <w:szCs w:val="22"/>
          <w:vertAlign w:val="superscript"/>
        </w:rPr>
        <w:footnoteReference w:id="501"/>
      </w:r>
      <w:r w:rsidRPr="00ED6163">
        <w:rPr>
          <w:szCs w:val="22"/>
        </w:rPr>
        <w:t xml:space="preserve">  We note that the Commission neither requests nor collects</w:t>
      </w:r>
      <w:r w:rsidRPr="00ED6163">
        <w:rPr>
          <w:szCs w:val="22"/>
        </w:rPr>
        <w:t xml:space="preserve"> information on whether cable system operators are affiliated with entities whose gross annual revenues exceed $250 million.</w:t>
      </w:r>
      <w:r>
        <w:rPr>
          <w:szCs w:val="22"/>
          <w:vertAlign w:val="superscript"/>
        </w:rPr>
        <w:footnoteReference w:id="502"/>
      </w:r>
      <w:r w:rsidRPr="00ED6163">
        <w:rPr>
          <w:szCs w:val="22"/>
        </w:rPr>
        <w:t xml:space="preserve">  Although it seems certain that some of these cable system operators are affiliated with entities whose gross annual revenues exc</w:t>
      </w:r>
      <w:r w:rsidRPr="00ED6163">
        <w:rPr>
          <w:szCs w:val="22"/>
        </w:rPr>
        <w:t>eed $250 million, we are unable at this time to estimate with greater precision the number of cable system operators that would qualify as small cable operators under the definition in the Communications Act.</w:t>
      </w:r>
    </w:p>
    <w:p w:rsidR="00252A4C" w:rsidRPr="00ED6163" w:rsidP="00252A4C" w14:paraId="04782291" w14:textId="77777777">
      <w:pPr>
        <w:pStyle w:val="Heading3"/>
        <w:rPr>
          <w:szCs w:val="22"/>
        </w:rPr>
      </w:pPr>
      <w:bookmarkStart w:id="452" w:name="_Toc482627339"/>
      <w:bookmarkStart w:id="453" w:name="_Toc480550132"/>
      <w:bookmarkStart w:id="454" w:name="_Toc480832036"/>
      <w:bookmarkStart w:id="455" w:name="_Toc480959127"/>
      <w:bookmarkStart w:id="456" w:name="_Toc480961052"/>
      <w:bookmarkStart w:id="457" w:name="_Toc480961191"/>
      <w:bookmarkStart w:id="458" w:name="_Toc482800819"/>
      <w:bookmarkStart w:id="459" w:name="_Toc489443520"/>
      <w:bookmarkStart w:id="460" w:name="_Toc489455509"/>
      <w:bookmarkStart w:id="461" w:name="_Toc13665606"/>
      <w:bookmarkStart w:id="462" w:name="_Toc13665793"/>
      <w:bookmarkStart w:id="463" w:name="_Toc15501975"/>
      <w:r w:rsidRPr="00ED6163">
        <w:rPr>
          <w:szCs w:val="22"/>
        </w:rPr>
        <w:t>All Other Telecommunications</w:t>
      </w:r>
      <w:bookmarkEnd w:id="452"/>
      <w:bookmarkEnd w:id="453"/>
      <w:bookmarkEnd w:id="454"/>
      <w:bookmarkEnd w:id="455"/>
      <w:bookmarkEnd w:id="456"/>
      <w:bookmarkEnd w:id="457"/>
      <w:bookmarkEnd w:id="458"/>
      <w:bookmarkEnd w:id="459"/>
      <w:bookmarkEnd w:id="460"/>
      <w:bookmarkEnd w:id="461"/>
      <w:bookmarkEnd w:id="462"/>
      <w:bookmarkEnd w:id="463"/>
    </w:p>
    <w:p w:rsidR="00252A4C" w:rsidRPr="00ED6163" w:rsidP="00252A4C" w14:paraId="0FD2BD98" w14:textId="77777777">
      <w:pPr>
        <w:numPr>
          <w:ilvl w:val="0"/>
          <w:numId w:val="2"/>
        </w:numPr>
        <w:tabs>
          <w:tab w:val="clear" w:pos="1080"/>
          <w:tab w:val="num" w:pos="1440"/>
        </w:tabs>
        <w:spacing w:after="120"/>
        <w:rPr>
          <w:szCs w:val="22"/>
        </w:rPr>
      </w:pPr>
      <w:r w:rsidRPr="00ED6163">
        <w:rPr>
          <w:bCs/>
          <w:i/>
          <w:szCs w:val="22"/>
        </w:rPr>
        <w:t xml:space="preserve">Electric Power </w:t>
      </w:r>
      <w:r w:rsidRPr="00ED6163">
        <w:rPr>
          <w:i/>
          <w:szCs w:val="22"/>
        </w:rPr>
        <w:t>Gen</w:t>
      </w:r>
      <w:r w:rsidRPr="00ED6163">
        <w:rPr>
          <w:i/>
          <w:szCs w:val="22"/>
        </w:rPr>
        <w:t>erators</w:t>
      </w:r>
      <w:r w:rsidRPr="00ED6163">
        <w:rPr>
          <w:szCs w:val="22"/>
        </w:rPr>
        <w:t>,</w:t>
      </w:r>
      <w:r w:rsidRPr="00ED6163">
        <w:rPr>
          <w:i/>
          <w:szCs w:val="22"/>
        </w:rPr>
        <w:t xml:space="preserve"> Transmitters</w:t>
      </w:r>
      <w:r w:rsidRPr="00ED6163">
        <w:rPr>
          <w:szCs w:val="22"/>
        </w:rPr>
        <w:t>,</w:t>
      </w:r>
      <w:r w:rsidRPr="00ED6163">
        <w:rPr>
          <w:i/>
          <w:szCs w:val="22"/>
        </w:rPr>
        <w:t xml:space="preserve"> and Distributors</w:t>
      </w:r>
      <w:r w:rsidRPr="00ED6163">
        <w:rPr>
          <w:bCs/>
          <w:i/>
          <w:szCs w:val="22"/>
        </w:rPr>
        <w:t>.</w:t>
      </w:r>
      <w:r w:rsidRPr="00ED6163">
        <w:rPr>
          <w:bCs/>
          <w:szCs w:val="22"/>
        </w:rPr>
        <w:t xml:space="preserve">  </w:t>
      </w:r>
      <w:r w:rsidRPr="00ED6163">
        <w:rPr>
          <w:szCs w:val="22"/>
        </w:rPr>
        <w:t xml:space="preserve">This U.S. industry is comprised of establishments that are primarily engaged in providing specialized telecommunications services, such as satellite tracking, communications telemetry, and radar station operation. </w:t>
      </w:r>
      <w:r w:rsidRPr="00ED6163">
        <w:rPr>
          <w:szCs w:val="22"/>
        </w:rPr>
        <w:t xml:space="preserve"> This industry also includes establishments primarily engaged in providing satellite terminal stations and associated facilities connected with one or more terrestrial systems and capable of transmitting telecommunications to, and receiving telecommunicati</w:t>
      </w:r>
      <w:r w:rsidRPr="00ED6163">
        <w:rPr>
          <w:szCs w:val="22"/>
        </w:rPr>
        <w:t>ons from, satellite systems.  Establishments providing Internet services or voice over Internet protocol (VoIP) services via client-supplied telecommunications connections are also included in this industry.</w:t>
      </w:r>
      <w:r>
        <w:rPr>
          <w:szCs w:val="22"/>
          <w:vertAlign w:val="superscript"/>
        </w:rPr>
        <w:footnoteReference w:id="503"/>
      </w:r>
      <w:r w:rsidRPr="00ED6163">
        <w:rPr>
          <w:szCs w:val="22"/>
          <w:vertAlign w:val="superscript"/>
        </w:rPr>
        <w:t xml:space="preserve"> </w:t>
      </w:r>
      <w:r w:rsidRPr="00ED6163">
        <w:rPr>
          <w:szCs w:val="22"/>
        </w:rPr>
        <w:t xml:space="preserve"> The closest applicable SBA category is “All O</w:t>
      </w:r>
      <w:r w:rsidRPr="00ED6163">
        <w:rPr>
          <w:szCs w:val="22"/>
        </w:rPr>
        <w:t>ther Telecommunications.”  The SBA’s small business size standard for “All Other Telecommunications” consists of all such firms with gross annual receipts of $32.5 million or less.</w:t>
      </w:r>
      <w:r>
        <w:rPr>
          <w:szCs w:val="22"/>
          <w:vertAlign w:val="superscript"/>
        </w:rPr>
        <w:footnoteReference w:id="504"/>
      </w:r>
      <w:r w:rsidRPr="00ED6163">
        <w:rPr>
          <w:szCs w:val="22"/>
        </w:rPr>
        <w:t xml:space="preserve">  For this category, U.S. Census data for 2012 show that there were 1,442 </w:t>
      </w:r>
      <w:r w:rsidRPr="00ED6163">
        <w:rPr>
          <w:szCs w:val="22"/>
        </w:rPr>
        <w:t>firms that operated for the entire year.  Of these firms, a total of 1,400 had gross annual receipts of less than $25 million.</w:t>
      </w:r>
      <w:r>
        <w:rPr>
          <w:szCs w:val="22"/>
          <w:vertAlign w:val="superscript"/>
        </w:rPr>
        <w:footnoteReference w:id="505"/>
      </w:r>
      <w:r w:rsidRPr="00947E6A">
        <w:t xml:space="preserve"> </w:t>
      </w:r>
      <w:r w:rsidRPr="00ED6163">
        <w:rPr>
          <w:szCs w:val="22"/>
        </w:rPr>
        <w:t xml:space="preserve"> Consequently, we estimate that under this category and the associated size standard the majority of these firms can be considered small entities.</w:t>
      </w:r>
    </w:p>
    <w:p w:rsidR="00252A4C" w:rsidRPr="00ED6163" w:rsidP="00252A4C" w14:paraId="22C01B12" w14:textId="77777777">
      <w:pPr>
        <w:pStyle w:val="Heading2"/>
        <w:rPr>
          <w:szCs w:val="22"/>
        </w:rPr>
      </w:pPr>
      <w:bookmarkStart w:id="464" w:name="_Toc480550133"/>
      <w:bookmarkStart w:id="465" w:name="_Toc480832037"/>
      <w:bookmarkStart w:id="466" w:name="_Toc480959128"/>
      <w:bookmarkStart w:id="467" w:name="_Toc480961053"/>
      <w:bookmarkStart w:id="468" w:name="_Toc480961192"/>
      <w:bookmarkStart w:id="469" w:name="_Toc482627340"/>
      <w:bookmarkStart w:id="470" w:name="_Toc482800820"/>
      <w:bookmarkStart w:id="471" w:name="_Toc489443521"/>
      <w:bookmarkStart w:id="472" w:name="_Toc489455510"/>
      <w:bookmarkStart w:id="473" w:name="_Toc13665607"/>
      <w:bookmarkStart w:id="474" w:name="_Toc13665794"/>
      <w:bookmarkStart w:id="475" w:name="_Toc15501976"/>
      <w:bookmarkStart w:id="476" w:name="_Toc480550135"/>
      <w:bookmarkStart w:id="477" w:name="_Toc480832039"/>
      <w:bookmarkStart w:id="478" w:name="_Toc480959130"/>
      <w:bookmarkStart w:id="479" w:name="_Toc480961055"/>
      <w:bookmarkStart w:id="480" w:name="_Toc480961194"/>
      <w:r w:rsidRPr="00ED6163">
        <w:rPr>
          <w:szCs w:val="22"/>
        </w:rPr>
        <w:t>Description of Projected Reporting, Recordkeeping, and Other Compliance</w:t>
      </w:r>
      <w:r w:rsidRPr="00ED6163">
        <w:rPr>
          <w:szCs w:val="22"/>
        </w:rPr>
        <w:br/>
        <w:t xml:space="preserve">Requirements for Small </w:t>
      </w:r>
      <w:r w:rsidRPr="00ED6163">
        <w:rPr>
          <w:szCs w:val="22"/>
        </w:rPr>
        <w:t>Entities</w:t>
      </w:r>
      <w:bookmarkEnd w:id="464"/>
      <w:bookmarkEnd w:id="465"/>
      <w:bookmarkEnd w:id="466"/>
      <w:bookmarkEnd w:id="467"/>
      <w:bookmarkEnd w:id="468"/>
      <w:bookmarkEnd w:id="469"/>
      <w:bookmarkEnd w:id="470"/>
      <w:bookmarkEnd w:id="471"/>
      <w:bookmarkEnd w:id="472"/>
      <w:bookmarkEnd w:id="473"/>
      <w:bookmarkEnd w:id="474"/>
      <w:bookmarkEnd w:id="475"/>
    </w:p>
    <w:p w:rsidR="00252A4C" w:rsidRPr="00ED6163" w:rsidP="00252A4C" w14:paraId="3EDB483C" w14:textId="77777777">
      <w:pPr>
        <w:numPr>
          <w:ilvl w:val="0"/>
          <w:numId w:val="2"/>
        </w:numPr>
        <w:tabs>
          <w:tab w:val="clear" w:pos="1080"/>
          <w:tab w:val="num" w:pos="1440"/>
        </w:tabs>
        <w:spacing w:after="120"/>
        <w:rPr>
          <w:szCs w:val="22"/>
        </w:rPr>
      </w:pPr>
      <w:r w:rsidRPr="00ED6163">
        <w:rPr>
          <w:szCs w:val="22"/>
        </w:rPr>
        <w:t xml:space="preserve">We expect the rules adopted in the </w:t>
      </w:r>
      <w:r w:rsidRPr="00ED6163">
        <w:rPr>
          <w:i/>
          <w:szCs w:val="22"/>
        </w:rPr>
        <w:t xml:space="preserve">Report and Order </w:t>
      </w:r>
      <w:r w:rsidRPr="00ED6163">
        <w:rPr>
          <w:szCs w:val="22"/>
        </w:rPr>
        <w:t>will impose new or additional reporting, recordkeeping, and/or other compliance obligations on small entities.  In an effort to develop better quality, more useful, and more granular broadband de</w:t>
      </w:r>
      <w:r w:rsidRPr="00ED6163">
        <w:rPr>
          <w:szCs w:val="22"/>
        </w:rPr>
        <w:t xml:space="preserve">ployment data to advance our statutory universal service obligations, </w:t>
      </w:r>
      <w:r>
        <w:rPr>
          <w:szCs w:val="22"/>
        </w:rPr>
        <w:t xml:space="preserve">we conclude </w:t>
      </w:r>
      <w:r w:rsidRPr="00ED6163">
        <w:rPr>
          <w:szCs w:val="22"/>
        </w:rPr>
        <w:t xml:space="preserve">it </w:t>
      </w:r>
      <w:r>
        <w:rPr>
          <w:szCs w:val="22"/>
        </w:rPr>
        <w:t>i</w:t>
      </w:r>
      <w:r w:rsidRPr="00ED6163">
        <w:rPr>
          <w:szCs w:val="22"/>
        </w:rPr>
        <w:t>s necessary to create a new data collection, calculated to produce broadband deployment maps that will allow the Commission to precisely target scarce universal service d</w:t>
      </w:r>
      <w:r w:rsidRPr="00ED6163">
        <w:rPr>
          <w:szCs w:val="22"/>
        </w:rPr>
        <w:t>ollars to where broadband service is lacking</w:t>
      </w:r>
      <w:r>
        <w:rPr>
          <w:szCs w:val="22"/>
        </w:rPr>
        <w:t>.  T</w:t>
      </w:r>
      <w:r w:rsidRPr="00ED6163">
        <w:rPr>
          <w:szCs w:val="22"/>
        </w:rPr>
        <w:t xml:space="preserve">he Commission </w:t>
      </w:r>
      <w:r>
        <w:rPr>
          <w:szCs w:val="22"/>
        </w:rPr>
        <w:t xml:space="preserve">also </w:t>
      </w:r>
      <w:r w:rsidRPr="00ED6163">
        <w:rPr>
          <w:szCs w:val="22"/>
        </w:rPr>
        <w:t xml:space="preserve">modifies aspects of the Form 477 collection to increase the accuracy of the information collected and to streamline the current reporting requirements to reduce the burdens on filers.  We </w:t>
      </w:r>
      <w:r>
        <w:rPr>
          <w:szCs w:val="22"/>
        </w:rPr>
        <w:t>a</w:t>
      </w:r>
      <w:r w:rsidRPr="00ED6163">
        <w:rPr>
          <w:szCs w:val="22"/>
        </w:rPr>
        <w:t>re cognizant of the need to ensure that the benefits resulting from use of the data outweigh the reporting burdens imposed on filers and believe the new collection requirement for fixed providers to submit broadband coverage polygons depicting the areas wh</w:t>
      </w:r>
      <w:r w:rsidRPr="00ED6163">
        <w:rPr>
          <w:szCs w:val="22"/>
        </w:rPr>
        <w:t>ere they actually have broadband-capable networks and make fixed broadband service available to end-user locations will benefit small entities as well as other providers.  WISPA</w:t>
      </w:r>
      <w:r>
        <w:rPr>
          <w:szCs w:val="22"/>
        </w:rPr>
        <w:t>, for example,</w:t>
      </w:r>
      <w:r w:rsidRPr="00ED6163">
        <w:rPr>
          <w:szCs w:val="22"/>
        </w:rPr>
        <w:t xml:space="preserve"> supports the reporting of </w:t>
      </w:r>
      <w:r>
        <w:rPr>
          <w:szCs w:val="22"/>
        </w:rPr>
        <w:t xml:space="preserve">broadband coverage polygons </w:t>
      </w:r>
      <w:r w:rsidRPr="00ED6163">
        <w:rPr>
          <w:szCs w:val="22"/>
        </w:rPr>
        <w:t>because it</w:t>
      </w:r>
      <w:r w:rsidRPr="00ED6163">
        <w:rPr>
          <w:szCs w:val="22"/>
        </w:rPr>
        <w:t xml:space="preserve"> is less burdensome for its members, who are primarily small fixed wireless providers, and because it is a more accurate means of collecting deployment data.</w:t>
      </w:r>
      <w:r>
        <w:rPr>
          <w:rStyle w:val="FootnoteReference"/>
          <w:sz w:val="22"/>
          <w:szCs w:val="22"/>
        </w:rPr>
        <w:footnoteReference w:id="506"/>
      </w:r>
      <w:r w:rsidRPr="00ED6163">
        <w:rPr>
          <w:szCs w:val="22"/>
        </w:rPr>
        <w:t xml:space="preserve">  </w:t>
      </w:r>
    </w:p>
    <w:p w:rsidR="00252A4C" w:rsidRPr="00ED6163" w:rsidP="00252A4C" w14:paraId="7D6EFAF3" w14:textId="77777777">
      <w:pPr>
        <w:numPr>
          <w:ilvl w:val="0"/>
          <w:numId w:val="2"/>
        </w:numPr>
        <w:tabs>
          <w:tab w:val="clear" w:pos="1080"/>
          <w:tab w:val="num" w:pos="1440"/>
        </w:tabs>
        <w:spacing w:after="120"/>
        <w:rPr>
          <w:szCs w:val="22"/>
        </w:rPr>
      </w:pPr>
      <w:r w:rsidRPr="00ED6163">
        <w:rPr>
          <w:rFonts w:eastAsia="Calibri"/>
          <w:snapToGrid/>
          <w:szCs w:val="22"/>
        </w:rPr>
        <w:t>We find that a</w:t>
      </w:r>
      <w:r w:rsidRPr="00ED6163">
        <w:rPr>
          <w:rFonts w:eastAsia="Calibri"/>
          <w:snapToGrid/>
          <w:color w:val="000000"/>
          <w:szCs w:val="22"/>
        </w:rPr>
        <w:t>ny additional burdens imposed by our new reporting approach will be relatively l</w:t>
      </w:r>
      <w:r w:rsidRPr="00ED6163">
        <w:rPr>
          <w:rFonts w:eastAsia="Calibri"/>
          <w:snapToGrid/>
          <w:color w:val="000000"/>
          <w:szCs w:val="22"/>
        </w:rPr>
        <w:t>ight for fixed providers in comparison to the significant benefit to be gained from more precise broadband deployment data</w:t>
      </w:r>
      <w:r>
        <w:rPr>
          <w:rFonts w:eastAsia="Calibri"/>
          <w:snapToGrid/>
          <w:color w:val="000000"/>
          <w:szCs w:val="22"/>
        </w:rPr>
        <w:t xml:space="preserve">.  For example, </w:t>
      </w:r>
      <w:r>
        <w:rPr>
          <w:szCs w:val="22"/>
        </w:rPr>
        <w:t>m</w:t>
      </w:r>
      <w:r w:rsidRPr="00ED6163">
        <w:rPr>
          <w:szCs w:val="22"/>
        </w:rPr>
        <w:t>any fixed providers are already familiar with GIS files because the Commission and other federal and state agencies u</w:t>
      </w:r>
      <w:r w:rsidRPr="00ED6163">
        <w:rPr>
          <w:szCs w:val="22"/>
        </w:rPr>
        <w:t>se these files in other contexts.</w:t>
      </w:r>
      <w:r>
        <w:rPr>
          <w:rStyle w:val="FootnoteReference"/>
          <w:sz w:val="22"/>
          <w:szCs w:val="22"/>
        </w:rPr>
        <w:footnoteReference w:id="507"/>
      </w:r>
      <w:r w:rsidRPr="00ED6163">
        <w:rPr>
          <w:szCs w:val="22"/>
        </w:rPr>
        <w:t xml:space="preserve">  Further, some fixed providers already have internal GIS capabilities and/or vendor relationships for the production of GIS files,</w:t>
      </w:r>
      <w:r>
        <w:rPr>
          <w:rStyle w:val="FootnoteReference"/>
          <w:sz w:val="22"/>
          <w:szCs w:val="22"/>
        </w:rPr>
        <w:footnoteReference w:id="508"/>
      </w:r>
      <w:r w:rsidRPr="00ED6163">
        <w:rPr>
          <w:szCs w:val="22"/>
        </w:rPr>
        <w:t xml:space="preserve"> which should lessen the cost of compliance for small entities.  The record suggests tha</w:t>
      </w:r>
      <w:r w:rsidRPr="00ED6163">
        <w:rPr>
          <w:szCs w:val="22"/>
        </w:rPr>
        <w:t>t several online resources and software options are available that can help fixed providers create their own polygons of service availability to comply with this requirement,</w:t>
      </w:r>
      <w:r>
        <w:rPr>
          <w:rStyle w:val="FootnoteReference"/>
          <w:sz w:val="22"/>
          <w:szCs w:val="22"/>
        </w:rPr>
        <w:footnoteReference w:id="509"/>
      </w:r>
      <w:r w:rsidRPr="00ED6163">
        <w:rPr>
          <w:szCs w:val="22"/>
        </w:rPr>
        <w:t xml:space="preserve"> which may lessen the need for small entities to hire professionals.  Thus, we f</w:t>
      </w:r>
      <w:r w:rsidRPr="00ED6163">
        <w:rPr>
          <w:szCs w:val="22"/>
        </w:rPr>
        <w:t>ind that any additional burdens imposed by our new collection will be relatively light for fixed providers in comparison to the significant benefit to be gained from more accurate and precise broadband deployment data.  Although the Commission cannot quant</w:t>
      </w:r>
      <w:r w:rsidRPr="00ED6163">
        <w:rPr>
          <w:szCs w:val="22"/>
        </w:rPr>
        <w:t xml:space="preserve">ify the cost of compliance with the requirements in the </w:t>
      </w:r>
      <w:r w:rsidRPr="00ED6163">
        <w:rPr>
          <w:i/>
          <w:szCs w:val="22"/>
        </w:rPr>
        <w:t>Report and Order,</w:t>
      </w:r>
      <w:r w:rsidRPr="00ED6163">
        <w:rPr>
          <w:szCs w:val="22"/>
        </w:rPr>
        <w:t xml:space="preserve"> we believe the streamlining and removal of certain reporting requirements should reduce the compliance burdens for small entities that are required to complete Form 477. </w:t>
      </w:r>
    </w:p>
    <w:p w:rsidR="00252A4C" w:rsidRPr="00ED6163" w:rsidP="00252A4C" w14:paraId="259E3A02" w14:textId="77777777">
      <w:pPr>
        <w:pStyle w:val="Heading2"/>
        <w:rPr>
          <w:szCs w:val="22"/>
        </w:rPr>
      </w:pPr>
      <w:bookmarkStart w:id="481" w:name="_Toc480550134"/>
      <w:bookmarkStart w:id="482" w:name="_Toc480832038"/>
      <w:bookmarkStart w:id="483" w:name="_Toc480959129"/>
      <w:bookmarkStart w:id="484" w:name="_Toc480961054"/>
      <w:bookmarkStart w:id="485" w:name="_Toc480961193"/>
      <w:bookmarkStart w:id="486" w:name="_Toc482627341"/>
      <w:bookmarkStart w:id="487" w:name="_Toc482800821"/>
      <w:bookmarkStart w:id="488" w:name="_Toc489443522"/>
      <w:bookmarkStart w:id="489" w:name="_Toc489455511"/>
      <w:bookmarkStart w:id="490" w:name="_Toc13665608"/>
      <w:bookmarkStart w:id="491" w:name="_Toc13665795"/>
      <w:bookmarkStart w:id="492" w:name="_Toc15501977"/>
      <w:r w:rsidRPr="00ED6163">
        <w:rPr>
          <w:szCs w:val="22"/>
        </w:rPr>
        <w:t>Steps Taken</w:t>
      </w:r>
      <w:r w:rsidRPr="00ED6163">
        <w:rPr>
          <w:szCs w:val="22"/>
        </w:rPr>
        <w:t xml:space="preserve"> to Minimize the Significant Economic Impact on Small Entities,</w:t>
      </w:r>
      <w:r w:rsidRPr="00ED6163">
        <w:rPr>
          <w:szCs w:val="22"/>
        </w:rPr>
        <w:br/>
        <w:t>and Significant Alternatives Considered</w:t>
      </w:r>
      <w:bookmarkEnd w:id="481"/>
      <w:bookmarkEnd w:id="482"/>
      <w:bookmarkEnd w:id="483"/>
      <w:bookmarkEnd w:id="484"/>
      <w:bookmarkEnd w:id="485"/>
      <w:bookmarkEnd w:id="486"/>
      <w:bookmarkEnd w:id="487"/>
      <w:bookmarkEnd w:id="488"/>
      <w:bookmarkEnd w:id="489"/>
      <w:bookmarkEnd w:id="490"/>
      <w:bookmarkEnd w:id="491"/>
      <w:bookmarkEnd w:id="492"/>
    </w:p>
    <w:p w:rsidR="00252A4C" w:rsidRPr="00ED6163" w:rsidP="00252A4C" w14:paraId="422430C6" w14:textId="77777777">
      <w:pPr>
        <w:numPr>
          <w:ilvl w:val="0"/>
          <w:numId w:val="2"/>
        </w:numPr>
        <w:tabs>
          <w:tab w:val="clear" w:pos="1080"/>
          <w:tab w:val="num" w:pos="1440"/>
        </w:tabs>
        <w:spacing w:after="120"/>
        <w:rPr>
          <w:szCs w:val="22"/>
        </w:rPr>
      </w:pPr>
      <w:r w:rsidRPr="00ED6163">
        <w:rPr>
          <w:szCs w:val="22"/>
        </w:rPr>
        <w:t>The RFA requires an agency to describe any significant, specifically small business, alternatives that it has considered in reaching its approach, which</w:t>
      </w:r>
      <w:r w:rsidRPr="00ED6163">
        <w:rPr>
          <w:szCs w:val="22"/>
        </w:rPr>
        <w:t xml:space="preserve"> may include the following four alternatives (among others):  (1) the establishment of differing compliance or reporting requirements or timetables that take into account the resources available to small entities; (2) the clarification, consolidation, or s</w:t>
      </w:r>
      <w:r w:rsidRPr="00ED6163">
        <w:rPr>
          <w:szCs w:val="22"/>
        </w:rPr>
        <w:t>implification of compliance or reporting requirements under the rule for small entities; (3) the use of performance, rather than design, standards; and (4) an exemption from coverage of the rule, or any part thereof, for small entities.</w:t>
      </w:r>
      <w:r>
        <w:rPr>
          <w:szCs w:val="22"/>
          <w:vertAlign w:val="superscript"/>
        </w:rPr>
        <w:footnoteReference w:id="510"/>
      </w:r>
    </w:p>
    <w:p w:rsidR="00252A4C" w:rsidRPr="00ED6163" w:rsidP="00252A4C" w14:paraId="016FF1CD" w14:textId="77777777">
      <w:pPr>
        <w:numPr>
          <w:ilvl w:val="0"/>
          <w:numId w:val="2"/>
        </w:numPr>
        <w:tabs>
          <w:tab w:val="clear" w:pos="1080"/>
          <w:tab w:val="num" w:pos="1440"/>
        </w:tabs>
        <w:spacing w:after="120"/>
        <w:rPr>
          <w:szCs w:val="22"/>
        </w:rPr>
      </w:pPr>
      <w:r w:rsidRPr="00ED6163">
        <w:rPr>
          <w:szCs w:val="22"/>
        </w:rPr>
        <w:t xml:space="preserve">The Commission's </w:t>
      </w:r>
      <w:r w:rsidRPr="00ED6163">
        <w:rPr>
          <w:szCs w:val="22"/>
        </w:rPr>
        <w:t>actions to modernize and streamline the Form 477 collection and reduce the compliance burdens for filers include measures that should benefit small entities.  In considering the comments in the record, we were mindful of the time, money, and resources that</w:t>
      </w:r>
      <w:r w:rsidRPr="00ED6163">
        <w:rPr>
          <w:szCs w:val="22"/>
        </w:rPr>
        <w:t xml:space="preserve"> some small entities incur to complete the current Form 477.</w:t>
      </w:r>
      <w:r>
        <w:rPr>
          <w:rStyle w:val="FootnoteReference"/>
          <w:sz w:val="22"/>
          <w:szCs w:val="22"/>
        </w:rPr>
        <w:footnoteReference w:id="511"/>
      </w:r>
      <w:r w:rsidRPr="00ED6163">
        <w:rPr>
          <w:szCs w:val="22"/>
        </w:rPr>
        <w:t xml:space="preserve">  Our actions adopting the </w:t>
      </w:r>
      <w:r>
        <w:rPr>
          <w:szCs w:val="22"/>
        </w:rPr>
        <w:t xml:space="preserve">filing of broadband coverage polygons </w:t>
      </w:r>
      <w:r w:rsidRPr="00ED6163">
        <w:rPr>
          <w:szCs w:val="22"/>
        </w:rPr>
        <w:t xml:space="preserve">should provide some economic relief to small entities when compared to the burdens imposed by the current census-block reporting </w:t>
      </w:r>
      <w:r w:rsidRPr="00ED6163">
        <w:rPr>
          <w:szCs w:val="22"/>
        </w:rPr>
        <w:t xml:space="preserve">requirement.  </w:t>
      </w:r>
      <w:r>
        <w:rPr>
          <w:szCs w:val="22"/>
        </w:rPr>
        <w:t>We also di</w:t>
      </w:r>
      <w:r w:rsidRPr="00ED6163">
        <w:rPr>
          <w:szCs w:val="22"/>
        </w:rPr>
        <w:t>rect WCB, in coordination with OEA, WTB, and IB, to determine whether any category of very small fixed providers (e.g., those with less than 250 subscribers (or 1,500 or some other small set number of subscribers) and who are not el</w:t>
      </w:r>
      <w:r w:rsidRPr="00ED6163">
        <w:rPr>
          <w:szCs w:val="22"/>
        </w:rPr>
        <w:t>igible telecommunications carriers (ETCs) under the USF program) should have additional time in filing their initial reports</w:t>
      </w:r>
      <w:r>
        <w:rPr>
          <w:szCs w:val="22"/>
        </w:rPr>
        <w:t>.  In addition, t</w:t>
      </w:r>
      <w:r w:rsidRPr="00ED6163">
        <w:rPr>
          <w:snapToGrid/>
          <w:kern w:val="0"/>
          <w:szCs w:val="22"/>
        </w:rPr>
        <w:t xml:space="preserve">o lessen the burdens on </w:t>
      </w:r>
      <w:r>
        <w:rPr>
          <w:snapToGrid/>
          <w:kern w:val="0"/>
          <w:szCs w:val="22"/>
        </w:rPr>
        <w:t>small f</w:t>
      </w:r>
      <w:r w:rsidRPr="00ED6163">
        <w:rPr>
          <w:snapToGrid/>
          <w:kern w:val="0"/>
          <w:szCs w:val="22"/>
        </w:rPr>
        <w:t>ixed providers, the Commission and USAC intend to have service</w:t>
      </w:r>
      <w:r>
        <w:rPr>
          <w:snapToGrid/>
          <w:kern w:val="0"/>
          <w:szCs w:val="22"/>
        </w:rPr>
        <w:t>-</w:t>
      </w:r>
      <w:r w:rsidRPr="00ED6163">
        <w:rPr>
          <w:snapToGrid/>
          <w:kern w:val="0"/>
          <w:szCs w:val="22"/>
        </w:rPr>
        <w:t xml:space="preserve">desk help available, </w:t>
      </w:r>
      <w:r w:rsidRPr="00ED6163">
        <w:rPr>
          <w:snapToGrid/>
          <w:kern w:val="0"/>
          <w:szCs w:val="22"/>
        </w:rPr>
        <w:t>as well as clear instructions on the form for the new collection, to aid filers in preparing their broadband coverage polygons</w:t>
      </w:r>
      <w:r>
        <w:rPr>
          <w:snapToGrid/>
          <w:kern w:val="0"/>
          <w:szCs w:val="22"/>
        </w:rPr>
        <w:t xml:space="preserve">.  </w:t>
      </w:r>
      <w:r w:rsidRPr="00ED6163">
        <w:rPr>
          <w:szCs w:val="22"/>
        </w:rPr>
        <w:t>We also believe our actions to streamline the filing process and eliminate certain filing requirements will benefit small entit</w:t>
      </w:r>
      <w:r w:rsidRPr="00ED6163">
        <w:rPr>
          <w:szCs w:val="22"/>
        </w:rPr>
        <w:t xml:space="preserve">ies by reducing the administrative costs they incur to file Form 477. </w:t>
      </w:r>
    </w:p>
    <w:p w:rsidR="00252A4C" w:rsidRPr="00ED6163" w:rsidP="00252A4C" w14:paraId="3E9BFF18" w14:textId="77777777">
      <w:pPr>
        <w:numPr>
          <w:ilvl w:val="0"/>
          <w:numId w:val="2"/>
        </w:numPr>
        <w:tabs>
          <w:tab w:val="clear" w:pos="1080"/>
          <w:tab w:val="num" w:pos="1440"/>
        </w:tabs>
        <w:spacing w:after="120"/>
        <w:rPr>
          <w:szCs w:val="22"/>
        </w:rPr>
      </w:pPr>
      <w:r w:rsidRPr="00ED6163">
        <w:rPr>
          <w:szCs w:val="22"/>
        </w:rPr>
        <w:t xml:space="preserve">The Commission considered but declined to adopt a requirement to collect fixed broadband deployment data at the street segment level.  With a street-level approach, smaller providers would encounter much greater burdens to report deployment data with more </w:t>
      </w:r>
      <w:r w:rsidRPr="00ED6163">
        <w:rPr>
          <w:szCs w:val="22"/>
        </w:rPr>
        <w:t xml:space="preserve">precision.  For the reasons discussed in the </w:t>
      </w:r>
      <w:r w:rsidRPr="00ED6163">
        <w:rPr>
          <w:i/>
          <w:szCs w:val="22"/>
        </w:rPr>
        <w:t>Report and Order</w:t>
      </w:r>
      <w:r w:rsidRPr="00ED6163">
        <w:rPr>
          <w:szCs w:val="22"/>
        </w:rPr>
        <w:t>, we agree with WISPA that a street-level approach is not appropriate for fixed wireless providers.</w:t>
      </w:r>
      <w:r>
        <w:rPr>
          <w:rStyle w:val="FootnoteReference"/>
          <w:sz w:val="22"/>
          <w:szCs w:val="22"/>
        </w:rPr>
        <w:footnoteReference w:id="512"/>
      </w:r>
      <w:r w:rsidRPr="00ED6163">
        <w:rPr>
          <w:szCs w:val="22"/>
        </w:rPr>
        <w:t xml:space="preserve">  In addition, we declined to establish technical standards for fixed providers to follow in d</w:t>
      </w:r>
      <w:r w:rsidRPr="00ED6163">
        <w:rPr>
          <w:szCs w:val="22"/>
        </w:rPr>
        <w:t>etermining whether fixed broadband is available in an area.  Imposing fixed standards could result in increased costs and burdens for small entities and could risk undermining the expertise and on-the-ground knowledge of fixed providers, possibly resulting</w:t>
      </w:r>
      <w:r w:rsidRPr="00ED6163">
        <w:rPr>
          <w:szCs w:val="22"/>
        </w:rPr>
        <w:t xml:space="preserve"> in less accurate maps.  The unique knowledge of fixed broadband providers about their networks puts them in the best position to determine where broadband is available in their service areas.</w:t>
      </w:r>
    </w:p>
    <w:p w:rsidR="00252A4C" w:rsidRPr="00ED6163" w:rsidP="00252A4C" w14:paraId="0196095A" w14:textId="77777777">
      <w:pPr>
        <w:pStyle w:val="Heading2"/>
        <w:rPr>
          <w:szCs w:val="22"/>
        </w:rPr>
      </w:pPr>
      <w:bookmarkStart w:id="493" w:name="_Toc13665609"/>
      <w:bookmarkStart w:id="494" w:name="_Toc13665796"/>
      <w:bookmarkStart w:id="495" w:name="_Toc15501978"/>
      <w:bookmarkEnd w:id="476"/>
      <w:bookmarkEnd w:id="477"/>
      <w:bookmarkEnd w:id="478"/>
      <w:bookmarkEnd w:id="479"/>
      <w:bookmarkEnd w:id="480"/>
      <w:r w:rsidRPr="00ED6163">
        <w:rPr>
          <w:szCs w:val="22"/>
        </w:rPr>
        <w:t>Report to Congress</w:t>
      </w:r>
      <w:bookmarkEnd w:id="493"/>
      <w:bookmarkEnd w:id="494"/>
      <w:bookmarkEnd w:id="495"/>
    </w:p>
    <w:p w:rsidR="00252A4C" w:rsidRPr="00ED6163" w:rsidP="00410009" w14:paraId="73F1612A" w14:textId="77777777">
      <w:pPr>
        <w:pStyle w:val="ParaNum"/>
        <w:rPr>
          <w:b/>
        </w:rPr>
        <w:sectPr w:rsidSect="00824C08">
          <w:footnotePr>
            <w:numRestart w:val="eachSect"/>
          </w:footnotePr>
          <w:endnotePr>
            <w:numFmt w:val="decimal"/>
          </w:endnotePr>
          <w:pgSz w:w="12240" w:h="15840"/>
          <w:pgMar w:top="1440" w:right="1440" w:bottom="720" w:left="1440" w:header="720" w:footer="720" w:gutter="0"/>
          <w:cols w:space="720"/>
          <w:noEndnote/>
          <w:titlePg/>
          <w:docGrid w:linePitch="299"/>
        </w:sectPr>
      </w:pPr>
      <w:r w:rsidRPr="00ED6163">
        <w:t>The Commission will send a co</w:t>
      </w:r>
      <w:r w:rsidRPr="00ED6163">
        <w:t xml:space="preserve">py of the </w:t>
      </w:r>
      <w:r w:rsidRPr="00ED6163">
        <w:rPr>
          <w:i/>
        </w:rPr>
        <w:t>Report and Order</w:t>
      </w:r>
      <w:r w:rsidRPr="00ED6163">
        <w:t>, including this FRFA, in a report to Congress pursuant to the Congressional Review Act.</w:t>
      </w:r>
      <w:r>
        <w:rPr>
          <w:vertAlign w:val="superscript"/>
        </w:rPr>
        <w:footnoteReference w:id="513"/>
      </w:r>
      <w:r w:rsidRPr="00ED6163">
        <w:t xml:space="preserve">   In addition, the Commission will send a copy of the </w:t>
      </w:r>
      <w:r w:rsidRPr="00ED6163">
        <w:rPr>
          <w:i/>
        </w:rPr>
        <w:t>Report and Order</w:t>
      </w:r>
      <w:r w:rsidRPr="00ED6163">
        <w:t xml:space="preserve">, including this FRFA, to the Chief Counsel for Advocacy of the SBA. </w:t>
      </w:r>
      <w:r w:rsidRPr="00ED6163">
        <w:t xml:space="preserve"> A copy of the </w:t>
      </w:r>
      <w:r w:rsidRPr="00ED6163">
        <w:rPr>
          <w:i/>
        </w:rPr>
        <w:t>Report and Order</w:t>
      </w:r>
      <w:r w:rsidRPr="00ED6163">
        <w:t xml:space="preserve"> and FRFA (or summaries thereof) will also be published in the Federal Register.</w:t>
      </w:r>
      <w:r>
        <w:rPr>
          <w:vertAlign w:val="superscript"/>
        </w:rPr>
        <w:footnoteReference w:id="514"/>
      </w:r>
    </w:p>
    <w:p w:rsidR="00252A4C" w:rsidRPr="00ED6163" w:rsidP="00252A4C" w14:paraId="0E296D31" w14:textId="77777777">
      <w:pPr>
        <w:pStyle w:val="Heading1"/>
        <w:numPr>
          <w:ilvl w:val="0"/>
          <w:numId w:val="0"/>
        </w:numPr>
        <w:jc w:val="center"/>
        <w:rPr>
          <w:rFonts w:ascii="Times New Roman" w:hAnsi="Times New Roman"/>
          <w:szCs w:val="22"/>
        </w:rPr>
      </w:pPr>
      <w:bookmarkStart w:id="496" w:name="_Toc12632850"/>
      <w:bookmarkStart w:id="497" w:name="_Toc13665610"/>
      <w:bookmarkStart w:id="498" w:name="_Toc13665797"/>
      <w:bookmarkStart w:id="499" w:name="_Toc15501979"/>
      <w:r w:rsidRPr="00ED6163">
        <w:rPr>
          <w:rFonts w:ascii="Times New Roman" w:hAnsi="Times New Roman"/>
          <w:szCs w:val="22"/>
        </w:rPr>
        <w:t>APPENDIX C</w:t>
      </w:r>
      <w:bookmarkEnd w:id="496"/>
      <w:bookmarkEnd w:id="497"/>
      <w:bookmarkEnd w:id="498"/>
      <w:bookmarkEnd w:id="499"/>
    </w:p>
    <w:p w:rsidR="00252A4C" w:rsidRPr="00ED6163" w:rsidP="00252A4C" w14:paraId="664EA33A" w14:textId="77777777">
      <w:pPr>
        <w:widowControl/>
        <w:spacing w:before="120" w:after="120"/>
        <w:jc w:val="center"/>
        <w:rPr>
          <w:b/>
          <w:szCs w:val="22"/>
        </w:rPr>
      </w:pPr>
      <w:r w:rsidRPr="00ED6163">
        <w:rPr>
          <w:b/>
          <w:szCs w:val="22"/>
        </w:rPr>
        <w:t>Initial Regulatory Flexibility Analysis</w:t>
      </w:r>
    </w:p>
    <w:p w:rsidR="00252A4C" w:rsidRPr="00ED6163" w:rsidP="00410009" w14:paraId="71D8CB46" w14:textId="77777777">
      <w:pPr>
        <w:pStyle w:val="ParaNum"/>
        <w:numPr>
          <w:ilvl w:val="0"/>
          <w:numId w:val="11"/>
        </w:numPr>
      </w:pPr>
      <w:r w:rsidRPr="00ED6163">
        <w:t>As required by the Regulatory Flexibility Act of 1980, as amended (RFA),</w:t>
      </w:r>
      <w:r>
        <w:rPr>
          <w:vertAlign w:val="superscript"/>
        </w:rPr>
        <w:footnoteReference w:id="515"/>
      </w:r>
      <w:r w:rsidRPr="00ED6163">
        <w:t xml:space="preserve"> the Commission h</w:t>
      </w:r>
      <w:r w:rsidRPr="00ED6163">
        <w:t xml:space="preserve">as prepared this Initial Regulatory Flexibility Analysis (IRFA) of the possible significant economic impact on a substantial number of small entities from the policies and rules proposed in this </w:t>
      </w:r>
      <w:r w:rsidRPr="00410009">
        <w:rPr>
          <w:i/>
        </w:rPr>
        <w:t>Second Notice</w:t>
      </w:r>
      <w:r w:rsidRPr="00ED6163">
        <w:t>.  The Commission requests written public commen</w:t>
      </w:r>
      <w:r w:rsidRPr="00ED6163">
        <w:t xml:space="preserve">t on this IRFA.  Comments must be identified as responses to the IRFA and must be filed by the deadlines for comments on the </w:t>
      </w:r>
      <w:r w:rsidRPr="00410009">
        <w:rPr>
          <w:i/>
        </w:rPr>
        <w:t>Second Notice</w:t>
      </w:r>
      <w:r w:rsidRPr="00ED6163">
        <w:t xml:space="preserve">.  The Commission will send a copy of the </w:t>
      </w:r>
      <w:r w:rsidRPr="00410009">
        <w:rPr>
          <w:i/>
        </w:rPr>
        <w:t>Second Notice</w:t>
      </w:r>
      <w:r w:rsidRPr="00ED6163">
        <w:t>, including this IRFA, to the Chief Counsel for Advocacy of the</w:t>
      </w:r>
      <w:r w:rsidRPr="00ED6163">
        <w:t xml:space="preserve"> Small Business Administration (SBA).</w:t>
      </w:r>
      <w:r>
        <w:rPr>
          <w:vertAlign w:val="superscript"/>
        </w:rPr>
        <w:footnoteReference w:id="516"/>
      </w:r>
      <w:r w:rsidRPr="00ED6163">
        <w:t xml:space="preserve">  In addition, the </w:t>
      </w:r>
      <w:r w:rsidRPr="00410009">
        <w:rPr>
          <w:i/>
        </w:rPr>
        <w:t>Second Notice</w:t>
      </w:r>
      <w:r w:rsidRPr="00ED6163">
        <w:t xml:space="preserve"> and IRFA (or summaries thereof) will be published in the Federal Register.</w:t>
      </w:r>
      <w:r>
        <w:rPr>
          <w:vertAlign w:val="superscript"/>
        </w:rPr>
        <w:footnoteReference w:id="517"/>
      </w:r>
      <w:bookmarkStart w:id="500" w:name="_Toc243741517"/>
      <w:bookmarkStart w:id="501" w:name="_Toc243759722"/>
      <w:bookmarkStart w:id="502" w:name="_Toc243827552"/>
      <w:bookmarkStart w:id="503" w:name="_Toc243830038"/>
      <w:bookmarkStart w:id="504" w:name="_Toc243908117"/>
      <w:bookmarkStart w:id="505" w:name="_Toc387908066"/>
      <w:bookmarkStart w:id="506" w:name="_Toc387910983"/>
      <w:bookmarkStart w:id="507" w:name="_Toc446424652"/>
      <w:bookmarkStart w:id="508" w:name="_Toc447036361"/>
      <w:bookmarkStart w:id="509" w:name="_Toc502754788"/>
      <w:bookmarkStart w:id="510" w:name="_Toc503186660"/>
      <w:bookmarkStart w:id="511" w:name="_Toc503346310"/>
      <w:bookmarkStart w:id="512" w:name="_Toc503392313"/>
    </w:p>
    <w:p w:rsidR="00252A4C" w:rsidRPr="00ED6163" w:rsidP="00252A4C" w14:paraId="24FB2927" w14:textId="77777777">
      <w:pPr>
        <w:pStyle w:val="Heading2"/>
        <w:numPr>
          <w:ilvl w:val="1"/>
          <w:numId w:val="13"/>
        </w:numPr>
        <w:rPr>
          <w:szCs w:val="22"/>
        </w:rPr>
      </w:pPr>
      <w:bookmarkStart w:id="513" w:name="_Toc508268467"/>
      <w:bookmarkStart w:id="514" w:name="_Toc508629493"/>
      <w:bookmarkStart w:id="515" w:name="_Toc523927178"/>
      <w:bookmarkStart w:id="516" w:name="_Toc526871917"/>
      <w:bookmarkStart w:id="517" w:name="_Toc528063969"/>
      <w:bookmarkStart w:id="518" w:name="_Toc528064020"/>
      <w:bookmarkStart w:id="519" w:name="_Toc529198565"/>
      <w:bookmarkStart w:id="520" w:name="_Toc529198605"/>
      <w:bookmarkStart w:id="521" w:name="_Toc685872"/>
      <w:bookmarkStart w:id="522" w:name="_Toc1459433"/>
      <w:bookmarkStart w:id="523" w:name="_Toc4505876"/>
      <w:bookmarkStart w:id="524" w:name="_Toc8917989"/>
      <w:bookmarkStart w:id="525" w:name="_Toc10190555"/>
      <w:bookmarkStart w:id="526" w:name="_Toc13665611"/>
      <w:bookmarkStart w:id="527" w:name="_Toc13665798"/>
      <w:bookmarkStart w:id="528" w:name="_Toc15501980"/>
      <w:r w:rsidRPr="00ED6163">
        <w:rPr>
          <w:szCs w:val="22"/>
        </w:rPr>
        <w:t>Need for, and Objectives of, the Proposed Rules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rsidR="00252A4C" w:rsidRPr="00ED6163" w:rsidP="00410009" w14:paraId="52668639" w14:textId="77777777">
      <w:pPr>
        <w:pStyle w:val="ParaNum"/>
      </w:pPr>
      <w:r w:rsidRPr="00ED6163">
        <w:t xml:space="preserve">The Commission continues its ongoing efforts to ensure that the new collection </w:t>
      </w:r>
      <w:r>
        <w:t xml:space="preserve">for fixed broadband deployment reporting and crowdsourcing of that reporting as </w:t>
      </w:r>
      <w:r w:rsidRPr="00ED6163">
        <w:t xml:space="preserve">adopted in the </w:t>
      </w:r>
      <w:r w:rsidRPr="00ED6163">
        <w:rPr>
          <w:i/>
        </w:rPr>
        <w:t xml:space="preserve">Report and Order </w:t>
      </w:r>
      <w:r w:rsidRPr="00ED6163">
        <w:t xml:space="preserve">and the Form 477 collection will evolve to align with changes to </w:t>
      </w:r>
      <w:r w:rsidRPr="00ED6163">
        <w:t xml:space="preserve">technology, markets, and policy needs.   In the </w:t>
      </w:r>
      <w:r w:rsidRPr="00ED6163">
        <w:rPr>
          <w:i/>
        </w:rPr>
        <w:t>Second Notice</w:t>
      </w:r>
      <w:r w:rsidRPr="00ED6163">
        <w:t>, the Commission raises issues for consideration and seeks comment on additional steps we can take to obtain more accurate and reliable fixed and mobile broadband deployment data.  The probabilis</w:t>
      </w:r>
      <w:r w:rsidRPr="00ED6163">
        <w:t>tic nature of mobile networks and the many factors that impact a user’s experience make it difficult to predict with precision mobile coverage and speed or to develop a coverage map that always provides predictability for consumers.  Although no mobile bro</w:t>
      </w:r>
      <w:r w:rsidRPr="00ED6163">
        <w:t>adband map will consistently reflect consumer experience with complete accuracy, we recognize that we must take steps to improve the quality of the data we collect.  Therefore, we seek further comment on the tradeoffs among different potential approaches f</w:t>
      </w:r>
      <w:r w:rsidRPr="00ED6163">
        <w:t>or developing more accurate and reliable mobile broadband data.  We also seek comment on additional technical standards for fixed broadband reporting as part of the Digital Opportunity Data Collection, steps that USAC and the Commission can take to make th</w:t>
      </w:r>
      <w:r w:rsidRPr="00ED6163">
        <w:t>e best use of crowdsourced data, and ways that we can incorporate the filing of location-specific fixed broadband deployment data in the Digital Opportunity Data Collection</w:t>
      </w:r>
      <w:r>
        <w:t>.</w:t>
      </w:r>
    </w:p>
    <w:p w:rsidR="00252A4C" w:rsidRPr="00ED6163" w:rsidP="00252A4C" w14:paraId="4238165E" w14:textId="77777777">
      <w:pPr>
        <w:pStyle w:val="Heading2"/>
        <w:rPr>
          <w:szCs w:val="22"/>
        </w:rPr>
      </w:pPr>
      <w:bookmarkStart w:id="529" w:name="_Ref242778983"/>
      <w:bookmarkStart w:id="530" w:name="_Toc243741518"/>
      <w:bookmarkStart w:id="531" w:name="_Toc243759723"/>
      <w:bookmarkStart w:id="532" w:name="_Toc243827553"/>
      <w:bookmarkStart w:id="533" w:name="_Toc243830039"/>
      <w:bookmarkStart w:id="534" w:name="_Toc243908118"/>
      <w:bookmarkStart w:id="535" w:name="_Toc387908067"/>
      <w:bookmarkStart w:id="536" w:name="_Toc387910984"/>
      <w:bookmarkStart w:id="537" w:name="_Toc446424660"/>
      <w:bookmarkStart w:id="538" w:name="_Toc447036369"/>
      <w:bookmarkStart w:id="539" w:name="_Toc502754789"/>
      <w:bookmarkStart w:id="540" w:name="_Toc503186661"/>
      <w:bookmarkStart w:id="541" w:name="_Toc503346311"/>
      <w:bookmarkStart w:id="542" w:name="_Toc503392314"/>
      <w:bookmarkStart w:id="543" w:name="_Toc508268468"/>
      <w:bookmarkStart w:id="544" w:name="_Toc508629494"/>
      <w:bookmarkStart w:id="545" w:name="_Toc523927179"/>
      <w:bookmarkStart w:id="546" w:name="_Toc526871918"/>
      <w:bookmarkStart w:id="547" w:name="_Toc528063970"/>
      <w:bookmarkStart w:id="548" w:name="_Toc528064021"/>
      <w:bookmarkStart w:id="549" w:name="_Toc529198566"/>
      <w:bookmarkStart w:id="550" w:name="_Toc529198606"/>
      <w:bookmarkStart w:id="551" w:name="_Toc685873"/>
      <w:bookmarkStart w:id="552" w:name="_Toc1459434"/>
      <w:bookmarkStart w:id="553" w:name="_Toc4505877"/>
      <w:bookmarkStart w:id="554" w:name="_Toc8917990"/>
      <w:bookmarkStart w:id="555" w:name="_Toc10190556"/>
      <w:bookmarkStart w:id="556" w:name="_Toc13665612"/>
      <w:bookmarkStart w:id="557" w:name="_Toc13665799"/>
      <w:bookmarkStart w:id="558" w:name="_Toc15501981"/>
      <w:r w:rsidRPr="00ED6163">
        <w:rPr>
          <w:szCs w:val="22"/>
        </w:rPr>
        <w:t>Legal Basis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rsidR="00252A4C" w:rsidRPr="00ED6163" w:rsidP="00252A4C" w14:paraId="7CBEEFEF" w14:textId="77777777">
      <w:pPr>
        <w:numPr>
          <w:ilvl w:val="0"/>
          <w:numId w:val="2"/>
        </w:numPr>
        <w:tabs>
          <w:tab w:val="clear" w:pos="1080"/>
          <w:tab w:val="num" w:pos="1440"/>
        </w:tabs>
        <w:spacing w:after="120"/>
        <w:rPr>
          <w:szCs w:val="22"/>
        </w:rPr>
      </w:pPr>
      <w:bookmarkStart w:id="559" w:name="_Toc243741519"/>
      <w:bookmarkStart w:id="560" w:name="_Toc243759724"/>
      <w:bookmarkStart w:id="561" w:name="_Toc243827554"/>
      <w:bookmarkStart w:id="562" w:name="_Toc243830040"/>
      <w:bookmarkStart w:id="563" w:name="_Toc243908119"/>
      <w:r w:rsidRPr="00ED6163">
        <w:rPr>
          <w:szCs w:val="22"/>
        </w:rPr>
        <w:t>The proposed action is authorized pursuant to sections 1-5, 201-206, 2</w:t>
      </w:r>
      <w:r w:rsidRPr="00ED6163">
        <w:rPr>
          <w:szCs w:val="22"/>
        </w:rPr>
        <w:t>14, 218-220, 251, 252, 254, 256, 303(r), 332, 403, and 405 of the Communications Act of 1934, as amended, 47 U.S.C. §§ 151-155, 201-206, 214, 218-220, 251, 252, 254, 256, 303(r), 332, 403, and 405.</w:t>
      </w:r>
    </w:p>
    <w:p w:rsidR="00252A4C" w:rsidRPr="00ED6163" w:rsidP="00252A4C" w14:paraId="44079138" w14:textId="77777777">
      <w:pPr>
        <w:pStyle w:val="Heading2"/>
        <w:rPr>
          <w:szCs w:val="22"/>
        </w:rPr>
      </w:pPr>
      <w:bookmarkStart w:id="564" w:name="_Toc387908068"/>
      <w:bookmarkStart w:id="565" w:name="_Toc387910985"/>
      <w:bookmarkStart w:id="566" w:name="_Toc446424661"/>
      <w:bookmarkStart w:id="567" w:name="_Toc447036370"/>
      <w:bookmarkStart w:id="568" w:name="_Toc502754790"/>
      <w:bookmarkStart w:id="569" w:name="_Toc503186662"/>
      <w:bookmarkStart w:id="570" w:name="_Toc503346312"/>
      <w:bookmarkStart w:id="571" w:name="_Toc503392315"/>
      <w:bookmarkStart w:id="572" w:name="_Toc508268469"/>
      <w:bookmarkStart w:id="573" w:name="_Toc508629495"/>
      <w:bookmarkStart w:id="574" w:name="_Toc523927180"/>
      <w:bookmarkStart w:id="575" w:name="_Toc526871919"/>
      <w:bookmarkStart w:id="576" w:name="_Toc528063971"/>
      <w:bookmarkStart w:id="577" w:name="_Toc528064022"/>
      <w:bookmarkStart w:id="578" w:name="_Toc529198567"/>
      <w:bookmarkStart w:id="579" w:name="_Toc529198607"/>
      <w:bookmarkStart w:id="580" w:name="_Toc685874"/>
      <w:bookmarkStart w:id="581" w:name="_Toc1459435"/>
      <w:bookmarkStart w:id="582" w:name="_Toc4505878"/>
      <w:bookmarkStart w:id="583" w:name="_Toc8917991"/>
      <w:bookmarkStart w:id="584" w:name="_Toc10190557"/>
      <w:bookmarkStart w:id="585" w:name="_Toc13665613"/>
      <w:bookmarkStart w:id="586" w:name="_Toc13665800"/>
      <w:bookmarkStart w:id="587" w:name="_Toc15501982"/>
      <w:r w:rsidRPr="00ED6163">
        <w:rPr>
          <w:szCs w:val="22"/>
        </w:rPr>
        <w:t xml:space="preserve">Description and Estimate of the Number of Small </w:t>
      </w:r>
      <w:r w:rsidRPr="00ED6163">
        <w:rPr>
          <w:szCs w:val="22"/>
        </w:rPr>
        <w:t>Entities to Which the Proposed Rules Would Apply</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rsidR="00252A4C" w:rsidRPr="00ED6163" w:rsidP="00252A4C" w14:paraId="715AF2AC" w14:textId="77777777">
      <w:pPr>
        <w:widowControl/>
        <w:numPr>
          <w:ilvl w:val="0"/>
          <w:numId w:val="2"/>
        </w:numPr>
        <w:tabs>
          <w:tab w:val="clear" w:pos="1080"/>
          <w:tab w:val="num" w:pos="1440"/>
        </w:tabs>
        <w:spacing w:after="120"/>
        <w:rPr>
          <w:szCs w:val="22"/>
        </w:rPr>
      </w:pPr>
      <w:r w:rsidRPr="00ED6163">
        <w:rPr>
          <w:szCs w:val="22"/>
        </w:rPr>
        <w:t>The RFA directs agencies to provide a description of, and where feasible, an estimate of the number of small entities that may be affected by the proposed rules, if adopted.</w:t>
      </w:r>
      <w:r>
        <w:rPr>
          <w:szCs w:val="22"/>
          <w:vertAlign w:val="superscript"/>
        </w:rPr>
        <w:footnoteReference w:id="518"/>
      </w:r>
      <w:r w:rsidRPr="00ED6163">
        <w:rPr>
          <w:szCs w:val="22"/>
        </w:rPr>
        <w:t xml:space="preserve">  The RFA generally defines the </w:t>
      </w:r>
      <w:r w:rsidRPr="00ED6163">
        <w:rPr>
          <w:szCs w:val="22"/>
        </w:rPr>
        <w:t>term “small entity” as having the same meaning as the terms “small business,” “small organization,” and “small governmental jurisdiction.”</w:t>
      </w:r>
      <w:r>
        <w:rPr>
          <w:szCs w:val="22"/>
          <w:vertAlign w:val="superscript"/>
        </w:rPr>
        <w:footnoteReference w:id="519"/>
      </w:r>
      <w:r w:rsidRPr="00ED6163">
        <w:rPr>
          <w:szCs w:val="22"/>
        </w:rPr>
        <w:t xml:space="preserve">  In addition, the term “small business” has the same meaning as the term “small-business concern” under the Small B</w:t>
      </w:r>
      <w:r w:rsidRPr="00ED6163">
        <w:rPr>
          <w:szCs w:val="22"/>
        </w:rPr>
        <w:t>usiness Act.</w:t>
      </w:r>
      <w:r>
        <w:rPr>
          <w:szCs w:val="22"/>
          <w:vertAlign w:val="superscript"/>
        </w:rPr>
        <w:footnoteReference w:id="520"/>
      </w:r>
      <w:r w:rsidRPr="00ED6163">
        <w:rPr>
          <w:szCs w:val="22"/>
        </w:rPr>
        <w:t xml:space="preserve">  A small-business concern” is one which:  (1) is independently owned and operated; (2) is not dominant in its field of operation; and (3) satisfies any additional criteria established by the Small Business Administration (SBA).</w:t>
      </w:r>
      <w:r>
        <w:rPr>
          <w:szCs w:val="22"/>
          <w:vertAlign w:val="superscript"/>
        </w:rPr>
        <w:footnoteReference w:id="521"/>
      </w:r>
    </w:p>
    <w:p w:rsidR="00252A4C" w:rsidRPr="00ED6163" w:rsidP="00252A4C" w14:paraId="491CAED0" w14:textId="77777777">
      <w:pPr>
        <w:pStyle w:val="Heading3"/>
        <w:rPr>
          <w:szCs w:val="22"/>
        </w:rPr>
      </w:pPr>
      <w:bookmarkStart w:id="588" w:name="_Toc412097295"/>
      <w:bookmarkStart w:id="589" w:name="_Toc412382112"/>
      <w:bookmarkStart w:id="590" w:name="_Toc412409140"/>
      <w:bookmarkStart w:id="591" w:name="_Toc412409987"/>
      <w:bookmarkStart w:id="592" w:name="_Toc412410095"/>
      <w:bookmarkStart w:id="593" w:name="_Toc412410350"/>
      <w:bookmarkStart w:id="594" w:name="_Toc412557234"/>
      <w:bookmarkStart w:id="595" w:name="_Toc412557594"/>
      <w:bookmarkStart w:id="596" w:name="_Toc412574960"/>
      <w:bookmarkStart w:id="597" w:name="_Toc413425057"/>
      <w:bookmarkStart w:id="598" w:name="_Toc446424662"/>
      <w:bookmarkStart w:id="599" w:name="_Toc447036371"/>
      <w:bookmarkStart w:id="600" w:name="_Toc502754791"/>
      <w:bookmarkStart w:id="601" w:name="_Toc503186663"/>
      <w:bookmarkStart w:id="602" w:name="_Toc503346313"/>
      <w:bookmarkStart w:id="603" w:name="_Toc503392316"/>
      <w:bookmarkStart w:id="604" w:name="_Toc508268470"/>
      <w:bookmarkStart w:id="605" w:name="_Toc508629496"/>
      <w:bookmarkStart w:id="606" w:name="_Toc523927181"/>
      <w:bookmarkStart w:id="607" w:name="_Toc528063972"/>
      <w:bookmarkStart w:id="608" w:name="_Toc528064023"/>
      <w:bookmarkStart w:id="609" w:name="_Toc529198568"/>
      <w:bookmarkStart w:id="610" w:name="_Toc685875"/>
      <w:bookmarkStart w:id="611" w:name="_Toc1459436"/>
      <w:bookmarkStart w:id="612" w:name="_Toc4505879"/>
      <w:bookmarkStart w:id="613" w:name="_Toc8917992"/>
      <w:bookmarkStart w:id="614" w:name="_Toc10190558"/>
      <w:bookmarkStart w:id="615" w:name="_Toc13665614"/>
      <w:bookmarkStart w:id="616" w:name="_Toc13665801"/>
      <w:bookmarkStart w:id="617" w:name="_Toc15501983"/>
      <w:r w:rsidRPr="00ED6163">
        <w:rPr>
          <w:szCs w:val="22"/>
        </w:rPr>
        <w:t>Total Small</w:t>
      </w:r>
      <w:r w:rsidRPr="00ED6163">
        <w:rPr>
          <w:szCs w:val="22"/>
        </w:rPr>
        <w:t xml:space="preserve"> Entities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sidRPr="00ED6163">
        <w:rPr>
          <w:szCs w:val="22"/>
        </w:rPr>
        <w:t xml:space="preserve"> </w:t>
      </w:r>
    </w:p>
    <w:p w:rsidR="00252A4C" w:rsidRPr="00ED6163" w:rsidP="00252A4C" w14:paraId="6C6B44FD" w14:textId="77777777">
      <w:pPr>
        <w:numPr>
          <w:ilvl w:val="0"/>
          <w:numId w:val="2"/>
        </w:numPr>
        <w:tabs>
          <w:tab w:val="clear" w:pos="1080"/>
          <w:tab w:val="num" w:pos="1440"/>
        </w:tabs>
        <w:spacing w:after="120"/>
        <w:rPr>
          <w:szCs w:val="22"/>
        </w:rPr>
      </w:pPr>
      <w:r w:rsidRPr="00ED6163">
        <w:rPr>
          <w:i/>
          <w:szCs w:val="22"/>
        </w:rPr>
        <w:t>Small Businesses, Small Organizations, Small Governmental Jurisdictions</w:t>
      </w:r>
      <w:r w:rsidRPr="00ED6163">
        <w:rPr>
          <w:szCs w:val="22"/>
        </w:rPr>
        <w:t>.  Our actions, over time, may affect small entities that are not easily categorized at present.  We therefore describe here, at the outset, three broad groups of small entit</w:t>
      </w:r>
      <w:r w:rsidRPr="00ED6163">
        <w:rPr>
          <w:szCs w:val="22"/>
        </w:rPr>
        <w:t>ies that could be directly affected herein.</w:t>
      </w:r>
      <w:r>
        <w:rPr>
          <w:szCs w:val="22"/>
          <w:vertAlign w:val="superscript"/>
        </w:rPr>
        <w:footnoteReference w:id="522"/>
      </w:r>
      <w:r w:rsidRPr="00ED6163">
        <w:rPr>
          <w:szCs w:val="22"/>
        </w:rPr>
        <w:t xml:space="preserve">  First, while there are industry-specific size standards for small businesses that are used in the regulatory flexibility analysis, according to data from the SBA’s Office of Advocacy, in general a small busine</w:t>
      </w:r>
      <w:r w:rsidRPr="00ED6163">
        <w:rPr>
          <w:szCs w:val="22"/>
        </w:rPr>
        <w:t>ss is an independent business having fewer than 500 employees.</w:t>
      </w:r>
      <w:r>
        <w:rPr>
          <w:szCs w:val="22"/>
          <w:vertAlign w:val="superscript"/>
        </w:rPr>
        <w:footnoteReference w:id="523"/>
      </w:r>
      <w:r w:rsidRPr="00ED6163">
        <w:rPr>
          <w:szCs w:val="22"/>
        </w:rPr>
        <w:t xml:space="preserve">  These types of small businesses represent 99.9% of all businesses in the United States, which translates to 28.8 million businesses.</w:t>
      </w:r>
      <w:r>
        <w:rPr>
          <w:szCs w:val="22"/>
          <w:vertAlign w:val="superscript"/>
        </w:rPr>
        <w:footnoteReference w:id="524"/>
      </w:r>
      <w:r w:rsidRPr="00ED6163">
        <w:rPr>
          <w:szCs w:val="22"/>
        </w:rPr>
        <w:t xml:space="preserve">  </w:t>
      </w:r>
    </w:p>
    <w:p w:rsidR="00252A4C" w:rsidRPr="00ED6163" w:rsidP="00252A4C" w14:paraId="6A429F89" w14:textId="77777777">
      <w:pPr>
        <w:numPr>
          <w:ilvl w:val="0"/>
          <w:numId w:val="2"/>
        </w:numPr>
        <w:tabs>
          <w:tab w:val="clear" w:pos="1080"/>
          <w:tab w:val="num" w:pos="1440"/>
        </w:tabs>
        <w:spacing w:after="120"/>
        <w:rPr>
          <w:szCs w:val="22"/>
        </w:rPr>
      </w:pPr>
      <w:r w:rsidRPr="00ED6163">
        <w:rPr>
          <w:szCs w:val="22"/>
        </w:rPr>
        <w:t xml:space="preserve">Next, the type of small entity described as a “small </w:t>
      </w:r>
      <w:r w:rsidRPr="00ED6163">
        <w:rPr>
          <w:szCs w:val="22"/>
        </w:rPr>
        <w:t>organization” is generally “any not-for-profit enterprise which is independently owned and operated and is not dominant in its field.”</w:t>
      </w:r>
      <w:r>
        <w:rPr>
          <w:szCs w:val="22"/>
          <w:vertAlign w:val="superscript"/>
        </w:rPr>
        <w:footnoteReference w:id="525"/>
      </w:r>
      <w:r w:rsidRPr="00ED6163">
        <w:rPr>
          <w:szCs w:val="22"/>
        </w:rPr>
        <w:t xml:space="preserve">  Nationwide, as of August 2016, there were approximately 356,494 small organizations based on registration and tax data</w:t>
      </w:r>
      <w:r w:rsidRPr="00ED6163">
        <w:rPr>
          <w:szCs w:val="22"/>
        </w:rPr>
        <w:t xml:space="preserve"> filed by nonprofits with the Internal Revenue Service (IRS).</w:t>
      </w:r>
      <w:r>
        <w:rPr>
          <w:szCs w:val="22"/>
          <w:vertAlign w:val="superscript"/>
        </w:rPr>
        <w:footnoteReference w:id="526"/>
      </w:r>
      <w:r w:rsidRPr="00ED6163">
        <w:rPr>
          <w:szCs w:val="22"/>
        </w:rPr>
        <w:t xml:space="preserve">  </w:t>
      </w:r>
    </w:p>
    <w:p w:rsidR="00252A4C" w:rsidRPr="00ED6163" w:rsidP="00252A4C" w14:paraId="18EF2DE7" w14:textId="77777777">
      <w:pPr>
        <w:numPr>
          <w:ilvl w:val="0"/>
          <w:numId w:val="2"/>
        </w:numPr>
        <w:tabs>
          <w:tab w:val="clear" w:pos="1080"/>
          <w:tab w:val="num" w:pos="1440"/>
        </w:tabs>
        <w:spacing w:after="120"/>
        <w:rPr>
          <w:szCs w:val="22"/>
        </w:rPr>
      </w:pPr>
      <w:r w:rsidRPr="00ED6163">
        <w:rPr>
          <w:szCs w:val="22"/>
        </w:rPr>
        <w:t xml:space="preserve">Finally, the small entity described as a “small governmental jurisdiction” is defined generally as “governments of cities, counties, towns, townships, villages, school districts, or special </w:t>
      </w:r>
      <w:r w:rsidRPr="00ED6163">
        <w:rPr>
          <w:szCs w:val="22"/>
        </w:rPr>
        <w:t>districts, with a population of less than fifty thousand.”</w:t>
      </w:r>
      <w:r>
        <w:rPr>
          <w:szCs w:val="22"/>
          <w:vertAlign w:val="superscript"/>
        </w:rPr>
        <w:footnoteReference w:id="527"/>
      </w:r>
      <w:r w:rsidRPr="00ED6163">
        <w:rPr>
          <w:szCs w:val="22"/>
        </w:rPr>
        <w:t xml:space="preserve">  U.S. Census Bureau data from the 2012 Census of Governments</w:t>
      </w:r>
      <w:r>
        <w:rPr>
          <w:szCs w:val="22"/>
          <w:vertAlign w:val="superscript"/>
        </w:rPr>
        <w:footnoteReference w:id="528"/>
      </w:r>
      <w:r w:rsidRPr="00ED6163">
        <w:rPr>
          <w:szCs w:val="22"/>
        </w:rPr>
        <w:t xml:space="preserve"> indicate that there were </w:t>
      </w:r>
      <w:r w:rsidRPr="00ED6163">
        <w:rPr>
          <w:color w:val="000000"/>
          <w:szCs w:val="22"/>
        </w:rPr>
        <w:t xml:space="preserve">90,056 </w:t>
      </w:r>
      <w:r w:rsidRPr="00ED6163">
        <w:rPr>
          <w:szCs w:val="22"/>
        </w:rPr>
        <w:t>local governmental jurisdictions consisting of general purpose governments and special purpose gover</w:t>
      </w:r>
      <w:r w:rsidRPr="00ED6163">
        <w:rPr>
          <w:szCs w:val="22"/>
        </w:rPr>
        <w:t>nments in the United States.</w:t>
      </w:r>
      <w:r>
        <w:rPr>
          <w:szCs w:val="22"/>
          <w:vertAlign w:val="superscript"/>
        </w:rPr>
        <w:footnoteReference w:id="529"/>
      </w:r>
      <w:r w:rsidRPr="00ED6163">
        <w:rPr>
          <w:szCs w:val="22"/>
        </w:rPr>
        <w:t xml:space="preserve">  Based on this data, we estimate that at least 49,316 local government jurisdictions fall in the category of “small governmental jurisdictions.”</w:t>
      </w:r>
      <w:r>
        <w:rPr>
          <w:szCs w:val="22"/>
          <w:vertAlign w:val="superscript"/>
        </w:rPr>
        <w:footnoteReference w:id="530"/>
      </w:r>
    </w:p>
    <w:p w:rsidR="00252A4C" w:rsidRPr="00ED6163" w:rsidP="00252A4C" w14:paraId="2AC0B64F" w14:textId="77777777">
      <w:pPr>
        <w:pStyle w:val="Heading3"/>
        <w:rPr>
          <w:szCs w:val="22"/>
        </w:rPr>
      </w:pPr>
      <w:bookmarkStart w:id="618" w:name="_Toc412097296"/>
      <w:bookmarkStart w:id="619" w:name="_Toc412382113"/>
      <w:bookmarkStart w:id="620" w:name="_Toc412409141"/>
      <w:bookmarkStart w:id="621" w:name="_Toc412409988"/>
      <w:bookmarkStart w:id="622" w:name="_Toc412410096"/>
      <w:bookmarkStart w:id="623" w:name="_Toc412410351"/>
      <w:bookmarkStart w:id="624" w:name="_Toc412557235"/>
      <w:bookmarkStart w:id="625" w:name="_Toc412557595"/>
      <w:bookmarkStart w:id="626" w:name="_Toc412574961"/>
      <w:bookmarkStart w:id="627" w:name="_Toc413425058"/>
      <w:bookmarkStart w:id="628" w:name="_Toc446424663"/>
      <w:bookmarkStart w:id="629" w:name="_Toc447036372"/>
      <w:bookmarkStart w:id="630" w:name="_Toc502754792"/>
      <w:bookmarkStart w:id="631" w:name="_Toc503186664"/>
      <w:bookmarkStart w:id="632" w:name="_Toc503346314"/>
      <w:bookmarkStart w:id="633" w:name="_Toc503392317"/>
      <w:bookmarkStart w:id="634" w:name="_Toc508268471"/>
      <w:bookmarkStart w:id="635" w:name="_Toc508629497"/>
      <w:bookmarkStart w:id="636" w:name="_Toc523927182"/>
      <w:bookmarkStart w:id="637" w:name="_Toc528063973"/>
      <w:bookmarkStart w:id="638" w:name="_Toc528064024"/>
      <w:bookmarkStart w:id="639" w:name="_Toc529198569"/>
      <w:bookmarkStart w:id="640" w:name="_Toc685876"/>
      <w:bookmarkStart w:id="641" w:name="_Toc1459437"/>
      <w:bookmarkStart w:id="642" w:name="_Toc4505880"/>
      <w:bookmarkStart w:id="643" w:name="_Toc8917993"/>
      <w:bookmarkStart w:id="644" w:name="_Toc10190559"/>
      <w:bookmarkStart w:id="645" w:name="_Toc13665615"/>
      <w:bookmarkStart w:id="646" w:name="_Toc13665802"/>
      <w:bookmarkStart w:id="647" w:name="_Toc15501984"/>
      <w:r w:rsidRPr="00ED6163">
        <w:rPr>
          <w:szCs w:val="22"/>
        </w:rPr>
        <w:t>Broadband Internet Access Service Providers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rsidR="00252A4C" w:rsidRPr="00ED6163" w:rsidP="00252A4C" w14:paraId="3E1EC1CD" w14:textId="77777777">
      <w:pPr>
        <w:numPr>
          <w:ilvl w:val="0"/>
          <w:numId w:val="2"/>
        </w:numPr>
        <w:tabs>
          <w:tab w:val="clear" w:pos="1080"/>
          <w:tab w:val="num" w:pos="1440"/>
        </w:tabs>
        <w:spacing w:after="120"/>
        <w:rPr>
          <w:szCs w:val="22"/>
        </w:rPr>
      </w:pPr>
      <w:r w:rsidRPr="00ED6163">
        <w:rPr>
          <w:szCs w:val="22"/>
        </w:rPr>
        <w:t>To ensure that this IRFA describes the universe of small entitie</w:t>
      </w:r>
      <w:r w:rsidRPr="00ED6163">
        <w:rPr>
          <w:szCs w:val="22"/>
        </w:rPr>
        <w:t>s that our action might affect, we discuss in turn several different types of entities that might be providing broadband Internet access service.</w:t>
      </w:r>
    </w:p>
    <w:p w:rsidR="00252A4C" w:rsidRPr="00ED6163" w:rsidP="00252A4C" w14:paraId="3CFDABCA" w14:textId="77777777">
      <w:pPr>
        <w:numPr>
          <w:ilvl w:val="0"/>
          <w:numId w:val="2"/>
        </w:numPr>
        <w:tabs>
          <w:tab w:val="clear" w:pos="1080"/>
          <w:tab w:val="num" w:pos="1440"/>
        </w:tabs>
        <w:spacing w:after="120"/>
        <w:rPr>
          <w:szCs w:val="22"/>
        </w:rPr>
      </w:pPr>
      <w:r w:rsidRPr="00ED6163">
        <w:rPr>
          <w:i/>
          <w:szCs w:val="22"/>
        </w:rPr>
        <w:t>Internet</w:t>
      </w:r>
      <w:r w:rsidRPr="00ED6163">
        <w:rPr>
          <w:b/>
          <w:i/>
          <w:szCs w:val="22"/>
        </w:rPr>
        <w:t xml:space="preserve"> </w:t>
      </w:r>
      <w:r w:rsidRPr="00ED6163">
        <w:rPr>
          <w:i/>
          <w:szCs w:val="22"/>
        </w:rPr>
        <w:t>Service</w:t>
      </w:r>
      <w:r w:rsidRPr="00ED6163">
        <w:rPr>
          <w:b/>
          <w:i/>
          <w:szCs w:val="22"/>
        </w:rPr>
        <w:t xml:space="preserve"> </w:t>
      </w:r>
      <w:r w:rsidRPr="00ED6163">
        <w:rPr>
          <w:i/>
          <w:szCs w:val="22"/>
        </w:rPr>
        <w:t>Providers (Broadband).</w:t>
      </w:r>
      <w:r w:rsidRPr="00ED6163">
        <w:rPr>
          <w:szCs w:val="22"/>
        </w:rPr>
        <w:t xml:space="preserve"> Broadband Internet service providers include wired (e.g., cable, DSL) </w:t>
      </w:r>
      <w:r w:rsidRPr="00ED6163">
        <w:rPr>
          <w:szCs w:val="22"/>
        </w:rPr>
        <w:t>and VoIP service providers using their own operated wired telecommunications infrastructure fall in the category of Wired Telecommunication Carriers.</w:t>
      </w:r>
      <w:r>
        <w:rPr>
          <w:szCs w:val="22"/>
          <w:vertAlign w:val="superscript"/>
        </w:rPr>
        <w:footnoteReference w:id="531"/>
      </w:r>
      <w:r w:rsidRPr="00ED6163">
        <w:rPr>
          <w:szCs w:val="22"/>
        </w:rPr>
        <w:t xml:space="preserve">  Wired Telecommunications Carriers are comprised of establishments primarily engaged in operating and/or</w:t>
      </w:r>
      <w:r w:rsidRPr="00ED6163">
        <w:rPr>
          <w:szCs w:val="22"/>
        </w:rPr>
        <w:t xml:space="preserve"> providing access to transmission facilities and infrastructure that they own and/or lease for the transmission of voice, data, text, sound, and video using wired telecommunications networks.  Transmission facilities may be based on a single technology or </w:t>
      </w:r>
      <w:r w:rsidRPr="00ED6163">
        <w:rPr>
          <w:szCs w:val="22"/>
        </w:rPr>
        <w:t>a combination of technologies.</w:t>
      </w:r>
      <w:r>
        <w:rPr>
          <w:szCs w:val="22"/>
          <w:vertAlign w:val="superscript"/>
        </w:rPr>
        <w:footnoteReference w:id="532"/>
      </w:r>
      <w:r w:rsidRPr="00ED6163">
        <w:rPr>
          <w:szCs w:val="22"/>
        </w:rPr>
        <w:t xml:space="preserve">  The SBA size standard for this category classifies a business as small if it has 1,500 or fewer employees.</w:t>
      </w:r>
      <w:r>
        <w:rPr>
          <w:szCs w:val="22"/>
          <w:vertAlign w:val="superscript"/>
        </w:rPr>
        <w:footnoteReference w:id="533"/>
      </w:r>
      <w:r w:rsidRPr="00ED6163">
        <w:rPr>
          <w:szCs w:val="22"/>
        </w:rPr>
        <w:t xml:space="preserve">  U.S. Census Bureau data for 2012 show that there were 3,117 firms that operated that year.</w:t>
      </w:r>
      <w:r>
        <w:rPr>
          <w:rStyle w:val="FootnoteReference"/>
          <w:sz w:val="22"/>
          <w:szCs w:val="22"/>
        </w:rPr>
        <w:footnoteReference w:id="534"/>
      </w:r>
      <w:r w:rsidRPr="00ED6163">
        <w:rPr>
          <w:szCs w:val="22"/>
        </w:rPr>
        <w:t xml:space="preserve">  Of this total, 3,0</w:t>
      </w:r>
      <w:r w:rsidRPr="00ED6163">
        <w:rPr>
          <w:szCs w:val="22"/>
        </w:rPr>
        <w:t>83 operated with fewer than 1,000 employees.</w:t>
      </w:r>
      <w:r>
        <w:rPr>
          <w:szCs w:val="22"/>
          <w:vertAlign w:val="superscript"/>
        </w:rPr>
        <w:footnoteReference w:id="535"/>
      </w:r>
      <w:r w:rsidRPr="00ED6163">
        <w:rPr>
          <w:szCs w:val="22"/>
        </w:rPr>
        <w:t xml:space="preserve">  Consequently, under this size standard the majority of firms in this industry can be considered small.</w:t>
      </w:r>
    </w:p>
    <w:p w:rsidR="00252A4C" w:rsidRPr="00ED6163" w:rsidP="00252A4C" w14:paraId="6AB447CF" w14:textId="77777777">
      <w:pPr>
        <w:numPr>
          <w:ilvl w:val="0"/>
          <w:numId w:val="2"/>
        </w:numPr>
        <w:tabs>
          <w:tab w:val="clear" w:pos="1080"/>
          <w:tab w:val="num" w:pos="1440"/>
        </w:tabs>
        <w:spacing w:after="120"/>
        <w:rPr>
          <w:szCs w:val="22"/>
        </w:rPr>
      </w:pPr>
      <w:r w:rsidRPr="00ED6163">
        <w:rPr>
          <w:i/>
          <w:szCs w:val="22"/>
        </w:rPr>
        <w:t>Internet</w:t>
      </w:r>
      <w:r w:rsidRPr="00ED6163">
        <w:rPr>
          <w:b/>
          <w:szCs w:val="22"/>
        </w:rPr>
        <w:t xml:space="preserve"> </w:t>
      </w:r>
      <w:r w:rsidRPr="00ED6163">
        <w:rPr>
          <w:i/>
          <w:szCs w:val="22"/>
        </w:rPr>
        <w:t>Service</w:t>
      </w:r>
      <w:r w:rsidRPr="00ED6163">
        <w:rPr>
          <w:b/>
          <w:szCs w:val="22"/>
        </w:rPr>
        <w:t xml:space="preserve"> </w:t>
      </w:r>
      <w:r w:rsidRPr="00ED6163">
        <w:rPr>
          <w:i/>
          <w:szCs w:val="22"/>
        </w:rPr>
        <w:t xml:space="preserve">Providers (Non-Broadband). </w:t>
      </w:r>
      <w:r w:rsidRPr="00ED6163">
        <w:rPr>
          <w:szCs w:val="22"/>
        </w:rPr>
        <w:t xml:space="preserve">Internet access service providers such as Dial-up </w:t>
      </w:r>
      <w:r w:rsidRPr="00ED6163">
        <w:rPr>
          <w:szCs w:val="22"/>
        </w:rPr>
        <w:t>Internet service providers, VoIP service providers using client-supplied telecommunications connections, and Internet service providers using client-supplied telecommunications connections (e.g., dial-up ISPs) fall in the category of All Other Telecommunic</w:t>
      </w:r>
      <w:r w:rsidRPr="00ED6163">
        <w:rPr>
          <w:szCs w:val="22"/>
        </w:rPr>
        <w:t>ations.</w:t>
      </w:r>
      <w:r>
        <w:rPr>
          <w:rStyle w:val="FootnoteReference"/>
          <w:sz w:val="22"/>
          <w:szCs w:val="22"/>
        </w:rPr>
        <w:footnoteReference w:id="536"/>
      </w:r>
      <w:r w:rsidRPr="00ED6163">
        <w:rPr>
          <w:szCs w:val="22"/>
        </w:rPr>
        <w:t xml:space="preserve">  The SBA has developed a small business size standard for All Other Telecommunications, which consists of all such firms with gross annual receipts of $32.5 million or less.</w:t>
      </w:r>
      <w:r>
        <w:rPr>
          <w:szCs w:val="22"/>
          <w:vertAlign w:val="superscript"/>
        </w:rPr>
        <w:footnoteReference w:id="537"/>
      </w:r>
      <w:r w:rsidRPr="00ED6163">
        <w:rPr>
          <w:szCs w:val="22"/>
        </w:rPr>
        <w:t xml:space="preserve">  For this category, U.S. Census Bureau data for 2012 show that there w</w:t>
      </w:r>
      <w:r w:rsidRPr="00ED6163">
        <w:rPr>
          <w:szCs w:val="22"/>
        </w:rPr>
        <w:t>ere 1,442 firms that operated for the entire year.</w:t>
      </w:r>
      <w:r>
        <w:rPr>
          <w:rStyle w:val="FootnoteReference"/>
          <w:sz w:val="22"/>
          <w:szCs w:val="22"/>
        </w:rPr>
        <w:footnoteReference w:id="538"/>
      </w:r>
      <w:r w:rsidRPr="00ED6163">
        <w:rPr>
          <w:szCs w:val="22"/>
        </w:rPr>
        <w:t xml:space="preserve">  Of these firms, a total of 1,400 had gross annual receipts of less than $25 million.</w:t>
      </w:r>
      <w:r>
        <w:rPr>
          <w:szCs w:val="22"/>
          <w:vertAlign w:val="superscript"/>
        </w:rPr>
        <w:footnoteReference w:id="539"/>
      </w:r>
      <w:r w:rsidRPr="00ED6163">
        <w:rPr>
          <w:szCs w:val="22"/>
        </w:rPr>
        <w:t xml:space="preserve">  Consequently, under this size standard, a majority of firms in this industry can be considered small.</w:t>
      </w:r>
    </w:p>
    <w:p w:rsidR="00252A4C" w:rsidRPr="00ED6163" w:rsidP="00252A4C" w14:paraId="2133D1D4" w14:textId="77777777">
      <w:pPr>
        <w:pStyle w:val="Heading3"/>
        <w:rPr>
          <w:szCs w:val="22"/>
        </w:rPr>
      </w:pPr>
      <w:bookmarkStart w:id="648" w:name="_Toc13665616"/>
      <w:bookmarkStart w:id="649" w:name="_Toc13665803"/>
      <w:bookmarkStart w:id="650" w:name="_Toc15501985"/>
      <w:r w:rsidRPr="00ED6163">
        <w:rPr>
          <w:szCs w:val="22"/>
        </w:rPr>
        <w:t>Wireline Pro</w:t>
      </w:r>
      <w:r w:rsidRPr="00ED6163">
        <w:rPr>
          <w:szCs w:val="22"/>
        </w:rPr>
        <w:t>viders</w:t>
      </w:r>
      <w:bookmarkEnd w:id="648"/>
      <w:bookmarkEnd w:id="649"/>
      <w:bookmarkEnd w:id="650"/>
    </w:p>
    <w:p w:rsidR="00252A4C" w:rsidRPr="00ED6163" w:rsidP="00252A4C" w14:paraId="5C056EA2" w14:textId="77777777">
      <w:pPr>
        <w:numPr>
          <w:ilvl w:val="0"/>
          <w:numId w:val="2"/>
        </w:numPr>
        <w:tabs>
          <w:tab w:val="clear" w:pos="1080"/>
          <w:tab w:val="num" w:pos="1440"/>
          <w:tab w:val="left" w:pos="1530"/>
        </w:tabs>
        <w:spacing w:after="120"/>
        <w:rPr>
          <w:szCs w:val="22"/>
        </w:rPr>
      </w:pPr>
      <w:r w:rsidRPr="00ED6163">
        <w:rPr>
          <w:i/>
          <w:szCs w:val="22"/>
        </w:rPr>
        <w:t>Wired Telecommunications Carriers.</w:t>
      </w:r>
      <w:r w:rsidRPr="00ED6163">
        <w:rPr>
          <w:szCs w:val="22"/>
        </w:rPr>
        <w:t xml:space="preserve">   The U.S. Census Bureau defines this industry as “establishments primarily engaged in operating and/or providing access to transmission facilities and infrastructure that they own and/or lease for the transmission</w:t>
      </w:r>
      <w:r w:rsidRPr="00ED6163">
        <w:rPr>
          <w:szCs w:val="22"/>
        </w:rPr>
        <w:t xml:space="preserve"> of voice, data, text, sound, and video using wired communications networks.  Transmission facilities may be based on a single technology or a combination of technologies.  Establishments in this industry use the wired telecommunications network facilities</w:t>
      </w:r>
      <w:r w:rsidRPr="00ED6163">
        <w:rPr>
          <w:szCs w:val="22"/>
        </w:rPr>
        <w:t xml:space="preserve"> that they operate to provide a variety of services, such as wired telephony services, including VoIP services, wired (cable) audio and video programming distribution, and wired broadband internet services.  By exception, establishments providing satellite</w:t>
      </w:r>
      <w:r w:rsidRPr="00ED6163">
        <w:rPr>
          <w:szCs w:val="22"/>
        </w:rPr>
        <w:t xml:space="preserve"> television distribution services using facilities and infrastructure that they operate are included in this industry.”</w:t>
      </w:r>
      <w:r>
        <w:rPr>
          <w:szCs w:val="22"/>
          <w:vertAlign w:val="superscript"/>
        </w:rPr>
        <w:footnoteReference w:id="540"/>
      </w:r>
      <w:r w:rsidRPr="00ED6163">
        <w:rPr>
          <w:szCs w:val="22"/>
        </w:rPr>
        <w:t xml:space="preserve">  The SBA has developed a small business size standard for Wired Telecommunications Carriers, which consists of all such companies havi</w:t>
      </w:r>
      <w:r w:rsidRPr="00ED6163">
        <w:rPr>
          <w:szCs w:val="22"/>
        </w:rPr>
        <w:t>ng 1,500 or fewer employees.</w:t>
      </w:r>
      <w:r>
        <w:rPr>
          <w:szCs w:val="22"/>
          <w:vertAlign w:val="superscript"/>
        </w:rPr>
        <w:footnoteReference w:id="541"/>
      </w:r>
      <w:r w:rsidRPr="00ED6163">
        <w:rPr>
          <w:szCs w:val="22"/>
        </w:rPr>
        <w:t xml:space="preserve">  U.S. Census Bureau data for 2012 show that there were 3,117 firms that operated that year.</w:t>
      </w:r>
      <w:r>
        <w:rPr>
          <w:rStyle w:val="FootnoteReference"/>
          <w:sz w:val="22"/>
          <w:szCs w:val="22"/>
        </w:rPr>
        <w:footnoteReference w:id="542"/>
      </w:r>
      <w:r w:rsidRPr="00ED6163">
        <w:rPr>
          <w:szCs w:val="22"/>
        </w:rPr>
        <w:t xml:space="preserve">  Of this total, 3,083 operated with fewer than 1,000 employees.</w:t>
      </w:r>
      <w:r>
        <w:rPr>
          <w:szCs w:val="22"/>
          <w:vertAlign w:val="superscript"/>
        </w:rPr>
        <w:footnoteReference w:id="543"/>
      </w:r>
      <w:r w:rsidRPr="00ED6163">
        <w:rPr>
          <w:szCs w:val="22"/>
        </w:rPr>
        <w:t xml:space="preserve">  Thus, under this size standard, the majority of firms in this in</w:t>
      </w:r>
      <w:r w:rsidRPr="00ED6163">
        <w:rPr>
          <w:szCs w:val="22"/>
        </w:rPr>
        <w:t>dustry can be considered small.</w:t>
      </w:r>
    </w:p>
    <w:p w:rsidR="00252A4C" w:rsidRPr="00ED6163" w:rsidP="0040438C" w14:paraId="577214AB" w14:textId="77777777">
      <w:pPr>
        <w:widowControl/>
        <w:numPr>
          <w:ilvl w:val="0"/>
          <w:numId w:val="2"/>
        </w:numPr>
        <w:tabs>
          <w:tab w:val="clear" w:pos="1080"/>
          <w:tab w:val="num" w:pos="1440"/>
          <w:tab w:val="left" w:pos="1530"/>
        </w:tabs>
        <w:spacing w:after="120"/>
        <w:rPr>
          <w:szCs w:val="22"/>
        </w:rPr>
      </w:pPr>
      <w:r w:rsidRPr="00ED6163">
        <w:rPr>
          <w:i/>
          <w:szCs w:val="22"/>
        </w:rPr>
        <w:t>Local Exchange Carriers (LECs).</w:t>
      </w:r>
      <w:r w:rsidRPr="00ED6163">
        <w:rPr>
          <w:szCs w:val="22"/>
        </w:rPr>
        <w:t xml:space="preserve">   Neither the Commission nor the SBA has developed a size standard for small businesses specifically applicable to local exchange services.  The closest applicable NAICS Code category is Wired</w:t>
      </w:r>
      <w:r w:rsidRPr="00ED6163">
        <w:rPr>
          <w:szCs w:val="22"/>
        </w:rPr>
        <w:t xml:space="preserve"> Telecommunications Carriers.</w:t>
      </w:r>
      <w:r>
        <w:rPr>
          <w:rStyle w:val="FootnoteReference"/>
          <w:sz w:val="22"/>
          <w:szCs w:val="22"/>
        </w:rPr>
        <w:footnoteReference w:id="544"/>
      </w:r>
      <w:r w:rsidRPr="00ED6163">
        <w:rPr>
          <w:szCs w:val="22"/>
        </w:rPr>
        <w:t xml:space="preserve">   Under the applicable SBA size standard, such a business is small if it has 1,500 or fewer employees.</w:t>
      </w:r>
      <w:r>
        <w:rPr>
          <w:szCs w:val="22"/>
          <w:vertAlign w:val="superscript"/>
        </w:rPr>
        <w:footnoteReference w:id="545"/>
      </w:r>
      <w:r w:rsidRPr="00ED6163">
        <w:rPr>
          <w:szCs w:val="22"/>
        </w:rPr>
        <w:t xml:space="preserve">  According to Commission data, U.S. Census data for 2012 show that there were 3,117 firms that operated that year.</w:t>
      </w:r>
      <w:r>
        <w:rPr>
          <w:rStyle w:val="FootnoteReference"/>
          <w:sz w:val="22"/>
          <w:szCs w:val="22"/>
        </w:rPr>
        <w:footnoteReference w:id="546"/>
      </w:r>
      <w:r w:rsidRPr="00ED6163">
        <w:rPr>
          <w:szCs w:val="22"/>
        </w:rPr>
        <w:t xml:space="preserve">  Of this total, 3,083 operated with fewer than 1,000 employees.</w:t>
      </w:r>
      <w:r>
        <w:rPr>
          <w:szCs w:val="22"/>
          <w:vertAlign w:val="superscript"/>
        </w:rPr>
        <w:footnoteReference w:id="547"/>
      </w:r>
      <w:r w:rsidRPr="00ED6163">
        <w:rPr>
          <w:szCs w:val="22"/>
        </w:rPr>
        <w:t xml:space="preserve">  Thus, under this category and the associated size standard, the Commiss</w:t>
      </w:r>
      <w:r w:rsidRPr="00ED6163">
        <w:rPr>
          <w:szCs w:val="22"/>
        </w:rPr>
        <w:t>ion estimates that the majority of local exchange carriers are small entities.</w:t>
      </w:r>
    </w:p>
    <w:p w:rsidR="00252A4C" w:rsidRPr="00ED6163" w:rsidP="00252A4C" w14:paraId="4E8FB977" w14:textId="77777777">
      <w:pPr>
        <w:numPr>
          <w:ilvl w:val="0"/>
          <w:numId w:val="2"/>
        </w:numPr>
        <w:tabs>
          <w:tab w:val="clear" w:pos="1080"/>
          <w:tab w:val="num" w:pos="1440"/>
        </w:tabs>
        <w:spacing w:after="120"/>
        <w:rPr>
          <w:szCs w:val="22"/>
        </w:rPr>
      </w:pPr>
      <w:r w:rsidRPr="00ED6163">
        <w:rPr>
          <w:i/>
          <w:szCs w:val="22"/>
        </w:rPr>
        <w:t xml:space="preserve">Incumbent Local Exchange Carriers </w:t>
      </w:r>
      <w:r w:rsidRPr="00947E6A">
        <w:t>(</w:t>
      </w:r>
      <w:r w:rsidRPr="00ED6163">
        <w:rPr>
          <w:i/>
          <w:szCs w:val="22"/>
        </w:rPr>
        <w:t>Incumbent LECs</w:t>
      </w:r>
      <w:r w:rsidRPr="00947E6A">
        <w:t>).</w:t>
      </w:r>
      <w:r w:rsidRPr="00ED6163">
        <w:rPr>
          <w:szCs w:val="22"/>
        </w:rPr>
        <w:t xml:space="preserve">  Neither the Commission nor the SBA has developed a small business size standard specifically for incumbent local exchange se</w:t>
      </w:r>
      <w:r w:rsidRPr="00ED6163">
        <w:rPr>
          <w:szCs w:val="22"/>
        </w:rPr>
        <w:t>rvices.  The closest applicable NAICS Code category is Wired Telecommunications Carriers.</w:t>
      </w:r>
      <w:r w:rsidRPr="00ED6163">
        <w:rPr>
          <w:rStyle w:val="Heading5Char"/>
          <w:rFonts w:ascii="Times New Roman" w:hAnsi="Times New Roman"/>
          <w:szCs w:val="22"/>
        </w:rPr>
        <w:t xml:space="preserve"> </w:t>
      </w:r>
      <w:r>
        <w:rPr>
          <w:rStyle w:val="FootnoteReference"/>
          <w:sz w:val="22"/>
          <w:szCs w:val="22"/>
        </w:rPr>
        <w:footnoteReference w:id="548"/>
      </w:r>
      <w:r w:rsidRPr="00ED6163">
        <w:rPr>
          <w:szCs w:val="22"/>
        </w:rPr>
        <w:t xml:space="preserve">  Under the applicable SBA size standard, such a business is small if it has 1,500 or fewer employees.</w:t>
      </w:r>
      <w:r>
        <w:rPr>
          <w:szCs w:val="22"/>
          <w:vertAlign w:val="superscript"/>
        </w:rPr>
        <w:footnoteReference w:id="549"/>
      </w:r>
      <w:r w:rsidRPr="00ED6163">
        <w:rPr>
          <w:szCs w:val="22"/>
        </w:rPr>
        <w:t xml:space="preserve">  According U.S. Census Bureau data for 2012, 3,117 firms op</w:t>
      </w:r>
      <w:r w:rsidRPr="00ED6163">
        <w:rPr>
          <w:szCs w:val="22"/>
        </w:rPr>
        <w:t>erated in that year.</w:t>
      </w:r>
      <w:r>
        <w:rPr>
          <w:rStyle w:val="FootnoteReference"/>
          <w:sz w:val="22"/>
          <w:szCs w:val="22"/>
        </w:rPr>
        <w:footnoteReference w:id="550"/>
      </w:r>
      <w:r w:rsidRPr="00ED6163">
        <w:rPr>
          <w:szCs w:val="22"/>
        </w:rPr>
        <w:t xml:space="preserve">  Of this total, 3,083 operated with fewer than 1,000 employees.</w:t>
      </w:r>
      <w:r>
        <w:rPr>
          <w:szCs w:val="22"/>
          <w:vertAlign w:val="superscript"/>
        </w:rPr>
        <w:footnoteReference w:id="551"/>
      </w:r>
      <w:r w:rsidRPr="00ED6163">
        <w:rPr>
          <w:szCs w:val="22"/>
        </w:rPr>
        <w:t xml:space="preserve">  Consequently, the Commission estimates that most providers of incumbent local exchange service are small businesses that may be affected by our actions</w:t>
      </w:r>
      <w:r w:rsidRPr="00ED6163">
        <w:rPr>
          <w:i/>
          <w:szCs w:val="22"/>
        </w:rPr>
        <w:t>.</w:t>
      </w:r>
      <w:r w:rsidRPr="00ED6163">
        <w:rPr>
          <w:szCs w:val="22"/>
        </w:rPr>
        <w:t xml:space="preserve">  According to</w:t>
      </w:r>
      <w:r w:rsidRPr="00ED6163">
        <w:rPr>
          <w:szCs w:val="22"/>
        </w:rPr>
        <w:t xml:space="preserve"> Commission data, 1,307 Incumbent LECs reported that they were incumbent local exchange service providers.</w:t>
      </w:r>
      <w:r>
        <w:rPr>
          <w:spacing w:val="-2"/>
          <w:szCs w:val="22"/>
          <w:vertAlign w:val="superscript"/>
        </w:rPr>
        <w:footnoteReference w:id="552"/>
      </w:r>
      <w:r w:rsidRPr="00ED6163">
        <w:rPr>
          <w:szCs w:val="22"/>
        </w:rPr>
        <w:t xml:space="preserve">  Of this total, an estimated 1,006 have 1,500 or fewer employees.</w:t>
      </w:r>
      <w:r>
        <w:rPr>
          <w:spacing w:val="-2"/>
          <w:szCs w:val="22"/>
          <w:vertAlign w:val="superscript"/>
        </w:rPr>
        <w:footnoteReference w:id="553"/>
      </w:r>
      <w:r w:rsidRPr="00ED6163">
        <w:rPr>
          <w:szCs w:val="22"/>
        </w:rPr>
        <w:t xml:space="preserve"> Thus, using the SBA’s size standard, the majority of Incumbent LECs can be considered small entities.</w:t>
      </w:r>
    </w:p>
    <w:p w:rsidR="00252A4C" w:rsidRPr="00ED6163" w:rsidP="00252A4C" w14:paraId="7ACADFCC" w14:textId="77777777">
      <w:pPr>
        <w:numPr>
          <w:ilvl w:val="0"/>
          <w:numId w:val="2"/>
        </w:numPr>
        <w:tabs>
          <w:tab w:val="clear" w:pos="1080"/>
          <w:tab w:val="num" w:pos="1440"/>
        </w:tabs>
        <w:spacing w:after="120"/>
        <w:rPr>
          <w:szCs w:val="22"/>
        </w:rPr>
      </w:pPr>
      <w:r w:rsidRPr="00ED6163">
        <w:rPr>
          <w:i/>
          <w:szCs w:val="22"/>
        </w:rPr>
        <w:t>Competitive Local Exchange Carriers (Competitive LECs), Competitive Access Providers (CAPs), Shared-Tenant Service Providers, and Other Local Service Pro</w:t>
      </w:r>
      <w:r w:rsidRPr="00ED6163">
        <w:rPr>
          <w:i/>
          <w:szCs w:val="22"/>
        </w:rPr>
        <w:t>viders</w:t>
      </w:r>
      <w:r w:rsidRPr="00ED6163">
        <w:rPr>
          <w:szCs w:val="22"/>
        </w:rPr>
        <w:t>.   Neither the Commission nor the SBA has developed a small business size standard specifically for these service providers.  The appropriate NAICS Code category is Wired Telecommunications Carriers and under that size standard, such a business is s</w:t>
      </w:r>
      <w:r w:rsidRPr="00ED6163">
        <w:rPr>
          <w:szCs w:val="22"/>
        </w:rPr>
        <w:t>mall if it has 1,500 or fewer employees.</w:t>
      </w:r>
      <w:r>
        <w:rPr>
          <w:spacing w:val="-2"/>
          <w:szCs w:val="22"/>
          <w:vertAlign w:val="superscript"/>
        </w:rPr>
        <w:footnoteReference w:id="554"/>
      </w:r>
      <w:r w:rsidRPr="00ED6163">
        <w:rPr>
          <w:szCs w:val="22"/>
          <w:vertAlign w:val="superscript"/>
        </w:rPr>
        <w:t xml:space="preserve"> </w:t>
      </w:r>
      <w:r w:rsidRPr="00ED6163">
        <w:rPr>
          <w:szCs w:val="22"/>
        </w:rPr>
        <w:t xml:space="preserve"> U.S. Census Bureau data for 2012 indicate that 3,117 firms operated during that year.</w:t>
      </w:r>
      <w:r>
        <w:rPr>
          <w:rStyle w:val="FootnoteReference"/>
          <w:sz w:val="22"/>
          <w:szCs w:val="22"/>
        </w:rPr>
        <w:footnoteReference w:id="555"/>
      </w:r>
      <w:r w:rsidRPr="00ED6163">
        <w:rPr>
          <w:szCs w:val="22"/>
        </w:rPr>
        <w:t xml:space="preserve">  Of that number, 3,083 operated with fewer than 1,000 employees.</w:t>
      </w:r>
      <w:r>
        <w:rPr>
          <w:szCs w:val="22"/>
          <w:vertAlign w:val="superscript"/>
        </w:rPr>
        <w:footnoteReference w:id="556"/>
      </w:r>
      <w:r w:rsidRPr="00ED6163">
        <w:rPr>
          <w:szCs w:val="22"/>
        </w:rPr>
        <w:t xml:space="preserve">  Based on these data, the Commission concludes that the m</w:t>
      </w:r>
      <w:r w:rsidRPr="00ED6163">
        <w:rPr>
          <w:szCs w:val="22"/>
        </w:rPr>
        <w:t>ajority of Competitive LECs, CAPs, Shared-Tenant Service Providers, and Other Local Service Providers, are small entities.  According to Commission data, 1,442 carriers reported that they were engaged in the provision of either competitive local exchange s</w:t>
      </w:r>
      <w:r w:rsidRPr="00ED6163">
        <w:rPr>
          <w:szCs w:val="22"/>
        </w:rPr>
        <w:t>ervices or competitive access provider services.</w:t>
      </w:r>
      <w:r>
        <w:rPr>
          <w:spacing w:val="-2"/>
          <w:szCs w:val="22"/>
          <w:vertAlign w:val="superscript"/>
        </w:rPr>
        <w:footnoteReference w:id="557"/>
      </w:r>
      <w:r w:rsidRPr="00ED6163">
        <w:rPr>
          <w:szCs w:val="22"/>
        </w:rPr>
        <w:t xml:space="preserve">  Of these 1,442 carriers, an estimated 1,256 have 1,500 or fewer employees.</w:t>
      </w:r>
      <w:r>
        <w:rPr>
          <w:spacing w:val="-2"/>
          <w:szCs w:val="22"/>
          <w:vertAlign w:val="superscript"/>
        </w:rPr>
        <w:footnoteReference w:id="558"/>
      </w:r>
      <w:r w:rsidRPr="00ED6163">
        <w:rPr>
          <w:szCs w:val="22"/>
        </w:rPr>
        <w:t xml:space="preserve">  In addition, 17 carriers have reported that they are Shared-Tenant Service Providers, and all 17 are estimated to have 1,500 o</w:t>
      </w:r>
      <w:r w:rsidRPr="00ED6163">
        <w:rPr>
          <w:szCs w:val="22"/>
        </w:rPr>
        <w:t>r fewer employees.</w:t>
      </w:r>
      <w:r>
        <w:rPr>
          <w:spacing w:val="-2"/>
          <w:szCs w:val="22"/>
          <w:vertAlign w:val="superscript"/>
        </w:rPr>
        <w:footnoteReference w:id="559"/>
      </w:r>
      <w:r w:rsidRPr="00ED6163">
        <w:rPr>
          <w:szCs w:val="22"/>
        </w:rPr>
        <w:t xml:space="preserve">  Also, 72 carriers have reported that they are Other Local Service Providers.</w:t>
      </w:r>
      <w:r>
        <w:rPr>
          <w:spacing w:val="-2"/>
          <w:szCs w:val="22"/>
          <w:vertAlign w:val="superscript"/>
        </w:rPr>
        <w:footnoteReference w:id="560"/>
      </w:r>
      <w:r w:rsidRPr="00ED6163">
        <w:rPr>
          <w:szCs w:val="22"/>
        </w:rPr>
        <w:t xml:space="preserve">   Of this total, 70 have 1,500 or fewer employees.</w:t>
      </w:r>
      <w:r>
        <w:rPr>
          <w:spacing w:val="-2"/>
          <w:szCs w:val="22"/>
          <w:vertAlign w:val="superscript"/>
        </w:rPr>
        <w:footnoteReference w:id="561"/>
      </w:r>
      <w:r w:rsidRPr="00ED6163">
        <w:rPr>
          <w:szCs w:val="22"/>
        </w:rPr>
        <w:t xml:space="preserve">  Consequently, based on internally researched FCC data, the Commission estimates that most providers o</w:t>
      </w:r>
      <w:r w:rsidRPr="00ED6163">
        <w:rPr>
          <w:szCs w:val="22"/>
        </w:rPr>
        <w:t>f competitive local exchange service, competitive access providers, Shared-Tenant Service Providers, and Other Local Service Providers are small entities.</w:t>
      </w:r>
      <w:r>
        <w:rPr>
          <w:szCs w:val="22"/>
          <w:vertAlign w:val="superscript"/>
        </w:rPr>
        <w:footnoteReference w:id="562"/>
      </w:r>
      <w:r w:rsidRPr="00ED6163">
        <w:rPr>
          <w:szCs w:val="22"/>
        </w:rPr>
        <w:t xml:space="preserve"> </w:t>
      </w:r>
    </w:p>
    <w:p w:rsidR="00252A4C" w:rsidRPr="00ED6163" w:rsidP="00252A4C" w14:paraId="53F87F95" w14:textId="77777777">
      <w:pPr>
        <w:numPr>
          <w:ilvl w:val="0"/>
          <w:numId w:val="2"/>
        </w:numPr>
        <w:tabs>
          <w:tab w:val="clear" w:pos="1080"/>
          <w:tab w:val="num" w:pos="1440"/>
        </w:tabs>
        <w:spacing w:after="120"/>
        <w:rPr>
          <w:szCs w:val="22"/>
        </w:rPr>
      </w:pPr>
      <w:r w:rsidRPr="00ED6163">
        <w:rPr>
          <w:i/>
          <w:szCs w:val="22"/>
        </w:rPr>
        <w:t xml:space="preserve">Interexchange Carriers (IXCs).  </w:t>
      </w:r>
      <w:r w:rsidRPr="00ED6163">
        <w:rPr>
          <w:szCs w:val="22"/>
        </w:rPr>
        <w:t xml:space="preserve">Neither the Commission nor the SBA has developed a definition for </w:t>
      </w:r>
      <w:r w:rsidRPr="00ED6163">
        <w:rPr>
          <w:szCs w:val="22"/>
        </w:rPr>
        <w:t>Interexchange Carriers.  The closest NAICS Code category is Wired Telecommunications Carriers.</w:t>
      </w:r>
      <w:r>
        <w:rPr>
          <w:rStyle w:val="FootnoteReference"/>
          <w:sz w:val="22"/>
          <w:szCs w:val="22"/>
        </w:rPr>
        <w:footnoteReference w:id="563"/>
      </w:r>
      <w:r w:rsidRPr="00ED6163">
        <w:rPr>
          <w:szCs w:val="22"/>
        </w:rPr>
        <w:t xml:space="preserve">  The applicable size standard under SBA rules consists of all such companies having 1,500 or fewer employees.</w:t>
      </w:r>
      <w:r>
        <w:rPr>
          <w:spacing w:val="-2"/>
          <w:szCs w:val="22"/>
          <w:vertAlign w:val="superscript"/>
        </w:rPr>
        <w:footnoteReference w:id="564"/>
      </w:r>
      <w:r w:rsidRPr="00ED6163">
        <w:rPr>
          <w:szCs w:val="22"/>
        </w:rPr>
        <w:t xml:space="preserve">  U.S. Census Bureau data for 2012 indicate that</w:t>
      </w:r>
      <w:r w:rsidRPr="00ED6163">
        <w:rPr>
          <w:szCs w:val="22"/>
        </w:rPr>
        <w:t xml:space="preserve"> 3,117 firms operated during that year.</w:t>
      </w:r>
      <w:r>
        <w:rPr>
          <w:rStyle w:val="FootnoteReference"/>
          <w:sz w:val="22"/>
          <w:szCs w:val="22"/>
        </w:rPr>
        <w:footnoteReference w:id="565"/>
      </w:r>
      <w:r w:rsidRPr="00ED6163">
        <w:rPr>
          <w:szCs w:val="22"/>
        </w:rPr>
        <w:t xml:space="preserve">  Of that number, 3,083 operated with fewer than 1,000 employees.</w:t>
      </w:r>
      <w:r>
        <w:rPr>
          <w:szCs w:val="22"/>
          <w:vertAlign w:val="superscript"/>
        </w:rPr>
        <w:footnoteReference w:id="566"/>
      </w:r>
      <w:r w:rsidRPr="00ED6163">
        <w:rPr>
          <w:szCs w:val="22"/>
        </w:rPr>
        <w:t xml:space="preserve">  According to internally developed Commission data, 359 companies reported that their primary telecommunications service activity was the provision</w:t>
      </w:r>
      <w:r w:rsidRPr="00ED6163">
        <w:rPr>
          <w:szCs w:val="22"/>
        </w:rPr>
        <w:t xml:space="preserve"> of interexchange services.</w:t>
      </w:r>
      <w:r>
        <w:rPr>
          <w:spacing w:val="-2"/>
          <w:szCs w:val="22"/>
          <w:vertAlign w:val="superscript"/>
        </w:rPr>
        <w:footnoteReference w:id="567"/>
      </w:r>
      <w:r w:rsidRPr="00ED6163">
        <w:rPr>
          <w:szCs w:val="22"/>
        </w:rPr>
        <w:t xml:space="preserve">  Of this total, an estimated 317 have 1,500 or fewer employees.</w:t>
      </w:r>
      <w:r>
        <w:rPr>
          <w:spacing w:val="-2"/>
          <w:szCs w:val="22"/>
          <w:vertAlign w:val="superscript"/>
        </w:rPr>
        <w:footnoteReference w:id="568"/>
      </w:r>
      <w:r w:rsidRPr="00ED6163">
        <w:rPr>
          <w:szCs w:val="22"/>
        </w:rPr>
        <w:t xml:space="preserve">  Consequently, the Commission estimates that the majority of interexchange service providers are small entities.</w:t>
      </w:r>
    </w:p>
    <w:p w:rsidR="00252A4C" w:rsidRPr="00ED6163" w:rsidP="00B65CE2" w14:paraId="7F43554F" w14:textId="77777777">
      <w:pPr>
        <w:widowControl/>
        <w:numPr>
          <w:ilvl w:val="0"/>
          <w:numId w:val="2"/>
        </w:numPr>
        <w:tabs>
          <w:tab w:val="clear" w:pos="1080"/>
          <w:tab w:val="num" w:pos="1440"/>
        </w:tabs>
        <w:spacing w:after="120"/>
        <w:rPr>
          <w:szCs w:val="22"/>
        </w:rPr>
      </w:pPr>
      <w:r w:rsidRPr="00ED6163">
        <w:rPr>
          <w:i/>
          <w:szCs w:val="22"/>
        </w:rPr>
        <w:t xml:space="preserve">Operator Service Providers </w:t>
      </w:r>
      <w:r w:rsidRPr="00ED6163">
        <w:rPr>
          <w:szCs w:val="22"/>
        </w:rPr>
        <w:t>(</w:t>
      </w:r>
      <w:r w:rsidRPr="00ED6163">
        <w:rPr>
          <w:i/>
          <w:szCs w:val="22"/>
        </w:rPr>
        <w:t>OSPs</w:t>
      </w:r>
      <w:r w:rsidRPr="00ED6163">
        <w:rPr>
          <w:szCs w:val="22"/>
        </w:rPr>
        <w:t>).  Neither the Commission nor the SBA has developed a small business size standard specifically for operator service providers.  The closest applicable size standard under SBA rules is the category of Wired Telecommunicatio</w:t>
      </w:r>
      <w:r w:rsidRPr="00ED6163">
        <w:rPr>
          <w:szCs w:val="22"/>
        </w:rPr>
        <w:t>ns Carriers.</w:t>
      </w:r>
      <w:r>
        <w:rPr>
          <w:rStyle w:val="FootnoteReference"/>
          <w:sz w:val="22"/>
          <w:szCs w:val="22"/>
        </w:rPr>
        <w:footnoteReference w:id="569"/>
      </w:r>
      <w:r w:rsidRPr="00ED6163">
        <w:rPr>
          <w:szCs w:val="22"/>
        </w:rPr>
        <w:t xml:space="preserve">  Under the size standard for Wired Telecommunications Carriers, such a business is small if it has 1,500 or fewer employees.</w:t>
      </w:r>
      <w:r>
        <w:rPr>
          <w:szCs w:val="22"/>
          <w:vertAlign w:val="superscript"/>
        </w:rPr>
        <w:footnoteReference w:id="570"/>
      </w:r>
      <w:r w:rsidRPr="00ED6163">
        <w:rPr>
          <w:szCs w:val="22"/>
        </w:rPr>
        <w:t xml:space="preserve">  U.S. Census Bureau data for 2012 show that there were 3,117 firms that operated that year.</w:t>
      </w:r>
      <w:r>
        <w:rPr>
          <w:rStyle w:val="FootnoteReference"/>
          <w:sz w:val="22"/>
          <w:szCs w:val="22"/>
        </w:rPr>
        <w:footnoteReference w:id="571"/>
      </w:r>
      <w:r w:rsidRPr="00ED6163">
        <w:rPr>
          <w:szCs w:val="22"/>
        </w:rPr>
        <w:t xml:space="preserve">  Of this total, 3,08</w:t>
      </w:r>
      <w:r w:rsidRPr="00ED6163">
        <w:rPr>
          <w:szCs w:val="22"/>
        </w:rPr>
        <w:t>3 operated with fewer than 1,000 employees.</w:t>
      </w:r>
      <w:r>
        <w:rPr>
          <w:szCs w:val="22"/>
          <w:vertAlign w:val="superscript"/>
        </w:rPr>
        <w:footnoteReference w:id="572"/>
      </w:r>
      <w:r w:rsidRPr="00ED6163">
        <w:rPr>
          <w:szCs w:val="22"/>
        </w:rPr>
        <w:t xml:space="preserve">  Thus, under this size standard, the majority of firms in this industry can be considered small.</w:t>
      </w:r>
    </w:p>
    <w:p w:rsidR="00252A4C" w:rsidRPr="00ED6163" w:rsidP="00252A4C" w14:paraId="552CC444" w14:textId="77777777">
      <w:pPr>
        <w:numPr>
          <w:ilvl w:val="0"/>
          <w:numId w:val="2"/>
        </w:numPr>
        <w:tabs>
          <w:tab w:val="clear" w:pos="1080"/>
          <w:tab w:val="num" w:pos="1440"/>
        </w:tabs>
        <w:spacing w:after="120"/>
        <w:rPr>
          <w:szCs w:val="22"/>
        </w:rPr>
      </w:pPr>
      <w:r w:rsidRPr="00ED6163">
        <w:rPr>
          <w:szCs w:val="22"/>
        </w:rPr>
        <w:t>According to Commission data, 33 carriers have reported that they are engaged in the provision of operator servic</w:t>
      </w:r>
      <w:r w:rsidRPr="00ED6163">
        <w:rPr>
          <w:szCs w:val="22"/>
        </w:rPr>
        <w:t>es.</w:t>
      </w:r>
      <w:r>
        <w:rPr>
          <w:szCs w:val="22"/>
          <w:vertAlign w:val="superscript"/>
        </w:rPr>
        <w:footnoteReference w:id="573"/>
      </w:r>
      <w:r w:rsidRPr="00ED6163">
        <w:rPr>
          <w:szCs w:val="22"/>
        </w:rPr>
        <w:t xml:space="preserve">  Of these, an estimated 31 have 1,500 or fewer employees and two have more than 1,500 employees.</w:t>
      </w:r>
      <w:r>
        <w:rPr>
          <w:szCs w:val="22"/>
          <w:vertAlign w:val="superscript"/>
        </w:rPr>
        <w:footnoteReference w:id="574"/>
      </w:r>
      <w:r w:rsidRPr="00ED6163">
        <w:rPr>
          <w:szCs w:val="22"/>
        </w:rPr>
        <w:t xml:space="preserve">  Consequently, the Commission estimates that the majority of OSPs are small entities. </w:t>
      </w:r>
    </w:p>
    <w:p w:rsidR="00252A4C" w:rsidRPr="00ED6163" w:rsidP="00252A4C" w14:paraId="31723541" w14:textId="77777777">
      <w:pPr>
        <w:numPr>
          <w:ilvl w:val="0"/>
          <w:numId w:val="2"/>
        </w:numPr>
        <w:tabs>
          <w:tab w:val="clear" w:pos="1080"/>
          <w:tab w:val="num" w:pos="1440"/>
        </w:tabs>
        <w:spacing w:after="120"/>
        <w:rPr>
          <w:szCs w:val="22"/>
        </w:rPr>
      </w:pPr>
      <w:r w:rsidRPr="00ED6163">
        <w:rPr>
          <w:i/>
          <w:szCs w:val="22"/>
        </w:rPr>
        <w:t>Other Toll Carriers</w:t>
      </w:r>
      <w:r w:rsidRPr="00ED6163">
        <w:rPr>
          <w:szCs w:val="22"/>
        </w:rPr>
        <w:t xml:space="preserve">.   Neither the Commission nor the SBA has </w:t>
      </w:r>
      <w:r w:rsidRPr="00ED6163">
        <w:rPr>
          <w:szCs w:val="22"/>
        </w:rPr>
        <w:t xml:space="preserve">developed a definition for small businesses specifically applicable to Other Toll Carriers.  This category includes toll carriers that do not fall within the categories of interexchange carriers, operator service providers, prepaid calling card providers, </w:t>
      </w:r>
      <w:r w:rsidRPr="00ED6163">
        <w:rPr>
          <w:szCs w:val="22"/>
        </w:rPr>
        <w:t>satellite service carriers, or toll resellers.  The closest applicable size standard under SBA rules is for Wired Telecommunications Carriers and the applicable small business size standard under SBA rules consists of all such companies having 1,500 or few</w:t>
      </w:r>
      <w:r w:rsidRPr="00ED6163">
        <w:rPr>
          <w:szCs w:val="22"/>
        </w:rPr>
        <w:t>er employees.</w:t>
      </w:r>
      <w:r>
        <w:rPr>
          <w:spacing w:val="-2"/>
          <w:szCs w:val="22"/>
          <w:vertAlign w:val="superscript"/>
        </w:rPr>
        <w:footnoteReference w:id="575"/>
      </w:r>
      <w:r w:rsidRPr="00ED6163">
        <w:rPr>
          <w:szCs w:val="22"/>
        </w:rPr>
        <w:t xml:space="preserve">  U.S. Census data for 2012 indicate that 3,117 firms operated during that year.</w:t>
      </w:r>
      <w:r>
        <w:rPr>
          <w:rStyle w:val="FootnoteReference"/>
          <w:sz w:val="22"/>
          <w:szCs w:val="22"/>
        </w:rPr>
        <w:footnoteReference w:id="576"/>
      </w:r>
      <w:r w:rsidRPr="00ED6163">
        <w:rPr>
          <w:szCs w:val="22"/>
        </w:rPr>
        <w:t xml:space="preserve">  Of that number, 3,083 operated with fewer than 1,000 employees.</w:t>
      </w:r>
      <w:r>
        <w:rPr>
          <w:szCs w:val="22"/>
          <w:vertAlign w:val="superscript"/>
        </w:rPr>
        <w:footnoteReference w:id="577"/>
      </w:r>
      <w:r w:rsidRPr="00ED6163">
        <w:rPr>
          <w:szCs w:val="22"/>
        </w:rPr>
        <w:t xml:space="preserve">  According to Commission data, 284 companies reported that their primary telecommunications</w:t>
      </w:r>
      <w:r w:rsidRPr="00ED6163">
        <w:rPr>
          <w:szCs w:val="22"/>
        </w:rPr>
        <w:t xml:space="preserve"> service activity was the provision of other toll carriage.</w:t>
      </w:r>
      <w:r>
        <w:rPr>
          <w:spacing w:val="-2"/>
          <w:szCs w:val="22"/>
          <w:vertAlign w:val="superscript"/>
        </w:rPr>
        <w:footnoteReference w:id="578"/>
      </w:r>
      <w:r w:rsidRPr="00ED6163">
        <w:rPr>
          <w:szCs w:val="22"/>
        </w:rPr>
        <w:t xml:space="preserve">  Of these, an estimated 279 have 1,500 or fewer employees.</w:t>
      </w:r>
      <w:r>
        <w:rPr>
          <w:spacing w:val="-2"/>
          <w:szCs w:val="22"/>
          <w:vertAlign w:val="superscript"/>
        </w:rPr>
        <w:footnoteReference w:id="579"/>
      </w:r>
      <w:r w:rsidRPr="00ED6163">
        <w:rPr>
          <w:szCs w:val="22"/>
        </w:rPr>
        <w:t xml:space="preserve">  Consequently, the Commission estimates that most Other Toll Carriers are small entities.</w:t>
      </w:r>
    </w:p>
    <w:p w:rsidR="00252A4C" w:rsidRPr="00ED6163" w:rsidP="00252A4C" w14:paraId="0571BC35" w14:textId="77777777">
      <w:pPr>
        <w:pStyle w:val="Heading3"/>
        <w:rPr>
          <w:szCs w:val="22"/>
        </w:rPr>
      </w:pPr>
      <w:bookmarkStart w:id="651" w:name="_Toc412097299"/>
      <w:bookmarkStart w:id="652" w:name="_Toc412382116"/>
      <w:bookmarkStart w:id="653" w:name="_Toc412409144"/>
      <w:bookmarkStart w:id="654" w:name="_Toc412409991"/>
      <w:bookmarkStart w:id="655" w:name="_Toc412410099"/>
      <w:bookmarkStart w:id="656" w:name="_Toc412410354"/>
      <w:bookmarkStart w:id="657" w:name="_Toc412557237"/>
      <w:bookmarkStart w:id="658" w:name="_Toc412557597"/>
      <w:bookmarkStart w:id="659" w:name="_Toc412574963"/>
      <w:bookmarkStart w:id="660" w:name="_Toc413425060"/>
      <w:bookmarkStart w:id="661" w:name="_Toc446424665"/>
      <w:bookmarkStart w:id="662" w:name="_Toc447036374"/>
      <w:bookmarkStart w:id="663" w:name="_Toc502754794"/>
      <w:bookmarkStart w:id="664" w:name="_Toc503186666"/>
      <w:bookmarkStart w:id="665" w:name="_Toc503346316"/>
      <w:bookmarkStart w:id="666" w:name="_Toc503392319"/>
      <w:bookmarkStart w:id="667" w:name="_Toc508268473"/>
      <w:bookmarkStart w:id="668" w:name="_Toc508629499"/>
      <w:bookmarkStart w:id="669" w:name="_Toc523927184"/>
      <w:bookmarkStart w:id="670" w:name="_Toc528063975"/>
      <w:bookmarkStart w:id="671" w:name="_Toc528064026"/>
      <w:bookmarkStart w:id="672" w:name="_Toc529198571"/>
      <w:bookmarkStart w:id="673" w:name="_Toc685878"/>
      <w:bookmarkStart w:id="674" w:name="_Toc1459439"/>
      <w:bookmarkStart w:id="675" w:name="_Toc4505882"/>
      <w:bookmarkStart w:id="676" w:name="_Toc8917995"/>
      <w:bookmarkStart w:id="677" w:name="_Toc10190561"/>
      <w:bookmarkStart w:id="678" w:name="_Toc13665617"/>
      <w:bookmarkStart w:id="679" w:name="_Toc13665804"/>
      <w:bookmarkStart w:id="680" w:name="_Toc15501986"/>
      <w:r w:rsidRPr="00ED6163">
        <w:rPr>
          <w:szCs w:val="22"/>
        </w:rPr>
        <w:t>Wireless Providers – Fixed and Mobile</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rsidR="00252A4C" w:rsidRPr="00ED6163" w:rsidP="00252A4C" w14:paraId="774DFC91" w14:textId="77777777">
      <w:pPr>
        <w:numPr>
          <w:ilvl w:val="0"/>
          <w:numId w:val="2"/>
        </w:numPr>
        <w:tabs>
          <w:tab w:val="clear" w:pos="1080"/>
          <w:tab w:val="num" w:pos="1440"/>
        </w:tabs>
        <w:spacing w:after="120"/>
        <w:rPr>
          <w:szCs w:val="22"/>
        </w:rPr>
      </w:pPr>
      <w:r w:rsidRPr="00ED6163">
        <w:rPr>
          <w:szCs w:val="22"/>
        </w:rPr>
        <w:t>The b</w:t>
      </w:r>
      <w:r w:rsidRPr="00ED6163">
        <w:rPr>
          <w:szCs w:val="22"/>
        </w:rPr>
        <w:t>roadband Internet access service provider category covered by this Order may cover multiple wireless firms and categories of wireless services.</w:t>
      </w:r>
      <w:r>
        <w:rPr>
          <w:rStyle w:val="FootnoteReference"/>
          <w:sz w:val="22"/>
          <w:szCs w:val="22"/>
        </w:rPr>
        <w:footnoteReference w:id="580"/>
      </w:r>
      <w:r w:rsidRPr="00ED6163">
        <w:rPr>
          <w:szCs w:val="22"/>
        </w:rPr>
        <w:t xml:space="preserve">  Thus, to the extent the wireless services listed below are used by wireless firms for broadband Internet acce</w:t>
      </w:r>
      <w:r w:rsidRPr="00ED6163">
        <w:rPr>
          <w:szCs w:val="22"/>
        </w:rPr>
        <w:t>ss service, the proposed actions may have an impact on those small businesses as set forth above and further below.  In addition, for those services subject to auctions, we note that, as a general matter, the number of winning bidders that claim to qualify</w:t>
      </w:r>
      <w:r w:rsidRPr="00ED6163">
        <w:rPr>
          <w:szCs w:val="22"/>
        </w:rPr>
        <w:t xml:space="preserve"> as small businesses at the close of an auction does not necessarily represent the number of small businesses currently in service.  Also, the Commission does not generally track subsequent business size unless, in the context of assignments and transfers </w:t>
      </w:r>
      <w:r w:rsidRPr="00ED6163">
        <w:rPr>
          <w:szCs w:val="22"/>
        </w:rPr>
        <w:t>or reportable eligibility events, unjust enrichment issues are implicated.</w:t>
      </w:r>
    </w:p>
    <w:p w:rsidR="00252A4C" w:rsidRPr="00ED6163" w:rsidP="00252A4C" w14:paraId="05DF332D" w14:textId="77777777">
      <w:pPr>
        <w:numPr>
          <w:ilvl w:val="0"/>
          <w:numId w:val="2"/>
        </w:numPr>
        <w:tabs>
          <w:tab w:val="clear" w:pos="1080"/>
          <w:tab w:val="num" w:pos="1440"/>
        </w:tabs>
        <w:spacing w:after="120"/>
        <w:rPr>
          <w:szCs w:val="22"/>
        </w:rPr>
      </w:pPr>
      <w:r w:rsidRPr="00ED6163">
        <w:rPr>
          <w:i/>
          <w:szCs w:val="22"/>
        </w:rPr>
        <w:t>Wireless Telecommunications Carriers (except Satellite</w:t>
      </w:r>
      <w:r w:rsidRPr="00ED6163">
        <w:rPr>
          <w:szCs w:val="22"/>
        </w:rPr>
        <w:t>).  This industry comprises establishments engaged in operating and maintaining switching and transmission facilities to provid</w:t>
      </w:r>
      <w:r w:rsidRPr="00ED6163">
        <w:rPr>
          <w:szCs w:val="22"/>
        </w:rPr>
        <w:t>e communications via the airwaves.  Establishments in this industry have spectrum licenses and provide services using that spectrum, such as cellular services, paging services, wireless internet access, and wireless video services.</w:t>
      </w:r>
      <w:r>
        <w:rPr>
          <w:szCs w:val="22"/>
          <w:vertAlign w:val="superscript"/>
        </w:rPr>
        <w:footnoteReference w:id="581"/>
      </w:r>
      <w:r w:rsidRPr="00ED6163">
        <w:rPr>
          <w:szCs w:val="22"/>
        </w:rPr>
        <w:t xml:space="preserve">  The appropriate size </w:t>
      </w:r>
      <w:r w:rsidRPr="00ED6163">
        <w:rPr>
          <w:szCs w:val="22"/>
        </w:rPr>
        <w:t>standard under SBA rules is that such a business is small if it has 1,500 or fewer employees.</w:t>
      </w:r>
      <w:r>
        <w:rPr>
          <w:szCs w:val="22"/>
          <w:vertAlign w:val="superscript"/>
        </w:rPr>
        <w:footnoteReference w:id="582"/>
      </w:r>
      <w:r w:rsidRPr="00ED6163">
        <w:rPr>
          <w:szCs w:val="22"/>
        </w:rPr>
        <w:t xml:space="preserve">  For this industry, U.S. Census data for 2012 show that there were 967 firms that operated for the entire year.</w:t>
      </w:r>
      <w:r>
        <w:rPr>
          <w:szCs w:val="22"/>
          <w:vertAlign w:val="superscript"/>
        </w:rPr>
        <w:footnoteReference w:id="583"/>
      </w:r>
      <w:r w:rsidRPr="00ED6163">
        <w:rPr>
          <w:szCs w:val="22"/>
        </w:rPr>
        <w:t xml:space="preserve">  Of this total, 955 firms had employment of 99</w:t>
      </w:r>
      <w:r w:rsidRPr="00ED6163">
        <w:rPr>
          <w:szCs w:val="22"/>
        </w:rPr>
        <w:t>9 or fewer employees and 12 had employment of 1000 employees or more.</w:t>
      </w:r>
      <w:r>
        <w:rPr>
          <w:szCs w:val="22"/>
          <w:vertAlign w:val="superscript"/>
        </w:rPr>
        <w:footnoteReference w:id="584"/>
      </w:r>
      <w:r w:rsidRPr="00ED6163">
        <w:rPr>
          <w:szCs w:val="22"/>
        </w:rPr>
        <w:t xml:space="preserve">  Thus, under this category and the associated size standard, the Commission estimates that the majority of wireless telecommunications carriers (except satellite) are small entities.  </w:t>
      </w:r>
    </w:p>
    <w:p w:rsidR="00252A4C" w:rsidRPr="00ED6163" w:rsidP="0040438C" w14:paraId="5EBAF96C" w14:textId="77777777">
      <w:pPr>
        <w:widowControl/>
        <w:numPr>
          <w:ilvl w:val="0"/>
          <w:numId w:val="2"/>
        </w:numPr>
        <w:tabs>
          <w:tab w:val="clear" w:pos="1080"/>
          <w:tab w:val="num" w:pos="1440"/>
        </w:tabs>
        <w:spacing w:after="120"/>
        <w:rPr>
          <w:szCs w:val="22"/>
        </w:rPr>
      </w:pPr>
      <w:r w:rsidRPr="00ED6163">
        <w:rPr>
          <w:szCs w:val="22"/>
        </w:rPr>
        <w:t>The Commission’s own data—available in its Universal Licensing System—indicate that, as of August 31, 2018, there are 265 Cellular licensees that will be affected by our actions.</w:t>
      </w:r>
      <w:r>
        <w:rPr>
          <w:rStyle w:val="FootnoteReference"/>
          <w:sz w:val="22"/>
          <w:szCs w:val="22"/>
        </w:rPr>
        <w:footnoteReference w:id="585"/>
      </w:r>
      <w:r w:rsidRPr="00ED6163">
        <w:rPr>
          <w:szCs w:val="22"/>
        </w:rPr>
        <w:t xml:space="preserve">  The Commission does not know how many of these licensees are small, as the Commission does not collect that information for these types of entities.  Similarly, according to internally-developed Commission data, 413 carriers reported that they were engag</w:t>
      </w:r>
      <w:r w:rsidRPr="00ED6163">
        <w:rPr>
          <w:szCs w:val="22"/>
        </w:rPr>
        <w:t>ed in the provision of wireless telephony, including cellular service, Personal Communications Service (PCS), and Specialized Mobile Radio (SMR) Telephony services.</w:t>
      </w:r>
      <w:r>
        <w:rPr>
          <w:rStyle w:val="FootnoteReference"/>
          <w:sz w:val="22"/>
          <w:szCs w:val="22"/>
        </w:rPr>
        <w:footnoteReference w:id="586"/>
      </w:r>
      <w:r w:rsidRPr="00ED6163">
        <w:rPr>
          <w:szCs w:val="22"/>
        </w:rPr>
        <w:t xml:space="preserve">  Of this total, an estimated 261 have 1,500 or fewer employees, and 152 have more than 1,</w:t>
      </w:r>
      <w:r w:rsidRPr="00ED6163">
        <w:rPr>
          <w:szCs w:val="22"/>
        </w:rPr>
        <w:t>500 employees.</w:t>
      </w:r>
      <w:r>
        <w:rPr>
          <w:rStyle w:val="FootnoteReference"/>
          <w:sz w:val="22"/>
          <w:szCs w:val="22"/>
        </w:rPr>
        <w:footnoteReference w:id="587"/>
      </w:r>
      <w:r w:rsidRPr="00ED6163">
        <w:rPr>
          <w:szCs w:val="22"/>
        </w:rPr>
        <w:t xml:space="preserve"> Thus, using available data, we estimate that the majority of wireless firms can be considered small.</w:t>
      </w:r>
    </w:p>
    <w:p w:rsidR="00252A4C" w:rsidRPr="00ED6163" w:rsidP="00252A4C" w14:paraId="45FF874A" w14:textId="77777777">
      <w:pPr>
        <w:numPr>
          <w:ilvl w:val="0"/>
          <w:numId w:val="2"/>
        </w:numPr>
        <w:tabs>
          <w:tab w:val="clear" w:pos="1080"/>
          <w:tab w:val="num" w:pos="1440"/>
        </w:tabs>
        <w:spacing w:after="120"/>
        <w:rPr>
          <w:szCs w:val="22"/>
        </w:rPr>
      </w:pPr>
      <w:r w:rsidRPr="00ED6163">
        <w:rPr>
          <w:i/>
          <w:szCs w:val="22"/>
        </w:rPr>
        <w:t>Wireless Communications Services</w:t>
      </w:r>
      <w:r w:rsidRPr="00ED6163">
        <w:rPr>
          <w:szCs w:val="22"/>
        </w:rPr>
        <w:t>.  This service can be used for fixed, mobile, radiolocation, and digital audio broadcasting satellite use</w:t>
      </w:r>
      <w:r w:rsidRPr="00ED6163">
        <w:rPr>
          <w:szCs w:val="22"/>
        </w:rPr>
        <w:t>s.  The Commission defined “small business” for the wireless communications services (WCS) auction as an entity with average gross revenues of $40 million for each of the three preceding years, and a “very small business” as an entity with average gross re</w:t>
      </w:r>
      <w:r w:rsidRPr="00ED6163">
        <w:rPr>
          <w:szCs w:val="22"/>
        </w:rPr>
        <w:t>venues of $15 million for each of the three preceding years.</w:t>
      </w:r>
      <w:r>
        <w:rPr>
          <w:szCs w:val="22"/>
          <w:vertAlign w:val="superscript"/>
        </w:rPr>
        <w:footnoteReference w:id="588"/>
      </w:r>
      <w:r w:rsidRPr="00ED6163">
        <w:rPr>
          <w:szCs w:val="22"/>
        </w:rPr>
        <w:t xml:space="preserve">  The SBA approved these small business size standards.</w:t>
      </w:r>
      <w:r>
        <w:rPr>
          <w:szCs w:val="22"/>
          <w:vertAlign w:val="superscript"/>
        </w:rPr>
        <w:footnoteReference w:id="589"/>
      </w:r>
      <w:r w:rsidRPr="00ED6163">
        <w:rPr>
          <w:szCs w:val="22"/>
        </w:rPr>
        <w:t xml:space="preserve">  In the Commission’s auction for geographic area licenses in the WCS there were seven winning bidders that qualified as “very small busi</w:t>
      </w:r>
      <w:r w:rsidRPr="00ED6163">
        <w:rPr>
          <w:szCs w:val="22"/>
        </w:rPr>
        <w:t xml:space="preserve">ness” entities, and one that qualified as a “small business” entity.  </w:t>
      </w:r>
    </w:p>
    <w:p w:rsidR="00252A4C" w:rsidRPr="00ED6163" w:rsidP="00252A4C" w14:paraId="76F600AA" w14:textId="77777777">
      <w:pPr>
        <w:numPr>
          <w:ilvl w:val="0"/>
          <w:numId w:val="2"/>
        </w:numPr>
        <w:tabs>
          <w:tab w:val="clear" w:pos="1080"/>
          <w:tab w:val="num" w:pos="1440"/>
        </w:tabs>
        <w:spacing w:after="120"/>
        <w:rPr>
          <w:szCs w:val="22"/>
        </w:rPr>
      </w:pPr>
      <w:r w:rsidRPr="00ED6163">
        <w:rPr>
          <w:i/>
          <w:szCs w:val="22"/>
        </w:rPr>
        <w:t>1670–1675 MHz Services</w:t>
      </w:r>
      <w:r w:rsidRPr="00ED6163">
        <w:rPr>
          <w:szCs w:val="22"/>
        </w:rPr>
        <w:t>.  This service can be used for fixed and mobile uses, except aeronautical mobile.</w:t>
      </w:r>
      <w:r>
        <w:rPr>
          <w:szCs w:val="22"/>
          <w:vertAlign w:val="superscript"/>
        </w:rPr>
        <w:footnoteReference w:id="590"/>
      </w:r>
      <w:r w:rsidRPr="00ED6163">
        <w:rPr>
          <w:szCs w:val="22"/>
        </w:rPr>
        <w:t xml:space="preserve">  An auction for one license in the 1670–1675 MHz band was conducted in 2003.  </w:t>
      </w:r>
      <w:r w:rsidRPr="00ED6163">
        <w:rPr>
          <w:szCs w:val="22"/>
        </w:rPr>
        <w:t>One license was awarded.  The winning bidder was not a small entity.</w:t>
      </w:r>
    </w:p>
    <w:p w:rsidR="00252A4C" w:rsidRPr="00ED6163" w:rsidP="00252A4C" w14:paraId="56847158" w14:textId="77777777">
      <w:pPr>
        <w:numPr>
          <w:ilvl w:val="0"/>
          <w:numId w:val="2"/>
        </w:numPr>
        <w:tabs>
          <w:tab w:val="clear" w:pos="1080"/>
          <w:tab w:val="num" w:pos="1440"/>
        </w:tabs>
        <w:spacing w:after="120"/>
        <w:rPr>
          <w:szCs w:val="22"/>
        </w:rPr>
      </w:pPr>
      <w:r w:rsidRPr="00ED6163">
        <w:rPr>
          <w:i/>
          <w:szCs w:val="22"/>
        </w:rPr>
        <w:t>Wireless Telephony</w:t>
      </w:r>
      <w:r w:rsidRPr="00ED6163">
        <w:rPr>
          <w:szCs w:val="22"/>
        </w:rPr>
        <w:t>.  Wireless telephony includes cellular, personal communications services, and specialized mobile radio telephony carriers.  The closest applicable SBA category is Wirel</w:t>
      </w:r>
      <w:r w:rsidRPr="00ED6163">
        <w:rPr>
          <w:szCs w:val="22"/>
        </w:rPr>
        <w:t>ess Telecommunications Carriers (except Satellite).</w:t>
      </w:r>
      <w:r>
        <w:rPr>
          <w:szCs w:val="22"/>
          <w:vertAlign w:val="superscript"/>
        </w:rPr>
        <w:footnoteReference w:id="591"/>
      </w:r>
      <w:r w:rsidRPr="00ED6163">
        <w:rPr>
          <w:szCs w:val="22"/>
        </w:rPr>
        <w:t xml:space="preserve">  Under the SBA small business size standard,  a business is small if it has 1,500 or fewer employees.</w:t>
      </w:r>
      <w:r>
        <w:rPr>
          <w:szCs w:val="22"/>
          <w:vertAlign w:val="superscript"/>
        </w:rPr>
        <w:footnoteReference w:id="592"/>
      </w:r>
      <w:r w:rsidRPr="00ED6163">
        <w:rPr>
          <w:szCs w:val="22"/>
        </w:rPr>
        <w:t xml:space="preserve">  For this industry, U.S. Census Bureau data for 2012 show that there were 967 firms that operated </w:t>
      </w:r>
      <w:r w:rsidRPr="00ED6163">
        <w:rPr>
          <w:szCs w:val="22"/>
        </w:rPr>
        <w:t>for the entire year.</w:t>
      </w:r>
      <w:r>
        <w:rPr>
          <w:rStyle w:val="FootnoteReference"/>
          <w:sz w:val="22"/>
          <w:szCs w:val="22"/>
        </w:rPr>
        <w:footnoteReference w:id="593"/>
      </w:r>
      <w:r w:rsidRPr="00ED6163">
        <w:rPr>
          <w:szCs w:val="22"/>
        </w:rPr>
        <w:t xml:space="preserve">  Of this total, 955 firms had fewer than 1,000 employees and 12 firms had 1000 employees or more.</w:t>
      </w:r>
      <w:r>
        <w:rPr>
          <w:szCs w:val="22"/>
          <w:vertAlign w:val="superscript"/>
        </w:rPr>
        <w:footnoteReference w:id="594"/>
      </w:r>
      <w:r w:rsidRPr="00ED6163">
        <w:rPr>
          <w:szCs w:val="22"/>
        </w:rPr>
        <w:t xml:space="preserve">  Thus, under this category and the associated size standard, the Commission estimates that a majority of these entities can be consid</w:t>
      </w:r>
      <w:r w:rsidRPr="00ED6163">
        <w:rPr>
          <w:szCs w:val="22"/>
        </w:rPr>
        <w:t>ered small.  According to Commission data, 413 carriers reported that they were engaged in wireless telephony.</w:t>
      </w:r>
      <w:r>
        <w:rPr>
          <w:szCs w:val="22"/>
          <w:vertAlign w:val="superscript"/>
        </w:rPr>
        <w:footnoteReference w:id="595"/>
      </w:r>
      <w:r w:rsidRPr="00ED6163">
        <w:rPr>
          <w:szCs w:val="22"/>
        </w:rPr>
        <w:t xml:space="preserve">  Of these, an estimated 261 have 1,500 or fewer employees and 152 have more than 1,500 employees.</w:t>
      </w:r>
      <w:r>
        <w:rPr>
          <w:szCs w:val="22"/>
          <w:vertAlign w:val="superscript"/>
        </w:rPr>
        <w:footnoteReference w:id="596"/>
      </w:r>
      <w:r w:rsidRPr="00ED6163">
        <w:rPr>
          <w:szCs w:val="22"/>
        </w:rPr>
        <w:t xml:space="preserve">  Therefore, more than half of these entities can be considered small.</w:t>
      </w:r>
    </w:p>
    <w:p w:rsidR="00252A4C" w:rsidRPr="00ED6163" w:rsidP="00252A4C" w14:paraId="31FD12EA" w14:textId="77777777">
      <w:pPr>
        <w:numPr>
          <w:ilvl w:val="0"/>
          <w:numId w:val="2"/>
        </w:numPr>
        <w:tabs>
          <w:tab w:val="clear" w:pos="1080"/>
          <w:tab w:val="num" w:pos="1440"/>
        </w:tabs>
        <w:spacing w:after="120"/>
        <w:rPr>
          <w:szCs w:val="22"/>
        </w:rPr>
      </w:pPr>
      <w:r w:rsidRPr="00ED6163">
        <w:rPr>
          <w:i/>
          <w:szCs w:val="22"/>
        </w:rPr>
        <w:t>Broadband Personal Communications Service.</w:t>
      </w:r>
      <w:r w:rsidRPr="00ED6163">
        <w:rPr>
          <w:szCs w:val="22"/>
        </w:rPr>
        <w:t xml:space="preserve">  The broadband personal communications services (PCS) spectrum is divided into six frequency blocks designated A through F, and the Commission</w:t>
      </w:r>
      <w:r w:rsidRPr="00ED6163">
        <w:rPr>
          <w:szCs w:val="22"/>
        </w:rPr>
        <w:t xml:space="preserve"> has held auctions for each block.  The Commission initially defined a “small business” for C- and F-Block licenses as an entity that has average gross revenues of $40 million or less in the three previous calendar years.</w:t>
      </w:r>
      <w:r>
        <w:rPr>
          <w:szCs w:val="22"/>
          <w:vertAlign w:val="superscript"/>
        </w:rPr>
        <w:footnoteReference w:id="597"/>
      </w:r>
      <w:r w:rsidRPr="00ED6163">
        <w:rPr>
          <w:szCs w:val="22"/>
        </w:rPr>
        <w:t xml:space="preserve">  For F-Block licenses, an additi</w:t>
      </w:r>
      <w:r w:rsidRPr="00ED6163">
        <w:rPr>
          <w:szCs w:val="22"/>
        </w:rPr>
        <w:t>onal small business size standard for “very small business” was added and is defined as an entity that, together with its affiliates, has average gross revenues of not more than $15 million for the preceding three calendar years.</w:t>
      </w:r>
      <w:r>
        <w:rPr>
          <w:szCs w:val="22"/>
          <w:vertAlign w:val="superscript"/>
        </w:rPr>
        <w:footnoteReference w:id="598"/>
      </w:r>
      <w:r w:rsidRPr="00ED6163">
        <w:rPr>
          <w:szCs w:val="22"/>
        </w:rPr>
        <w:t xml:space="preserve">  These small business si</w:t>
      </w:r>
      <w:r w:rsidRPr="00ED6163">
        <w:rPr>
          <w:szCs w:val="22"/>
        </w:rPr>
        <w:t>ze standards, in the context of broadband PCS auctions, have been approved by the SBA.</w:t>
      </w:r>
      <w:r>
        <w:rPr>
          <w:szCs w:val="22"/>
          <w:vertAlign w:val="superscript"/>
        </w:rPr>
        <w:footnoteReference w:id="599"/>
      </w:r>
      <w:r w:rsidRPr="00ED6163">
        <w:rPr>
          <w:szCs w:val="22"/>
        </w:rPr>
        <w:t xml:space="preserve">  No small businesses within the SBA-approved small business size standards bid successfully for licenses in Blocks A and B.  There were 90 winning bidders that claimed</w:t>
      </w:r>
      <w:r w:rsidRPr="00ED6163">
        <w:rPr>
          <w:szCs w:val="22"/>
        </w:rPr>
        <w:t xml:space="preserve"> small business status in the first two C-Block auctions.  A total of 93 bidders that claimed small business status won approximately 40% of the 1,479 licenses in the first auction for the D, E, and F Blocks.</w:t>
      </w:r>
      <w:r>
        <w:rPr>
          <w:szCs w:val="22"/>
          <w:vertAlign w:val="superscript"/>
        </w:rPr>
        <w:footnoteReference w:id="600"/>
      </w:r>
      <w:r w:rsidRPr="00ED6163">
        <w:rPr>
          <w:szCs w:val="22"/>
        </w:rPr>
        <w:t xml:space="preserve">  On April 15, 1999, the Commission completed </w:t>
      </w:r>
      <w:r w:rsidRPr="00ED6163">
        <w:rPr>
          <w:szCs w:val="22"/>
        </w:rPr>
        <w:t>the reauction of 347 C-, D-, E-, and F-Block licenses in Auction No. 22.</w:t>
      </w:r>
      <w:r>
        <w:rPr>
          <w:szCs w:val="22"/>
          <w:vertAlign w:val="superscript"/>
        </w:rPr>
        <w:footnoteReference w:id="601"/>
      </w:r>
      <w:r w:rsidRPr="00ED6163">
        <w:rPr>
          <w:szCs w:val="22"/>
        </w:rPr>
        <w:t xml:space="preserve">  Of the 57 winning bidders in that auction, 48 claimed small business status and won 277 licenses.</w:t>
      </w:r>
      <w:bookmarkStart w:id="682" w:name="_Toc243741527"/>
      <w:bookmarkStart w:id="683" w:name="_Toc243759732"/>
      <w:bookmarkStart w:id="684" w:name="_Toc243827562"/>
      <w:bookmarkStart w:id="685" w:name="_Toc243830048"/>
      <w:bookmarkStart w:id="686" w:name="_Toc243908127"/>
      <w:bookmarkStart w:id="687" w:name="_Toc387908076"/>
      <w:bookmarkStart w:id="688" w:name="_Toc387910993"/>
    </w:p>
    <w:p w:rsidR="00252A4C" w:rsidRPr="00ED6163" w:rsidP="00252A4C" w14:paraId="54CB5B98" w14:textId="77777777">
      <w:pPr>
        <w:numPr>
          <w:ilvl w:val="0"/>
          <w:numId w:val="2"/>
        </w:numPr>
        <w:tabs>
          <w:tab w:val="clear" w:pos="1080"/>
          <w:tab w:val="num" w:pos="1440"/>
        </w:tabs>
        <w:spacing w:after="120"/>
        <w:rPr>
          <w:szCs w:val="22"/>
        </w:rPr>
      </w:pPr>
      <w:r w:rsidRPr="00ED6163">
        <w:rPr>
          <w:szCs w:val="22"/>
        </w:rPr>
        <w:t>On January 26, 2001, the Commission completed the auction of 422 C and F Block Bro</w:t>
      </w:r>
      <w:r w:rsidRPr="00ED6163">
        <w:rPr>
          <w:szCs w:val="22"/>
        </w:rPr>
        <w:t>adband PCS licenses in Auction No. 35.  Of the 35 winning bidders in that auction, 29 claimed small business status.</w:t>
      </w:r>
      <w:r>
        <w:rPr>
          <w:szCs w:val="22"/>
          <w:vertAlign w:val="superscript"/>
        </w:rPr>
        <w:footnoteReference w:id="602"/>
      </w:r>
      <w:r w:rsidRPr="00ED6163">
        <w:rPr>
          <w:szCs w:val="22"/>
        </w:rPr>
        <w:t xml:space="preserve">  Subsequent events concerning Auction 35, including judicial and agency determinations, resulted in a total of 163 C and F Block licenses</w:t>
      </w:r>
      <w:r w:rsidRPr="00ED6163">
        <w:rPr>
          <w:szCs w:val="22"/>
        </w:rPr>
        <w:t xml:space="preserve"> being available for grant.  On February 15, 2005, the Commission completed an auction of 242 C-, D-, E-, and F-Block licenses in Auction No. 58.  Of the 24 winning bidders in that auction, 16 claimed small business status and won 156 licenses.</w:t>
      </w:r>
      <w:r>
        <w:rPr>
          <w:szCs w:val="22"/>
          <w:vertAlign w:val="superscript"/>
        </w:rPr>
        <w:footnoteReference w:id="603"/>
      </w:r>
      <w:r w:rsidRPr="00ED6163">
        <w:rPr>
          <w:szCs w:val="22"/>
        </w:rPr>
        <w:t xml:space="preserve">  On May 2</w:t>
      </w:r>
      <w:r w:rsidRPr="00ED6163">
        <w:rPr>
          <w:szCs w:val="22"/>
        </w:rPr>
        <w:t>1, 2007, the Commission completed an auction of 33 licenses in the A, C, and F Blocks in Auction No. 71.</w:t>
      </w:r>
      <w:r>
        <w:rPr>
          <w:szCs w:val="22"/>
          <w:vertAlign w:val="superscript"/>
        </w:rPr>
        <w:footnoteReference w:id="604"/>
      </w:r>
      <w:r w:rsidRPr="00ED6163">
        <w:rPr>
          <w:szCs w:val="22"/>
        </w:rPr>
        <w:t xml:space="preserve">  Of the 12 winning bidders in that auction, five claimed small business status and won 18 licenses.</w:t>
      </w:r>
      <w:r>
        <w:rPr>
          <w:szCs w:val="22"/>
          <w:vertAlign w:val="superscript"/>
        </w:rPr>
        <w:footnoteReference w:id="605"/>
      </w:r>
      <w:r w:rsidRPr="00ED6163">
        <w:rPr>
          <w:szCs w:val="22"/>
        </w:rPr>
        <w:t xml:space="preserve">  On August 20, 2008, the Commission completed t</w:t>
      </w:r>
      <w:r w:rsidRPr="00ED6163">
        <w:rPr>
          <w:szCs w:val="22"/>
        </w:rPr>
        <w:t>he auction of 20 C-, D-, E-, and F-Block Broadband PCS licenses in Auction No. 78.</w:t>
      </w:r>
      <w:r>
        <w:rPr>
          <w:szCs w:val="22"/>
          <w:vertAlign w:val="superscript"/>
        </w:rPr>
        <w:footnoteReference w:id="606"/>
      </w:r>
      <w:r w:rsidRPr="00ED6163">
        <w:rPr>
          <w:szCs w:val="22"/>
        </w:rPr>
        <w:t xml:space="preserve">  Of the eight winning bidders for Broadband PCS licenses in that auction, six claimed small business status and won 14 licenses.</w:t>
      </w:r>
      <w:r>
        <w:rPr>
          <w:szCs w:val="22"/>
          <w:vertAlign w:val="superscript"/>
        </w:rPr>
        <w:footnoteReference w:id="607"/>
      </w:r>
    </w:p>
    <w:p w:rsidR="00252A4C" w:rsidRPr="00ED6163" w:rsidP="0040438C" w14:paraId="1885C617" w14:textId="77777777">
      <w:pPr>
        <w:widowControl/>
        <w:numPr>
          <w:ilvl w:val="0"/>
          <w:numId w:val="2"/>
        </w:numPr>
        <w:tabs>
          <w:tab w:val="clear" w:pos="1080"/>
          <w:tab w:val="num" w:pos="1440"/>
        </w:tabs>
        <w:spacing w:after="120"/>
        <w:rPr>
          <w:szCs w:val="22"/>
        </w:rPr>
      </w:pPr>
      <w:r w:rsidRPr="00ED6163">
        <w:rPr>
          <w:i/>
          <w:szCs w:val="22"/>
        </w:rPr>
        <w:t xml:space="preserve">Specialized Mobile Radio </w:t>
      </w:r>
      <w:r w:rsidRPr="00ED6163">
        <w:rPr>
          <w:i/>
          <w:szCs w:val="22"/>
        </w:rPr>
        <w:t>Licenses.</w:t>
      </w:r>
      <w:r w:rsidRPr="00ED6163">
        <w:rPr>
          <w:szCs w:val="22"/>
        </w:rPr>
        <w:t xml:space="preserve">  The Commission awards “small entity” bidding credits in auctions for Specialized Mobile Radio (SMR) geographic area licenses in the 800 MHz and 900 MHz bands to firms that had revenues of no more than $15 million in each of the three previous ca</w:t>
      </w:r>
      <w:r w:rsidRPr="00ED6163">
        <w:rPr>
          <w:szCs w:val="22"/>
        </w:rPr>
        <w:t>lendar years.</w:t>
      </w:r>
      <w:r>
        <w:rPr>
          <w:szCs w:val="22"/>
          <w:vertAlign w:val="superscript"/>
        </w:rPr>
        <w:footnoteReference w:id="608"/>
      </w:r>
      <w:r w:rsidRPr="00ED6163">
        <w:rPr>
          <w:szCs w:val="22"/>
        </w:rPr>
        <w:t xml:space="preserve">  The Commission awards “very small entity” bidding credits to firms that had revenues of no more than $3 million in each of the three previous calendar years.</w:t>
      </w:r>
      <w:r>
        <w:rPr>
          <w:szCs w:val="22"/>
          <w:vertAlign w:val="superscript"/>
        </w:rPr>
        <w:footnoteReference w:id="609"/>
      </w:r>
      <w:r w:rsidRPr="00ED6163">
        <w:rPr>
          <w:szCs w:val="22"/>
        </w:rPr>
        <w:t xml:space="preserve">  The SBA approved these small business size standards for the 900 MHz Service.</w:t>
      </w:r>
      <w:r>
        <w:rPr>
          <w:szCs w:val="22"/>
          <w:vertAlign w:val="superscript"/>
        </w:rPr>
        <w:footnoteReference w:id="610"/>
      </w:r>
      <w:r w:rsidRPr="00ED6163">
        <w:rPr>
          <w:szCs w:val="22"/>
        </w:rPr>
        <w:t xml:space="preserve">  The Commission held auctions for geographic area licenses in the 800 MHz and 900 MHz bands.  The 900 MHz SMR auction began on December 5, 1995, and closed on April 15, 1996.  Sixty bidders claiming that they qualified as small businesses under the $15 m</w:t>
      </w:r>
      <w:r w:rsidRPr="00ED6163">
        <w:rPr>
          <w:szCs w:val="22"/>
        </w:rPr>
        <w:t>illion size standard won 263 geographic area licenses in the 900 MHz SMR band.  The 800 MHz SMR auction for the upper 200 channels began on October 28, 1997, and was completed on December 8, 1997.  Ten bidders claiming that they qualified as small business</w:t>
      </w:r>
      <w:r w:rsidRPr="00ED6163">
        <w:rPr>
          <w:szCs w:val="22"/>
        </w:rPr>
        <w:t>es under the $15 million size standard won 38 geographic area licenses for the upper 200 channels in the 800 MHz SMR band.</w:t>
      </w:r>
      <w:r>
        <w:rPr>
          <w:szCs w:val="22"/>
          <w:vertAlign w:val="superscript"/>
        </w:rPr>
        <w:footnoteReference w:id="611"/>
      </w:r>
      <w:r w:rsidRPr="00ED6163">
        <w:rPr>
          <w:szCs w:val="22"/>
        </w:rPr>
        <w:t xml:space="preserve">  A second auction for the 800 MHz band was held on January 10, 2002, and closed on January 17, 2002, and included 23 BEA licenses. </w:t>
      </w:r>
      <w:r w:rsidRPr="00ED6163">
        <w:rPr>
          <w:szCs w:val="22"/>
        </w:rPr>
        <w:t xml:space="preserve"> One bidder claiming small business status won five licenses.</w:t>
      </w:r>
      <w:r>
        <w:rPr>
          <w:szCs w:val="22"/>
          <w:vertAlign w:val="superscript"/>
        </w:rPr>
        <w:footnoteReference w:id="612"/>
      </w:r>
    </w:p>
    <w:p w:rsidR="00252A4C" w:rsidRPr="00ED6163" w:rsidP="00252A4C" w14:paraId="5F0D1B19" w14:textId="77777777">
      <w:pPr>
        <w:numPr>
          <w:ilvl w:val="0"/>
          <w:numId w:val="2"/>
        </w:numPr>
        <w:tabs>
          <w:tab w:val="clear" w:pos="1080"/>
          <w:tab w:val="num" w:pos="1440"/>
        </w:tabs>
        <w:spacing w:after="120"/>
        <w:rPr>
          <w:szCs w:val="22"/>
        </w:rPr>
      </w:pPr>
      <w:r w:rsidRPr="00ED6163">
        <w:rPr>
          <w:szCs w:val="22"/>
        </w:rPr>
        <w:t>The auction of the 1,053 800 MHz SMR geographic area licenses for the General Category channels was conducted in 2000.  Eleven bidders won 108 geographic area licenses for the General Category</w:t>
      </w:r>
      <w:r w:rsidRPr="00ED6163">
        <w:rPr>
          <w:szCs w:val="22"/>
        </w:rPr>
        <w:t xml:space="preserve"> channels in the 800 MHz SMR band and qualified as small businesses under the $15 million size standard.</w:t>
      </w:r>
      <w:r>
        <w:rPr>
          <w:szCs w:val="22"/>
          <w:vertAlign w:val="superscript"/>
        </w:rPr>
        <w:footnoteReference w:id="613"/>
      </w:r>
      <w:r w:rsidRPr="00ED6163">
        <w:rPr>
          <w:szCs w:val="22"/>
        </w:rPr>
        <w:t xml:space="preserve">  In an auction completed in 2000, a total of 2,800 Economic Area licenses in the lower 80 channels of the 800 MHz SMR service were awarded.</w:t>
      </w:r>
      <w:r>
        <w:rPr>
          <w:szCs w:val="22"/>
          <w:vertAlign w:val="superscript"/>
        </w:rPr>
        <w:footnoteReference w:id="614"/>
      </w:r>
      <w:r w:rsidRPr="00ED6163">
        <w:rPr>
          <w:szCs w:val="22"/>
        </w:rPr>
        <w:t xml:space="preserve">  Of the</w:t>
      </w:r>
      <w:r w:rsidRPr="00ED6163">
        <w:rPr>
          <w:szCs w:val="22"/>
        </w:rPr>
        <w:t xml:space="preserve"> 22 winning bidders, 19 claimed small business status and won 129 licenses.  Thus, combining all four auctions, 41 winning bidders for geographic licenses in the 800 MHz SMR band claimed status as small businesses.</w:t>
      </w:r>
    </w:p>
    <w:p w:rsidR="00252A4C" w:rsidRPr="00ED6163" w:rsidP="00252A4C" w14:paraId="14D57782" w14:textId="77777777">
      <w:pPr>
        <w:numPr>
          <w:ilvl w:val="0"/>
          <w:numId w:val="2"/>
        </w:numPr>
        <w:tabs>
          <w:tab w:val="clear" w:pos="1080"/>
          <w:tab w:val="num" w:pos="1440"/>
        </w:tabs>
        <w:spacing w:after="120"/>
        <w:rPr>
          <w:szCs w:val="22"/>
        </w:rPr>
      </w:pPr>
      <w:r w:rsidRPr="00ED6163">
        <w:rPr>
          <w:szCs w:val="22"/>
        </w:rPr>
        <w:t>In addition, there are numerous incumbent</w:t>
      </w:r>
      <w:r w:rsidRPr="00ED6163">
        <w:rPr>
          <w:szCs w:val="22"/>
        </w:rPr>
        <w:t xml:space="preserve"> site-by-site SMR licenses and licensees with extended implementation authorizations in the 800 and 900 MHz bands.  We do not know how many firms provide 800 MHz or 900 MHz geographic area SMR service pursuant to extended implementation authorizations, nor</w:t>
      </w:r>
      <w:r w:rsidRPr="00ED6163">
        <w:rPr>
          <w:szCs w:val="22"/>
        </w:rPr>
        <w:t xml:space="preserve"> how many of these providers have annual revenues of no more than $15 million.  One firm has over $15 million in revenues.  In addition, we do not know how many of these firms have 1,500 or fewer employees, which is the SBA-determined size standard.</w:t>
      </w:r>
      <w:r>
        <w:rPr>
          <w:szCs w:val="22"/>
          <w:vertAlign w:val="superscript"/>
        </w:rPr>
        <w:footnoteReference w:id="615"/>
      </w:r>
      <w:r w:rsidRPr="00ED6163">
        <w:rPr>
          <w:szCs w:val="22"/>
        </w:rPr>
        <w:t xml:space="preserve">  We </w:t>
      </w:r>
      <w:r w:rsidRPr="00ED6163">
        <w:rPr>
          <w:szCs w:val="22"/>
        </w:rPr>
        <w:t>assume, for purposes of this analysis, that all of the remaining extended implementation authorizations are held by small entities, as defined by the SBA.</w:t>
      </w:r>
    </w:p>
    <w:p w:rsidR="00252A4C" w:rsidRPr="00ED6163" w:rsidP="00252A4C" w14:paraId="5C567F81" w14:textId="77777777">
      <w:pPr>
        <w:numPr>
          <w:ilvl w:val="0"/>
          <w:numId w:val="2"/>
        </w:numPr>
        <w:tabs>
          <w:tab w:val="clear" w:pos="1080"/>
          <w:tab w:val="num" w:pos="1440"/>
        </w:tabs>
        <w:spacing w:after="120"/>
        <w:rPr>
          <w:szCs w:val="22"/>
        </w:rPr>
      </w:pPr>
      <w:r w:rsidRPr="00ED6163">
        <w:rPr>
          <w:i/>
          <w:szCs w:val="22"/>
        </w:rPr>
        <w:t>Lower 700 MHz Band Licenses</w:t>
      </w:r>
      <w:r w:rsidRPr="00ED6163">
        <w:rPr>
          <w:szCs w:val="22"/>
        </w:rPr>
        <w:t>.  The Commission previously adopted criteria for defining three groups of</w:t>
      </w:r>
      <w:r w:rsidRPr="00ED6163">
        <w:rPr>
          <w:szCs w:val="22"/>
        </w:rPr>
        <w:t xml:space="preserve"> small businesses for purposes of determining their eligibility for special provisions such as bidding credits.</w:t>
      </w:r>
      <w:r>
        <w:rPr>
          <w:szCs w:val="22"/>
          <w:vertAlign w:val="superscript"/>
        </w:rPr>
        <w:footnoteReference w:id="616"/>
      </w:r>
      <w:r w:rsidRPr="00ED6163">
        <w:rPr>
          <w:szCs w:val="22"/>
        </w:rPr>
        <w:t xml:space="preserve">  The Commission defined a “small business” as an entity that, together with its affiliates and controlling principals, has average gross reven</w:t>
      </w:r>
      <w:r w:rsidRPr="00ED6163">
        <w:rPr>
          <w:szCs w:val="22"/>
        </w:rPr>
        <w:t>ues not exceeding $40 million for the preceding three years.</w:t>
      </w:r>
      <w:r>
        <w:rPr>
          <w:szCs w:val="22"/>
          <w:vertAlign w:val="superscript"/>
        </w:rPr>
        <w:footnoteReference w:id="617"/>
      </w:r>
      <w:r w:rsidRPr="00ED6163">
        <w:rPr>
          <w:szCs w:val="22"/>
        </w:rPr>
        <w:t xml:space="preserve">  A “very small business” is defined as an entity that, together with its affiliates and controlling principals, has average gross revenues that are not more than $15 million for the preceding t</w:t>
      </w:r>
      <w:r w:rsidRPr="00ED6163">
        <w:rPr>
          <w:szCs w:val="22"/>
        </w:rPr>
        <w:t>hree years.</w:t>
      </w:r>
      <w:r>
        <w:rPr>
          <w:szCs w:val="22"/>
          <w:vertAlign w:val="superscript"/>
        </w:rPr>
        <w:footnoteReference w:id="618"/>
      </w:r>
      <w:r w:rsidRPr="00ED6163">
        <w:rPr>
          <w:szCs w:val="22"/>
        </w:rPr>
        <w:t xml:space="preserve">  Additionally, the lower 700 MHz Service had a third category of small business status for Metropolitan/Rural Service Area (MSA/RSA) licenses—“entrepreneur”—which is defined as an entity that, together with its affiliates and controlling prin</w:t>
      </w:r>
      <w:r w:rsidRPr="00ED6163">
        <w:rPr>
          <w:szCs w:val="22"/>
        </w:rPr>
        <w:t>cipals, has average gross revenues that are not more than $3 million for the preceding three years.</w:t>
      </w:r>
      <w:r>
        <w:rPr>
          <w:szCs w:val="22"/>
          <w:vertAlign w:val="superscript"/>
        </w:rPr>
        <w:footnoteReference w:id="619"/>
      </w:r>
      <w:r w:rsidRPr="00ED6163">
        <w:rPr>
          <w:szCs w:val="22"/>
        </w:rPr>
        <w:t xml:space="preserve">  The SBA approved these small size standards.</w:t>
      </w:r>
      <w:r>
        <w:rPr>
          <w:szCs w:val="22"/>
          <w:vertAlign w:val="superscript"/>
        </w:rPr>
        <w:footnoteReference w:id="620"/>
      </w:r>
      <w:r w:rsidRPr="00ED6163">
        <w:rPr>
          <w:szCs w:val="22"/>
        </w:rPr>
        <w:t xml:space="preserve">  An auction of 740 licenses (one license in each of the 734 MSAs/RSAs and one license in each of the six E</w:t>
      </w:r>
      <w:r w:rsidRPr="00ED6163">
        <w:rPr>
          <w:szCs w:val="22"/>
        </w:rPr>
        <w:t xml:space="preserve">conomic Area Groupings (EAGs)) commenced on August 27, 2002, and closed on September 18, 2002.  Of the 740 licenses available for auction, 484 licenses were won by 102 winning bidders.  Seventy-two of the winning bidders claimed small business, very small </w:t>
      </w:r>
      <w:r w:rsidRPr="00ED6163">
        <w:rPr>
          <w:szCs w:val="22"/>
        </w:rPr>
        <w:t>business, or entrepreneur status and won a total of 329 licenses.</w:t>
      </w:r>
      <w:r>
        <w:rPr>
          <w:szCs w:val="22"/>
          <w:vertAlign w:val="superscript"/>
        </w:rPr>
        <w:footnoteReference w:id="621"/>
      </w:r>
      <w:r w:rsidRPr="00ED6163">
        <w:rPr>
          <w:szCs w:val="22"/>
        </w:rPr>
        <w:t xml:space="preserve">  A second auction commenced on May 28, 2003, closed on June 13, 2003, and included 256 licenses:  5 EAG licenses and 476 Cellular Market Area licenses.</w:t>
      </w:r>
      <w:r>
        <w:rPr>
          <w:szCs w:val="22"/>
          <w:vertAlign w:val="superscript"/>
        </w:rPr>
        <w:footnoteReference w:id="622"/>
      </w:r>
      <w:r w:rsidRPr="00ED6163">
        <w:rPr>
          <w:szCs w:val="22"/>
        </w:rPr>
        <w:t xml:space="preserve">  Seventeen winning bidders claimed small or very small business status and won 60 licenses, and nine winning bidders claimed entrepreneur status and won 154 licenses.</w:t>
      </w:r>
      <w:r>
        <w:rPr>
          <w:szCs w:val="22"/>
          <w:vertAlign w:val="superscript"/>
        </w:rPr>
        <w:footnoteReference w:id="623"/>
      </w:r>
      <w:r w:rsidRPr="00ED6163">
        <w:rPr>
          <w:szCs w:val="22"/>
        </w:rPr>
        <w:t xml:space="preserve">  On July 26, 2005, the Commission completed an auction of five licenses in the Lower 7</w:t>
      </w:r>
      <w:r w:rsidRPr="00ED6163">
        <w:rPr>
          <w:szCs w:val="22"/>
        </w:rPr>
        <w:t>00 MHz band (Auction No. 60).  There were three winning bidders for the five licenses.  All three winning bidders claimed small business status.</w:t>
      </w:r>
    </w:p>
    <w:p w:rsidR="00252A4C" w:rsidRPr="00ED6163" w:rsidP="00252A4C" w14:paraId="7D666A6D" w14:textId="77777777">
      <w:pPr>
        <w:numPr>
          <w:ilvl w:val="0"/>
          <w:numId w:val="2"/>
        </w:numPr>
        <w:tabs>
          <w:tab w:val="clear" w:pos="1080"/>
          <w:tab w:val="num" w:pos="1440"/>
        </w:tabs>
        <w:spacing w:after="120"/>
        <w:rPr>
          <w:szCs w:val="22"/>
        </w:rPr>
      </w:pPr>
      <w:r w:rsidRPr="00ED6163">
        <w:rPr>
          <w:szCs w:val="22"/>
        </w:rPr>
        <w:t xml:space="preserve">In 2007, the Commission reexamined its rules governing the 700 MHz band in the </w:t>
      </w:r>
      <w:r w:rsidRPr="00ED6163">
        <w:rPr>
          <w:i/>
          <w:szCs w:val="22"/>
        </w:rPr>
        <w:t>700 MHz Second Report and Order</w:t>
      </w:r>
      <w:r w:rsidRPr="00ED6163">
        <w:rPr>
          <w:szCs w:val="22"/>
        </w:rPr>
        <w:t>.</w:t>
      </w:r>
      <w:r>
        <w:rPr>
          <w:szCs w:val="22"/>
          <w:vertAlign w:val="superscript"/>
        </w:rPr>
        <w:footnoteReference w:id="624"/>
      </w:r>
      <w:r w:rsidRPr="00ED6163">
        <w:rPr>
          <w:szCs w:val="22"/>
        </w:rPr>
        <w:t xml:space="preserve">  An auction of 700 MHz licenses commenced January 24, 2008, and closed on March 18, 2008, which included 176 Economic Area licenses in the A Block, 734 Cellular Market Area licenses in the B Block, and 176 EA licenses in the E Block.</w:t>
      </w:r>
      <w:r>
        <w:rPr>
          <w:szCs w:val="22"/>
          <w:vertAlign w:val="superscript"/>
        </w:rPr>
        <w:footnoteReference w:id="625"/>
      </w:r>
      <w:r w:rsidRPr="00ED6163">
        <w:rPr>
          <w:szCs w:val="22"/>
        </w:rPr>
        <w:t xml:space="preserve">  Twenty winning b</w:t>
      </w:r>
      <w:r w:rsidRPr="00ED6163">
        <w:rPr>
          <w:szCs w:val="22"/>
        </w:rPr>
        <w:t>idders, claiming small business status (those with attributable average annual gross revenues that exceed $15 million and do not exceed $40 million for the preceding three years) won 49 licenses.  Thirty-three winning bidders claiming very small business s</w:t>
      </w:r>
      <w:r w:rsidRPr="00ED6163">
        <w:rPr>
          <w:szCs w:val="22"/>
        </w:rPr>
        <w:t>tatus (those with attributable average annual gross revenues that do not exceed $15 million for the preceding three years) won 325 licenses.</w:t>
      </w:r>
    </w:p>
    <w:p w:rsidR="00252A4C" w:rsidRPr="00ED6163" w:rsidP="00252A4C" w14:paraId="5D0DCD62" w14:textId="77777777">
      <w:pPr>
        <w:numPr>
          <w:ilvl w:val="0"/>
          <w:numId w:val="2"/>
        </w:numPr>
        <w:tabs>
          <w:tab w:val="clear" w:pos="1080"/>
          <w:tab w:val="num" w:pos="1440"/>
        </w:tabs>
        <w:spacing w:after="120"/>
        <w:rPr>
          <w:szCs w:val="22"/>
        </w:rPr>
      </w:pPr>
      <w:r w:rsidRPr="00ED6163">
        <w:rPr>
          <w:i/>
          <w:szCs w:val="22"/>
        </w:rPr>
        <w:t>Upper 700 MHz Band Licenses</w:t>
      </w:r>
      <w:r w:rsidRPr="00ED6163">
        <w:rPr>
          <w:szCs w:val="22"/>
        </w:rPr>
        <w:t xml:space="preserve">.  In the </w:t>
      </w:r>
      <w:r w:rsidRPr="00ED6163">
        <w:rPr>
          <w:i/>
          <w:szCs w:val="22"/>
        </w:rPr>
        <w:t>700 MHz Second Report and Order</w:t>
      </w:r>
      <w:r w:rsidRPr="00ED6163">
        <w:rPr>
          <w:szCs w:val="22"/>
        </w:rPr>
        <w:t>, the Commission revised its rules regarding Up</w:t>
      </w:r>
      <w:r w:rsidRPr="00ED6163">
        <w:rPr>
          <w:szCs w:val="22"/>
        </w:rPr>
        <w:t>per 700 MHz licenses.</w:t>
      </w:r>
      <w:r>
        <w:rPr>
          <w:szCs w:val="22"/>
          <w:vertAlign w:val="superscript"/>
        </w:rPr>
        <w:footnoteReference w:id="626"/>
      </w:r>
      <w:r w:rsidRPr="00ED6163">
        <w:rPr>
          <w:szCs w:val="22"/>
        </w:rPr>
        <w:t xml:space="preserve">  On January 24, 2008, the Commission commenced Auction 73 in which several licenses in the Upper 700 MHz band were available for licensing:  12 Regional Economic Area Grouping licenses in the C Block, and one nationwide license in the D Block.</w:t>
      </w:r>
      <w:r>
        <w:rPr>
          <w:szCs w:val="22"/>
          <w:vertAlign w:val="superscript"/>
        </w:rPr>
        <w:footnoteReference w:id="627"/>
      </w:r>
      <w:r w:rsidRPr="00ED6163">
        <w:rPr>
          <w:szCs w:val="22"/>
        </w:rPr>
        <w:t xml:space="preserve">  The auct</w:t>
      </w:r>
      <w:r w:rsidRPr="00ED6163">
        <w:rPr>
          <w:szCs w:val="22"/>
        </w:rPr>
        <w:t>ion concluded on March 18, 2008, with 3 winning bidders claiming very small business status (those with attributable average annual gross revenues that do not exceed $15 million for the preceding three years) and winning five licenses.</w:t>
      </w:r>
    </w:p>
    <w:p w:rsidR="00252A4C" w:rsidRPr="00ED6163" w:rsidP="00252A4C" w14:paraId="758D171E" w14:textId="77777777">
      <w:pPr>
        <w:numPr>
          <w:ilvl w:val="0"/>
          <w:numId w:val="2"/>
        </w:numPr>
        <w:tabs>
          <w:tab w:val="clear" w:pos="1080"/>
          <w:tab w:val="num" w:pos="1440"/>
        </w:tabs>
        <w:spacing w:after="120"/>
        <w:rPr>
          <w:szCs w:val="22"/>
        </w:rPr>
      </w:pPr>
      <w:r w:rsidRPr="00ED6163">
        <w:rPr>
          <w:i/>
          <w:szCs w:val="22"/>
        </w:rPr>
        <w:t>700 MHz Guard Band L</w:t>
      </w:r>
      <w:r w:rsidRPr="00ED6163">
        <w:rPr>
          <w:i/>
          <w:szCs w:val="22"/>
        </w:rPr>
        <w:t>icensees</w:t>
      </w:r>
      <w:r w:rsidRPr="00ED6163">
        <w:rPr>
          <w:szCs w:val="22"/>
        </w:rPr>
        <w:t>.  In 2000, in the 700 MHz Guard Band Order, the Commission adopted size standards for “small businesses” and “very small businesses” for purposes of determining their eligibility for special provisions such as bidding credits and installment payme</w:t>
      </w:r>
      <w:r w:rsidRPr="00ED6163">
        <w:rPr>
          <w:szCs w:val="22"/>
        </w:rPr>
        <w:t>nts.</w:t>
      </w:r>
      <w:r>
        <w:rPr>
          <w:szCs w:val="22"/>
          <w:vertAlign w:val="superscript"/>
        </w:rPr>
        <w:footnoteReference w:id="628"/>
      </w:r>
      <w:r w:rsidRPr="00ED6163">
        <w:rPr>
          <w:szCs w:val="22"/>
        </w:rPr>
        <w:t xml:space="preserve">  A small business in this service is an entity that, together with its affiliates and controlling principals, has average gross revenues not exceeding $40 million for the preceding three years.</w:t>
      </w:r>
      <w:r>
        <w:rPr>
          <w:szCs w:val="22"/>
          <w:vertAlign w:val="superscript"/>
        </w:rPr>
        <w:footnoteReference w:id="629"/>
      </w:r>
      <w:r w:rsidRPr="00ED6163">
        <w:rPr>
          <w:szCs w:val="22"/>
        </w:rPr>
        <w:t xml:space="preserve">  Additionally, a very small business is an entity tha</w:t>
      </w:r>
      <w:r w:rsidRPr="00ED6163">
        <w:rPr>
          <w:szCs w:val="22"/>
        </w:rPr>
        <w:t>t, together with its affiliates and controlling principals, has average gross revenues that are not more than $15 million for the preceding three years.</w:t>
      </w:r>
      <w:r>
        <w:rPr>
          <w:szCs w:val="22"/>
          <w:vertAlign w:val="superscript"/>
        </w:rPr>
        <w:footnoteReference w:id="630"/>
      </w:r>
      <w:r w:rsidRPr="00ED6163">
        <w:rPr>
          <w:szCs w:val="22"/>
        </w:rPr>
        <w:t xml:space="preserve">  SBA approval of these definitions is not required.</w:t>
      </w:r>
      <w:r>
        <w:rPr>
          <w:szCs w:val="22"/>
          <w:vertAlign w:val="superscript"/>
        </w:rPr>
        <w:footnoteReference w:id="631"/>
      </w:r>
      <w:r w:rsidRPr="00ED6163">
        <w:rPr>
          <w:szCs w:val="22"/>
        </w:rPr>
        <w:t xml:space="preserve">  An auction of 52 Major Economic Area licenses </w:t>
      </w:r>
      <w:r w:rsidRPr="00ED6163">
        <w:rPr>
          <w:szCs w:val="22"/>
        </w:rPr>
        <w:t>commenced on September 6, 2000, and closed on September 21, 2000.</w:t>
      </w:r>
      <w:r>
        <w:rPr>
          <w:szCs w:val="22"/>
          <w:vertAlign w:val="superscript"/>
        </w:rPr>
        <w:footnoteReference w:id="632"/>
      </w:r>
      <w:r w:rsidRPr="00ED6163">
        <w:rPr>
          <w:szCs w:val="22"/>
        </w:rPr>
        <w:t xml:space="preserve">  Of the 104 licenses auctioned, 96 licenses were sold to nine bidders.  Five of these bidders were small businesses that won a total of 26 licenses.  A second auction of 700 MHz Guard Band</w:t>
      </w:r>
      <w:r w:rsidRPr="00ED6163">
        <w:rPr>
          <w:szCs w:val="22"/>
        </w:rPr>
        <w:t xml:space="preserve"> licenses commenced on February 13, 2001, and closed on February 21, 2001.  All eight of the licenses auctioned were sold to three bidders.  One of these bidders was a small business that won a total of two licenses.</w:t>
      </w:r>
      <w:r>
        <w:rPr>
          <w:szCs w:val="22"/>
          <w:vertAlign w:val="superscript"/>
        </w:rPr>
        <w:footnoteReference w:id="633"/>
      </w:r>
    </w:p>
    <w:p w:rsidR="00252A4C" w:rsidRPr="00ED6163" w:rsidP="00252A4C" w14:paraId="40BCD707" w14:textId="77777777">
      <w:pPr>
        <w:numPr>
          <w:ilvl w:val="0"/>
          <w:numId w:val="2"/>
        </w:numPr>
        <w:tabs>
          <w:tab w:val="clear" w:pos="1080"/>
          <w:tab w:val="num" w:pos="1440"/>
        </w:tabs>
        <w:spacing w:after="120"/>
        <w:rPr>
          <w:szCs w:val="22"/>
        </w:rPr>
      </w:pPr>
      <w:r w:rsidRPr="00ED6163">
        <w:rPr>
          <w:i/>
          <w:szCs w:val="22"/>
        </w:rPr>
        <w:t>Air-Ground Radiotelephone Service</w:t>
      </w:r>
      <w:r w:rsidRPr="00ED6163">
        <w:rPr>
          <w:szCs w:val="22"/>
        </w:rPr>
        <w:t>.  T</w:t>
      </w:r>
      <w:r w:rsidRPr="00ED6163">
        <w:rPr>
          <w:szCs w:val="22"/>
        </w:rPr>
        <w:t>he Commission previously used the SBA’s small business size standard applicable to Wireless Telecommunications Carriers (except Satellite) for this service.</w:t>
      </w:r>
      <w:r>
        <w:rPr>
          <w:rStyle w:val="FootnoteReference"/>
          <w:sz w:val="22"/>
          <w:szCs w:val="22"/>
        </w:rPr>
        <w:footnoteReference w:id="634"/>
      </w:r>
      <w:r w:rsidRPr="00ED6163">
        <w:rPr>
          <w:szCs w:val="22"/>
        </w:rPr>
        <w:t xml:space="preserve">  The appropriate size standard under SBA rules is that such a business is small if it has 1,500 o</w:t>
      </w:r>
      <w:r w:rsidRPr="00ED6163">
        <w:rPr>
          <w:szCs w:val="22"/>
        </w:rPr>
        <w:t>r fewer employees.</w:t>
      </w:r>
      <w:r>
        <w:rPr>
          <w:rStyle w:val="FootnoteReference"/>
          <w:sz w:val="22"/>
          <w:szCs w:val="22"/>
        </w:rPr>
        <w:footnoteReference w:id="635"/>
      </w:r>
      <w:r w:rsidRPr="00ED6163">
        <w:rPr>
          <w:szCs w:val="22"/>
        </w:rPr>
        <w:t xml:space="preserve">  For this industry, U.S. Census Bureau data for 2012 show that there were 967 firms that operated for the entire year.  Of this total, 955 firms had fewer than 1,000 employees and 12 had employment of 1,000 employees or more.</w:t>
      </w:r>
      <w:r>
        <w:rPr>
          <w:szCs w:val="22"/>
          <w:vertAlign w:val="superscript"/>
        </w:rPr>
        <w:footnoteReference w:id="636"/>
      </w:r>
      <w:r w:rsidRPr="00ED6163">
        <w:rPr>
          <w:szCs w:val="22"/>
        </w:rPr>
        <w:t xml:space="preserve">  There </w:t>
      </w:r>
      <w:r w:rsidRPr="00ED6163">
        <w:rPr>
          <w:szCs w:val="22"/>
        </w:rPr>
        <w:t xml:space="preserve">are approximately 100 licensees in the Air-Ground Radiotelephone Service, and we estimate that almost all of them qualify as small entities under the SBA definition.  </w:t>
      </w:r>
    </w:p>
    <w:p w:rsidR="00252A4C" w:rsidRPr="00ED6163" w:rsidP="00252A4C" w14:paraId="27920E92" w14:textId="77777777">
      <w:pPr>
        <w:numPr>
          <w:ilvl w:val="0"/>
          <w:numId w:val="2"/>
        </w:numPr>
        <w:tabs>
          <w:tab w:val="clear" w:pos="1080"/>
          <w:tab w:val="num" w:pos="1440"/>
        </w:tabs>
        <w:spacing w:after="120"/>
        <w:rPr>
          <w:szCs w:val="22"/>
        </w:rPr>
      </w:pPr>
      <w:r w:rsidRPr="00ED6163">
        <w:rPr>
          <w:szCs w:val="22"/>
        </w:rPr>
        <w:t>For purposes of assigning Air-Ground Radiotelephone Service licenses through competitive</w:t>
      </w:r>
      <w:r w:rsidRPr="00ED6163">
        <w:rPr>
          <w:szCs w:val="22"/>
        </w:rPr>
        <w:t xml:space="preserve"> bidding, the Commission has defined “small business” as an entity that, together with controlling interests and affiliates, has average annual gross revenues for the preceding three years not exceeding $40 million.</w:t>
      </w:r>
      <w:r>
        <w:rPr>
          <w:szCs w:val="22"/>
          <w:vertAlign w:val="superscript"/>
        </w:rPr>
        <w:footnoteReference w:id="637"/>
      </w:r>
      <w:r w:rsidRPr="00ED6163">
        <w:rPr>
          <w:szCs w:val="22"/>
        </w:rPr>
        <w:t xml:space="preserve">  A “very small business” is defined as</w:t>
      </w:r>
      <w:r w:rsidRPr="00ED6163">
        <w:rPr>
          <w:szCs w:val="22"/>
        </w:rPr>
        <w:t xml:space="preserve"> an entity that, together with controlling interests and affiliates, has average annual gross revenues for the preceding three years not exceeding $15 million.</w:t>
      </w:r>
      <w:r>
        <w:rPr>
          <w:szCs w:val="22"/>
          <w:vertAlign w:val="superscript"/>
        </w:rPr>
        <w:footnoteReference w:id="638"/>
      </w:r>
      <w:r w:rsidRPr="00ED6163">
        <w:rPr>
          <w:szCs w:val="22"/>
        </w:rPr>
        <w:t xml:space="preserve">  The SBA approved these definitions.</w:t>
      </w:r>
      <w:r>
        <w:rPr>
          <w:szCs w:val="22"/>
          <w:vertAlign w:val="superscript"/>
        </w:rPr>
        <w:footnoteReference w:id="639"/>
      </w:r>
      <w:r w:rsidRPr="00ED6163">
        <w:rPr>
          <w:szCs w:val="22"/>
        </w:rPr>
        <w:t xml:space="preserve">  In May 2006, the Commission completed an auction of na</w:t>
      </w:r>
      <w:r w:rsidRPr="00ED6163">
        <w:rPr>
          <w:szCs w:val="22"/>
        </w:rPr>
        <w:t>tionwide commercial Air-Ground Radiotelephone Service licenses in the 800 MHz band (Auction No. 65).  On June 2, 2006, the auction closed with two winning bidders winning two Air-Ground Radiotelephone Services licenses.  Neither of the winning bidders clai</w:t>
      </w:r>
      <w:r w:rsidRPr="00ED6163">
        <w:rPr>
          <w:szCs w:val="22"/>
        </w:rPr>
        <w:t>med small business status.</w:t>
      </w:r>
    </w:p>
    <w:p w:rsidR="00252A4C" w:rsidRPr="00ED6163" w:rsidP="00252A4C" w14:paraId="2945C784" w14:textId="77777777">
      <w:pPr>
        <w:widowControl/>
        <w:numPr>
          <w:ilvl w:val="0"/>
          <w:numId w:val="2"/>
        </w:numPr>
        <w:tabs>
          <w:tab w:val="clear" w:pos="1080"/>
          <w:tab w:val="num" w:pos="1440"/>
        </w:tabs>
        <w:spacing w:after="120"/>
        <w:rPr>
          <w:szCs w:val="22"/>
        </w:rPr>
      </w:pPr>
      <w:r w:rsidRPr="00ED6163">
        <w:rPr>
          <w:i/>
          <w:szCs w:val="22"/>
        </w:rPr>
        <w:t>Advanced Wireless Services (AWS) (1710–1755 MHz and 2110–2155 MHz bands (AWS-1); 1915–1920 MHz, 1995–2000 MHz, 2020–2025 MHz and 2175–2180 MHz bands (AWS-2); 2155–2175 MHz band (AWS-3))</w:t>
      </w:r>
      <w:r w:rsidRPr="00ED6163">
        <w:rPr>
          <w:szCs w:val="22"/>
        </w:rPr>
        <w:t>.  For the AWS-1 bands,</w:t>
      </w:r>
      <w:r>
        <w:rPr>
          <w:szCs w:val="22"/>
          <w:vertAlign w:val="superscript"/>
        </w:rPr>
        <w:footnoteReference w:id="640"/>
      </w:r>
      <w:r w:rsidRPr="00ED6163">
        <w:rPr>
          <w:szCs w:val="22"/>
        </w:rPr>
        <w:t xml:space="preserve"> the Commission def</w:t>
      </w:r>
      <w:r w:rsidRPr="00ED6163">
        <w:rPr>
          <w:szCs w:val="22"/>
        </w:rPr>
        <w:t>ined a “small business” as an entity with average annual gross revenues for the preceding three years not exceeding $40 million, and a “very small business” as an entity with average annual gross revenues for the preceding three years not exceeding $15 mil</w:t>
      </w:r>
      <w:r w:rsidRPr="00ED6163">
        <w:rPr>
          <w:szCs w:val="22"/>
        </w:rPr>
        <w:t>lion.  For AWS-2 and AWS-3, although we do not know for certain which entities are likely to apply for these frequencies, we note that the AWS-1 bands are comparable to those used for cellular service and personal communications service.  The Commission ha</w:t>
      </w:r>
      <w:r w:rsidRPr="00ED6163">
        <w:rPr>
          <w:szCs w:val="22"/>
        </w:rPr>
        <w:t>s not yet adopted size standards for the AWS-2 or AWS-3 bands but proposes to treat both AWS-2 and AWS-3 similarly to broadband PCS service and AWS-1 service due to the comparable capital requirements and other factors, such as issues involved in relocatin</w:t>
      </w:r>
      <w:r w:rsidRPr="00ED6163">
        <w:rPr>
          <w:szCs w:val="22"/>
        </w:rPr>
        <w:t>g incumbents and developing markets, technologies, and services.</w:t>
      </w:r>
      <w:r>
        <w:rPr>
          <w:szCs w:val="22"/>
          <w:vertAlign w:val="superscript"/>
        </w:rPr>
        <w:footnoteReference w:id="641"/>
      </w:r>
    </w:p>
    <w:p w:rsidR="00252A4C" w:rsidRPr="00ED6163" w:rsidP="00252A4C" w14:paraId="7503C993" w14:textId="77777777">
      <w:pPr>
        <w:numPr>
          <w:ilvl w:val="0"/>
          <w:numId w:val="2"/>
        </w:numPr>
        <w:tabs>
          <w:tab w:val="clear" w:pos="1080"/>
          <w:tab w:val="num" w:pos="1440"/>
        </w:tabs>
        <w:spacing w:after="120"/>
        <w:rPr>
          <w:szCs w:val="22"/>
        </w:rPr>
      </w:pPr>
      <w:r w:rsidRPr="00ED6163">
        <w:rPr>
          <w:i/>
          <w:szCs w:val="22"/>
        </w:rPr>
        <w:t>3650–3700 MHz band</w:t>
      </w:r>
      <w:r w:rsidRPr="00ED6163">
        <w:rPr>
          <w:szCs w:val="22"/>
        </w:rPr>
        <w:t xml:space="preserve">.  In March 2005, the Commission released a </w:t>
      </w:r>
      <w:r w:rsidRPr="00ED6163">
        <w:rPr>
          <w:i/>
          <w:szCs w:val="22"/>
        </w:rPr>
        <w:t>Report and Order and Memorandum Opinion and Order</w:t>
      </w:r>
      <w:r w:rsidRPr="00ED6163">
        <w:rPr>
          <w:szCs w:val="22"/>
        </w:rPr>
        <w:t xml:space="preserve"> that provides for nationwide, non-exclusive licensing of terrestrial operatio</w:t>
      </w:r>
      <w:r w:rsidRPr="00ED6163">
        <w:rPr>
          <w:szCs w:val="22"/>
        </w:rPr>
        <w:t>ns, using contention-based technologies, in the 3650 MHz band (i.e., 3650–3700 MHz).</w:t>
      </w:r>
      <w:r>
        <w:rPr>
          <w:szCs w:val="22"/>
          <w:vertAlign w:val="superscript"/>
        </w:rPr>
        <w:footnoteReference w:id="642"/>
      </w:r>
      <w:r w:rsidRPr="00ED6163">
        <w:rPr>
          <w:szCs w:val="22"/>
        </w:rPr>
        <w:t xml:space="preserve">  As of April 2010, more than 1,270 licenses have been granted and more than 7,433 sites have been registered.  The Commission has not developed a definition of small ent</w:t>
      </w:r>
      <w:r w:rsidRPr="00ED6163">
        <w:rPr>
          <w:szCs w:val="22"/>
        </w:rPr>
        <w:t>ities applicable to 3650–3700 MHz band nationwide, non-exclusive licensees.  However, we estimate that the majority of these licensees are Internet Access Service Providers (ISPs) and that most of those licensees are small businesses.</w:t>
      </w:r>
    </w:p>
    <w:p w:rsidR="00252A4C" w:rsidRPr="00ED6163" w:rsidP="00252A4C" w14:paraId="2D58F634" w14:textId="77777777">
      <w:pPr>
        <w:numPr>
          <w:ilvl w:val="0"/>
          <w:numId w:val="2"/>
        </w:numPr>
        <w:tabs>
          <w:tab w:val="clear" w:pos="1080"/>
          <w:tab w:val="num" w:pos="1440"/>
        </w:tabs>
        <w:spacing w:after="120"/>
        <w:rPr>
          <w:szCs w:val="22"/>
        </w:rPr>
      </w:pPr>
      <w:bookmarkStart w:id="689" w:name="_Hlk503947956"/>
      <w:r w:rsidRPr="00ED6163">
        <w:rPr>
          <w:i/>
          <w:szCs w:val="22"/>
        </w:rPr>
        <w:t xml:space="preserve">Fixed </w:t>
      </w:r>
      <w:r w:rsidRPr="00ED6163">
        <w:rPr>
          <w:i/>
          <w:szCs w:val="22"/>
        </w:rPr>
        <w:t>Microwave Services</w:t>
      </w:r>
      <w:bookmarkEnd w:id="689"/>
      <w:r w:rsidRPr="00ED6163">
        <w:rPr>
          <w:szCs w:val="22"/>
        </w:rPr>
        <w:t>.  Microwave services include common carrier,</w:t>
      </w:r>
      <w:r>
        <w:rPr>
          <w:szCs w:val="22"/>
          <w:vertAlign w:val="superscript"/>
        </w:rPr>
        <w:footnoteReference w:id="643"/>
      </w:r>
      <w:r w:rsidRPr="00ED6163">
        <w:rPr>
          <w:szCs w:val="22"/>
        </w:rPr>
        <w:t xml:space="preserve"> private-operational fixed,</w:t>
      </w:r>
      <w:r>
        <w:rPr>
          <w:szCs w:val="22"/>
          <w:vertAlign w:val="superscript"/>
        </w:rPr>
        <w:footnoteReference w:id="644"/>
      </w:r>
      <w:r w:rsidRPr="00ED6163">
        <w:rPr>
          <w:szCs w:val="22"/>
        </w:rPr>
        <w:t xml:space="preserve"> and broadcast auxiliary radio services.</w:t>
      </w:r>
      <w:r>
        <w:rPr>
          <w:szCs w:val="22"/>
          <w:vertAlign w:val="superscript"/>
        </w:rPr>
        <w:footnoteReference w:id="645"/>
      </w:r>
      <w:r w:rsidRPr="00ED6163">
        <w:rPr>
          <w:szCs w:val="22"/>
        </w:rPr>
        <w:t xml:space="preserve">  They also include the Local Multipoint Distribution Service (LMDS),</w:t>
      </w:r>
      <w:r>
        <w:rPr>
          <w:szCs w:val="22"/>
          <w:vertAlign w:val="superscript"/>
        </w:rPr>
        <w:footnoteReference w:id="646"/>
      </w:r>
      <w:r w:rsidRPr="00ED6163">
        <w:rPr>
          <w:szCs w:val="22"/>
        </w:rPr>
        <w:t xml:space="preserve"> the Digital Electronic Message Service (DEMS),</w:t>
      </w:r>
      <w:r>
        <w:rPr>
          <w:szCs w:val="22"/>
          <w:vertAlign w:val="superscript"/>
        </w:rPr>
        <w:footnoteReference w:id="647"/>
      </w:r>
      <w:r w:rsidRPr="00ED6163">
        <w:rPr>
          <w:szCs w:val="22"/>
        </w:rPr>
        <w:t xml:space="preserve"> and the 24 GHz Service,</w:t>
      </w:r>
      <w:r>
        <w:rPr>
          <w:szCs w:val="22"/>
          <w:vertAlign w:val="superscript"/>
        </w:rPr>
        <w:footnoteReference w:id="648"/>
      </w:r>
      <w:r w:rsidRPr="00ED6163">
        <w:rPr>
          <w:szCs w:val="22"/>
        </w:rPr>
        <w:t xml:space="preserve"> where licensees can choose between common carrier and non-common carrier status.</w:t>
      </w:r>
      <w:r>
        <w:rPr>
          <w:szCs w:val="22"/>
          <w:vertAlign w:val="superscript"/>
        </w:rPr>
        <w:footnoteReference w:id="649"/>
      </w:r>
      <w:r w:rsidRPr="00ED6163">
        <w:rPr>
          <w:szCs w:val="22"/>
        </w:rPr>
        <w:t xml:space="preserve">  At present, there are app</w:t>
      </w:r>
      <w:r w:rsidRPr="00ED6163">
        <w:rPr>
          <w:szCs w:val="22"/>
        </w:rPr>
        <w:t>roximately 36,708 common carrier fixed licensees and 59,291 private operational-fixed licensees and broadcast auxiliary radio licensees in the microwave services.  There are approximately 135 LMDS licensees, three DEMS licensees, and three 24 GHz licensees</w:t>
      </w:r>
      <w:r w:rsidRPr="00ED6163">
        <w:rPr>
          <w:szCs w:val="22"/>
        </w:rPr>
        <w:t>.  The Commission has not yet defined a small business with respect to microwave services.  The closest applicable SBA category is Wireless Telecommunications Carriers (except Satellite),</w:t>
      </w:r>
      <w:r>
        <w:rPr>
          <w:rStyle w:val="FootnoteReference"/>
          <w:sz w:val="22"/>
          <w:szCs w:val="22"/>
        </w:rPr>
        <w:footnoteReference w:id="650"/>
      </w:r>
      <w:r w:rsidRPr="00ED6163">
        <w:rPr>
          <w:szCs w:val="22"/>
        </w:rPr>
        <w:t xml:space="preserve"> and the appropriate size standard for this category under SBA rule</w:t>
      </w:r>
      <w:r w:rsidRPr="00ED6163">
        <w:rPr>
          <w:szCs w:val="22"/>
        </w:rPr>
        <w:t>s is that such a business is small if it has 1,500 or fewer employees.</w:t>
      </w:r>
      <w:r>
        <w:rPr>
          <w:szCs w:val="22"/>
          <w:vertAlign w:val="superscript"/>
        </w:rPr>
        <w:footnoteReference w:id="651"/>
      </w:r>
      <w:r w:rsidRPr="00ED6163">
        <w:rPr>
          <w:szCs w:val="22"/>
        </w:rPr>
        <w:t xml:space="preserve">  For this industry, U.S. Census Bureau data for 2012 show that there were 967 firms that operated for the entire year.</w:t>
      </w:r>
      <w:r>
        <w:rPr>
          <w:rStyle w:val="FootnoteReference"/>
          <w:sz w:val="22"/>
          <w:szCs w:val="22"/>
        </w:rPr>
        <w:footnoteReference w:id="652"/>
      </w:r>
      <w:r w:rsidRPr="00ED6163">
        <w:rPr>
          <w:szCs w:val="22"/>
        </w:rPr>
        <w:t xml:space="preserve">  Of this total, 955 firms had fewer than 1,000 employees and 1</w:t>
      </w:r>
      <w:r w:rsidRPr="00ED6163">
        <w:rPr>
          <w:szCs w:val="22"/>
        </w:rPr>
        <w:t>2 had employment of 1,000 employees or more.</w:t>
      </w:r>
      <w:r>
        <w:rPr>
          <w:szCs w:val="22"/>
          <w:vertAlign w:val="superscript"/>
        </w:rPr>
        <w:footnoteReference w:id="653"/>
      </w:r>
      <w:r w:rsidRPr="00ED6163">
        <w:rPr>
          <w:szCs w:val="22"/>
        </w:rPr>
        <w:t xml:space="preserve">  Thus, under this SBA category and the associated size standard, the Commission estimates that a majority of fixed microwave service licensees can be considered small.</w:t>
      </w:r>
    </w:p>
    <w:p w:rsidR="00252A4C" w:rsidRPr="00ED6163" w:rsidP="00252A4C" w14:paraId="48E9EEA6" w14:textId="77777777">
      <w:pPr>
        <w:numPr>
          <w:ilvl w:val="0"/>
          <w:numId w:val="2"/>
        </w:numPr>
        <w:tabs>
          <w:tab w:val="clear" w:pos="1080"/>
          <w:tab w:val="num" w:pos="1440"/>
        </w:tabs>
        <w:spacing w:after="120"/>
        <w:rPr>
          <w:szCs w:val="22"/>
        </w:rPr>
      </w:pPr>
      <w:r w:rsidRPr="00ED6163">
        <w:rPr>
          <w:szCs w:val="22"/>
        </w:rPr>
        <w:t xml:space="preserve">  The Commission does not have data speci</w:t>
      </w:r>
      <w:r w:rsidRPr="00ED6163">
        <w:rPr>
          <w:szCs w:val="22"/>
        </w:rPr>
        <w:t xml:space="preserve">fying the number of these licensees that have more than 1,500 employees, and thus is unable at this time to estimate with greater precision the number of fixed microwave service licensees that would qualify as small business concerns under the SBA’s small </w:t>
      </w:r>
      <w:r w:rsidRPr="00ED6163">
        <w:rPr>
          <w:szCs w:val="22"/>
        </w:rPr>
        <w:t>business size standard.  Consequently, the Commission estimates that there are up to 36,708 common carrier fixed licensees and up to 59,291 private operational-fixed licensees and broadcast auxiliary radio licensees in the microwave services that may be sm</w:t>
      </w:r>
      <w:r w:rsidRPr="00ED6163">
        <w:rPr>
          <w:szCs w:val="22"/>
        </w:rPr>
        <w:t>all and may be affected by the rules and policies adopted herein.  We note, however, that the common carrier microwave fixed licensee category does include some large entities.</w:t>
      </w:r>
    </w:p>
    <w:p w:rsidR="00252A4C" w:rsidRPr="00ED6163" w:rsidP="00252A4C" w14:paraId="51753444" w14:textId="77777777">
      <w:pPr>
        <w:widowControl/>
        <w:numPr>
          <w:ilvl w:val="0"/>
          <w:numId w:val="2"/>
        </w:numPr>
        <w:tabs>
          <w:tab w:val="clear" w:pos="1080"/>
          <w:tab w:val="num" w:pos="1440"/>
        </w:tabs>
        <w:spacing w:after="120"/>
        <w:rPr>
          <w:szCs w:val="22"/>
        </w:rPr>
      </w:pPr>
      <w:r w:rsidRPr="00ED6163">
        <w:rPr>
          <w:i/>
          <w:szCs w:val="22"/>
        </w:rPr>
        <w:t>Broadband Radio Service and Educational Broadband Service.</w:t>
      </w:r>
      <w:r w:rsidRPr="00ED6163">
        <w:rPr>
          <w:szCs w:val="22"/>
        </w:rPr>
        <w:t xml:space="preserve">  Broadband Radio Ser</w:t>
      </w:r>
      <w:r w:rsidRPr="00ED6163">
        <w:rPr>
          <w:szCs w:val="22"/>
        </w:rPr>
        <w:t>vice systems, previously referred to as Multipoint Distribution Service (MDS) and Multichannel Multipoint Distribution Service (MMDS) systems and “wireless cable,” transmit video programming to subscribers and provide two-way high speed data operations usi</w:t>
      </w:r>
      <w:r w:rsidRPr="00ED6163">
        <w:rPr>
          <w:szCs w:val="22"/>
        </w:rPr>
        <w:t>ng the microwave frequencies of the Broadband Radio Service (BRS) and Educational Broadband Service (EBS) (previously referred to as the Instructional Television Fixed Service (ITFS)).</w:t>
      </w:r>
      <w:r>
        <w:rPr>
          <w:szCs w:val="22"/>
          <w:vertAlign w:val="superscript"/>
        </w:rPr>
        <w:footnoteReference w:id="654"/>
      </w:r>
      <w:r w:rsidRPr="00ED6163">
        <w:rPr>
          <w:szCs w:val="22"/>
        </w:rPr>
        <w:t xml:space="preserve">  In connection with the 1996 BRS auction, the Commission established </w:t>
      </w:r>
      <w:r w:rsidRPr="00ED6163">
        <w:rPr>
          <w:szCs w:val="22"/>
        </w:rPr>
        <w:t>a small business size standard as an entity that had annual average gross revenues of no more than $40 million in the previous three calendar years.</w:t>
      </w:r>
      <w:r>
        <w:rPr>
          <w:szCs w:val="22"/>
          <w:vertAlign w:val="superscript"/>
        </w:rPr>
        <w:footnoteReference w:id="655"/>
      </w:r>
      <w:r w:rsidRPr="00ED6163">
        <w:rPr>
          <w:szCs w:val="22"/>
        </w:rPr>
        <w:t xml:space="preserve">  The BRS auctions resulted in 67 successful bidders obtaining licensing opportunities for 493 Basic Tradi</w:t>
      </w:r>
      <w:r w:rsidRPr="00ED6163">
        <w:rPr>
          <w:szCs w:val="22"/>
        </w:rPr>
        <w:t xml:space="preserve">ng Areas (BTAs).  Of the 67 auction winners, 61 met the definition of a small business.  BRS also includes licensees of stations authorized prior to the auction.  At this time, we estimate that of the 61 small business BRS auction winners, 48 remain small </w:t>
      </w:r>
      <w:r w:rsidRPr="00ED6163">
        <w:rPr>
          <w:szCs w:val="22"/>
        </w:rPr>
        <w:t>business licensees.  In addition to the 48 small businesses that hold BTA authorizations, there are approximately 392 incumbent BRS licensees that are considered small entities.</w:t>
      </w:r>
      <w:r>
        <w:rPr>
          <w:szCs w:val="22"/>
          <w:vertAlign w:val="superscript"/>
        </w:rPr>
        <w:footnoteReference w:id="656"/>
      </w:r>
      <w:r w:rsidRPr="00ED6163">
        <w:rPr>
          <w:szCs w:val="22"/>
        </w:rPr>
        <w:t xml:space="preserve">  After adding the number of small business auction licensees to the number o</w:t>
      </w:r>
      <w:r w:rsidRPr="00ED6163">
        <w:rPr>
          <w:szCs w:val="22"/>
        </w:rPr>
        <w:t>f incumbent licensees not already counted, we find that there are currently approximately 440 BRS licensees that are defined as small businesses under either the SBA or the Commission’s rules.</w:t>
      </w:r>
    </w:p>
    <w:p w:rsidR="00252A4C" w:rsidRPr="00ED6163" w:rsidP="00820C43" w14:paraId="1862E601" w14:textId="77777777">
      <w:pPr>
        <w:widowControl/>
        <w:numPr>
          <w:ilvl w:val="0"/>
          <w:numId w:val="2"/>
        </w:numPr>
        <w:tabs>
          <w:tab w:val="clear" w:pos="1080"/>
          <w:tab w:val="num" w:pos="1440"/>
        </w:tabs>
        <w:spacing w:after="120"/>
        <w:rPr>
          <w:szCs w:val="22"/>
        </w:rPr>
      </w:pPr>
      <w:r w:rsidRPr="00ED6163">
        <w:rPr>
          <w:szCs w:val="22"/>
        </w:rPr>
        <w:t>In 2009, the Commission conducted Auction 86, the sale of 78 li</w:t>
      </w:r>
      <w:r w:rsidRPr="00ED6163">
        <w:rPr>
          <w:szCs w:val="22"/>
        </w:rPr>
        <w:t>censes in the BRS areas.</w:t>
      </w:r>
      <w:r>
        <w:rPr>
          <w:szCs w:val="22"/>
          <w:vertAlign w:val="superscript"/>
        </w:rPr>
        <w:footnoteReference w:id="657"/>
      </w:r>
      <w:r w:rsidRPr="00ED6163">
        <w:rPr>
          <w:szCs w:val="22"/>
        </w:rPr>
        <w:t xml:space="preserve">  The Commission offered three levels of bidding credits: (1) a bidder with attributed average annual gross revenues that exceed $15 million and do not exceed $40 million for the preceding three years (small business) received a 1</w:t>
      </w:r>
      <w:r w:rsidRPr="00ED6163">
        <w:rPr>
          <w:szCs w:val="22"/>
        </w:rPr>
        <w:t>5% discount on its winning bid; (2) a bidder with attributed average annual gross revenues that exceed $3 million and do not exceed $15 million for the preceding three years (very small business) received a 25% discount on its winning bid; and (3) a bidder</w:t>
      </w:r>
      <w:r w:rsidRPr="00ED6163">
        <w:rPr>
          <w:szCs w:val="22"/>
        </w:rPr>
        <w:t xml:space="preserve"> with attributed average annual gross revenues that do not exceed $3 million for the preceding three years (entrepreneur) received a 35% discount on its winning bid.</w:t>
      </w:r>
      <w:r>
        <w:rPr>
          <w:szCs w:val="22"/>
          <w:vertAlign w:val="superscript"/>
        </w:rPr>
        <w:footnoteReference w:id="658"/>
      </w:r>
      <w:r w:rsidRPr="00ED6163">
        <w:rPr>
          <w:szCs w:val="22"/>
        </w:rPr>
        <w:t xml:space="preserve">  Auction 86 concluded in 2009 with the sale of 61 licenses.</w:t>
      </w:r>
      <w:r>
        <w:rPr>
          <w:szCs w:val="22"/>
          <w:vertAlign w:val="superscript"/>
        </w:rPr>
        <w:footnoteReference w:id="659"/>
      </w:r>
      <w:r w:rsidRPr="00ED6163">
        <w:rPr>
          <w:szCs w:val="22"/>
        </w:rPr>
        <w:t xml:space="preserve">  Of the ten winning bidder</w:t>
      </w:r>
      <w:r w:rsidRPr="00ED6163">
        <w:rPr>
          <w:szCs w:val="22"/>
        </w:rPr>
        <w:t>s, two bidders that claimed small business status won 4 licenses; one bidder that claimed very small business status won three licenses; and two bidders that claimed entrepreneur status won six licenses.</w:t>
      </w:r>
    </w:p>
    <w:p w:rsidR="00252A4C" w:rsidRPr="00ED6163" w:rsidP="00252A4C" w14:paraId="251E6AEA" w14:textId="77777777">
      <w:pPr>
        <w:widowControl/>
        <w:numPr>
          <w:ilvl w:val="0"/>
          <w:numId w:val="2"/>
        </w:numPr>
        <w:tabs>
          <w:tab w:val="clear" w:pos="1080"/>
          <w:tab w:val="num" w:pos="1440"/>
        </w:tabs>
        <w:spacing w:after="120"/>
        <w:rPr>
          <w:szCs w:val="22"/>
        </w:rPr>
      </w:pPr>
      <w:r w:rsidRPr="00ED6163">
        <w:rPr>
          <w:szCs w:val="22"/>
        </w:rPr>
        <w:t>In addition, the SBA’s Cable Television Distribution</w:t>
      </w:r>
      <w:r w:rsidRPr="00ED6163">
        <w:rPr>
          <w:szCs w:val="22"/>
        </w:rPr>
        <w:t xml:space="preserve"> Services small business size standard is applicable to EBS.  There are presently 2,436 EBS licensees.  All but 100 of these licenses are held by educational institutions.  Educational institutions are included in this analysis as small entities.</w:t>
      </w:r>
      <w:r>
        <w:rPr>
          <w:szCs w:val="22"/>
          <w:vertAlign w:val="superscript"/>
        </w:rPr>
        <w:footnoteReference w:id="660"/>
      </w:r>
      <w:r w:rsidRPr="00ED6163">
        <w:rPr>
          <w:szCs w:val="22"/>
        </w:rPr>
        <w:t xml:space="preserve">  Thus, </w:t>
      </w:r>
      <w:r w:rsidRPr="00ED6163">
        <w:rPr>
          <w:szCs w:val="22"/>
        </w:rPr>
        <w:t>we estimate that at least 2,336 licensees are small businesses.  Since 2007,</w:t>
      </w:r>
      <w:r w:rsidRPr="00ED6163">
        <w:rPr>
          <w:i/>
          <w:szCs w:val="22"/>
        </w:rPr>
        <w:t xml:space="preserve"> </w:t>
      </w:r>
      <w:r w:rsidRPr="00ED6163">
        <w:rPr>
          <w:szCs w:val="22"/>
        </w:rPr>
        <w:t>Cable Television Distribution Services have been defined within the broad economic census category of Wired Telecommunications Carriers; that category is defined as follows: “This</w:t>
      </w:r>
      <w:r w:rsidRPr="00ED6163">
        <w:rPr>
          <w:szCs w:val="22"/>
        </w:rPr>
        <w:t xml:space="preserve"> industry comprises establishments primarily engaged in operating and/or providing access to transmission facilities and infrastructure that they own and/or lease for the transmission of voice, data, text, sound, and video using wired telecommunications ne</w:t>
      </w:r>
      <w:r w:rsidRPr="00ED6163">
        <w:rPr>
          <w:szCs w:val="22"/>
        </w:rPr>
        <w:t>tworks.  Transmission facilities may be based on a single technology or a combination of technologies.”</w:t>
      </w:r>
      <w:r>
        <w:rPr>
          <w:szCs w:val="22"/>
          <w:vertAlign w:val="superscript"/>
        </w:rPr>
        <w:footnoteReference w:id="661"/>
      </w:r>
      <w:r w:rsidRPr="00ED6163">
        <w:rPr>
          <w:szCs w:val="22"/>
        </w:rPr>
        <w:t xml:space="preserve">  The SBA has developed a small business size standard for this category, which is:  all such firms having 1,500 or fewer employees.  To gauge small bu</w:t>
      </w:r>
      <w:r w:rsidRPr="00ED6163">
        <w:rPr>
          <w:szCs w:val="22"/>
        </w:rPr>
        <w:t>siness prevalence for these cable services we must, however, use the most current census data that are based on the previous category of Cable and Other Program Distribution and its associated size standard: all such firms having $13.5 million or less in a</w:t>
      </w:r>
      <w:r w:rsidRPr="00ED6163">
        <w:rPr>
          <w:szCs w:val="22"/>
        </w:rPr>
        <w:t>nnual receipts.</w:t>
      </w:r>
      <w:r>
        <w:rPr>
          <w:szCs w:val="22"/>
          <w:vertAlign w:val="superscript"/>
        </w:rPr>
        <w:footnoteReference w:id="662"/>
      </w:r>
      <w:r w:rsidRPr="00ED6163">
        <w:rPr>
          <w:szCs w:val="22"/>
        </w:rPr>
        <w:t xml:space="preserve">  For this industry, U.S. Census data for 2012 show that there were 3,117 firms that operated that year.</w:t>
      </w:r>
      <w:r>
        <w:rPr>
          <w:szCs w:val="22"/>
          <w:vertAlign w:val="superscript"/>
        </w:rPr>
        <w:footnoteReference w:id="663"/>
      </w:r>
      <w:r w:rsidRPr="00ED6163">
        <w:rPr>
          <w:szCs w:val="22"/>
        </w:rPr>
        <w:t xml:space="preserve">  Of this total, 3,083 operated with fewer than 1,000 employees.</w:t>
      </w:r>
      <w:r>
        <w:rPr>
          <w:szCs w:val="22"/>
          <w:vertAlign w:val="superscript"/>
        </w:rPr>
        <w:footnoteReference w:id="664"/>
      </w:r>
      <w:r w:rsidRPr="00ED6163">
        <w:rPr>
          <w:szCs w:val="22"/>
        </w:rPr>
        <w:t xml:space="preserve">  Thus, the majority of these firms can be considered small.</w:t>
      </w:r>
    </w:p>
    <w:p w:rsidR="00252A4C" w:rsidRPr="00ED6163" w:rsidP="00252A4C" w14:paraId="1AF84F7A" w14:textId="77777777">
      <w:pPr>
        <w:pStyle w:val="Heading3"/>
        <w:rPr>
          <w:szCs w:val="22"/>
        </w:rPr>
      </w:pPr>
      <w:bookmarkStart w:id="690" w:name="_Toc412097300"/>
      <w:bookmarkStart w:id="691" w:name="_Toc412382117"/>
      <w:bookmarkStart w:id="692" w:name="_Toc412409145"/>
      <w:bookmarkStart w:id="693" w:name="_Toc412409992"/>
      <w:bookmarkStart w:id="694" w:name="_Toc412410100"/>
      <w:bookmarkStart w:id="695" w:name="_Toc412410355"/>
      <w:bookmarkStart w:id="696" w:name="_Toc412557238"/>
      <w:bookmarkStart w:id="697" w:name="_Toc412557598"/>
      <w:bookmarkStart w:id="698" w:name="_Toc412574964"/>
      <w:bookmarkStart w:id="699" w:name="_Toc413425061"/>
      <w:bookmarkStart w:id="700" w:name="_Toc446424666"/>
      <w:bookmarkStart w:id="701" w:name="_Toc447036375"/>
      <w:bookmarkStart w:id="702" w:name="_Toc502754795"/>
      <w:bookmarkStart w:id="703" w:name="_Toc503186667"/>
      <w:bookmarkStart w:id="704" w:name="_Toc503346317"/>
      <w:bookmarkStart w:id="705" w:name="_Toc503392320"/>
      <w:bookmarkStart w:id="706" w:name="_Toc508268474"/>
      <w:bookmarkStart w:id="707" w:name="_Toc508629500"/>
      <w:bookmarkStart w:id="708" w:name="_Toc523927185"/>
      <w:bookmarkStart w:id="709" w:name="_Toc528063976"/>
      <w:bookmarkStart w:id="710" w:name="_Toc528064027"/>
      <w:bookmarkStart w:id="711" w:name="_Toc529198572"/>
      <w:bookmarkStart w:id="712" w:name="_Toc685879"/>
      <w:bookmarkStart w:id="713" w:name="_Toc1459440"/>
      <w:bookmarkStart w:id="714" w:name="_Toc4505883"/>
      <w:bookmarkStart w:id="715" w:name="_Toc8917996"/>
      <w:bookmarkStart w:id="716" w:name="_Toc10190562"/>
      <w:bookmarkStart w:id="717" w:name="_Toc13665618"/>
      <w:bookmarkStart w:id="718" w:name="_Toc13665805"/>
      <w:bookmarkStart w:id="719" w:name="_Toc15501987"/>
      <w:r w:rsidRPr="00ED6163">
        <w:rPr>
          <w:szCs w:val="22"/>
        </w:rPr>
        <w:t>Satellite Service Providers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rsidR="00252A4C" w:rsidRPr="00ED6163" w:rsidP="00252A4C" w14:paraId="430DC533" w14:textId="77777777">
      <w:pPr>
        <w:widowControl/>
        <w:numPr>
          <w:ilvl w:val="0"/>
          <w:numId w:val="2"/>
        </w:numPr>
        <w:tabs>
          <w:tab w:val="clear" w:pos="1080"/>
          <w:tab w:val="num" w:pos="1440"/>
        </w:tabs>
        <w:spacing w:after="120"/>
        <w:rPr>
          <w:szCs w:val="22"/>
        </w:rPr>
      </w:pPr>
      <w:r w:rsidRPr="00ED6163">
        <w:rPr>
          <w:i/>
          <w:szCs w:val="22"/>
        </w:rPr>
        <w:t xml:space="preserve">Satellite Telecommunications Providers. </w:t>
      </w:r>
      <w:r w:rsidRPr="00ED6163">
        <w:rPr>
          <w:szCs w:val="22"/>
        </w:rPr>
        <w:t>This category comprises firms “primarily engaged in providing telecommunications services to other establishments in the teleco</w:t>
      </w:r>
      <w:r w:rsidRPr="00ED6163">
        <w:rPr>
          <w:szCs w:val="22"/>
        </w:rPr>
        <w:t>mmunications and broadcasting industries by forwarding and receiving communications signals via a system of satellites or reselling satellite telecommunications.”</w:t>
      </w:r>
      <w:r>
        <w:rPr>
          <w:rStyle w:val="FootnoteReference"/>
          <w:sz w:val="22"/>
          <w:szCs w:val="22"/>
        </w:rPr>
        <w:footnoteReference w:id="665"/>
      </w:r>
      <w:r w:rsidRPr="00ED6163">
        <w:rPr>
          <w:szCs w:val="22"/>
        </w:rPr>
        <w:t xml:space="preserve">  Satellite telecommunications service providers include satellite and earth station operato</w:t>
      </w:r>
      <w:r w:rsidRPr="00ED6163">
        <w:rPr>
          <w:szCs w:val="22"/>
        </w:rPr>
        <w:t>rs. The category has a small business size standard of $32.5 million or less in average annual receipts, under SBA rules.</w:t>
      </w:r>
      <w:r>
        <w:rPr>
          <w:rStyle w:val="FootnoteReference"/>
          <w:sz w:val="22"/>
          <w:szCs w:val="22"/>
        </w:rPr>
        <w:footnoteReference w:id="666"/>
      </w:r>
      <w:r w:rsidRPr="00ED6163">
        <w:rPr>
          <w:szCs w:val="22"/>
        </w:rPr>
        <w:t xml:space="preserve">  For this category, U.S. Census Bureau data for 2012 show that there were a total of 333 firms that operated for the entire year.</w:t>
      </w:r>
      <w:r>
        <w:rPr>
          <w:rStyle w:val="FootnoteReference"/>
          <w:sz w:val="22"/>
          <w:szCs w:val="22"/>
        </w:rPr>
        <w:footnoteReference w:id="667"/>
      </w:r>
      <w:r w:rsidRPr="00ED6163">
        <w:rPr>
          <w:szCs w:val="22"/>
        </w:rPr>
        <w:t xml:space="preserve">  Of this total, 299 firms had annual receipts of less than $25 million.</w:t>
      </w:r>
      <w:r>
        <w:rPr>
          <w:rStyle w:val="FootnoteReference"/>
          <w:sz w:val="22"/>
          <w:szCs w:val="22"/>
        </w:rPr>
        <w:footnoteReference w:id="668"/>
      </w:r>
      <w:r w:rsidRPr="00ED6163">
        <w:rPr>
          <w:szCs w:val="22"/>
        </w:rPr>
        <w:t xml:space="preserve">  Consequently, we estimate that the majority of s</w:t>
      </w:r>
      <w:r w:rsidRPr="00ED6163">
        <w:rPr>
          <w:szCs w:val="22"/>
        </w:rPr>
        <w:t xml:space="preserve">atellite telecommunications providers are small entities. </w:t>
      </w:r>
      <w:bookmarkStart w:id="720" w:name="_Toc412097301"/>
      <w:bookmarkStart w:id="721" w:name="_Toc412382118"/>
      <w:bookmarkStart w:id="722" w:name="_Toc412409146"/>
      <w:bookmarkStart w:id="723" w:name="_Toc412409993"/>
      <w:bookmarkStart w:id="724" w:name="_Toc412410101"/>
      <w:bookmarkStart w:id="725" w:name="_Toc412410356"/>
      <w:bookmarkStart w:id="726" w:name="_Toc412557239"/>
      <w:bookmarkStart w:id="727" w:name="_Toc412557599"/>
      <w:bookmarkStart w:id="728" w:name="_Toc412574965"/>
      <w:bookmarkStart w:id="729" w:name="_Toc413425062"/>
      <w:bookmarkStart w:id="730" w:name="_Toc446424667"/>
      <w:bookmarkStart w:id="731" w:name="_Toc447036376"/>
      <w:bookmarkStart w:id="732" w:name="_Toc502754796"/>
      <w:bookmarkStart w:id="733" w:name="_Toc503186668"/>
      <w:bookmarkStart w:id="734" w:name="_Toc503346318"/>
      <w:bookmarkStart w:id="735" w:name="_Toc503392321"/>
    </w:p>
    <w:p w:rsidR="00252A4C" w:rsidRPr="00ED6163" w:rsidP="00252A4C" w14:paraId="0253131E" w14:textId="77777777">
      <w:pPr>
        <w:numPr>
          <w:ilvl w:val="0"/>
          <w:numId w:val="2"/>
        </w:numPr>
        <w:tabs>
          <w:tab w:val="clear" w:pos="1080"/>
          <w:tab w:val="num" w:pos="1440"/>
        </w:tabs>
        <w:spacing w:after="120"/>
        <w:rPr>
          <w:szCs w:val="22"/>
        </w:rPr>
      </w:pPr>
      <w:r w:rsidRPr="00ED6163">
        <w:rPr>
          <w:i/>
          <w:szCs w:val="22"/>
        </w:rPr>
        <w:t>All Other Telecommunications.</w:t>
      </w:r>
      <w:r w:rsidRPr="00ED6163">
        <w:rPr>
          <w:szCs w:val="22"/>
        </w:rPr>
        <w:t xml:space="preserve">  The </w:t>
      </w:r>
      <w:r w:rsidRPr="00ED6163">
        <w:rPr>
          <w:b/>
          <w:szCs w:val="22"/>
        </w:rPr>
        <w:t>“</w:t>
      </w:r>
      <w:r w:rsidRPr="00ED6163">
        <w:rPr>
          <w:szCs w:val="22"/>
        </w:rPr>
        <w:t>All Other Telecommunications” category is comprised of entities that are primarily engaged in providing specialized telecommunications services, such as satellit</w:t>
      </w:r>
      <w:r w:rsidRPr="00ED6163">
        <w:rPr>
          <w:szCs w:val="22"/>
        </w:rPr>
        <w:t>e tracking, communications telemetry, and radar station operation.</w:t>
      </w:r>
      <w:r>
        <w:rPr>
          <w:rStyle w:val="FootnoteReference"/>
          <w:sz w:val="22"/>
          <w:szCs w:val="22"/>
        </w:rPr>
        <w:footnoteReference w:id="669"/>
      </w:r>
      <w:r w:rsidRPr="00ED6163">
        <w:rPr>
          <w:szCs w:val="22"/>
        </w:rPr>
        <w:t xml:space="preserve"> This industry also includes establishments primarily engaged in providing satellite terminal stations and associated facilities connected with one or more terrestrial systems and capable </w:t>
      </w:r>
      <w:r w:rsidRPr="00ED6163">
        <w:rPr>
          <w:szCs w:val="22"/>
        </w:rPr>
        <w:t>of transmitting telecommunications to, and receiving telecommunications from, satellite systems.</w:t>
      </w:r>
      <w:r>
        <w:rPr>
          <w:rStyle w:val="FootnoteReference"/>
          <w:sz w:val="22"/>
          <w:szCs w:val="22"/>
        </w:rPr>
        <w:footnoteReference w:id="670"/>
      </w:r>
      <w:r w:rsidRPr="00ED6163">
        <w:rPr>
          <w:szCs w:val="22"/>
        </w:rPr>
        <w:t xml:space="preserve">  Establishments providing Internet services or voice over Internet protocol (VoIP) services via client-supplied telecommunications connections are also inclu</w:t>
      </w:r>
      <w:r w:rsidRPr="00ED6163">
        <w:rPr>
          <w:szCs w:val="22"/>
        </w:rPr>
        <w:t>ded in this industry.</w:t>
      </w:r>
      <w:r>
        <w:rPr>
          <w:szCs w:val="22"/>
          <w:vertAlign w:val="superscript"/>
        </w:rPr>
        <w:footnoteReference w:id="671"/>
      </w:r>
      <w:r w:rsidRPr="00ED6163">
        <w:rPr>
          <w:szCs w:val="22"/>
        </w:rPr>
        <w:t xml:space="preserve">  The SBA has developed a small business size standard for “All Other Telecommunications,” which consists of all such firms with gross annual receipts of $32.5 million or less.</w:t>
      </w:r>
      <w:r>
        <w:rPr>
          <w:szCs w:val="22"/>
          <w:vertAlign w:val="superscript"/>
        </w:rPr>
        <w:footnoteReference w:id="672"/>
      </w:r>
      <w:r w:rsidRPr="00ED6163">
        <w:rPr>
          <w:szCs w:val="22"/>
        </w:rPr>
        <w:t xml:space="preserve">  For this category, U.S. Census Bureau data for 2012 s</w:t>
      </w:r>
      <w:r w:rsidRPr="00ED6163">
        <w:rPr>
          <w:szCs w:val="22"/>
        </w:rPr>
        <w:t>how that there were 1,442 firms that operated for the entire year.</w:t>
      </w:r>
      <w:r>
        <w:rPr>
          <w:rStyle w:val="FootnoteReference"/>
          <w:sz w:val="22"/>
          <w:szCs w:val="22"/>
        </w:rPr>
        <w:footnoteReference w:id="673"/>
      </w:r>
      <w:r w:rsidRPr="00ED6163">
        <w:rPr>
          <w:szCs w:val="22"/>
        </w:rPr>
        <w:t xml:space="preserve">  Of these firms, a total of 1,400 had gross annual receipts of less than $25 million.</w:t>
      </w:r>
      <w:r>
        <w:rPr>
          <w:szCs w:val="22"/>
          <w:vertAlign w:val="superscript"/>
        </w:rPr>
        <w:footnoteReference w:id="674"/>
      </w:r>
      <w:r w:rsidRPr="00ED6163">
        <w:rPr>
          <w:szCs w:val="22"/>
        </w:rPr>
        <w:t xml:space="preserve">  Consequently, a majority of “All Other Telecommunications” firms potentially affected by our actio</w:t>
      </w:r>
      <w:r w:rsidRPr="00ED6163">
        <w:rPr>
          <w:szCs w:val="22"/>
        </w:rPr>
        <w:t>n can be considered small.</w:t>
      </w:r>
    </w:p>
    <w:p w:rsidR="00252A4C" w:rsidRPr="00ED6163" w:rsidP="00252A4C" w14:paraId="4811145B" w14:textId="77777777">
      <w:pPr>
        <w:pStyle w:val="Heading3"/>
        <w:rPr>
          <w:szCs w:val="22"/>
        </w:rPr>
      </w:pPr>
      <w:bookmarkStart w:id="736" w:name="_Toc13665619"/>
      <w:bookmarkStart w:id="737" w:name="_Toc13665806"/>
      <w:bookmarkStart w:id="738" w:name="_Toc15501988"/>
      <w:r w:rsidRPr="00ED6163">
        <w:rPr>
          <w:szCs w:val="22"/>
        </w:rPr>
        <w:t>Cable Service Providers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rsidR="00252A4C" w:rsidRPr="00ED6163" w:rsidP="00252A4C" w14:paraId="5246B237" w14:textId="77777777">
      <w:pPr>
        <w:numPr>
          <w:ilvl w:val="0"/>
          <w:numId w:val="2"/>
        </w:numPr>
        <w:tabs>
          <w:tab w:val="clear" w:pos="1080"/>
          <w:tab w:val="num" w:pos="1440"/>
        </w:tabs>
        <w:spacing w:after="120"/>
        <w:rPr>
          <w:szCs w:val="22"/>
        </w:rPr>
      </w:pPr>
      <w:r w:rsidRPr="00ED6163">
        <w:rPr>
          <w:szCs w:val="22"/>
        </w:rPr>
        <w:t xml:space="preserve">Because section 706 of the Act requires us to monitor the deployment of broadband using any technology, we anticipate that some broadband service providers may not provide telephone service.  Accordingly, </w:t>
      </w:r>
      <w:r w:rsidRPr="00ED6163">
        <w:rPr>
          <w:szCs w:val="22"/>
        </w:rPr>
        <w:t>we describe below other types of firms that may provide broadband services, including cable companies, MDS providers, and utilities, among others.</w:t>
      </w:r>
    </w:p>
    <w:p w:rsidR="00252A4C" w:rsidRPr="00ED6163" w:rsidP="00252A4C" w14:paraId="7D2FB993" w14:textId="77777777">
      <w:pPr>
        <w:numPr>
          <w:ilvl w:val="0"/>
          <w:numId w:val="2"/>
        </w:numPr>
        <w:tabs>
          <w:tab w:val="clear" w:pos="1080"/>
          <w:tab w:val="num" w:pos="1440"/>
        </w:tabs>
        <w:spacing w:after="120"/>
        <w:rPr>
          <w:szCs w:val="22"/>
        </w:rPr>
      </w:pPr>
      <w:r w:rsidRPr="00ED6163">
        <w:rPr>
          <w:i/>
          <w:szCs w:val="22"/>
        </w:rPr>
        <w:t>Cable and Other Subscription Programming.</w:t>
      </w:r>
      <w:r w:rsidRPr="00ED6163">
        <w:rPr>
          <w:szCs w:val="22"/>
        </w:rPr>
        <w:t xml:space="preserve">  This industry comprises establishments primarily engaged in operat</w:t>
      </w:r>
      <w:r w:rsidRPr="00ED6163">
        <w:rPr>
          <w:szCs w:val="22"/>
        </w:rPr>
        <w:t>ing studios and facilities for the broadcasting of programs on a subscription or fee basis. The broadcast programming is typically narrowcast in nature (e.g., limited format, such as news, sports, education, or youth-oriented).  These establishments produc</w:t>
      </w:r>
      <w:r w:rsidRPr="00ED6163">
        <w:rPr>
          <w:szCs w:val="22"/>
        </w:rPr>
        <w:t>e programming in their own facilities or acquire programming from external sources.  The programming material is usually delivered to a third party, such as cable systems or direct-to-home satellite systems, for transmission to viewers.</w:t>
      </w:r>
      <w:r>
        <w:rPr>
          <w:szCs w:val="22"/>
          <w:vertAlign w:val="superscript"/>
        </w:rPr>
        <w:footnoteReference w:id="675"/>
      </w:r>
      <w:r w:rsidRPr="00ED6163">
        <w:rPr>
          <w:szCs w:val="22"/>
        </w:rPr>
        <w:t xml:space="preserve">  The SBA size sta</w:t>
      </w:r>
      <w:r w:rsidRPr="00ED6163">
        <w:rPr>
          <w:szCs w:val="22"/>
        </w:rPr>
        <w:t>ndard for this industry establishes as small, any company in this category which has annual receipts of $38.5 million or less.</w:t>
      </w:r>
      <w:r>
        <w:rPr>
          <w:szCs w:val="22"/>
          <w:vertAlign w:val="superscript"/>
        </w:rPr>
        <w:footnoteReference w:id="676"/>
      </w:r>
      <w:r w:rsidRPr="00ED6163">
        <w:rPr>
          <w:szCs w:val="22"/>
        </w:rPr>
        <w:t xml:space="preserve">   According to 2012 U.S. Census Bureau data, 367 firms operated for the entire year.</w:t>
      </w:r>
      <w:r>
        <w:rPr>
          <w:szCs w:val="22"/>
          <w:vertAlign w:val="superscript"/>
        </w:rPr>
        <w:footnoteReference w:id="677"/>
      </w:r>
      <w:r w:rsidRPr="00ED6163">
        <w:rPr>
          <w:szCs w:val="22"/>
        </w:rPr>
        <w:t xml:space="preserve"> Of that number, 319 operated with annual</w:t>
      </w:r>
      <w:r w:rsidRPr="00ED6163">
        <w:rPr>
          <w:szCs w:val="22"/>
        </w:rPr>
        <w:t xml:space="preserve"> receipts of less than $25 million a year and 48 firms operated with annual receipts of $25 million or more.</w:t>
      </w:r>
      <w:r>
        <w:rPr>
          <w:szCs w:val="22"/>
          <w:vertAlign w:val="superscript"/>
        </w:rPr>
        <w:footnoteReference w:id="678"/>
      </w:r>
      <w:r w:rsidRPr="00ED6163">
        <w:rPr>
          <w:szCs w:val="22"/>
        </w:rPr>
        <w:t xml:space="preserve">  Based on this data, the Commission estimates that the majority of firms operating in this industry are small.</w:t>
      </w:r>
    </w:p>
    <w:p w:rsidR="00252A4C" w:rsidRPr="00ED6163" w:rsidP="00252A4C" w14:paraId="2AEF3530" w14:textId="77777777">
      <w:pPr>
        <w:numPr>
          <w:ilvl w:val="0"/>
          <w:numId w:val="2"/>
        </w:numPr>
        <w:tabs>
          <w:tab w:val="clear" w:pos="1080"/>
          <w:tab w:val="num" w:pos="1440"/>
        </w:tabs>
        <w:spacing w:after="120"/>
        <w:rPr>
          <w:szCs w:val="22"/>
        </w:rPr>
      </w:pPr>
      <w:r w:rsidRPr="00ED6163">
        <w:rPr>
          <w:i/>
          <w:szCs w:val="22"/>
        </w:rPr>
        <w:t xml:space="preserve">Cable Companies and Systems (Rate </w:t>
      </w:r>
      <w:r w:rsidRPr="00ED6163">
        <w:rPr>
          <w:i/>
          <w:szCs w:val="22"/>
        </w:rPr>
        <w:t>Regulation).</w:t>
      </w:r>
      <w:r w:rsidRPr="00ED6163">
        <w:rPr>
          <w:szCs w:val="22"/>
        </w:rPr>
        <w:t xml:space="preserve"> The Commission has developed its own small business size standards for the purpose of cable rate regulation.  Under the Commission’s rules, a “small cable company” is one serving 400,000 or fewer subscribers nationwide.</w:t>
      </w:r>
      <w:r>
        <w:rPr>
          <w:szCs w:val="22"/>
          <w:vertAlign w:val="superscript"/>
        </w:rPr>
        <w:footnoteReference w:id="679"/>
      </w:r>
      <w:r w:rsidRPr="00ED6163">
        <w:rPr>
          <w:szCs w:val="22"/>
        </w:rPr>
        <w:t xml:space="preserve">  Industry data indica</w:t>
      </w:r>
      <w:r w:rsidRPr="00ED6163">
        <w:rPr>
          <w:szCs w:val="22"/>
        </w:rPr>
        <w:t>te that there are currently 4,600 active cable systems in the United States.</w:t>
      </w:r>
      <w:r>
        <w:rPr>
          <w:szCs w:val="22"/>
          <w:vertAlign w:val="superscript"/>
        </w:rPr>
        <w:footnoteReference w:id="680"/>
      </w:r>
      <w:r w:rsidRPr="00ED6163">
        <w:rPr>
          <w:szCs w:val="22"/>
        </w:rPr>
        <w:t xml:space="preserve">  Of this total, all but nine cable operators nationwide are small under the 400,000-subscriber size standard.</w:t>
      </w:r>
      <w:r>
        <w:rPr>
          <w:szCs w:val="22"/>
          <w:vertAlign w:val="superscript"/>
        </w:rPr>
        <w:footnoteReference w:id="681"/>
      </w:r>
      <w:r w:rsidRPr="00ED6163">
        <w:rPr>
          <w:szCs w:val="22"/>
        </w:rPr>
        <w:t xml:space="preserve">  In addition, under the Commission’s rate regulation rules, a “sm</w:t>
      </w:r>
      <w:r w:rsidRPr="00ED6163">
        <w:rPr>
          <w:szCs w:val="22"/>
        </w:rPr>
        <w:t>all system” is a cable system serving 15,000 or fewer subscribers.</w:t>
      </w:r>
      <w:r>
        <w:rPr>
          <w:szCs w:val="22"/>
          <w:vertAlign w:val="superscript"/>
        </w:rPr>
        <w:footnoteReference w:id="682"/>
      </w:r>
      <w:r w:rsidRPr="00ED6163">
        <w:rPr>
          <w:szCs w:val="22"/>
        </w:rPr>
        <w:t xml:space="preserve">  Current Commission records show 4,600 cable systems nationwide.</w:t>
      </w:r>
      <w:r>
        <w:rPr>
          <w:szCs w:val="22"/>
          <w:vertAlign w:val="superscript"/>
        </w:rPr>
        <w:footnoteReference w:id="683"/>
      </w:r>
      <w:r w:rsidRPr="00ED6163">
        <w:rPr>
          <w:szCs w:val="22"/>
        </w:rPr>
        <w:t xml:space="preserve">  Of this total, 3,900 cable systems have fewer than 15,000 subscribers, and 700 systems have 15,000 or more subscribers, based on the same records.</w:t>
      </w:r>
      <w:r>
        <w:rPr>
          <w:szCs w:val="22"/>
          <w:vertAlign w:val="superscript"/>
        </w:rPr>
        <w:footnoteReference w:id="684"/>
      </w:r>
      <w:r w:rsidRPr="00ED6163">
        <w:rPr>
          <w:szCs w:val="22"/>
        </w:rPr>
        <w:t xml:space="preserve">  Thus, under this standard as well, we estimate that most cable systems are small entities. </w:t>
      </w:r>
    </w:p>
    <w:p w:rsidR="00252A4C" w:rsidRPr="00ED6163" w:rsidP="00252A4C" w14:paraId="35D844C9" w14:textId="77777777">
      <w:pPr>
        <w:numPr>
          <w:ilvl w:val="0"/>
          <w:numId w:val="2"/>
        </w:numPr>
        <w:tabs>
          <w:tab w:val="clear" w:pos="1080"/>
          <w:tab w:val="num" w:pos="1440"/>
        </w:tabs>
        <w:spacing w:after="120"/>
        <w:rPr>
          <w:szCs w:val="22"/>
        </w:rPr>
      </w:pPr>
      <w:r w:rsidRPr="00ED6163">
        <w:rPr>
          <w:i/>
          <w:szCs w:val="22"/>
        </w:rPr>
        <w:t>Cable System</w:t>
      </w:r>
      <w:r w:rsidRPr="00ED6163">
        <w:rPr>
          <w:i/>
          <w:szCs w:val="22"/>
        </w:rPr>
        <w:t xml:space="preserve"> Operators (Telecom Act Standard).</w:t>
      </w:r>
      <w:r w:rsidRPr="00ED6163">
        <w:rPr>
          <w:szCs w:val="22"/>
        </w:rPr>
        <w:t xml:space="preserve">  The Communications Act of 1934, as amended, also contains a size standard for small cable system operators, which is “a cable operator that, directly or through an affiliate, serves in the aggregate fewer than 1% of all </w:t>
      </w:r>
      <w:r w:rsidRPr="00ED6163">
        <w:rPr>
          <w:szCs w:val="22"/>
        </w:rPr>
        <w:t>subscribers in the United States and is not affiliated with any entity or entities whose gross annual revenues in the aggregate exceed $250,000,000.”</w:t>
      </w:r>
      <w:r>
        <w:rPr>
          <w:szCs w:val="22"/>
          <w:vertAlign w:val="superscript"/>
        </w:rPr>
        <w:footnoteReference w:id="685"/>
      </w:r>
      <w:r w:rsidRPr="00ED6163">
        <w:rPr>
          <w:szCs w:val="22"/>
        </w:rPr>
        <w:t xml:space="preserve">  There are approximately 52,403,705 cable video subscribers in the United States today.</w:t>
      </w:r>
      <w:r>
        <w:rPr>
          <w:szCs w:val="22"/>
          <w:vertAlign w:val="superscript"/>
        </w:rPr>
        <w:footnoteReference w:id="686"/>
      </w:r>
      <w:r w:rsidRPr="00ED6163">
        <w:rPr>
          <w:szCs w:val="22"/>
        </w:rPr>
        <w:t xml:space="preserve">  Accordingly, </w:t>
      </w:r>
      <w:r w:rsidRPr="00ED6163">
        <w:rPr>
          <w:szCs w:val="22"/>
        </w:rPr>
        <w:t>an operator serving fewer than 524,037 subscribers shall be deemed a small operator if its annual revenues, when combined with the total annual revenues of all its affiliates, do not exceed $250 million in the aggregate.</w:t>
      </w:r>
      <w:r>
        <w:rPr>
          <w:szCs w:val="22"/>
          <w:vertAlign w:val="superscript"/>
        </w:rPr>
        <w:footnoteReference w:id="687"/>
      </w:r>
      <w:r w:rsidRPr="00ED6163">
        <w:rPr>
          <w:szCs w:val="22"/>
        </w:rPr>
        <w:t xml:space="preserve">  Based on available data, we find</w:t>
      </w:r>
      <w:r w:rsidRPr="00ED6163">
        <w:rPr>
          <w:szCs w:val="22"/>
        </w:rPr>
        <w:t xml:space="preserve"> that all but nine incumbent cable operators are small entities under this size standard.</w:t>
      </w:r>
      <w:r>
        <w:rPr>
          <w:szCs w:val="22"/>
          <w:vertAlign w:val="superscript"/>
        </w:rPr>
        <w:footnoteReference w:id="688"/>
      </w:r>
      <w:r w:rsidRPr="00ED6163">
        <w:rPr>
          <w:szCs w:val="22"/>
        </w:rPr>
        <w:t xml:space="preserve">  We note that the Commission neither requests nor collects information on whether cable system operators are affiliated with entities whose gross annual revenues exceed $250 million.</w:t>
      </w:r>
      <w:r>
        <w:rPr>
          <w:szCs w:val="22"/>
          <w:vertAlign w:val="superscript"/>
        </w:rPr>
        <w:footnoteReference w:id="689"/>
      </w:r>
      <w:r w:rsidRPr="00ED6163">
        <w:rPr>
          <w:szCs w:val="22"/>
        </w:rPr>
        <w:t xml:space="preserve">  Although it seems certain that some of these cable system operators a</w:t>
      </w:r>
      <w:r w:rsidRPr="00ED6163">
        <w:rPr>
          <w:szCs w:val="22"/>
        </w:rPr>
        <w:t>re affiliated with entities whose gross annual revenues exceed $250 million, we are unable at this time to estimate with greater precision the number of cable system operators that would qualify as small cable operators under the definition in the Communic</w:t>
      </w:r>
      <w:r w:rsidRPr="00ED6163">
        <w:rPr>
          <w:szCs w:val="22"/>
        </w:rPr>
        <w:t>ations Act.</w:t>
      </w:r>
    </w:p>
    <w:p w:rsidR="00252A4C" w:rsidRPr="00ED6163" w:rsidP="00252A4C" w14:paraId="44D39E66" w14:textId="77777777">
      <w:pPr>
        <w:pStyle w:val="Heading3"/>
        <w:rPr>
          <w:szCs w:val="22"/>
        </w:rPr>
      </w:pPr>
      <w:bookmarkStart w:id="739" w:name="_Toc13665620"/>
      <w:bookmarkStart w:id="740" w:name="_Toc13665807"/>
      <w:bookmarkStart w:id="741" w:name="_Toc15501989"/>
      <w:r w:rsidRPr="00ED6163">
        <w:rPr>
          <w:szCs w:val="22"/>
        </w:rPr>
        <w:t>All Other Telecommunications</w:t>
      </w:r>
      <w:bookmarkEnd w:id="739"/>
      <w:bookmarkEnd w:id="740"/>
      <w:bookmarkEnd w:id="741"/>
    </w:p>
    <w:p w:rsidR="00252A4C" w:rsidRPr="00ED6163" w:rsidP="00252A4C" w14:paraId="05707E8F" w14:textId="77777777">
      <w:pPr>
        <w:numPr>
          <w:ilvl w:val="0"/>
          <w:numId w:val="2"/>
        </w:numPr>
        <w:tabs>
          <w:tab w:val="clear" w:pos="1080"/>
          <w:tab w:val="num" w:pos="1440"/>
        </w:tabs>
        <w:spacing w:after="120"/>
        <w:rPr>
          <w:szCs w:val="22"/>
        </w:rPr>
      </w:pPr>
      <w:r w:rsidRPr="00ED6163">
        <w:rPr>
          <w:i/>
          <w:szCs w:val="22"/>
        </w:rPr>
        <w:t>Electric Power Generators</w:t>
      </w:r>
      <w:r w:rsidRPr="00ED6163">
        <w:rPr>
          <w:szCs w:val="22"/>
        </w:rPr>
        <w:t>,</w:t>
      </w:r>
      <w:r w:rsidRPr="00ED6163">
        <w:rPr>
          <w:i/>
          <w:szCs w:val="22"/>
        </w:rPr>
        <w:t xml:space="preserve"> Transmitters</w:t>
      </w:r>
      <w:r w:rsidRPr="00ED6163">
        <w:rPr>
          <w:szCs w:val="22"/>
        </w:rPr>
        <w:t>,</w:t>
      </w:r>
      <w:r w:rsidRPr="00ED6163">
        <w:rPr>
          <w:i/>
          <w:szCs w:val="22"/>
        </w:rPr>
        <w:t xml:space="preserve"> and Distributors.</w:t>
      </w:r>
      <w:r w:rsidRPr="00ED6163">
        <w:rPr>
          <w:szCs w:val="22"/>
        </w:rPr>
        <w:t xml:space="preserve">  This U.S. industry is comprised of establishments that are primarily engaged in providing specialized telecommunications services, such as satellite tracki</w:t>
      </w:r>
      <w:r w:rsidRPr="00ED6163">
        <w:rPr>
          <w:szCs w:val="22"/>
        </w:rPr>
        <w:t>ng, communications telemetry, and radar station operation.  This industry also includes entities primarily engaged in providing satellite terminal stations and associated facilities connected with one or more terrestrial systems and capable of transmitting</w:t>
      </w:r>
      <w:r w:rsidRPr="00ED6163">
        <w:rPr>
          <w:szCs w:val="22"/>
        </w:rPr>
        <w:t xml:space="preserve"> telecommunications to, and receiving telecommunications from, satellite systems.  Entities providing Internet services or voice over Internet protocol (VoIP) services via client-supplied telecommunications connections are also included in this industry.</w:t>
      </w:r>
      <w:r>
        <w:rPr>
          <w:szCs w:val="22"/>
          <w:vertAlign w:val="superscript"/>
        </w:rPr>
        <w:footnoteReference w:id="690"/>
      </w:r>
      <w:r w:rsidRPr="00ED6163">
        <w:rPr>
          <w:szCs w:val="22"/>
          <w:vertAlign w:val="superscript"/>
        </w:rPr>
        <w:t xml:space="preserve"> </w:t>
      </w:r>
      <w:r w:rsidRPr="00ED6163">
        <w:rPr>
          <w:szCs w:val="22"/>
        </w:rPr>
        <w:t xml:space="preserve"> The closest applicable SBA category is “All Other Telecommunications”.  The SBA’s small business size standard for “All Other Telecommunications,” consists of all such firms with gross annual receipts of $32.5 million or less.</w:t>
      </w:r>
      <w:r>
        <w:rPr>
          <w:szCs w:val="22"/>
          <w:vertAlign w:val="superscript"/>
        </w:rPr>
        <w:footnoteReference w:id="691"/>
      </w:r>
      <w:r w:rsidRPr="00ED6163">
        <w:rPr>
          <w:szCs w:val="22"/>
        </w:rPr>
        <w:t xml:space="preserve">  For this category, U.S. </w:t>
      </w:r>
      <w:r w:rsidRPr="00ED6163">
        <w:rPr>
          <w:szCs w:val="22"/>
        </w:rPr>
        <w:t>Census data for 2012 show that there were 1,442 firms that operated for the entire year.  Of these firms, a total of 1,400 had gross annual receipts of less than $25 million.</w:t>
      </w:r>
      <w:r>
        <w:rPr>
          <w:szCs w:val="22"/>
          <w:vertAlign w:val="superscript"/>
        </w:rPr>
        <w:footnoteReference w:id="692"/>
      </w:r>
      <w:r w:rsidRPr="00ED6163">
        <w:rPr>
          <w:szCs w:val="22"/>
          <w:vertAlign w:val="superscript"/>
        </w:rPr>
        <w:t xml:space="preserve"> </w:t>
      </w:r>
      <w:r w:rsidRPr="00ED6163">
        <w:rPr>
          <w:szCs w:val="22"/>
        </w:rPr>
        <w:t xml:space="preserve"> Consequently, we estimate that under this category and the associated size sta</w:t>
      </w:r>
      <w:r w:rsidRPr="00ED6163">
        <w:rPr>
          <w:szCs w:val="22"/>
        </w:rPr>
        <w:t>ndard the majority of these firms can be considered small entities.</w:t>
      </w:r>
    </w:p>
    <w:p w:rsidR="00252A4C" w:rsidRPr="00ED6163" w:rsidP="00252A4C" w14:paraId="47B3DCB6" w14:textId="77777777">
      <w:pPr>
        <w:pStyle w:val="Heading2"/>
        <w:rPr>
          <w:szCs w:val="22"/>
        </w:rPr>
      </w:pPr>
      <w:bookmarkStart w:id="742" w:name="_Toc446424669"/>
      <w:bookmarkStart w:id="743" w:name="_Toc447036378"/>
      <w:bookmarkStart w:id="744" w:name="_Toc502754798"/>
      <w:bookmarkStart w:id="745" w:name="_Toc503186670"/>
      <w:bookmarkStart w:id="746" w:name="_Toc503346320"/>
      <w:bookmarkStart w:id="747" w:name="_Toc503392323"/>
      <w:bookmarkStart w:id="748" w:name="_Toc508268476"/>
      <w:bookmarkStart w:id="749" w:name="_Toc508629502"/>
      <w:bookmarkStart w:id="750" w:name="_Toc523927187"/>
      <w:bookmarkStart w:id="751" w:name="_Toc526871920"/>
      <w:bookmarkStart w:id="752" w:name="_Toc528063979"/>
      <w:bookmarkStart w:id="753" w:name="_Toc528064030"/>
      <w:bookmarkStart w:id="754" w:name="_Toc529198575"/>
      <w:bookmarkStart w:id="755" w:name="_Toc529198608"/>
      <w:bookmarkStart w:id="756" w:name="_Toc685882"/>
      <w:bookmarkStart w:id="757" w:name="_Toc1459443"/>
      <w:bookmarkStart w:id="758" w:name="_Toc4505887"/>
      <w:bookmarkStart w:id="759" w:name="_Toc8918000"/>
      <w:bookmarkStart w:id="760" w:name="_Toc10190566"/>
      <w:bookmarkStart w:id="761" w:name="_Toc13665621"/>
      <w:bookmarkStart w:id="762" w:name="_Toc13665808"/>
      <w:bookmarkStart w:id="763" w:name="_Toc15501990"/>
      <w:r w:rsidRPr="00ED6163">
        <w:rPr>
          <w:szCs w:val="22"/>
        </w:rPr>
        <w:t>Description of Projected Reporting, Recordkeeping, and Other Compliance</w:t>
      </w:r>
      <w:r w:rsidRPr="00ED6163">
        <w:rPr>
          <w:szCs w:val="22"/>
        </w:rPr>
        <w:br/>
        <w:t>Requirements for Small Entities</w:t>
      </w:r>
      <w:bookmarkEnd w:id="682"/>
      <w:bookmarkEnd w:id="683"/>
      <w:bookmarkEnd w:id="684"/>
      <w:bookmarkEnd w:id="685"/>
      <w:bookmarkEnd w:id="686"/>
      <w:bookmarkEnd w:id="687"/>
      <w:bookmarkEnd w:id="688"/>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rsidR="00252A4C" w:rsidRPr="00ED6163" w:rsidP="00252A4C" w14:paraId="5A2704C3" w14:textId="77777777">
      <w:pPr>
        <w:numPr>
          <w:ilvl w:val="0"/>
          <w:numId w:val="2"/>
        </w:numPr>
        <w:tabs>
          <w:tab w:val="clear" w:pos="1080"/>
          <w:tab w:val="num" w:pos="1440"/>
        </w:tabs>
        <w:spacing w:after="120"/>
        <w:rPr>
          <w:szCs w:val="22"/>
        </w:rPr>
      </w:pPr>
      <w:r w:rsidRPr="00ED6163">
        <w:rPr>
          <w:szCs w:val="22"/>
        </w:rPr>
        <w:t xml:space="preserve">The potential modifications proposed in the </w:t>
      </w:r>
      <w:r w:rsidRPr="00ED6163">
        <w:rPr>
          <w:i/>
          <w:szCs w:val="22"/>
        </w:rPr>
        <w:t>Second Notice</w:t>
      </w:r>
      <w:r w:rsidRPr="00ED6163">
        <w:rPr>
          <w:szCs w:val="22"/>
        </w:rPr>
        <w:t xml:space="preserve"> if adopted, could, at leas</w:t>
      </w:r>
      <w:r w:rsidRPr="00ED6163">
        <w:rPr>
          <w:szCs w:val="22"/>
        </w:rPr>
        <w:t>t initially, impose some new reporting, recordkeeping, or other compliance requirements on some small entities.  Small entities and other providers could potentially be required to submit coverage maps based on standardized parameters.  Commenters have bee</w:t>
      </w:r>
      <w:r w:rsidRPr="00ED6163">
        <w:rPr>
          <w:szCs w:val="22"/>
        </w:rPr>
        <w:t xml:space="preserve">n asked to refresh the record from the </w:t>
      </w:r>
      <w:r w:rsidRPr="00ED6163">
        <w:rPr>
          <w:i/>
          <w:szCs w:val="22"/>
        </w:rPr>
        <w:t>2017 Data Collection Improvement</w:t>
      </w:r>
      <w:r w:rsidRPr="00947E6A">
        <w:rPr>
          <w:i/>
        </w:rPr>
        <w:t xml:space="preserve"> </w:t>
      </w:r>
      <w:r w:rsidRPr="00ED6163">
        <w:rPr>
          <w:i/>
          <w:szCs w:val="22"/>
        </w:rPr>
        <w:t>FNPRM</w:t>
      </w:r>
      <w:r w:rsidRPr="00ED6163">
        <w:rPr>
          <w:szCs w:val="22"/>
        </w:rPr>
        <w:t xml:space="preserve"> on the potential use of standardized coverage maps for mobile services in the context of Form 477 and to specifically discuss their experience with </w:t>
      </w:r>
      <w:r>
        <w:rPr>
          <w:szCs w:val="22"/>
        </w:rPr>
        <w:t xml:space="preserve">the </w:t>
      </w:r>
      <w:r w:rsidRPr="00ED6163">
        <w:rPr>
          <w:szCs w:val="22"/>
        </w:rPr>
        <w:t xml:space="preserve">approach used in the </w:t>
      </w:r>
      <w:r w:rsidRPr="00947E6A">
        <w:t>MF-II</w:t>
      </w:r>
      <w:r w:rsidRPr="00ED6163">
        <w:rPr>
          <w:i/>
          <w:szCs w:val="22"/>
        </w:rPr>
        <w:t xml:space="preserve"> </w:t>
      </w:r>
      <w:r w:rsidRPr="00ED6163">
        <w:rPr>
          <w:szCs w:val="22"/>
        </w:rPr>
        <w:t>proceeding.  Commenters also have been asked to refresh the record on whether to require on-the-ground data as part of the Form 477 data collection.  In particular, the Commission asked whether it should require some actual speed test data, how it could i</w:t>
      </w:r>
      <w:r w:rsidRPr="00ED6163">
        <w:rPr>
          <w:szCs w:val="22"/>
        </w:rPr>
        <w:t xml:space="preserve">mpose such a requirement without being unduly burdensome to small providers, and the extent to which providers already collect on-the-ground data in their ordinary course of business.  </w:t>
      </w:r>
    </w:p>
    <w:p w:rsidR="00252A4C" w:rsidRPr="00ED6163" w:rsidP="00252A4C" w14:paraId="25EE9418" w14:textId="77777777">
      <w:pPr>
        <w:numPr>
          <w:ilvl w:val="0"/>
          <w:numId w:val="2"/>
        </w:numPr>
        <w:tabs>
          <w:tab w:val="clear" w:pos="1080"/>
          <w:tab w:val="num" w:pos="1440"/>
        </w:tabs>
        <w:spacing w:after="120"/>
        <w:rPr>
          <w:szCs w:val="22"/>
        </w:rPr>
      </w:pPr>
      <w:r w:rsidRPr="00ED6163">
        <w:rPr>
          <w:szCs w:val="22"/>
        </w:rPr>
        <w:t xml:space="preserve">In the </w:t>
      </w:r>
      <w:r w:rsidRPr="00ED6163">
        <w:rPr>
          <w:i/>
          <w:szCs w:val="22"/>
        </w:rPr>
        <w:t>Second Notice</w:t>
      </w:r>
      <w:r w:rsidRPr="00ED6163">
        <w:rPr>
          <w:szCs w:val="22"/>
        </w:rPr>
        <w:t>, the Commission also seeks comment on a requireme</w:t>
      </w:r>
      <w:r w:rsidRPr="00ED6163">
        <w:rPr>
          <w:szCs w:val="22"/>
        </w:rPr>
        <w:t>nt for providers to submit infrastructure information sufficient to allow us to verify the accuracy of providers’ Form 477 filings.  Anticipating that the collection of accurate and recent network infrastructure information would help the Commission to ver</w:t>
      </w:r>
      <w:r w:rsidRPr="00ED6163">
        <w:rPr>
          <w:szCs w:val="22"/>
        </w:rPr>
        <w:t>ify providers’ filings,</w:t>
      </w:r>
      <w:r w:rsidRPr="00ED6163">
        <w:rPr>
          <w:color w:val="000000"/>
          <w:szCs w:val="22"/>
        </w:rPr>
        <w:t xml:space="preserve"> we propose to require small entities and other providers to submit, as part of their Form 477 filing, the following information: (1) the location of cell sites in decimal degrees; (2) the height (above ground and sea level), type, a</w:t>
      </w:r>
      <w:r w:rsidRPr="00ED6163">
        <w:rPr>
          <w:color w:val="000000"/>
          <w:szCs w:val="22"/>
        </w:rPr>
        <w:t xml:space="preserve">nd directional orientation of transmit antennas at each cell site; (3) maximum radiated transmit power of the radio equipment at each cell site; (4) the capacity and type of backhaul used at each cell site; (5) deployed spectrum band and channel bandwidth </w:t>
      </w:r>
      <w:r w:rsidRPr="00ED6163">
        <w:rPr>
          <w:color w:val="000000"/>
          <w:szCs w:val="22"/>
        </w:rPr>
        <w:t>in MHz; (6) throughput and the required signal strength and signal to noise ratio; (7) cell loading factors; (8) deployed technologies (e.g., LTE Release 13) and; (9) any terrain and land use information used in deriving clutter factors or other losses ass</w:t>
      </w:r>
      <w:r w:rsidRPr="00ED6163">
        <w:rPr>
          <w:color w:val="000000"/>
          <w:szCs w:val="22"/>
        </w:rPr>
        <w:t>ociated with each cell site.</w:t>
      </w:r>
      <w:r w:rsidRPr="00ED6163">
        <w:rPr>
          <w:snapToGrid/>
          <w:kern w:val="0"/>
          <w:szCs w:val="22"/>
        </w:rPr>
        <w:t xml:space="preserve"> Additionally, the Commission also requests updated comments on adopting a requirement that coverage maps be submitted in raster format, noting that such a requirement might be less burdensome than shapefiles.</w:t>
      </w:r>
    </w:p>
    <w:p w:rsidR="00252A4C" w:rsidRPr="00ED6163" w:rsidP="00252A4C" w14:paraId="4CB41BBC" w14:textId="77777777">
      <w:pPr>
        <w:numPr>
          <w:ilvl w:val="0"/>
          <w:numId w:val="2"/>
        </w:numPr>
        <w:tabs>
          <w:tab w:val="clear" w:pos="1080"/>
          <w:tab w:val="num" w:pos="1440"/>
        </w:tabs>
        <w:spacing w:after="120"/>
        <w:rPr>
          <w:szCs w:val="22"/>
        </w:rPr>
      </w:pPr>
      <w:r w:rsidRPr="00ED6163">
        <w:rPr>
          <w:szCs w:val="22"/>
        </w:rPr>
        <w:t>As means of improv</w:t>
      </w:r>
      <w:r w:rsidRPr="00ED6163">
        <w:rPr>
          <w:szCs w:val="22"/>
        </w:rPr>
        <w:t xml:space="preserve">ing accuracy and reliability of mobile broadband filings, the Commission seeks comment on whether we should establish a challenge process similar to the </w:t>
      </w:r>
      <w:r w:rsidRPr="00947E6A">
        <w:t>MF-II</w:t>
      </w:r>
      <w:r w:rsidRPr="00ED6163">
        <w:rPr>
          <w:szCs w:val="22"/>
        </w:rPr>
        <w:t xml:space="preserve"> challenge process to verify Form 477 filings.  The adoption of such a process would allow states,</w:t>
      </w:r>
      <w:r w:rsidRPr="00ED6163">
        <w:rPr>
          <w:szCs w:val="22"/>
        </w:rPr>
        <w:t xml:space="preserve"> local governments, Tribal entities, or other interested parties an opportunity to challenge providers’ mobile broadband filings and could subject small entities and other providers to additional submission and compliance requirements.  In addition, while </w:t>
      </w:r>
      <w:r w:rsidRPr="00ED6163">
        <w:rPr>
          <w:szCs w:val="22"/>
        </w:rPr>
        <w:t>the Commission has adopted the GIS reporting format for fixed broadband services, the Commission seeks comments on how to move to a location-based data requirement for small entities and other providers.</w:t>
      </w:r>
    </w:p>
    <w:p w:rsidR="00252A4C" w:rsidRPr="00ED6163" w:rsidP="00410009" w14:paraId="3498CBEC" w14:textId="77777777">
      <w:pPr>
        <w:pStyle w:val="ParaNum"/>
      </w:pPr>
      <w:r w:rsidRPr="00ED6163">
        <w:t>In addition,</w:t>
      </w:r>
      <w:r w:rsidRPr="00ED6163">
        <w:rPr>
          <w:i/>
        </w:rPr>
        <w:t xml:space="preserve"> </w:t>
      </w:r>
      <w:r w:rsidRPr="00ED6163">
        <w:t>we seek comment on how best to ensure t</w:t>
      </w:r>
      <w:r w:rsidRPr="00ED6163">
        <w:t>he collection of high-quality fixed broadband coverage data as part of the Digital Opportunity Data Collection.  Although we are cognizant of the potential burdens that greater precision in reporting can entail, commenters have indicated in the record that</w:t>
      </w:r>
      <w:r w:rsidRPr="00ED6163">
        <w:t xml:space="preserve"> the approach we adopt today—to collect coverage polygons of fixed-broadband service availability—will allow providers to submit more precise data with reasonable burdens.</w:t>
      </w:r>
      <w:r>
        <w:rPr>
          <w:rStyle w:val="FootnoteReference"/>
          <w:sz w:val="22"/>
        </w:rPr>
        <w:footnoteReference w:id="693"/>
      </w:r>
      <w:r w:rsidRPr="00ED6163">
        <w:t xml:space="preserve">  Nonetheless, we seek comment on steps the Commission can take to improve the qual</w:t>
      </w:r>
      <w:r w:rsidRPr="00ED6163">
        <w:t xml:space="preserve">ity of fixed broadband coverage polygons while minimizing the associated reporting burdens.  </w:t>
      </w:r>
      <w:r>
        <w:t>In addition, a</w:t>
      </w:r>
      <w:r w:rsidRPr="00ED6163">
        <w:t>s part of the Digital Opportunity Data Collection, the Commission is directing OEA, in consultation with WCB, WTB, and IB, to provide guidance to fix</w:t>
      </w:r>
      <w:r w:rsidRPr="00ED6163">
        <w:t>ed providers regarding how to develop the polygons depicting fixed broadband coverage.  Connected Nation expresses concern that small service providers in particular will struggle to comply with the new reporting requirements in the Digital Opportunity Dat</w:t>
      </w:r>
      <w:r w:rsidRPr="00ED6163">
        <w:t>a Collection unless they get assistance in creating their broadband coverage polygons.</w:t>
      </w:r>
      <w:r>
        <w:rPr>
          <w:rStyle w:val="FootnoteReference"/>
          <w:sz w:val="22"/>
        </w:rPr>
        <w:footnoteReference w:id="694"/>
      </w:r>
      <w:r w:rsidRPr="00ED6163">
        <w:t xml:space="preserve">  In the </w:t>
      </w:r>
      <w:r w:rsidRPr="00ED6163">
        <w:rPr>
          <w:i/>
        </w:rPr>
        <w:t>Report and Order</w:t>
      </w:r>
      <w:r w:rsidRPr="00ED6163">
        <w:t>, we identify help-desk support and clear instructions as ways we will assist fixed broadband providers with meeting the new filing obligations</w:t>
      </w:r>
      <w:r>
        <w:t>, and w</w:t>
      </w:r>
      <w:r w:rsidRPr="00ED6163">
        <w:t xml:space="preserve">e seek comment on what other steps the Commission and USAC can take to help </w:t>
      </w:r>
      <w:r>
        <w:t xml:space="preserve">small </w:t>
      </w:r>
      <w:r w:rsidRPr="00ED6163">
        <w:t>fixed providers file accurate data as part of the new collection</w:t>
      </w:r>
      <w:r>
        <w:t>.</w:t>
      </w:r>
    </w:p>
    <w:p w:rsidR="00252A4C" w:rsidRPr="00FB35EA" w:rsidP="00410009" w14:paraId="64D3E14B" w14:textId="77777777">
      <w:pPr>
        <w:pStyle w:val="ParaNum"/>
      </w:pPr>
      <w:r w:rsidRPr="00FB35EA">
        <w:t xml:space="preserve">We also seek comment on whether to require fixed providers to provide latency reports, whether to </w:t>
      </w:r>
      <w:r w:rsidRPr="00FB35EA">
        <w:t>impose penalties for entities that chronically file bad data, and how we can improve the existing satellite broadband collection to reflect more accurately current satellite broadband coverage availability.  Additionally, we seek comment on how best to col</w:t>
      </w:r>
      <w:r w:rsidRPr="00FB35EA">
        <w:t>lect information relating to service availability data gathered from fixed providers.  For example, we seek comment on how to establish a crowdsourced tracking system through USAC, how quickly fixed providers should be required to correct any data where th</w:t>
      </w:r>
      <w:r w:rsidRPr="00FB35EA">
        <w:t>ey do not refute the alleged lack of coverage, and how we should instruct USAC to handle cases in which providers and the stakeholders disagree about whether service is actually available at a given location.  ACA argues that it would be “onerous if a smal</w:t>
      </w:r>
      <w:r w:rsidRPr="00FB35EA">
        <w:t>ler provider had to respond immediately to each and every submission from an individual or government entity” and recommends that small providers be allowed to account for any inaccurate data at its next Digital Opportunity Data Collection filing.</w:t>
      </w:r>
      <w:r>
        <w:rPr>
          <w:rStyle w:val="FootnoteReference"/>
          <w:sz w:val="22"/>
        </w:rPr>
        <w:footnoteReference w:id="695"/>
      </w:r>
      <w:r w:rsidRPr="00FB35EA">
        <w:t xml:space="preserve">  As a </w:t>
      </w:r>
      <w:r w:rsidRPr="00FB35EA">
        <w:t>result, we seek comment on the best approach to timing for the crowdsourcing process, not only for small providers but for all filers.  Finally, if a location-based process is adopted for fixed broadband deployment reporting, we ask about an appropriate tr</w:t>
      </w:r>
      <w:r w:rsidRPr="00FB35EA">
        <w:t>ansition time, especially for smaller providers.</w:t>
      </w:r>
    </w:p>
    <w:p w:rsidR="00252A4C" w:rsidRPr="00ED6163" w:rsidP="00252A4C" w14:paraId="2F76DBCE" w14:textId="77777777">
      <w:pPr>
        <w:numPr>
          <w:ilvl w:val="0"/>
          <w:numId w:val="2"/>
        </w:numPr>
        <w:tabs>
          <w:tab w:val="clear" w:pos="1080"/>
          <w:tab w:val="num" w:pos="1440"/>
        </w:tabs>
        <w:spacing w:after="120"/>
        <w:rPr>
          <w:szCs w:val="22"/>
        </w:rPr>
      </w:pPr>
      <w:r w:rsidRPr="00ED6163">
        <w:rPr>
          <w:szCs w:val="22"/>
        </w:rPr>
        <w:t xml:space="preserve">The issues raised for consideration and comment in the </w:t>
      </w:r>
      <w:r w:rsidRPr="00ED6163">
        <w:rPr>
          <w:i/>
          <w:szCs w:val="22"/>
        </w:rPr>
        <w:t>Second Notice</w:t>
      </w:r>
      <w:r w:rsidRPr="00ED6163">
        <w:rPr>
          <w:szCs w:val="22"/>
        </w:rPr>
        <w:t xml:space="preserve"> may require small entities to hire attorneys, engineers, consultants, or other professionals.  At this time, however, the Commission canno</w:t>
      </w:r>
      <w:r w:rsidRPr="00ED6163">
        <w:rPr>
          <w:szCs w:val="22"/>
        </w:rPr>
        <w:t xml:space="preserve">t quantify the cost of compliance with any potential rule changes and compliance obligations for small entities that may result from the </w:t>
      </w:r>
      <w:r w:rsidRPr="00ED6163">
        <w:rPr>
          <w:i/>
          <w:szCs w:val="22"/>
        </w:rPr>
        <w:t xml:space="preserve">Second Notice.  </w:t>
      </w:r>
      <w:r w:rsidRPr="00ED6163">
        <w:rPr>
          <w:szCs w:val="22"/>
        </w:rPr>
        <w:t>We expect our requests for information on potential burdens on small entities associated with matters r</w:t>
      </w:r>
      <w:r w:rsidRPr="00ED6163">
        <w:rPr>
          <w:szCs w:val="22"/>
        </w:rPr>
        <w:t xml:space="preserve">aised in the </w:t>
      </w:r>
      <w:r w:rsidRPr="00ED6163">
        <w:rPr>
          <w:i/>
          <w:szCs w:val="22"/>
        </w:rPr>
        <w:t xml:space="preserve">Second Notice </w:t>
      </w:r>
      <w:r w:rsidRPr="00ED6163">
        <w:rPr>
          <w:szCs w:val="22"/>
        </w:rPr>
        <w:t>will provide us with information to assist with our evaluation of the cost of compliance on small entities of any</w:t>
      </w:r>
      <w:r w:rsidRPr="00ED6163">
        <w:rPr>
          <w:i/>
          <w:szCs w:val="22"/>
        </w:rPr>
        <w:t xml:space="preserve"> </w:t>
      </w:r>
      <w:r w:rsidRPr="00ED6163">
        <w:rPr>
          <w:szCs w:val="22"/>
        </w:rPr>
        <w:t>reporting, recordkeeping, or other compliance requirements we adopt.</w:t>
      </w:r>
    </w:p>
    <w:p w:rsidR="00252A4C" w:rsidRPr="00ED6163" w:rsidP="00252A4C" w14:paraId="7DDB3457" w14:textId="77777777">
      <w:pPr>
        <w:pStyle w:val="Heading2"/>
        <w:rPr>
          <w:szCs w:val="22"/>
        </w:rPr>
      </w:pPr>
      <w:bookmarkStart w:id="764" w:name="_Toc243741528"/>
      <w:bookmarkStart w:id="765" w:name="_Toc243759733"/>
      <w:bookmarkStart w:id="766" w:name="_Toc243827563"/>
      <w:bookmarkStart w:id="767" w:name="_Toc243830049"/>
      <w:bookmarkStart w:id="768" w:name="_Toc243908128"/>
      <w:bookmarkStart w:id="769" w:name="_Toc387908077"/>
      <w:bookmarkStart w:id="770" w:name="_Toc387910994"/>
      <w:bookmarkStart w:id="771" w:name="_Toc446424670"/>
      <w:bookmarkStart w:id="772" w:name="_Toc447036379"/>
      <w:bookmarkStart w:id="773" w:name="_Toc502754799"/>
      <w:bookmarkStart w:id="774" w:name="_Toc503186671"/>
      <w:bookmarkStart w:id="775" w:name="_Toc503346321"/>
      <w:bookmarkStart w:id="776" w:name="_Toc503392324"/>
      <w:bookmarkStart w:id="777" w:name="_Toc508268477"/>
      <w:bookmarkStart w:id="778" w:name="_Toc508629503"/>
      <w:bookmarkStart w:id="779" w:name="_Toc523927188"/>
      <w:bookmarkStart w:id="780" w:name="_Toc526871921"/>
      <w:bookmarkStart w:id="781" w:name="_Toc528063980"/>
      <w:bookmarkStart w:id="782" w:name="_Toc528064031"/>
      <w:bookmarkStart w:id="783" w:name="_Toc529198576"/>
      <w:bookmarkStart w:id="784" w:name="_Toc529198609"/>
      <w:bookmarkStart w:id="785" w:name="_Toc685883"/>
      <w:bookmarkStart w:id="786" w:name="_Toc1459444"/>
      <w:bookmarkStart w:id="787" w:name="_Toc4505888"/>
      <w:bookmarkStart w:id="788" w:name="_Toc8918001"/>
      <w:bookmarkStart w:id="789" w:name="_Toc10190567"/>
      <w:bookmarkStart w:id="790" w:name="_Toc13665622"/>
      <w:bookmarkStart w:id="791" w:name="_Toc13665809"/>
      <w:bookmarkStart w:id="792" w:name="_Toc15501991"/>
      <w:r w:rsidRPr="00ED6163">
        <w:rPr>
          <w:szCs w:val="22"/>
        </w:rPr>
        <w:t>Steps Taken to Minimize the Significant Econom</w:t>
      </w:r>
      <w:r w:rsidRPr="00ED6163">
        <w:rPr>
          <w:szCs w:val="22"/>
        </w:rPr>
        <w:t>ic Impact on Small Entities and Significant Alternatives Considered</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rsidR="00252A4C" w:rsidRPr="00ED6163" w:rsidP="00252A4C" w14:paraId="5D73EAE2" w14:textId="77777777">
      <w:pPr>
        <w:widowControl/>
        <w:numPr>
          <w:ilvl w:val="0"/>
          <w:numId w:val="2"/>
        </w:numPr>
        <w:tabs>
          <w:tab w:val="clear" w:pos="1080"/>
          <w:tab w:val="left" w:pos="1440"/>
        </w:tabs>
        <w:spacing w:after="120"/>
        <w:rPr>
          <w:szCs w:val="22"/>
        </w:rPr>
      </w:pPr>
      <w:r w:rsidRPr="00ED6163">
        <w:rPr>
          <w:szCs w:val="22"/>
        </w:rPr>
        <w:t xml:space="preserve">The RFA requires an agency to describe any significant, specifically small business, alternatives that it has considered in reaching its proposed approach, which may include (among </w:t>
      </w:r>
      <w:r w:rsidRPr="00ED6163">
        <w:rPr>
          <w:szCs w:val="22"/>
        </w:rPr>
        <w:t>others) the following four alternatives:  (1) the establishment of differing compliance or reporting requirements or timetables that take into account the resources available to small entities; (2) the clarification, consolidation, or simplification of com</w:t>
      </w:r>
      <w:r w:rsidRPr="00ED6163">
        <w:rPr>
          <w:szCs w:val="22"/>
        </w:rPr>
        <w:t>pliance or reporting requirements under the rule for small entities; (3) the use of performance, rather than design, standards; and (4) an exemption from coverage of the rule, or any part thereof, for small entities.</w:t>
      </w:r>
      <w:r>
        <w:rPr>
          <w:szCs w:val="22"/>
          <w:vertAlign w:val="superscript"/>
        </w:rPr>
        <w:footnoteReference w:id="696"/>
      </w:r>
      <w:r w:rsidRPr="00ED6163">
        <w:rPr>
          <w:szCs w:val="22"/>
        </w:rPr>
        <w:t xml:space="preserve"> </w:t>
      </w:r>
    </w:p>
    <w:p w:rsidR="00252A4C" w:rsidRPr="00ED6163" w:rsidP="00252A4C" w14:paraId="4306D4EA" w14:textId="77777777">
      <w:pPr>
        <w:widowControl/>
        <w:numPr>
          <w:ilvl w:val="0"/>
          <w:numId w:val="2"/>
        </w:numPr>
        <w:tabs>
          <w:tab w:val="clear" w:pos="1080"/>
          <w:tab w:val="left" w:pos="1440"/>
        </w:tabs>
        <w:spacing w:after="120"/>
        <w:rPr>
          <w:szCs w:val="22"/>
        </w:rPr>
      </w:pPr>
      <w:r w:rsidRPr="00ED6163">
        <w:rPr>
          <w:szCs w:val="22"/>
        </w:rPr>
        <w:t>To assist the Commission’s evaluatio</w:t>
      </w:r>
      <w:r w:rsidRPr="00ED6163">
        <w:rPr>
          <w:szCs w:val="22"/>
        </w:rPr>
        <w:t xml:space="preserve">n of the economic impact on small entities, as a result of actions that may result from proposals and issues raised for consideration in the </w:t>
      </w:r>
      <w:r w:rsidRPr="00ED6163">
        <w:rPr>
          <w:i/>
          <w:szCs w:val="22"/>
        </w:rPr>
        <w:t>Second Notice</w:t>
      </w:r>
      <w:r w:rsidRPr="00ED6163">
        <w:rPr>
          <w:szCs w:val="22"/>
        </w:rPr>
        <w:t xml:space="preserve">, and to better explore options and alternatives, the Commission has sought comment from the public.  </w:t>
      </w:r>
      <w:r w:rsidRPr="00ED6163">
        <w:rPr>
          <w:szCs w:val="22"/>
        </w:rPr>
        <w:t>More specifically, the Commission seeks comment on what burdens are associated with the potential requirements discussed in the preceding section and how such burdens can be minimized for small entities.  For example, the Commission has sought comment on t</w:t>
      </w:r>
      <w:r w:rsidRPr="00ED6163">
        <w:rPr>
          <w:szCs w:val="22"/>
        </w:rPr>
        <w:t>he potential burdens associated with requiring providers to submit on-the-ground data and/or mobile broadband and voice subscription data at the census tract level, particularly for small providers, and on steps the Commission could take to minimize the po</w:t>
      </w:r>
      <w:r w:rsidRPr="00ED6163">
        <w:rPr>
          <w:szCs w:val="22"/>
        </w:rPr>
        <w:t xml:space="preserve">tential burdens.  </w:t>
      </w:r>
    </w:p>
    <w:p w:rsidR="00252A4C" w:rsidRPr="00ED6163" w:rsidP="00252A4C" w14:paraId="7822F5AA" w14:textId="77777777">
      <w:pPr>
        <w:widowControl/>
        <w:numPr>
          <w:ilvl w:val="0"/>
          <w:numId w:val="2"/>
        </w:numPr>
        <w:tabs>
          <w:tab w:val="clear" w:pos="1080"/>
          <w:tab w:val="left" w:pos="1440"/>
        </w:tabs>
        <w:spacing w:after="120"/>
        <w:rPr>
          <w:szCs w:val="22"/>
        </w:rPr>
      </w:pPr>
      <w:r w:rsidRPr="00ED6163">
        <w:rPr>
          <w:szCs w:val="22"/>
        </w:rPr>
        <w:t>In addressing possible changes to the Digital Opportunity Data Collection, we seek comment on lessening the burdens associated with the stringent timeliness and completeness requirements for the broadband coverage data to be submitted by</w:t>
      </w:r>
      <w:r w:rsidRPr="00ED6163">
        <w:rPr>
          <w:szCs w:val="22"/>
        </w:rPr>
        <w:t xml:space="preserve"> smaller broadband providers.  In addition, we seek comment on the burdens of a proposal for USAC to publish crowdsourced complaint data without directly informing the affected providers, which would require the provider to regularly check for pertinent co</w:t>
      </w:r>
      <w:r w:rsidRPr="00ED6163">
        <w:rPr>
          <w:szCs w:val="22"/>
        </w:rPr>
        <w:t>mplaints.  Further, any requirement to timely submit corrected broadband deployment data may impose a burden on small providers, so we seek comment on ways to ease that burden.  Finally, the creation of a new online portal for use with the Digital Opportun</w:t>
      </w:r>
      <w:r w:rsidRPr="00ED6163">
        <w:rPr>
          <w:szCs w:val="22"/>
        </w:rPr>
        <w:t>ity Data Collection, generally, has the potential for errors to the disadvantage of small providers seeking USF funds, and we seek comment on how to lessen the potential for such errors.</w:t>
      </w:r>
    </w:p>
    <w:p w:rsidR="00252A4C" w:rsidRPr="00ED6163" w:rsidP="00252A4C" w14:paraId="703760BC" w14:textId="77777777">
      <w:pPr>
        <w:widowControl/>
        <w:numPr>
          <w:ilvl w:val="0"/>
          <w:numId w:val="2"/>
        </w:numPr>
        <w:tabs>
          <w:tab w:val="clear" w:pos="1080"/>
          <w:tab w:val="num" w:pos="1440"/>
        </w:tabs>
        <w:spacing w:after="120"/>
        <w:rPr>
          <w:szCs w:val="22"/>
        </w:rPr>
      </w:pPr>
      <w:r w:rsidRPr="00ED6163">
        <w:rPr>
          <w:szCs w:val="22"/>
        </w:rPr>
        <w:t xml:space="preserve">More generally, the proposals and questions laid out in the </w:t>
      </w:r>
      <w:r w:rsidRPr="00ED6163">
        <w:rPr>
          <w:i/>
          <w:szCs w:val="22"/>
        </w:rPr>
        <w:t>Second No</w:t>
      </w:r>
      <w:r w:rsidRPr="00ED6163">
        <w:rPr>
          <w:i/>
          <w:szCs w:val="22"/>
        </w:rPr>
        <w:t>tice</w:t>
      </w:r>
      <w:r w:rsidRPr="00ED6163">
        <w:rPr>
          <w:szCs w:val="22"/>
        </w:rPr>
        <w:t xml:space="preserve"> were designed to enable the Commission to understand the benefits, impact, and potential burdens associated with the different approaches that the Commission can pursue to achieve its objective of improving accuracy and reliability of its data collect</w:t>
      </w:r>
      <w:r w:rsidRPr="00ED6163">
        <w:rPr>
          <w:szCs w:val="22"/>
        </w:rPr>
        <w:t xml:space="preserve">ions.  Before reaching its final conclusions and taking action in this proceeding, the Commission expects to review the comments filed in response to the </w:t>
      </w:r>
      <w:r w:rsidRPr="00ED6163">
        <w:rPr>
          <w:i/>
          <w:szCs w:val="22"/>
        </w:rPr>
        <w:t>Second Notice</w:t>
      </w:r>
      <w:r w:rsidRPr="00ED6163">
        <w:rPr>
          <w:szCs w:val="22"/>
        </w:rPr>
        <w:t xml:space="preserve"> and more fully consider the economic impact on small entities and how any impact can be </w:t>
      </w:r>
      <w:r w:rsidRPr="00ED6163">
        <w:rPr>
          <w:szCs w:val="22"/>
        </w:rPr>
        <w:t xml:space="preserve">minimized.  </w:t>
      </w:r>
    </w:p>
    <w:p w:rsidR="00252A4C" w:rsidRPr="00ED6163" w:rsidP="00252A4C" w14:paraId="1786EE61" w14:textId="77777777">
      <w:pPr>
        <w:pStyle w:val="Heading2"/>
        <w:rPr>
          <w:szCs w:val="22"/>
        </w:rPr>
      </w:pPr>
      <w:bookmarkStart w:id="793" w:name="_Toc243741529"/>
      <w:bookmarkStart w:id="794" w:name="_Toc243759734"/>
      <w:bookmarkStart w:id="795" w:name="_Toc243827564"/>
      <w:bookmarkStart w:id="796" w:name="_Toc243830050"/>
      <w:bookmarkStart w:id="797" w:name="_Toc243908129"/>
      <w:bookmarkStart w:id="798" w:name="_Toc387908078"/>
      <w:bookmarkStart w:id="799" w:name="_Toc387910995"/>
      <w:bookmarkStart w:id="800" w:name="_Toc446424671"/>
      <w:bookmarkStart w:id="801" w:name="_Toc447036380"/>
      <w:bookmarkStart w:id="802" w:name="_Toc502754800"/>
      <w:bookmarkStart w:id="803" w:name="_Toc503186672"/>
      <w:bookmarkStart w:id="804" w:name="_Toc503346322"/>
      <w:bookmarkStart w:id="805" w:name="_Toc503392325"/>
      <w:bookmarkStart w:id="806" w:name="_Toc508268478"/>
      <w:bookmarkStart w:id="807" w:name="_Toc508629504"/>
      <w:bookmarkStart w:id="808" w:name="_Toc523927189"/>
      <w:bookmarkStart w:id="809" w:name="_Toc526871922"/>
      <w:bookmarkStart w:id="810" w:name="_Toc528063981"/>
      <w:bookmarkStart w:id="811" w:name="_Toc528064032"/>
      <w:bookmarkStart w:id="812" w:name="_Toc529198577"/>
      <w:bookmarkStart w:id="813" w:name="_Toc529198610"/>
      <w:bookmarkStart w:id="814" w:name="_Toc685884"/>
      <w:bookmarkStart w:id="815" w:name="_Toc1459445"/>
      <w:bookmarkStart w:id="816" w:name="_Toc4505889"/>
      <w:bookmarkStart w:id="817" w:name="_Toc8918002"/>
      <w:bookmarkStart w:id="818" w:name="_Toc10190568"/>
      <w:bookmarkStart w:id="819" w:name="_Toc13665623"/>
      <w:bookmarkStart w:id="820" w:name="_Toc13665810"/>
      <w:bookmarkStart w:id="821" w:name="_Toc15501992"/>
      <w:bookmarkStart w:id="822" w:name="start_from_here"/>
      <w:r w:rsidRPr="00ED6163">
        <w:rPr>
          <w:szCs w:val="22"/>
        </w:rPr>
        <w:t>Federal Rules that May Duplicate, Overlap, or Conflict with the Proposed Rules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rsidR="00252A4C" w:rsidRPr="00ED6163" w:rsidP="00252A4C" w14:paraId="2E73D03D" w14:textId="77777777">
      <w:pPr>
        <w:numPr>
          <w:ilvl w:val="0"/>
          <w:numId w:val="2"/>
        </w:numPr>
        <w:tabs>
          <w:tab w:val="clear" w:pos="1080"/>
          <w:tab w:val="num" w:pos="1440"/>
        </w:tabs>
        <w:rPr>
          <w:szCs w:val="22"/>
        </w:rPr>
      </w:pPr>
      <w:r w:rsidRPr="00ED6163">
        <w:rPr>
          <w:szCs w:val="22"/>
        </w:rPr>
        <w:t>None.</w:t>
      </w:r>
    </w:p>
    <w:p w:rsidR="00252A4C" w:rsidRPr="00ED6163" w:rsidP="00252A4C" w14:paraId="2C087533" w14:textId="77777777">
      <w:pPr>
        <w:rPr>
          <w:szCs w:val="22"/>
        </w:rPr>
      </w:pPr>
    </w:p>
    <w:p w:rsidR="00252A4C" w:rsidRPr="00ED6163" w:rsidP="00252A4C" w14:paraId="5B84F27A" w14:textId="77777777">
      <w:pPr>
        <w:rPr>
          <w:spacing w:val="-2"/>
          <w:szCs w:val="22"/>
        </w:rPr>
      </w:pPr>
      <w:r w:rsidRPr="00947E6A">
        <w:rPr>
          <w:b/>
          <w:kern w:val="0"/>
        </w:rPr>
        <w:t xml:space="preserve"> </w:t>
      </w:r>
    </w:p>
    <w:p w:rsidR="00252A4C" w:rsidRPr="00ED6163" w:rsidP="00252A4C" w14:paraId="16572111" w14:textId="77777777">
      <w:pPr>
        <w:rPr>
          <w:szCs w:val="22"/>
        </w:rPr>
      </w:pPr>
    </w:p>
    <w:p w:rsidR="00252A4C" w:rsidRPr="00596AFC" w:rsidP="00252A4C" w14:paraId="279C4E7C" w14:textId="77777777"/>
    <w:p w:rsidR="00F1497E" w:rsidP="00252A4C" w14:paraId="327BC590" w14:textId="77777777">
      <w:pPr>
        <w:sectPr w:rsidSect="00252A4C">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pgMar w:top="1440" w:right="1440" w:bottom="720" w:left="1440" w:header="720" w:footer="720" w:gutter="0"/>
          <w:cols w:space="720"/>
          <w:noEndnote/>
          <w:titlePg/>
        </w:sectPr>
      </w:pPr>
    </w:p>
    <w:p w:rsidR="00F1497E" w:rsidRPr="005577AD" w:rsidP="00F1497E" w14:paraId="5156E8F9" w14:textId="77777777">
      <w:pPr>
        <w:jc w:val="center"/>
        <w:rPr>
          <w:b/>
          <w:bCs/>
          <w:caps/>
          <w:szCs w:val="22"/>
        </w:rPr>
      </w:pPr>
      <w:r w:rsidRPr="005577AD">
        <w:rPr>
          <w:b/>
          <w:bCs/>
          <w:caps/>
          <w:szCs w:val="22"/>
        </w:rPr>
        <w:t>Statement of</w:t>
      </w:r>
    </w:p>
    <w:p w:rsidR="00F1497E" w:rsidRPr="005577AD" w:rsidP="00F1497E" w14:paraId="0E347320" w14:textId="77777777">
      <w:pPr>
        <w:jc w:val="center"/>
        <w:rPr>
          <w:b/>
          <w:bCs/>
          <w:caps/>
          <w:szCs w:val="22"/>
        </w:rPr>
      </w:pPr>
      <w:r w:rsidRPr="00552B72">
        <w:rPr>
          <w:b/>
        </w:rPr>
        <w:t>CHAIRMAN AJIT PAI</w:t>
      </w:r>
      <w:r>
        <w:rPr>
          <w:b/>
          <w:bCs/>
          <w:caps/>
          <w:szCs w:val="22"/>
        </w:rPr>
        <w:t xml:space="preserve"> </w:t>
      </w:r>
    </w:p>
    <w:p w:rsidR="00F1497E" w:rsidRPr="005577AD" w:rsidP="00F1497E" w14:paraId="0D313DDD" w14:textId="77777777">
      <w:pPr>
        <w:jc w:val="center"/>
        <w:rPr>
          <w:b/>
          <w:bCs/>
          <w:caps/>
          <w:szCs w:val="22"/>
        </w:rPr>
      </w:pPr>
    </w:p>
    <w:p w:rsidR="00F1497E" w:rsidRPr="005577AD" w:rsidP="00F1497E" w14:paraId="351EF358" w14:textId="77777777">
      <w:pPr>
        <w:ind w:left="1440" w:hanging="720"/>
        <w:rPr>
          <w:i/>
          <w:iCs/>
          <w:szCs w:val="22"/>
        </w:rPr>
      </w:pPr>
      <w:r w:rsidRPr="005577AD">
        <w:rPr>
          <w:iCs/>
          <w:szCs w:val="22"/>
        </w:rPr>
        <w:t>Re:</w:t>
      </w:r>
      <w:r w:rsidRPr="005577AD">
        <w:rPr>
          <w:szCs w:val="22"/>
        </w:rPr>
        <w:t xml:space="preserve"> </w:t>
      </w:r>
      <w:r w:rsidRPr="005577AD">
        <w:rPr>
          <w:szCs w:val="22"/>
        </w:rPr>
        <w:tab/>
      </w:r>
      <w:r>
        <w:rPr>
          <w:i/>
        </w:rPr>
        <w:t>Establishing the Digital Opportunity Data Collection</w:t>
      </w:r>
      <w:r>
        <w:t xml:space="preserve">, WC Docket No. 19-195; </w:t>
      </w:r>
      <w:r>
        <w:rPr>
          <w:i/>
        </w:rPr>
        <w:t>Modernizing the FCC Form 477 Data Program</w:t>
      </w:r>
      <w:r>
        <w:t>, WC Docket No. 11-10</w:t>
      </w:r>
      <w:r>
        <w:tab/>
      </w:r>
    </w:p>
    <w:p w:rsidR="00F1497E" w:rsidRPr="005577AD" w:rsidP="00F1497E" w14:paraId="7F6A4950" w14:textId="77777777">
      <w:pPr>
        <w:ind w:firstLine="720"/>
        <w:rPr>
          <w:szCs w:val="22"/>
        </w:rPr>
      </w:pPr>
    </w:p>
    <w:p w:rsidR="00F1497E" w:rsidRPr="00115977" w:rsidP="00F1497E" w14:paraId="2B8B73CE" w14:textId="77777777">
      <w:pPr>
        <w:spacing w:after="120"/>
        <w:ind w:firstLine="720"/>
        <w:rPr>
          <w:szCs w:val="22"/>
        </w:rPr>
      </w:pPr>
      <w:r w:rsidRPr="00115977">
        <w:rPr>
          <w:szCs w:val="22"/>
        </w:rPr>
        <w:t>In 2013, the FCC decided to collec</w:t>
      </w:r>
      <w:r w:rsidRPr="00115977">
        <w:rPr>
          <w:szCs w:val="22"/>
        </w:rPr>
        <w:t xml:space="preserve">t fixed broadband deployment data at the census block level.  It explained that it was declining “to gather fixed broadband deployment data at a level more granular than the census block because the added complexity and burden are unlikely at this time to </w:t>
      </w:r>
      <w:r w:rsidRPr="00115977">
        <w:rPr>
          <w:szCs w:val="22"/>
        </w:rPr>
        <w:t>provide a significant insight into how many residences and businesses lack access to service.”</w:t>
      </w:r>
      <w:r>
        <w:rPr>
          <w:szCs w:val="22"/>
          <w:vertAlign w:val="superscript"/>
        </w:rPr>
        <w:footnoteReference w:id="697"/>
      </w:r>
      <w:r w:rsidRPr="00115977">
        <w:rPr>
          <w:szCs w:val="22"/>
        </w:rPr>
        <w:t xml:space="preserve">  The Commission’s prior leadership then decided to count everyone in a census block as having access to broadband service if any single person in that census b</w:t>
      </w:r>
      <w:r w:rsidRPr="00115977">
        <w:rPr>
          <w:szCs w:val="22"/>
        </w:rPr>
        <w:t>lock had access to such service.</w:t>
      </w:r>
    </w:p>
    <w:p w:rsidR="00F1497E" w:rsidRPr="00115977" w:rsidP="00F1497E" w14:paraId="1FE6757D" w14:textId="77777777">
      <w:pPr>
        <w:spacing w:after="120"/>
        <w:ind w:firstLine="720"/>
        <w:rPr>
          <w:szCs w:val="22"/>
        </w:rPr>
      </w:pPr>
      <w:r w:rsidRPr="00115977">
        <w:rPr>
          <w:szCs w:val="22"/>
        </w:rPr>
        <w:t>But as the old saying goes, that was then; this is now.  And as circumstances change, so too must the Commission’s policies.  In particular, as we focus on reforms designed to provide all Americans with access to high-speed</w:t>
      </w:r>
      <w:r w:rsidRPr="00115977">
        <w:rPr>
          <w:szCs w:val="22"/>
        </w:rPr>
        <w:t xml:space="preserve"> broadband service, it becomes more important for us to be able to identify with more precision the declining number of Americans without such access.</w:t>
      </w:r>
    </w:p>
    <w:p w:rsidR="00F1497E" w:rsidRPr="00115977" w:rsidP="00F1497E" w14:paraId="6735F31B" w14:textId="77777777">
      <w:pPr>
        <w:spacing w:after="120"/>
        <w:ind w:firstLine="720"/>
        <w:rPr>
          <w:szCs w:val="22"/>
        </w:rPr>
      </w:pPr>
      <w:r w:rsidRPr="00115977">
        <w:rPr>
          <w:szCs w:val="22"/>
        </w:rPr>
        <w:t xml:space="preserve">That’s why in 2017, the Commission, under my leadership, launched a comprehensive review of our </w:t>
      </w:r>
      <w:r w:rsidRPr="00115977">
        <w:rPr>
          <w:szCs w:val="22"/>
        </w:rPr>
        <w:t>broadband deployment data collection, otherwise known as Form 477.  We proposed a number of changes to improve the data we receive.  And today, we’re adopting critical reforms to improve our broadband maps.</w:t>
      </w:r>
    </w:p>
    <w:p w:rsidR="00F1497E" w:rsidRPr="00115977" w:rsidP="00F1497E" w14:paraId="1BBC4394" w14:textId="77777777">
      <w:pPr>
        <w:spacing w:after="120"/>
        <w:ind w:firstLine="720"/>
        <w:rPr>
          <w:szCs w:val="22"/>
        </w:rPr>
      </w:pPr>
      <w:r w:rsidRPr="00115977">
        <w:rPr>
          <w:szCs w:val="22"/>
        </w:rPr>
        <w:t>Most importantly, we are launching a new fixed br</w:t>
      </w:r>
      <w:r w:rsidRPr="00115977">
        <w:rPr>
          <w:szCs w:val="22"/>
        </w:rPr>
        <w:t>oadband mapping effort.  Through our Digital Opportunity Data Collection, we will go beyond our current census-block level reporting and instead require fixed broadband providers to submit granular broadband coverage polygons depicting the areas where they</w:t>
      </w:r>
      <w:r w:rsidRPr="00115977">
        <w:rPr>
          <w:szCs w:val="22"/>
        </w:rPr>
        <w:t xml:space="preserve"> actually have broadband-capable networks and make fixed broadband service available.  This will give us more precise broadband service availability maps.  And critically, we will no longer count everyone in a census block as served if just one person is s</w:t>
      </w:r>
      <w:r w:rsidRPr="00115977">
        <w:rPr>
          <w:szCs w:val="22"/>
        </w:rPr>
        <w:t>erved.</w:t>
      </w:r>
    </w:p>
    <w:p w:rsidR="00F1497E" w:rsidRPr="00115977" w:rsidP="00F1497E" w14:paraId="20794668" w14:textId="77777777">
      <w:pPr>
        <w:spacing w:after="120"/>
        <w:ind w:firstLine="720"/>
        <w:rPr>
          <w:szCs w:val="22"/>
        </w:rPr>
      </w:pPr>
      <w:r w:rsidRPr="00115977">
        <w:rPr>
          <w:szCs w:val="22"/>
        </w:rPr>
        <w:t>But that’s not all.  To ensure the reliability of these new maps, we will be incorporating feedback from the public, as well as state, local, and Tribal governments.  We’re also seeking comment on a framework for identifying where Americans live and</w:t>
      </w:r>
      <w:r w:rsidRPr="00115977">
        <w:rPr>
          <w:szCs w:val="22"/>
        </w:rPr>
        <w:t xml:space="preserve"> work with greater precision, which will work in conjunction with the broadband deployment data collection we adopt today to paint the clearest picture yet of which Americans have access to broadband and which do not.</w:t>
      </w:r>
    </w:p>
    <w:p w:rsidR="00F1497E" w:rsidRPr="00115977" w:rsidP="00F1497E" w14:paraId="678EBBC0" w14:textId="77777777">
      <w:pPr>
        <w:spacing w:after="120"/>
        <w:ind w:firstLine="720"/>
        <w:rPr>
          <w:szCs w:val="22"/>
        </w:rPr>
      </w:pPr>
      <w:r w:rsidRPr="00115977">
        <w:rPr>
          <w:szCs w:val="22"/>
        </w:rPr>
        <w:t>The reforms that we are adopting today</w:t>
      </w:r>
      <w:r w:rsidRPr="00115977">
        <w:rPr>
          <w:szCs w:val="22"/>
        </w:rPr>
        <w:t xml:space="preserve"> are especially important to our universal service programs.  As many noted in the record, when the Commission reports a partially served area as being served, unserved consumers in those areas miss out on vital universal service support that could help de</w:t>
      </w:r>
      <w:r w:rsidRPr="00115977">
        <w:rPr>
          <w:szCs w:val="22"/>
        </w:rPr>
        <w:t>liver broadband services to them.  To be sure, the Form 477 broadband deployment data has been an effective tool to help us target universal service support to the least-served parts of the country.  But as the number of Americans without access to broadba</w:t>
      </w:r>
      <w:r w:rsidRPr="00115977">
        <w:rPr>
          <w:szCs w:val="22"/>
        </w:rPr>
        <w:t>nd service continues to fall, filling in the “gaps” in broadband coverage—those areas where some but not all homes and businesses have access to broadband service—becomes that much more pressing.  And so we take a fresh, innovative approach to broadband ma</w:t>
      </w:r>
      <w:r w:rsidRPr="00115977">
        <w:rPr>
          <w:szCs w:val="22"/>
        </w:rPr>
        <w:t>pping and establish a new data collection that will enable us to start filling in those gaps.</w:t>
      </w:r>
    </w:p>
    <w:p w:rsidR="00F1497E" w:rsidRPr="00115977" w:rsidP="00F1497E" w14:paraId="69C5A8E3" w14:textId="77777777">
      <w:pPr>
        <w:spacing w:after="120"/>
        <w:ind w:firstLine="720"/>
        <w:rPr>
          <w:szCs w:val="22"/>
        </w:rPr>
      </w:pPr>
      <w:r w:rsidRPr="00115977">
        <w:rPr>
          <w:szCs w:val="22"/>
        </w:rPr>
        <w:t>And given the universal service focus of the new data collection, the Commission also recognizes that it makes sense for the Universal Service Administrative Comp</w:t>
      </w:r>
      <w:r w:rsidRPr="00115977">
        <w:rPr>
          <w:szCs w:val="22"/>
        </w:rPr>
        <w:t>any—the administrator of all four universal service programs—to collect and maintain the broadband mapping data, under the expert oversight of the FCC’s professional staff.  The map will be all the more accurate after being integrated with the high-cost HU</w:t>
      </w:r>
      <w:r w:rsidRPr="00115977">
        <w:rPr>
          <w:szCs w:val="22"/>
        </w:rPr>
        <w:t>BB, a USAC portal that collects detailed information about broadband deployments made by service providers funded by the universal service high-cost support mechanisms.</w:t>
      </w:r>
    </w:p>
    <w:p w:rsidR="00F1497E" w:rsidRPr="00115977" w:rsidP="00F1497E" w14:paraId="5EECFB22" w14:textId="77777777">
      <w:pPr>
        <w:spacing w:after="120"/>
        <w:ind w:firstLine="720"/>
        <w:rPr>
          <w:szCs w:val="22"/>
        </w:rPr>
      </w:pPr>
      <w:r w:rsidRPr="00115977">
        <w:rPr>
          <w:szCs w:val="22"/>
        </w:rPr>
        <w:t xml:space="preserve">One important reason I’m so pleased that we are moving forward with this item is that we’ll be putting the new maps to work right away.  The Rural Digital Opportunity Fund </w:t>
      </w:r>
      <w:r w:rsidRPr="00115977">
        <w:rPr>
          <w:i/>
          <w:szCs w:val="22"/>
        </w:rPr>
        <w:t>Notice of Proposed Rulemaking</w:t>
      </w:r>
      <w:r w:rsidRPr="00115977">
        <w:rPr>
          <w:szCs w:val="22"/>
        </w:rPr>
        <w:t xml:space="preserve"> that we adopted earlier today specifically proposes to</w:t>
      </w:r>
      <w:r w:rsidRPr="00115977">
        <w:rPr>
          <w:szCs w:val="22"/>
        </w:rPr>
        <w:t xml:space="preserve"> use the new map to direct more than $4 billion in Phase II funding to deploy high-speed broadband networks to serve Americans living in areas of the country that Form 477’s census-block level reporting deems served, but where some residents are actually n</w:t>
      </w:r>
      <w:r w:rsidRPr="00115977">
        <w:rPr>
          <w:szCs w:val="22"/>
        </w:rPr>
        <w:t>ot served.  This will be real progress for those residents and for the country.</w:t>
      </w:r>
    </w:p>
    <w:p w:rsidR="00F1497E" w:rsidRPr="005577AD" w:rsidP="00F1497E" w14:paraId="446B2C0E" w14:textId="77777777">
      <w:pPr>
        <w:spacing w:after="120"/>
        <w:ind w:firstLine="720"/>
        <w:rPr>
          <w:szCs w:val="22"/>
        </w:rPr>
      </w:pPr>
      <w:r w:rsidRPr="00115977">
        <w:rPr>
          <w:szCs w:val="22"/>
        </w:rPr>
        <w:t>I would like to thank the cartographers whose hard work is helping us chart our way to closing the digital divide, including Kirk Burgee, Adam Copeland, Justin Faulb, Jesse Jac</w:t>
      </w:r>
      <w:r w:rsidRPr="00115977">
        <w:rPr>
          <w:szCs w:val="22"/>
        </w:rPr>
        <w:t xml:space="preserve">hman, Kris Monteith, Michael Ray, and Steve Rosenberg from the Wireline Competition Bureau; Erin Boone, Garnet Hanly, David Sieradzki, Sean Spivey, Donald Stockdale, and Matthew Warner from the Wireless Telecommunications Bureau; Ken Lynch, Kate Matraves, </w:t>
      </w:r>
      <w:r w:rsidRPr="00115977">
        <w:rPr>
          <w:szCs w:val="22"/>
        </w:rPr>
        <w:t xml:space="preserve">and Giulia McHenry from the Office of Economics and Analytics; Denise Coca, Gabrielle Kim, Kerry Murry, and Jim Schlichting from the International Bureau; and William Dever, Keith </w:t>
      </w:r>
      <w:r w:rsidRPr="00115977">
        <w:rPr>
          <w:szCs w:val="22"/>
        </w:rPr>
        <w:t>McCrickard</w:t>
      </w:r>
      <w:r w:rsidRPr="00115977">
        <w:rPr>
          <w:szCs w:val="22"/>
        </w:rPr>
        <w:t>, Chin Yoo, and William Richardson from the Office of General Coun</w:t>
      </w:r>
      <w:r w:rsidRPr="00115977">
        <w:rPr>
          <w:szCs w:val="22"/>
        </w:rPr>
        <w:t>sel</w:t>
      </w:r>
      <w:r>
        <w:rPr>
          <w:szCs w:val="22"/>
        </w:rPr>
        <w:t>.</w:t>
      </w:r>
    </w:p>
    <w:p w:rsidR="00F1497E" w:rsidRPr="005577AD" w:rsidP="00F1497E" w14:paraId="5E85F3B8" w14:textId="77777777">
      <w:pPr>
        <w:widowControl/>
        <w:ind w:firstLine="720"/>
        <w:rPr>
          <w:szCs w:val="22"/>
        </w:rPr>
      </w:pPr>
    </w:p>
    <w:p w:rsidR="00F1497E" w:rsidRPr="00DE72D3" w:rsidP="00F1497E" w14:paraId="53E3C37E" w14:textId="77777777"/>
    <w:p w:rsidR="00F1497E" w:rsidRPr="00934012" w:rsidP="00F1497E" w14:paraId="63CF96F5" w14:textId="77777777"/>
    <w:p w:rsidR="004D0465" w:rsidP="00252A4C" w14:paraId="2DDF1B35" w14:textId="77777777">
      <w:pPr>
        <w:sectPr w:rsidSect="004D0465">
          <w:headerReference w:type="default" r:id="rId20"/>
          <w:footerReference w:type="even" r:id="rId21"/>
          <w:footerReference w:type="default" r:id="rId22"/>
          <w:headerReference w:type="first" r:id="rId23"/>
          <w:footerReference w:type="first" r:id="rId24"/>
          <w:footnotePr>
            <w:numRestart w:val="eachSect"/>
          </w:footnotePr>
          <w:endnotePr>
            <w:numFmt w:val="decimal"/>
          </w:endnotePr>
          <w:pgSz w:w="12240" w:h="15840"/>
          <w:pgMar w:top="1440" w:right="1440" w:bottom="720" w:left="1440" w:header="720" w:footer="720" w:gutter="0"/>
          <w:cols w:space="720"/>
          <w:noEndnote/>
          <w:titlePg/>
        </w:sectPr>
      </w:pPr>
    </w:p>
    <w:p w:rsidR="004D0465" w:rsidRPr="005577AD" w:rsidP="004D0465" w14:paraId="632390CD" w14:textId="77777777">
      <w:pPr>
        <w:jc w:val="center"/>
        <w:rPr>
          <w:b/>
          <w:bCs/>
          <w:caps/>
          <w:szCs w:val="22"/>
        </w:rPr>
      </w:pPr>
      <w:r w:rsidRPr="005577AD">
        <w:rPr>
          <w:b/>
          <w:bCs/>
          <w:caps/>
          <w:szCs w:val="22"/>
        </w:rPr>
        <w:t>Statement of</w:t>
      </w:r>
    </w:p>
    <w:p w:rsidR="004D0465" w:rsidRPr="005577AD" w:rsidP="004D0465" w14:paraId="6676EC6D" w14:textId="77777777">
      <w:pPr>
        <w:jc w:val="center"/>
        <w:rPr>
          <w:b/>
          <w:bCs/>
          <w:caps/>
          <w:szCs w:val="22"/>
        </w:rPr>
      </w:pPr>
      <w:r w:rsidRPr="00704B95">
        <w:rPr>
          <w:b/>
          <w:bCs/>
          <w:caps/>
          <w:szCs w:val="22"/>
        </w:rPr>
        <w:t>COMMISSIONER MICHAEL O’RIELLY</w:t>
      </w:r>
    </w:p>
    <w:p w:rsidR="004D0465" w:rsidRPr="005577AD" w:rsidP="004D0465" w14:paraId="7B58F746" w14:textId="77777777">
      <w:pPr>
        <w:jc w:val="center"/>
        <w:rPr>
          <w:b/>
          <w:bCs/>
          <w:caps/>
          <w:szCs w:val="22"/>
        </w:rPr>
      </w:pPr>
    </w:p>
    <w:p w:rsidR="004D0465" w:rsidRPr="005577AD" w:rsidP="004D0465" w14:paraId="1F1324EE" w14:textId="77777777">
      <w:pPr>
        <w:ind w:left="1440" w:hanging="720"/>
        <w:rPr>
          <w:i/>
          <w:iCs/>
          <w:szCs w:val="22"/>
        </w:rPr>
      </w:pPr>
      <w:r w:rsidRPr="005577AD">
        <w:rPr>
          <w:iCs/>
          <w:szCs w:val="22"/>
        </w:rPr>
        <w:t>Re:</w:t>
      </w:r>
      <w:r w:rsidRPr="005577AD">
        <w:rPr>
          <w:szCs w:val="22"/>
        </w:rPr>
        <w:t xml:space="preserve"> </w:t>
      </w:r>
      <w:r w:rsidRPr="005577AD">
        <w:rPr>
          <w:szCs w:val="22"/>
        </w:rPr>
        <w:tab/>
      </w:r>
      <w:r>
        <w:rPr>
          <w:i/>
        </w:rPr>
        <w:t xml:space="preserve">Establishing the Digital </w:t>
      </w:r>
      <w:r>
        <w:rPr>
          <w:i/>
        </w:rPr>
        <w:t>Opportunity Data Collection</w:t>
      </w:r>
      <w:r>
        <w:t xml:space="preserve">, WC Docket No. 19-195; </w:t>
      </w:r>
      <w:r>
        <w:rPr>
          <w:i/>
        </w:rPr>
        <w:t>Modernizing the FCC Form 477 Data Program</w:t>
      </w:r>
      <w:r>
        <w:t>, WC Docket No. 11-10</w:t>
      </w:r>
      <w:r w:rsidRPr="005577AD">
        <w:rPr>
          <w:iCs/>
          <w:szCs w:val="22"/>
        </w:rPr>
        <w:t>.</w:t>
      </w:r>
    </w:p>
    <w:p w:rsidR="004D0465" w:rsidRPr="005577AD" w:rsidP="004D0465" w14:paraId="3C7C7289" w14:textId="77777777">
      <w:pPr>
        <w:ind w:firstLine="720"/>
        <w:rPr>
          <w:szCs w:val="22"/>
        </w:rPr>
      </w:pPr>
    </w:p>
    <w:p w:rsidR="004D0465" w:rsidRPr="00704B95" w:rsidP="004D0465" w14:paraId="0D42D4D4" w14:textId="77777777">
      <w:pPr>
        <w:spacing w:after="120"/>
        <w:ind w:firstLine="720"/>
        <w:rPr>
          <w:szCs w:val="22"/>
        </w:rPr>
      </w:pPr>
      <w:r w:rsidRPr="00704B95">
        <w:rPr>
          <w:szCs w:val="22"/>
        </w:rPr>
        <w:t>I appreciate the hard work that went into this item to fix the Commission’s broken mapping</w:t>
      </w:r>
      <w:r>
        <w:rPr>
          <w:szCs w:val="22"/>
        </w:rPr>
        <w:t xml:space="preserve"> </w:t>
      </w:r>
      <w:r w:rsidRPr="00704B95">
        <w:rPr>
          <w:szCs w:val="22"/>
        </w:rPr>
        <w:t xml:space="preserve">process.  Like some of the very laudable mapping </w:t>
      </w:r>
      <w:r w:rsidRPr="00704B95">
        <w:rPr>
          <w:szCs w:val="22"/>
        </w:rPr>
        <w:t xml:space="preserve">bills being considered by Congress, including those by Chairman Wicker and Senator Capito, this item takes important steps in creating a more accurate and useful picture of broadband coverage, which should allow the Commission’s universal service policies </w:t>
      </w:r>
      <w:r w:rsidRPr="00704B95">
        <w:rPr>
          <w:szCs w:val="22"/>
        </w:rPr>
        <w:t>to better focus on those millions of Americans left behind without access to broadband service today.</w:t>
      </w:r>
    </w:p>
    <w:p w:rsidR="004D0465" w:rsidRPr="00704B95" w:rsidP="004D0465" w14:paraId="57EB816F" w14:textId="77777777">
      <w:pPr>
        <w:spacing w:after="120"/>
        <w:ind w:firstLine="720"/>
        <w:rPr>
          <w:szCs w:val="22"/>
        </w:rPr>
      </w:pPr>
      <w:r w:rsidRPr="00704B95">
        <w:rPr>
          <w:szCs w:val="22"/>
        </w:rPr>
        <w:t>While I generally support the steps we take, especially the use of a polygon-based approach that is front and center of our action today and one I have pr</w:t>
      </w:r>
      <w:r w:rsidRPr="00704B95">
        <w:rPr>
          <w:szCs w:val="22"/>
        </w:rPr>
        <w:t>eviously endorsed, I do wonder about the soundness of the decision to hand USAC the role of administrator of the mapping portal.  Given the extraordinary amount of new work the Commission plans to assign to USAC over the coming years, I have many questions</w:t>
      </w:r>
      <w:r w:rsidRPr="00704B95">
        <w:rPr>
          <w:szCs w:val="22"/>
        </w:rPr>
        <w:t xml:space="preserve"> about the latter’s competence and bandwidth to perform this added role.  And, I am especially apprehensive in view of my longstanding concerns over insufficient transparency in the Administrator’s operations and inadequate oversight by the Commission.  Qu</w:t>
      </w:r>
      <w:r w:rsidRPr="00704B95">
        <w:rPr>
          <w:szCs w:val="22"/>
        </w:rPr>
        <w:t>ite frankly, USAC has been unresponsive to many Members of Congress, industry participants, and even FCC Commissioners from time to time, and it can often seem like a black hole.  I have to trust the Chairman’s decision to take this approach in the current</w:t>
      </w:r>
      <w:r w:rsidRPr="00704B95">
        <w:rPr>
          <w:szCs w:val="22"/>
        </w:rPr>
        <w:t xml:space="preserve"> item, but I hope further reforms of USAC are in the offing.  For instance, while the draft indicates that USAC is expected to bid out many of the sub-functions, which is welcome, in my opinion, bidding out the administrator role in its entirety would have</w:t>
      </w:r>
      <w:r w:rsidRPr="00704B95">
        <w:rPr>
          <w:szCs w:val="22"/>
        </w:rPr>
        <w:t xml:space="preserve"> seemed more efficient, transparent, and fair to ratepayers.  In fact, if it were up to me, I would go much further and bid out </w:t>
      </w:r>
      <w:r w:rsidRPr="00704B95">
        <w:rPr>
          <w:i/>
          <w:szCs w:val="22"/>
        </w:rPr>
        <w:t>all</w:t>
      </w:r>
      <w:r w:rsidRPr="00704B95">
        <w:rPr>
          <w:szCs w:val="22"/>
        </w:rPr>
        <w:t xml:space="preserve"> of USAC’s functions entirely.  At a minimum, it would have been advisable to have conducted cost-runs or calculated how much</w:t>
      </w:r>
      <w:r w:rsidRPr="00704B95">
        <w:rPr>
          <w:szCs w:val="22"/>
        </w:rPr>
        <w:t xml:space="preserve"> time the portal will take to implement before assigning this substantial role.</w:t>
      </w:r>
    </w:p>
    <w:p w:rsidR="004D0465" w:rsidRPr="00704B95" w:rsidP="004D0465" w14:paraId="00D176EA" w14:textId="77777777">
      <w:pPr>
        <w:widowControl/>
        <w:spacing w:after="120"/>
        <w:ind w:firstLine="720"/>
        <w:rPr>
          <w:szCs w:val="22"/>
        </w:rPr>
      </w:pPr>
      <w:r w:rsidRPr="00704B95">
        <w:rPr>
          <w:szCs w:val="22"/>
        </w:rPr>
        <w:t>In response to those concerns, a reasonable argument was made that it was necessary to appoint USAC given the latter’s role in administering the whole USF.  However, if that is</w:t>
      </w:r>
      <w:r w:rsidRPr="00704B95">
        <w:rPr>
          <w:szCs w:val="22"/>
        </w:rPr>
        <w:t xml:space="preserve"> the case, then I believe that USAC ought to indeed use the map to administer the </w:t>
      </w:r>
      <w:r w:rsidRPr="00704B95">
        <w:rPr>
          <w:i/>
          <w:szCs w:val="22"/>
        </w:rPr>
        <w:t>whole</w:t>
      </w:r>
      <w:r w:rsidRPr="00704B95">
        <w:rPr>
          <w:szCs w:val="22"/>
        </w:rPr>
        <w:t xml:space="preserve"> USF—in other words, the new map, if successfully established, should be used fulsomely across all the programs that provide support for broadband deployment, and not ju</w:t>
      </w:r>
      <w:r w:rsidRPr="00704B95">
        <w:rPr>
          <w:szCs w:val="22"/>
        </w:rPr>
        <w:t>st the High Cost program.  As I have stated in the past, one of the problems inherent to USF administration is insufficient coordination among the programs, which has resulted in easily preventable waste and gross inefficiencies.  This is certainly evident</w:t>
      </w:r>
      <w:r w:rsidRPr="00704B95">
        <w:rPr>
          <w:szCs w:val="22"/>
        </w:rPr>
        <w:t xml:space="preserve"> in recent examples of E-Rate-funded overbuilding of existing fiber-based providers, including recipients of High Cost funding.</w:t>
      </w:r>
      <w:r>
        <w:rPr>
          <w:szCs w:val="22"/>
          <w:vertAlign w:val="superscript"/>
        </w:rPr>
        <w:footnoteReference w:id="698"/>
      </w:r>
      <w:r w:rsidRPr="00704B95">
        <w:rPr>
          <w:szCs w:val="22"/>
        </w:rPr>
        <w:t xml:space="preserve">  While originally brought to our attention by a group of Texas A-CAM carriers, the Commission has now been made aware of examp</w:t>
      </w:r>
      <w:r w:rsidRPr="00704B95">
        <w:rPr>
          <w:szCs w:val="22"/>
        </w:rPr>
        <w:t>les in at least seven other states where similar USF-funded overbuilding has occurred.</w:t>
      </w:r>
      <w:r>
        <w:rPr>
          <w:szCs w:val="22"/>
          <w:vertAlign w:val="superscript"/>
        </w:rPr>
        <w:footnoteReference w:id="699"/>
      </w:r>
      <w:r w:rsidRPr="00704B95">
        <w:rPr>
          <w:szCs w:val="22"/>
        </w:rPr>
        <w:t xml:space="preserve">  We owe it to ratepayers to end this waste, and I am gratified that the Chairman agreed to add questions to the FNPRM on how USAC can use the map to address duplicativ</w:t>
      </w:r>
      <w:r w:rsidRPr="00704B95">
        <w:rPr>
          <w:szCs w:val="22"/>
        </w:rPr>
        <w:t>e funding in the E-Rate and Rural Health Care programs.  While a broader rulemaking may be necessary to address flaws in program rules, this is a positive step in addressing the overall overbuilding problem.  I further appreciate the Chairman’s willingness</w:t>
      </w:r>
      <w:r w:rsidRPr="00704B95">
        <w:rPr>
          <w:szCs w:val="22"/>
        </w:rPr>
        <w:t xml:space="preserve"> to add language to clarify the role to be taken by the various bureaus and offices involved in overseeing USAC’s development of the mapping portal.</w:t>
      </w:r>
    </w:p>
    <w:p w:rsidR="004D0465" w:rsidRPr="00704B95" w:rsidP="004D0465" w14:paraId="7ECB9E95" w14:textId="77777777">
      <w:pPr>
        <w:spacing w:after="120"/>
        <w:ind w:firstLine="720"/>
        <w:rPr>
          <w:szCs w:val="22"/>
        </w:rPr>
      </w:pPr>
      <w:r w:rsidRPr="00704B95">
        <w:rPr>
          <w:szCs w:val="22"/>
        </w:rPr>
        <w:t>Another area of concern relates to the use of crowdsourced data.  While I wholeheartedly support the implem</w:t>
      </w:r>
      <w:r w:rsidRPr="00704B95">
        <w:rPr>
          <w:szCs w:val="22"/>
        </w:rPr>
        <w:t xml:space="preserve">entation of a robust challenge process, we must ensure that criteria for crowdsourced complaints involve objectivity and accountability.  It won’t help mapping accuracy one bit if we allow the public to submit complaints willy </w:t>
      </w:r>
      <w:r w:rsidRPr="00704B95">
        <w:rPr>
          <w:szCs w:val="22"/>
        </w:rPr>
        <w:t>nilly</w:t>
      </w:r>
      <w:r w:rsidRPr="00704B95">
        <w:rPr>
          <w:szCs w:val="22"/>
        </w:rPr>
        <w:t xml:space="preserve"> on the basis of amorpho</w:t>
      </w:r>
      <w:r w:rsidRPr="00704B95">
        <w:rPr>
          <w:szCs w:val="22"/>
        </w:rPr>
        <w:t>us dissatisfaction with a provider or claims of inadequate service that are actually due to an excessive number of connected devices, broken equipment, or attempts to access Wi-Fi in a remote corner of the consumer’s backyard.  While much of the details ar</w:t>
      </w:r>
      <w:r w:rsidRPr="00704B95">
        <w:rPr>
          <w:szCs w:val="22"/>
        </w:rPr>
        <w:t>e left to the Further Notice, I thank the Chairman for agreeing to my request to cabin the use of crowdsourcing in some respects, and for clarifying USAC’s purely ministerial role in adjudicating conflicting claims.</w:t>
      </w:r>
    </w:p>
    <w:p w:rsidR="004D0465" w:rsidRPr="005577AD" w:rsidP="004D0465" w14:paraId="648FC771" w14:textId="77777777">
      <w:pPr>
        <w:spacing w:after="120"/>
        <w:ind w:firstLine="720"/>
        <w:rPr>
          <w:szCs w:val="22"/>
        </w:rPr>
      </w:pPr>
      <w:r w:rsidRPr="00704B95">
        <w:rPr>
          <w:szCs w:val="22"/>
        </w:rPr>
        <w:t>No one should be misled about the amount</w:t>
      </w:r>
      <w:r w:rsidRPr="00704B95">
        <w:rPr>
          <w:szCs w:val="22"/>
        </w:rPr>
        <w:t xml:space="preserve"> of work to be done: There remains a long road ahead involving many years to implement the Commission’s new mapping framework.  I look forward to reviewing the record in response to the Further Notice and working with my colleagues to resolve the many rema</w:t>
      </w:r>
      <w:r w:rsidRPr="00704B95">
        <w:rPr>
          <w:szCs w:val="22"/>
        </w:rPr>
        <w:t>ining details</w:t>
      </w:r>
      <w:r>
        <w:rPr>
          <w:szCs w:val="22"/>
        </w:rPr>
        <w:t>.</w:t>
      </w:r>
    </w:p>
    <w:p w:rsidR="004D0465" w:rsidRPr="005577AD" w:rsidP="004D0465" w14:paraId="7AE33574" w14:textId="77777777">
      <w:pPr>
        <w:widowControl/>
        <w:ind w:firstLine="720"/>
        <w:rPr>
          <w:szCs w:val="22"/>
        </w:rPr>
      </w:pPr>
    </w:p>
    <w:p w:rsidR="004D0465" w:rsidRPr="00DE72D3" w:rsidP="004D0465" w14:paraId="7986A98F" w14:textId="77777777"/>
    <w:p w:rsidR="004D0465" w:rsidRPr="00934012" w:rsidP="004D0465" w14:paraId="3E23CE0F" w14:textId="77777777"/>
    <w:p w:rsidR="00F74A27" w:rsidP="00252A4C" w14:paraId="7EA4D9B5" w14:textId="77777777">
      <w:pPr>
        <w:sectPr w:rsidSect="004D0465">
          <w:footnotePr>
            <w:numRestart w:val="eachSect"/>
          </w:footnotePr>
          <w:endnotePr>
            <w:numFmt w:val="decimal"/>
          </w:endnotePr>
          <w:pgSz w:w="12240" w:h="15840"/>
          <w:pgMar w:top="1440" w:right="1440" w:bottom="720" w:left="1440" w:header="720" w:footer="720" w:gutter="0"/>
          <w:cols w:space="720"/>
          <w:noEndnote/>
          <w:titlePg/>
        </w:sectPr>
      </w:pPr>
    </w:p>
    <w:p w:rsidR="004D0465" w:rsidRPr="005577AD" w:rsidP="004D0465" w14:paraId="1540E0CE" w14:textId="77777777">
      <w:pPr>
        <w:jc w:val="center"/>
        <w:rPr>
          <w:b/>
          <w:bCs/>
          <w:caps/>
          <w:szCs w:val="22"/>
        </w:rPr>
      </w:pPr>
      <w:r w:rsidRPr="005577AD">
        <w:rPr>
          <w:b/>
          <w:bCs/>
          <w:caps/>
          <w:szCs w:val="22"/>
        </w:rPr>
        <w:t>Statement of</w:t>
      </w:r>
    </w:p>
    <w:p w:rsidR="004D0465" w:rsidRPr="005577AD" w:rsidP="004D0465" w14:paraId="74FCEF9D" w14:textId="77777777">
      <w:pPr>
        <w:jc w:val="center"/>
        <w:rPr>
          <w:b/>
          <w:bCs/>
          <w:caps/>
          <w:szCs w:val="22"/>
        </w:rPr>
      </w:pPr>
      <w:r w:rsidRPr="007D749F">
        <w:rPr>
          <w:b/>
        </w:rPr>
        <w:t>COMMISSIONER BRENDAN CARR</w:t>
      </w:r>
    </w:p>
    <w:p w:rsidR="004D0465" w:rsidRPr="005577AD" w:rsidP="004D0465" w14:paraId="26813D64" w14:textId="77777777">
      <w:pPr>
        <w:jc w:val="center"/>
        <w:rPr>
          <w:b/>
          <w:bCs/>
          <w:caps/>
          <w:szCs w:val="22"/>
        </w:rPr>
      </w:pPr>
    </w:p>
    <w:p w:rsidR="004D0465" w:rsidRPr="005577AD" w:rsidP="004D0465" w14:paraId="471CF9C6" w14:textId="77777777">
      <w:pPr>
        <w:ind w:left="1440" w:hanging="720"/>
        <w:rPr>
          <w:i/>
          <w:iCs/>
          <w:szCs w:val="22"/>
        </w:rPr>
      </w:pPr>
      <w:r w:rsidRPr="005577AD">
        <w:rPr>
          <w:iCs/>
          <w:szCs w:val="22"/>
        </w:rPr>
        <w:t>Re:</w:t>
      </w:r>
      <w:r w:rsidRPr="005577AD">
        <w:rPr>
          <w:szCs w:val="22"/>
        </w:rPr>
        <w:t xml:space="preserve"> </w:t>
      </w:r>
      <w:r w:rsidRPr="005577AD">
        <w:rPr>
          <w:szCs w:val="22"/>
        </w:rPr>
        <w:tab/>
      </w:r>
      <w:r>
        <w:rPr>
          <w:i/>
        </w:rPr>
        <w:t>Establishing the Digital Opportunity Data Collection</w:t>
      </w:r>
      <w:r>
        <w:t xml:space="preserve">, WC Docket No. 19-195; </w:t>
      </w:r>
      <w:r>
        <w:rPr>
          <w:i/>
        </w:rPr>
        <w:t>Modernizing the FCC Form 477 Data Program</w:t>
      </w:r>
      <w:r>
        <w:t>, WC Docket No. 11-10</w:t>
      </w:r>
      <w:r w:rsidRPr="005577AD">
        <w:rPr>
          <w:iCs/>
          <w:szCs w:val="22"/>
        </w:rPr>
        <w:t>.</w:t>
      </w:r>
    </w:p>
    <w:p w:rsidR="004D0465" w:rsidRPr="005577AD" w:rsidP="004D0465" w14:paraId="3DA6EF9B" w14:textId="77777777">
      <w:pPr>
        <w:ind w:firstLine="720"/>
        <w:rPr>
          <w:szCs w:val="22"/>
        </w:rPr>
      </w:pPr>
    </w:p>
    <w:p w:rsidR="004D0465" w:rsidRPr="00C5560F" w:rsidP="004D0465" w14:paraId="4842DC82" w14:textId="77777777">
      <w:pPr>
        <w:spacing w:after="120"/>
        <w:ind w:firstLine="720"/>
        <w:rPr>
          <w:szCs w:val="22"/>
        </w:rPr>
      </w:pPr>
      <w:r w:rsidRPr="00C5560F">
        <w:rPr>
          <w:szCs w:val="22"/>
        </w:rPr>
        <w:t xml:space="preserve">Government agencies often </w:t>
      </w:r>
      <w:r w:rsidRPr="00C5560F">
        <w:rPr>
          <w:szCs w:val="22"/>
        </w:rPr>
        <w:t>struggle with regulatory inertia.  Once they adopt a process and everyone gets used to it, things tend to stay that way.  They argue about ornaments on a Christmas tree still standing in May.  They debate whether to add a new fender to the Pinto.  Rarely d</w:t>
      </w:r>
      <w:r w:rsidRPr="00C5560F">
        <w:rPr>
          <w:szCs w:val="22"/>
        </w:rPr>
        <w:t>oes an agency commit to a fundamental rethink of the process.</w:t>
      </w:r>
    </w:p>
    <w:p w:rsidR="004D0465" w:rsidRPr="00C5560F" w:rsidP="004D0465" w14:paraId="481240D7" w14:textId="77777777">
      <w:pPr>
        <w:spacing w:after="120"/>
        <w:ind w:firstLine="720"/>
        <w:rPr>
          <w:szCs w:val="22"/>
        </w:rPr>
      </w:pPr>
      <w:r w:rsidRPr="00C5560F">
        <w:rPr>
          <w:szCs w:val="22"/>
        </w:rPr>
        <w:t>The FCC’s Form 477 has been a case in point.  The FCC created the form almost 20 years ago to assess local voice competition and collect data on advanced telecommunications.  Back then, less tha</w:t>
      </w:r>
      <w:r w:rsidRPr="00C5560F">
        <w:rPr>
          <w:szCs w:val="22"/>
        </w:rPr>
        <w:t>n half of Americans had Internet access at home, and almost all of those were on dial-up.  Yet today, we’re still using substantially the same form to assess the deployment of networks that weren’t imagined at the time of the FCC’s 2000 Data Collection Ord</w:t>
      </w:r>
      <w:r w:rsidRPr="00C5560F">
        <w:rPr>
          <w:szCs w:val="22"/>
        </w:rPr>
        <w:t>er.  And over time, we’ve used Form 477 for purposes it wasn’t built for.</w:t>
      </w:r>
    </w:p>
    <w:p w:rsidR="004D0465" w:rsidRPr="00C5560F" w:rsidP="004D0465" w14:paraId="7F4E5B3B" w14:textId="77777777">
      <w:pPr>
        <w:spacing w:after="120"/>
        <w:ind w:firstLine="720"/>
        <w:rPr>
          <w:szCs w:val="22"/>
        </w:rPr>
      </w:pPr>
      <w:r w:rsidRPr="00C5560F">
        <w:rPr>
          <w:szCs w:val="22"/>
        </w:rPr>
        <w:t xml:space="preserve">Over the past 10 years alone, the FCC has made at least a dozen major funding decisions, doling out billions of dollars of USF funds, based on these data sets.  These decisions have </w:t>
      </w:r>
      <w:r w:rsidRPr="00C5560F">
        <w:rPr>
          <w:szCs w:val="22"/>
        </w:rPr>
        <w:t>had real and lasting impacts on communities across the country, affecting education, healthcare, jobs, and the economy.  And every couple of years the FCC has added an ornament or two, adjusted the fender, and then moved on.</w:t>
      </w:r>
    </w:p>
    <w:p w:rsidR="004D0465" w:rsidRPr="00C5560F" w:rsidP="004D0465" w14:paraId="7C0EF28C" w14:textId="77777777">
      <w:pPr>
        <w:spacing w:after="120"/>
        <w:ind w:firstLine="720"/>
        <w:rPr>
          <w:szCs w:val="22"/>
        </w:rPr>
      </w:pPr>
      <w:r w:rsidRPr="00C5560F">
        <w:rPr>
          <w:szCs w:val="22"/>
        </w:rPr>
        <w:t>But today, we get rid of the Ch</w:t>
      </w:r>
      <w:r w:rsidRPr="00C5560F">
        <w:rPr>
          <w:szCs w:val="22"/>
        </w:rPr>
        <w:t xml:space="preserve">ristmas tree and stop driving the Pinto.  We’ve heard the message loud and clear that these data sets are no longer good enough.  And there’s no nibbling around the edges that will change that.  So I am glad that this FCC has the courage to say that it is </w:t>
      </w:r>
      <w:r w:rsidRPr="00C5560F">
        <w:rPr>
          <w:szCs w:val="22"/>
        </w:rPr>
        <w:t>time to start over.  Today, we change course and recognize that Form 477 may no longer be fit for its modern uses.</w:t>
      </w:r>
    </w:p>
    <w:p w:rsidR="004D0465" w:rsidRPr="00C5560F" w:rsidP="004D0465" w14:paraId="647BD879" w14:textId="77777777">
      <w:pPr>
        <w:spacing w:after="120"/>
        <w:ind w:firstLine="720"/>
        <w:rPr>
          <w:szCs w:val="22"/>
        </w:rPr>
      </w:pPr>
      <w:r w:rsidRPr="00C5560F">
        <w:rPr>
          <w:szCs w:val="22"/>
        </w:rPr>
        <w:t>With our new Digital Opportunity Data Collection, we adopt polygon-based maps that will depict with precision the areas where providers actua</w:t>
      </w:r>
      <w:r w:rsidRPr="00C5560F">
        <w:rPr>
          <w:szCs w:val="22"/>
        </w:rPr>
        <w:t>lly have broadband networks.  We are not going to count entire census blocks as served if just a single location could get service in the future.  We direct FCC staff and USAC to start standing up these new maps, so we do not have to rely on Form 477 any l</w:t>
      </w:r>
      <w:r w:rsidRPr="00C5560F">
        <w:rPr>
          <w:szCs w:val="22"/>
        </w:rPr>
        <w:t xml:space="preserve">onger than necessary.  And our new approach empowers the public and the FCC alike to verify the data carriers submit.  We’re not just going to take carriers at their word.  </w:t>
      </w:r>
    </w:p>
    <w:p w:rsidR="004D0465" w:rsidRPr="00C5560F" w:rsidP="004D0465" w14:paraId="7E2C7E48" w14:textId="77777777">
      <w:pPr>
        <w:spacing w:after="120"/>
        <w:ind w:firstLine="720"/>
        <w:rPr>
          <w:szCs w:val="22"/>
        </w:rPr>
      </w:pPr>
      <w:r w:rsidRPr="00C5560F">
        <w:rPr>
          <w:szCs w:val="22"/>
        </w:rPr>
        <w:t>I want to emphasize this “trust but verify” process and how we’ve made it more rob</w:t>
      </w:r>
      <w:r w:rsidRPr="00C5560F">
        <w:rPr>
          <w:szCs w:val="22"/>
        </w:rPr>
        <w:t>ust than the original draft.  This Commission knows that we need to fix our maps, and we know that we must act with urgency.  Closing the digital divide is too important of a priority to rely on outdated data.  Fortunately, we’re not solving this problem b</w:t>
      </w:r>
      <w:r w:rsidRPr="00C5560F">
        <w:rPr>
          <w:szCs w:val="22"/>
        </w:rPr>
        <w:t xml:space="preserve">y ourselves.  Mapping broadband is tremendously valuable to the private sector.  It’s how companies understand gaps in their networks, inform their engineers, make investment decisions, and even market their services.  An entire industry that crowdsources </w:t>
      </w:r>
      <w:r w:rsidRPr="00C5560F">
        <w:rPr>
          <w:szCs w:val="22"/>
        </w:rPr>
        <w:t>speed tests has sprung up as a result.  Many of you probably have one or more of these apps on your phone.  And while you always can find a way to improve a particular methodology or map, broadband builders are willing to pay for these data, they are quizz</w:t>
      </w:r>
      <w:r w:rsidRPr="00C5560F">
        <w:rPr>
          <w:szCs w:val="22"/>
        </w:rPr>
        <w:t xml:space="preserve">ed about them on earnings calls, and they make advertising campaigns centered on them.  </w:t>
      </w:r>
    </w:p>
    <w:p w:rsidR="004D0465" w:rsidRPr="00C5560F" w:rsidP="004D0465" w14:paraId="0BF598AE" w14:textId="77777777">
      <w:pPr>
        <w:spacing w:after="120"/>
        <w:ind w:firstLine="720"/>
        <w:rPr>
          <w:szCs w:val="22"/>
        </w:rPr>
      </w:pPr>
      <w:r w:rsidRPr="00C5560F">
        <w:rPr>
          <w:szCs w:val="22"/>
        </w:rPr>
        <w:t>So today’s decision now directs USAC to validate carrier submissions using these commercial applications and resources.  I thank my colleagues for agreeing to my edits</w:t>
      </w:r>
      <w:r w:rsidRPr="00C5560F">
        <w:rPr>
          <w:szCs w:val="22"/>
        </w:rPr>
        <w:t xml:space="preserve"> to push USAC to use these private-sector data and to seek comment on a variety of new technologies that may be used to test for mobile coverage.</w:t>
      </w:r>
    </w:p>
    <w:p w:rsidR="004D0465" w:rsidP="004D0465" w14:paraId="67EEFCE3" w14:textId="77777777">
      <w:pPr>
        <w:spacing w:after="120"/>
        <w:ind w:firstLine="720"/>
        <w:rPr>
          <w:szCs w:val="22"/>
        </w:rPr>
        <w:sectPr w:rsidSect="004D0465">
          <w:headerReference w:type="default" r:id="rId25"/>
          <w:footerReference w:type="even" r:id="rId26"/>
          <w:footerReference w:type="default" r:id="rId27"/>
          <w:headerReference w:type="first" r:id="rId28"/>
          <w:footerReference w:type="first" r:id="rId29"/>
          <w:endnotePr>
            <w:numFmt w:val="decimal"/>
          </w:endnotePr>
          <w:pgSz w:w="12240" w:h="15840"/>
          <w:pgMar w:top="1440" w:right="1440" w:bottom="720" w:left="1440" w:header="720" w:footer="720" w:gutter="0"/>
          <w:cols w:space="720"/>
          <w:noEndnote/>
          <w:titlePg/>
        </w:sectPr>
      </w:pPr>
      <w:r w:rsidRPr="00C5560F">
        <w:rPr>
          <w:szCs w:val="22"/>
        </w:rPr>
        <w:t xml:space="preserve">I am glad that we are standing up this new process.  It’s time to kick the Christmas tree to the curb and ship the Pinto to the junkyard.  I want to thank the Wireline Competition Bureau for its work.  </w:t>
      </w:r>
      <w:r w:rsidRPr="00C5560F">
        <w:rPr>
          <w:szCs w:val="22"/>
        </w:rPr>
        <w:t>This item has my support</w:t>
      </w:r>
      <w:r>
        <w:rPr>
          <w:szCs w:val="22"/>
        </w:rPr>
        <w:t>.</w:t>
      </w:r>
    </w:p>
    <w:p w:rsidR="004D0465" w:rsidRPr="005577AD" w:rsidP="004D0465" w14:paraId="56687AB6" w14:textId="77777777">
      <w:pPr>
        <w:jc w:val="center"/>
        <w:rPr>
          <w:b/>
          <w:bCs/>
          <w:caps/>
          <w:szCs w:val="22"/>
        </w:rPr>
      </w:pPr>
      <w:r w:rsidRPr="005577AD">
        <w:rPr>
          <w:b/>
          <w:bCs/>
          <w:caps/>
          <w:szCs w:val="22"/>
        </w:rPr>
        <w:t>Statement of</w:t>
      </w:r>
    </w:p>
    <w:p w:rsidR="004D0465" w:rsidRPr="00594219" w:rsidP="004D0465" w14:paraId="013887B1" w14:textId="77777777">
      <w:pPr>
        <w:jc w:val="center"/>
        <w:rPr>
          <w:b/>
          <w:bCs/>
          <w:caps/>
          <w:szCs w:val="22"/>
        </w:rPr>
      </w:pPr>
      <w:r w:rsidRPr="00594219">
        <w:rPr>
          <w:b/>
          <w:bCs/>
          <w:caps/>
          <w:szCs w:val="22"/>
        </w:rPr>
        <w:t>COMMISSIONER JESSICA ROSENWORCEL,</w:t>
      </w:r>
    </w:p>
    <w:p w:rsidR="004D0465" w:rsidRPr="005577AD" w:rsidP="004D0465" w14:paraId="70BA302B" w14:textId="77777777">
      <w:pPr>
        <w:jc w:val="center"/>
        <w:rPr>
          <w:b/>
          <w:bCs/>
          <w:caps/>
          <w:szCs w:val="22"/>
        </w:rPr>
      </w:pPr>
      <w:r w:rsidRPr="00594219">
        <w:rPr>
          <w:b/>
          <w:bCs/>
          <w:caps/>
          <w:szCs w:val="22"/>
        </w:rPr>
        <w:t>APPROVING IN PART, DISSENTING IN PART</w:t>
      </w:r>
    </w:p>
    <w:p w:rsidR="004D0465" w:rsidRPr="005577AD" w:rsidP="004D0465" w14:paraId="31D6DB88" w14:textId="77777777">
      <w:pPr>
        <w:jc w:val="center"/>
        <w:rPr>
          <w:b/>
          <w:bCs/>
          <w:caps/>
          <w:szCs w:val="22"/>
        </w:rPr>
      </w:pPr>
    </w:p>
    <w:p w:rsidR="004D0465" w:rsidRPr="005577AD" w:rsidP="004D0465" w14:paraId="1AB0C3CE" w14:textId="77777777">
      <w:pPr>
        <w:ind w:left="1440" w:hanging="720"/>
        <w:rPr>
          <w:i/>
          <w:iCs/>
          <w:szCs w:val="22"/>
        </w:rPr>
      </w:pPr>
      <w:r w:rsidRPr="005577AD">
        <w:rPr>
          <w:iCs/>
          <w:szCs w:val="22"/>
        </w:rPr>
        <w:t>Re:</w:t>
      </w:r>
      <w:r w:rsidRPr="005577AD">
        <w:rPr>
          <w:szCs w:val="22"/>
        </w:rPr>
        <w:t xml:space="preserve"> </w:t>
      </w:r>
      <w:r w:rsidRPr="005577AD">
        <w:rPr>
          <w:szCs w:val="22"/>
        </w:rPr>
        <w:tab/>
      </w:r>
      <w:r>
        <w:rPr>
          <w:i/>
        </w:rPr>
        <w:t>Establishing the Digital Opportunity Data Collection</w:t>
      </w:r>
      <w:r>
        <w:t xml:space="preserve">, WC Docket No. 19-195; </w:t>
      </w:r>
      <w:r>
        <w:rPr>
          <w:i/>
        </w:rPr>
        <w:t>Modernizing the FCC Form 477 Data Program</w:t>
      </w:r>
      <w:r>
        <w:t xml:space="preserve">, WC Docket No. </w:t>
      </w:r>
      <w:r>
        <w:t>11-10</w:t>
      </w:r>
      <w:r w:rsidRPr="005577AD">
        <w:rPr>
          <w:iCs/>
          <w:szCs w:val="22"/>
        </w:rPr>
        <w:t>.</w:t>
      </w:r>
    </w:p>
    <w:p w:rsidR="004D0465" w:rsidRPr="005577AD" w:rsidP="004D0465" w14:paraId="0A546FAF" w14:textId="77777777">
      <w:pPr>
        <w:ind w:firstLine="720"/>
        <w:rPr>
          <w:szCs w:val="22"/>
        </w:rPr>
      </w:pPr>
    </w:p>
    <w:p w:rsidR="004D0465" w:rsidRPr="00594219" w:rsidP="004D0465" w14:paraId="644D48BD" w14:textId="77777777">
      <w:pPr>
        <w:spacing w:after="120"/>
        <w:ind w:firstLine="720"/>
        <w:rPr>
          <w:szCs w:val="22"/>
        </w:rPr>
      </w:pPr>
      <w:r w:rsidRPr="00594219">
        <w:rPr>
          <w:szCs w:val="22"/>
        </w:rPr>
        <w:t>In the second century, the Greek scholar Claudius Ptolemy plotted the coordinates of thousands of locations across Europe, Asia, and Africa.  His effort married mathematics to mapmaking and helped develop the lines we know today as latitude and lon</w:t>
      </w:r>
      <w:r w:rsidRPr="00594219">
        <w:rPr>
          <w:szCs w:val="22"/>
        </w:rPr>
        <w:t>gitude.  But the truth is he was just really interested in astrology, which required knowing with precision the exact location of someone’s birthplace.  As one academic suggested, while Ptolemy invented geography, it was actually inspired by a desire for b</w:t>
      </w:r>
      <w:r w:rsidRPr="00594219">
        <w:rPr>
          <w:szCs w:val="22"/>
        </w:rPr>
        <w:t xml:space="preserve">etter horoscopes.  </w:t>
      </w:r>
    </w:p>
    <w:p w:rsidR="004D0465" w:rsidRPr="00594219" w:rsidP="004D0465" w14:paraId="03EC7566" w14:textId="77777777">
      <w:pPr>
        <w:spacing w:after="120"/>
        <w:ind w:firstLine="720"/>
        <w:rPr>
          <w:szCs w:val="22"/>
        </w:rPr>
      </w:pPr>
      <w:r w:rsidRPr="00594219">
        <w:rPr>
          <w:szCs w:val="22"/>
        </w:rPr>
        <w:t>In the sixteenth century, European cartographer Gerardus Mercator made the first attempt to mimic the curvature of the Earth on a flat piece of paper.  This was a real innovation and it changed nautical navigation.  But unfortunately fo</w:t>
      </w:r>
      <w:r w:rsidRPr="00594219">
        <w:rPr>
          <w:szCs w:val="22"/>
        </w:rPr>
        <w:t xml:space="preserve">r Mercator, his travels to gather information for his radically new maps aroused suspicions.  He became a target and was imprisoned for heresy.  </w:t>
      </w:r>
    </w:p>
    <w:p w:rsidR="004D0465" w:rsidRPr="00594219" w:rsidP="004D0465" w14:paraId="21606B66" w14:textId="77777777">
      <w:pPr>
        <w:spacing w:after="120"/>
        <w:ind w:firstLine="720"/>
        <w:rPr>
          <w:szCs w:val="22"/>
        </w:rPr>
      </w:pPr>
      <w:r w:rsidRPr="00594219">
        <w:rPr>
          <w:szCs w:val="22"/>
        </w:rPr>
        <w:t xml:space="preserve">This history of mapmaking is like the maps themselves—fascinating and not without flaws.  Maps can change the </w:t>
      </w:r>
      <w:r w:rsidRPr="00594219">
        <w:rPr>
          <w:szCs w:val="22"/>
        </w:rPr>
        <w:t>world and challenge what we think we know.  But every map is rooted in the limitations of its time.</w:t>
      </w:r>
    </w:p>
    <w:p w:rsidR="004D0465" w:rsidRPr="00594219" w:rsidP="004D0465" w14:paraId="0B04FB61" w14:textId="77777777">
      <w:pPr>
        <w:spacing w:after="120"/>
        <w:ind w:firstLine="720"/>
        <w:rPr>
          <w:szCs w:val="22"/>
        </w:rPr>
      </w:pPr>
      <w:r w:rsidRPr="00594219">
        <w:rPr>
          <w:szCs w:val="22"/>
        </w:rPr>
        <w:t>A little over a decade ago, in the American Recovery and Reinvestment Act, the National Telecommunications and Information Administration was tasked with co</w:t>
      </w:r>
      <w:r w:rsidRPr="00594219">
        <w:rPr>
          <w:szCs w:val="22"/>
        </w:rPr>
        <w:t>ming up with the first-ever National Broadband Map depicting the state of broadband across the country.  Under the law, this map was designed to be interactive and searchable and “posted on a World Wide Web site.”  The Federal Communications Commission wou</w:t>
      </w:r>
      <w:r w:rsidRPr="00594219">
        <w:rPr>
          <w:szCs w:val="22"/>
        </w:rPr>
        <w:t>ld later assume responsibility for this map from NTIA.</w:t>
      </w:r>
    </w:p>
    <w:p w:rsidR="004D0465" w:rsidRPr="00594219" w:rsidP="004D0465" w14:paraId="592C6B1D" w14:textId="77777777">
      <w:pPr>
        <w:spacing w:after="120"/>
        <w:ind w:firstLine="720"/>
        <w:rPr>
          <w:szCs w:val="22"/>
        </w:rPr>
      </w:pPr>
      <w:r w:rsidRPr="00594219">
        <w:rPr>
          <w:szCs w:val="22"/>
        </w:rPr>
        <w:t xml:space="preserve">Let’s face it, the National Broadband Map is rooted in its time.  It’s showing its age.  It needs an update.  That’s because this map simply doesn’t provide an accurate picture of where service is and </w:t>
      </w:r>
      <w:r w:rsidRPr="00594219">
        <w:rPr>
          <w:szCs w:val="22"/>
        </w:rPr>
        <w:t>is not across the country.  We need to do better.  Because everyone needs access to modern communications to have a fair shot at 21</w:t>
      </w:r>
      <w:r w:rsidRPr="00594219">
        <w:rPr>
          <w:szCs w:val="22"/>
          <w:vertAlign w:val="superscript"/>
        </w:rPr>
        <w:t>st</w:t>
      </w:r>
      <w:r w:rsidRPr="00594219">
        <w:rPr>
          <w:szCs w:val="22"/>
        </w:rPr>
        <w:t xml:space="preserve"> century success.  </w:t>
      </w:r>
    </w:p>
    <w:p w:rsidR="004D0465" w:rsidRPr="00594219" w:rsidP="004D0465" w14:paraId="18161E31" w14:textId="77777777">
      <w:pPr>
        <w:spacing w:after="120"/>
        <w:ind w:firstLine="720"/>
        <w:rPr>
          <w:szCs w:val="22"/>
        </w:rPr>
      </w:pPr>
      <w:r w:rsidRPr="00594219">
        <w:rPr>
          <w:szCs w:val="22"/>
        </w:rPr>
        <w:t>We know too many Americans lack access to broadband.  According to the agency’s most recent report, mor</w:t>
      </w:r>
      <w:r w:rsidRPr="00594219">
        <w:rPr>
          <w:szCs w:val="22"/>
        </w:rPr>
        <w:t>e than 21 million Americans have no access to high-speed internet service.  But there is reason to think that the digital divide is a whole lot wider than our official statistics suggest.  One study has found that 162 million people across the country do n</w:t>
      </w:r>
      <w:r w:rsidRPr="00594219">
        <w:rPr>
          <w:szCs w:val="22"/>
        </w:rPr>
        <w:t xml:space="preserve">ot use internet service at broadband speeds.  That turns our digital divide into a yawning chasm.  </w:t>
      </w:r>
    </w:p>
    <w:p w:rsidR="004D0465" w:rsidRPr="00594219" w:rsidP="004D0465" w14:paraId="2390EB6F" w14:textId="77777777">
      <w:pPr>
        <w:spacing w:after="120"/>
        <w:ind w:firstLine="720"/>
        <w:rPr>
          <w:szCs w:val="22"/>
        </w:rPr>
      </w:pPr>
      <w:r w:rsidRPr="00594219">
        <w:rPr>
          <w:szCs w:val="22"/>
        </w:rPr>
        <w:t>We have to figure out what is going on.  I’m not the only one who feels that way.  Members of Congress across the political spectrum have criticized our map</w:t>
      </w:r>
      <w:r w:rsidRPr="00594219">
        <w:rPr>
          <w:szCs w:val="22"/>
        </w:rPr>
        <w:t>s.  One cabinet official even called the FCC’s maps “fake news.”  While that is a loaded term, I think it’s obvious to everyone we need to do better.  Our wired maps have serious inaccuracies.  Our wireless maps are so suspect they are the subject of an on</w:t>
      </w:r>
      <w:r w:rsidRPr="00594219">
        <w:rPr>
          <w:szCs w:val="22"/>
        </w:rPr>
        <w:t>going investigation.</w:t>
      </w:r>
    </w:p>
    <w:p w:rsidR="004D0465" w:rsidRPr="00594219" w:rsidP="004D0465" w14:paraId="09A4CC8E" w14:textId="77777777">
      <w:pPr>
        <w:spacing w:after="120"/>
        <w:ind w:firstLine="720"/>
        <w:rPr>
          <w:szCs w:val="22"/>
        </w:rPr>
      </w:pPr>
      <w:r w:rsidRPr="00594219">
        <w:rPr>
          <w:szCs w:val="22"/>
        </w:rPr>
        <w:t xml:space="preserve">So today’s effort to improve the data collection that informs our nation’s broadband maps comes not a moment too soon.  Bring it.  We need to fix this mess.  </w:t>
      </w:r>
    </w:p>
    <w:p w:rsidR="004D0465" w:rsidRPr="00594219" w:rsidP="004D0465" w14:paraId="12482527" w14:textId="77777777">
      <w:pPr>
        <w:spacing w:after="120"/>
        <w:ind w:firstLine="720"/>
        <w:rPr>
          <w:szCs w:val="22"/>
        </w:rPr>
      </w:pPr>
      <w:r w:rsidRPr="00594219">
        <w:rPr>
          <w:szCs w:val="22"/>
        </w:rPr>
        <w:t>The flaws in our existing data collection are all too clear.  Right now, FCC</w:t>
      </w:r>
      <w:r w:rsidRPr="00594219">
        <w:rPr>
          <w:szCs w:val="22"/>
        </w:rPr>
        <w:t xml:space="preserve"> data overstate service because if only one house or business in a census block has service, we deem the entire census block served.  On top of that, there is no check built into the system for citizens to tell the agency that our data and maps are incorre</w:t>
      </w:r>
      <w:r w:rsidRPr="00594219">
        <w:rPr>
          <w:szCs w:val="22"/>
        </w:rPr>
        <w:t xml:space="preserve">ct.  That’s why I came up with a hack for them to do it.  I set up the e-mail box </w:t>
      </w:r>
      <w:hyperlink r:id="rId30" w:history="1">
        <w:r w:rsidRPr="00594219">
          <w:rPr>
            <w:rStyle w:val="Hyperlink"/>
            <w:szCs w:val="22"/>
          </w:rPr>
          <w:t>broadbandfail@fcc.gov</w:t>
        </w:r>
      </w:hyperlink>
      <w:r w:rsidRPr="00594219">
        <w:rPr>
          <w:szCs w:val="22"/>
        </w:rPr>
        <w:t xml:space="preserve"> and encouraged consumers to write to this agency describing their difficulties securing service and the err</w:t>
      </w:r>
      <w:r w:rsidRPr="00594219">
        <w:rPr>
          <w:szCs w:val="22"/>
        </w:rPr>
        <w:t>ors in our maps and data.  And they did.</w:t>
      </w:r>
    </w:p>
    <w:p w:rsidR="004D0465" w:rsidRPr="00594219" w:rsidP="004D0465" w14:paraId="74C5FA2B" w14:textId="77777777">
      <w:pPr>
        <w:widowControl/>
        <w:spacing w:after="120"/>
        <w:ind w:firstLine="720"/>
        <w:rPr>
          <w:szCs w:val="22"/>
        </w:rPr>
      </w:pPr>
      <w:r w:rsidRPr="00594219">
        <w:rPr>
          <w:szCs w:val="22"/>
        </w:rPr>
        <w:t xml:space="preserve">Which brings me to today’s order and rulemaking.  It rightfully starts with the recognition that we can and should do better when it comes to knowing where broadband service is and is not.  </w:t>
      </w:r>
    </w:p>
    <w:p w:rsidR="004D0465" w:rsidRPr="00594219" w:rsidP="004D0465" w14:paraId="6A1B3BE1" w14:textId="77777777">
      <w:pPr>
        <w:spacing w:after="120"/>
        <w:ind w:firstLine="720"/>
        <w:rPr>
          <w:szCs w:val="22"/>
        </w:rPr>
      </w:pPr>
      <w:r w:rsidRPr="00594219">
        <w:rPr>
          <w:szCs w:val="22"/>
        </w:rPr>
        <w:t>But unfortunately, big d</w:t>
      </w:r>
      <w:r w:rsidRPr="00594219">
        <w:rPr>
          <w:szCs w:val="22"/>
        </w:rPr>
        <w:t>etails go unaddressed.  For starters, it doesn’t answer the question of what will happen to the National Broadband Map.  Maps are a vital tool for the public to understand the state of service across the country.  Why won’t we commit to updating this map a</w:t>
      </w:r>
      <w:r w:rsidRPr="00594219">
        <w:rPr>
          <w:szCs w:val="22"/>
        </w:rPr>
        <w:t>t the FCC?   I fear that the result of this effort is going to be killing off the National Broadband Map and substituting it with an impossible to find web page maintained by the Universal Service Administrative Company—and if that’s what happens, this age</w:t>
      </w:r>
      <w:r w:rsidRPr="00594219">
        <w:rPr>
          <w:szCs w:val="22"/>
        </w:rPr>
        <w:t>ncy will have failed.</w:t>
      </w:r>
    </w:p>
    <w:p w:rsidR="004D0465" w:rsidRPr="00594219" w:rsidP="004D0465" w14:paraId="31D5151C" w14:textId="77777777">
      <w:pPr>
        <w:spacing w:after="120"/>
        <w:ind w:firstLine="720"/>
        <w:rPr>
          <w:szCs w:val="22"/>
        </w:rPr>
      </w:pPr>
      <w:r w:rsidRPr="00594219">
        <w:rPr>
          <w:szCs w:val="22"/>
        </w:rPr>
        <w:t>Moreover, the decision to hand off this mammoth undertaking to the administrator of universal service funds does not make sense.  What is the logic behind saddling USAC with these tasks?  It has never done a data collection of this ma</w:t>
      </w:r>
      <w:r w:rsidRPr="00594219">
        <w:rPr>
          <w:szCs w:val="22"/>
        </w:rPr>
        <w:t>gnitude.  How will they be accountable to the public?  Plus, all of their work is paid for by the universal service fund.  Right now there is bipartisan legislation with support from our authorizing committee in the United States Senate that specifically c</w:t>
      </w:r>
      <w:r w:rsidRPr="00594219">
        <w:rPr>
          <w:szCs w:val="22"/>
        </w:rPr>
        <w:t>harges the FCC with this data collection and disallows the universal service fund for paying for this effort.  It will be an embarrassment if a few months hence we will have to rip this up and start all over.</w:t>
      </w:r>
    </w:p>
    <w:p w:rsidR="004D0465" w:rsidRPr="00594219" w:rsidP="004D0465" w14:paraId="56979C00" w14:textId="77777777">
      <w:pPr>
        <w:spacing w:after="120"/>
        <w:ind w:firstLine="720"/>
        <w:rPr>
          <w:szCs w:val="22"/>
        </w:rPr>
      </w:pPr>
      <w:r w:rsidRPr="00594219">
        <w:rPr>
          <w:szCs w:val="22"/>
        </w:rPr>
        <w:t>In addition, if we want a truly accurate pictur</w:t>
      </w:r>
      <w:r w:rsidRPr="00594219">
        <w:rPr>
          <w:szCs w:val="22"/>
        </w:rPr>
        <w:t xml:space="preserve">e of broadband service across the country we are setting ourselves up for problems by not even asking how price and affordability plays a role.  Here’s the thing:  it plays a big one.  </w:t>
      </w:r>
    </w:p>
    <w:p w:rsidR="004D0465" w:rsidRPr="00594219" w:rsidP="004D0465" w14:paraId="11489B1F" w14:textId="77777777">
      <w:pPr>
        <w:spacing w:after="120"/>
        <w:ind w:firstLine="720"/>
        <w:rPr>
          <w:szCs w:val="22"/>
        </w:rPr>
      </w:pPr>
      <w:r w:rsidRPr="00594219">
        <w:rPr>
          <w:szCs w:val="22"/>
        </w:rPr>
        <w:t>These flaws are real and they lead me to dissent in part.  But the gis</w:t>
      </w:r>
      <w:r w:rsidRPr="00594219">
        <w:rPr>
          <w:szCs w:val="22"/>
        </w:rPr>
        <w:t xml:space="preserve">t that we need better data animates our efforts today—and I applaud that.  Furthermore, the rulemaking takes up some ideas I’ve put forward, including the use of crowdsourcing, data from postal trucks, and information from applications, like the FCC’s own </w:t>
      </w:r>
      <w:r w:rsidRPr="00594219">
        <w:rPr>
          <w:szCs w:val="22"/>
        </w:rPr>
        <w:t xml:space="preserve">speed test app.  </w:t>
      </w:r>
    </w:p>
    <w:p w:rsidR="004D0465" w:rsidRPr="005577AD" w:rsidP="004D0465" w14:paraId="2973B60D" w14:textId="77777777">
      <w:pPr>
        <w:spacing w:after="120"/>
        <w:ind w:firstLine="720"/>
        <w:rPr>
          <w:szCs w:val="22"/>
        </w:rPr>
      </w:pPr>
      <w:r w:rsidRPr="00594219">
        <w:rPr>
          <w:szCs w:val="22"/>
        </w:rPr>
        <w:t>So</w:t>
      </w:r>
      <w:r w:rsidRPr="00594219">
        <w:rPr>
          <w:szCs w:val="22"/>
        </w:rPr>
        <w:t xml:space="preserve"> this effort is a start, but we have a long way to go before the FCC has an honest accounting of where broadband is and is not all across the country.  We have a long way to go before the public can trust our broadband data is accurate.  We have a long way</w:t>
      </w:r>
      <w:r w:rsidRPr="00594219">
        <w:rPr>
          <w:szCs w:val="22"/>
        </w:rPr>
        <w:t xml:space="preserve"> to go before we build the maps we need—maps that are fully rooted in the digital age</w:t>
      </w:r>
      <w:r>
        <w:rPr>
          <w:szCs w:val="22"/>
        </w:rPr>
        <w:t>.</w:t>
      </w:r>
    </w:p>
    <w:p w:rsidR="004D0465" w:rsidRPr="005577AD" w:rsidP="004D0465" w14:paraId="571BD6A1" w14:textId="77777777">
      <w:pPr>
        <w:widowControl/>
        <w:ind w:firstLine="720"/>
        <w:rPr>
          <w:szCs w:val="22"/>
        </w:rPr>
      </w:pPr>
    </w:p>
    <w:p w:rsidR="004D0465" w:rsidRPr="00DE72D3" w:rsidP="004D0465" w14:paraId="6205CA62" w14:textId="77777777"/>
    <w:p w:rsidR="004D0465" w:rsidRPr="00934012" w:rsidP="004D0465" w14:paraId="13320106" w14:textId="77777777"/>
    <w:p w:rsidR="004D0465" w:rsidP="004D0465" w14:paraId="005DFA7B" w14:textId="77777777">
      <w:pPr>
        <w:spacing w:after="120"/>
        <w:ind w:firstLine="720"/>
        <w:rPr>
          <w:szCs w:val="22"/>
        </w:rPr>
        <w:sectPr w:rsidSect="004D0465">
          <w:endnotePr>
            <w:numFmt w:val="decimal"/>
          </w:endnotePr>
          <w:pgSz w:w="12240" w:h="15840"/>
          <w:pgMar w:top="1440" w:right="1440" w:bottom="720" w:left="1440" w:header="720" w:footer="720" w:gutter="0"/>
          <w:cols w:space="720"/>
          <w:noEndnote/>
          <w:titlePg/>
        </w:sectPr>
      </w:pPr>
    </w:p>
    <w:p w:rsidR="004D0465" w:rsidRPr="005577AD" w:rsidP="004D0465" w14:paraId="305EF61C" w14:textId="77777777">
      <w:pPr>
        <w:jc w:val="center"/>
        <w:rPr>
          <w:b/>
          <w:bCs/>
          <w:caps/>
          <w:szCs w:val="22"/>
        </w:rPr>
      </w:pPr>
      <w:r w:rsidRPr="005577AD">
        <w:rPr>
          <w:b/>
          <w:bCs/>
          <w:caps/>
          <w:szCs w:val="22"/>
        </w:rPr>
        <w:t>Statement of</w:t>
      </w:r>
    </w:p>
    <w:p w:rsidR="004D0465" w:rsidP="004D0465" w14:paraId="46145735" w14:textId="77777777">
      <w:pPr>
        <w:jc w:val="center"/>
        <w:rPr>
          <w:b/>
          <w:iCs/>
          <w:szCs w:val="24"/>
        </w:rPr>
      </w:pPr>
      <w:r>
        <w:rPr>
          <w:b/>
          <w:iCs/>
          <w:szCs w:val="24"/>
        </w:rPr>
        <w:t xml:space="preserve">COMMISSIONER GEOFFREY STARKS </w:t>
      </w:r>
    </w:p>
    <w:p w:rsidR="004D0465" w:rsidRPr="005577AD" w:rsidP="004D0465" w14:paraId="1562559D" w14:textId="77777777">
      <w:pPr>
        <w:jc w:val="center"/>
        <w:rPr>
          <w:b/>
          <w:bCs/>
          <w:caps/>
          <w:szCs w:val="22"/>
        </w:rPr>
      </w:pPr>
      <w:r>
        <w:rPr>
          <w:b/>
          <w:iCs/>
          <w:szCs w:val="24"/>
        </w:rPr>
        <w:t>APPROVING IN PART AND DISSENTING IN PART</w:t>
      </w:r>
    </w:p>
    <w:p w:rsidR="004D0465" w:rsidRPr="005577AD" w:rsidP="004D0465" w14:paraId="787B14D7" w14:textId="77777777">
      <w:pPr>
        <w:jc w:val="center"/>
        <w:rPr>
          <w:b/>
          <w:bCs/>
          <w:caps/>
          <w:szCs w:val="22"/>
        </w:rPr>
      </w:pPr>
    </w:p>
    <w:p w:rsidR="004D0465" w:rsidRPr="005577AD" w:rsidP="004D0465" w14:paraId="24DB6DC6" w14:textId="77777777">
      <w:pPr>
        <w:ind w:left="1440" w:hanging="720"/>
        <w:rPr>
          <w:i/>
          <w:iCs/>
          <w:szCs w:val="22"/>
        </w:rPr>
      </w:pPr>
      <w:r w:rsidRPr="005577AD">
        <w:rPr>
          <w:iCs/>
          <w:szCs w:val="22"/>
        </w:rPr>
        <w:t>Re:</w:t>
      </w:r>
      <w:r w:rsidRPr="005577AD">
        <w:rPr>
          <w:szCs w:val="22"/>
        </w:rPr>
        <w:t xml:space="preserve"> </w:t>
      </w:r>
      <w:r w:rsidRPr="005577AD">
        <w:rPr>
          <w:szCs w:val="22"/>
        </w:rPr>
        <w:tab/>
      </w:r>
      <w:r>
        <w:rPr>
          <w:i/>
        </w:rPr>
        <w:t>Establishing the Digital Opportunity Data Collection</w:t>
      </w:r>
      <w:r>
        <w:t xml:space="preserve">, WC Docket No. 19-195; </w:t>
      </w:r>
      <w:r>
        <w:rPr>
          <w:i/>
        </w:rPr>
        <w:t>Modernizing the FCC Form 477 Data Program</w:t>
      </w:r>
      <w:r>
        <w:t>, WC Docket No. 11-10</w:t>
      </w:r>
      <w:r w:rsidRPr="005577AD">
        <w:rPr>
          <w:iCs/>
          <w:szCs w:val="22"/>
        </w:rPr>
        <w:t>.</w:t>
      </w:r>
    </w:p>
    <w:p w:rsidR="004D0465" w:rsidRPr="005577AD" w:rsidP="004D0465" w14:paraId="110F0D8A" w14:textId="77777777">
      <w:pPr>
        <w:ind w:firstLine="720"/>
        <w:rPr>
          <w:szCs w:val="22"/>
        </w:rPr>
      </w:pPr>
    </w:p>
    <w:p w:rsidR="004D0465" w:rsidRPr="0079518F" w:rsidP="004D0465" w14:paraId="09871AFD" w14:textId="77777777">
      <w:pPr>
        <w:spacing w:after="120"/>
        <w:ind w:firstLine="720"/>
        <w:rPr>
          <w:szCs w:val="22"/>
        </w:rPr>
      </w:pPr>
      <w:r w:rsidRPr="0079518F">
        <w:rPr>
          <w:szCs w:val="22"/>
        </w:rPr>
        <w:t>Good decisions require good data and policy decision about broadband deployment are certainly no exception.  With billions of dollars of funding at stake it is imperat</w:t>
      </w:r>
      <w:r w:rsidRPr="0079518F">
        <w:rPr>
          <w:szCs w:val="22"/>
        </w:rPr>
        <w:t>ive that we accurately identify who in the US does and, more importantly, who does not yet have broadband coverage.  Only then can we effectively target our limited USF dollars to solving the problems of broadband deployment that are contributing to the gr</w:t>
      </w:r>
      <w:r w:rsidRPr="0079518F">
        <w:rPr>
          <w:szCs w:val="22"/>
        </w:rPr>
        <w:t xml:space="preserve">owing state of internet inequality in the US. </w:t>
      </w:r>
    </w:p>
    <w:p w:rsidR="004D0465" w:rsidRPr="0079518F" w:rsidP="004D0465" w14:paraId="1F2303B3" w14:textId="77777777">
      <w:pPr>
        <w:spacing w:after="120"/>
        <w:ind w:firstLine="720"/>
        <w:rPr>
          <w:szCs w:val="22"/>
        </w:rPr>
      </w:pPr>
      <w:r w:rsidRPr="0079518F">
        <w:rPr>
          <w:szCs w:val="22"/>
        </w:rPr>
        <w:t>I believe in the promise of broadband and the potential that it unlocks: from telehealth, to precision agriculture, to enhanced educational opportunities.  Now more than ever a reliable, affordable, high-quali</w:t>
      </w:r>
      <w:r w:rsidRPr="0079518F">
        <w:rPr>
          <w:szCs w:val="22"/>
        </w:rPr>
        <w:t>ty internet connection is necessary for success in the 21</w:t>
      </w:r>
      <w:r w:rsidRPr="0079518F">
        <w:rPr>
          <w:szCs w:val="22"/>
          <w:vertAlign w:val="superscript"/>
        </w:rPr>
        <w:t>st</w:t>
      </w:r>
      <w:r w:rsidRPr="0079518F">
        <w:rPr>
          <w:szCs w:val="22"/>
        </w:rPr>
        <w:t xml:space="preserve"> century.  Making the internet accessible to everyone is my highest priority as a Commissioner.  We need to work to accomplish this goal as quickly as possible.  And, as citizens, lawmakers, and st</w:t>
      </w:r>
      <w:r w:rsidRPr="0079518F">
        <w:rPr>
          <w:szCs w:val="22"/>
        </w:rPr>
        <w:t xml:space="preserve">akeholders have made perfectly clear over the past few years, better data, and better maps, are integral to reversing the growing internet inequality taking hold in parts of America.  </w:t>
      </w:r>
    </w:p>
    <w:p w:rsidR="004D0465" w:rsidRPr="0079518F" w:rsidP="004D0465" w14:paraId="1D51AED0" w14:textId="77777777">
      <w:pPr>
        <w:spacing w:after="120"/>
        <w:ind w:firstLine="720"/>
        <w:rPr>
          <w:szCs w:val="22"/>
        </w:rPr>
      </w:pPr>
      <w:r w:rsidRPr="0079518F">
        <w:rPr>
          <w:szCs w:val="22"/>
        </w:rPr>
        <w:t>Currently, the FCC’s Form 477 Data Collection is the primary way the FC</w:t>
      </w:r>
      <w:r w:rsidRPr="0079518F">
        <w:rPr>
          <w:szCs w:val="22"/>
        </w:rPr>
        <w:t>C knows where broadband is and is not deployed.  As I have said before,</w:t>
      </w:r>
      <w:r>
        <w:rPr>
          <w:szCs w:val="22"/>
          <w:vertAlign w:val="superscript"/>
        </w:rPr>
        <w:footnoteReference w:id="700"/>
      </w:r>
      <w:r w:rsidRPr="0079518F">
        <w:rPr>
          <w:szCs w:val="22"/>
        </w:rPr>
        <w:t xml:space="preserve"> this data collection is inadequate - it overstates broadband deployment for the following reasons: </w:t>
      </w:r>
    </w:p>
    <w:p w:rsidR="004D0465" w:rsidRPr="0079518F" w:rsidP="004D0465" w14:paraId="61AC31A9" w14:textId="77777777">
      <w:pPr>
        <w:spacing w:after="120"/>
        <w:ind w:firstLine="720"/>
        <w:rPr>
          <w:szCs w:val="22"/>
        </w:rPr>
      </w:pPr>
      <w:r w:rsidRPr="0079518F">
        <w:rPr>
          <w:szCs w:val="22"/>
        </w:rPr>
        <w:t>First, according to the way the FCC interprets the data, an entire census block is</w:t>
      </w:r>
      <w:r w:rsidRPr="0079518F">
        <w:rPr>
          <w:szCs w:val="22"/>
        </w:rPr>
        <w:t xml:space="preserve"> considered “served” even if only a single home is served.  This problem is rooted in how the FCC asks for information from service providers – they are required to send us a list of the census blocks they serve but we don’t require them to specify whether</w:t>
      </w:r>
      <w:r w:rsidRPr="0079518F">
        <w:rPr>
          <w:szCs w:val="22"/>
        </w:rPr>
        <w:t xml:space="preserve"> they serve the whole block or merely a single location.  Secondly, the current Form 477 reporting directions allow providers to report not only areas where they actually serve, but also areas where they “could serve.”  Lastly, mobile broadband service pro</w:t>
      </w:r>
      <w:r w:rsidRPr="0079518F">
        <w:rPr>
          <w:szCs w:val="22"/>
        </w:rPr>
        <w:t>viders must report their minimum advertised speeds instead of the actual speeds they are providing and that consumers are likely to experience.  While fast speeds may look great on a spreadsheet here in Washington, they mean nothing to residents of rural A</w:t>
      </w:r>
      <w:r w:rsidRPr="0079518F">
        <w:rPr>
          <w:szCs w:val="22"/>
        </w:rPr>
        <w:t>merica if these speeds are not actually received, or if cost constraints compel residents to purchase slower speeds.</w:t>
      </w:r>
    </w:p>
    <w:p w:rsidR="004D0465" w:rsidRPr="0079518F" w:rsidP="004D0465" w14:paraId="25FA00E7" w14:textId="77777777">
      <w:pPr>
        <w:widowControl/>
        <w:spacing w:after="120"/>
        <w:ind w:firstLine="720"/>
        <w:rPr>
          <w:szCs w:val="22"/>
        </w:rPr>
      </w:pPr>
      <w:r w:rsidRPr="0079518F">
        <w:rPr>
          <w:szCs w:val="22"/>
        </w:rPr>
        <w:t>During the past few years, these problems with the FCC’s data and maps have led to a bipartisan, bicameral Congressional consensus that the</w:t>
      </w:r>
      <w:r w:rsidRPr="0079518F">
        <w:rPr>
          <w:szCs w:val="22"/>
        </w:rPr>
        <w:t xml:space="preserve"> FCC’s maps “stink.”</w:t>
      </w:r>
      <w:r w:rsidRPr="0079518F">
        <w:rPr>
          <w:szCs w:val="22"/>
          <w:vertAlign w:val="superscript"/>
        </w:rPr>
        <w:t xml:space="preserve"> </w:t>
      </w:r>
      <w:r>
        <w:rPr>
          <w:szCs w:val="22"/>
          <w:vertAlign w:val="superscript"/>
        </w:rPr>
        <w:footnoteReference w:id="701"/>
      </w:r>
      <w:r w:rsidRPr="0079518F">
        <w:rPr>
          <w:szCs w:val="22"/>
          <w:vertAlign w:val="superscript"/>
        </w:rPr>
        <w:t xml:space="preserve"> </w:t>
      </w:r>
      <w:r w:rsidRPr="0079518F">
        <w:rPr>
          <w:szCs w:val="22"/>
        </w:rPr>
        <w:t xml:space="preserve"> A Cabinet member has called the maps “Fake News.”</w:t>
      </w:r>
      <w:r>
        <w:rPr>
          <w:szCs w:val="22"/>
          <w:vertAlign w:val="superscript"/>
        </w:rPr>
        <w:footnoteReference w:id="702"/>
      </w:r>
      <w:r w:rsidRPr="0079518F">
        <w:rPr>
          <w:szCs w:val="22"/>
        </w:rPr>
        <w:t xml:space="preserve"> The maps and the flawed underlying data have become repeat offenders.  There is an urgent need for improved broadband maps and data so that the Commission can make better decision</w:t>
      </w:r>
      <w:r w:rsidRPr="0079518F">
        <w:rPr>
          <w:szCs w:val="22"/>
        </w:rPr>
        <w:t>s about how to use scarce Universal Service Dollars to most effectively support broadband and fight the deepening state of internet inequality that is taking hold in America.  For the past two years the Commission has been working on how to modernize the f</w:t>
      </w:r>
      <w:r w:rsidRPr="0079518F">
        <w:rPr>
          <w:szCs w:val="22"/>
        </w:rPr>
        <w:t>orm 477 data program.</w:t>
      </w:r>
      <w:r>
        <w:rPr>
          <w:szCs w:val="22"/>
          <w:vertAlign w:val="superscript"/>
        </w:rPr>
        <w:footnoteReference w:id="703"/>
      </w:r>
      <w:r w:rsidRPr="0079518F">
        <w:rPr>
          <w:szCs w:val="22"/>
        </w:rPr>
        <w:t xml:space="preserve">  </w:t>
      </w:r>
    </w:p>
    <w:p w:rsidR="004D0465" w:rsidRPr="0079518F" w:rsidP="004D0465" w14:paraId="030175F6" w14:textId="77777777">
      <w:pPr>
        <w:spacing w:after="120"/>
        <w:ind w:firstLine="720"/>
        <w:rPr>
          <w:szCs w:val="22"/>
        </w:rPr>
      </w:pPr>
      <w:r w:rsidRPr="0079518F">
        <w:rPr>
          <w:szCs w:val="22"/>
        </w:rPr>
        <w:t>Unfortunately, following this two-year effort, the item before the Commission today is only a nudge in the right direction.  It leaves many responsibilities delegated and many questions unanswered.  Notably, no timeline or mechani</w:t>
      </w:r>
      <w:r w:rsidRPr="0079518F">
        <w:rPr>
          <w:szCs w:val="22"/>
        </w:rPr>
        <w:t>sm of accountability is provided to guarantee when improvements to the data the Commission collects or the maps it creates will be made.  This is a critical problem and it calls for decisive action to quickly improve our data and maps.  I am committed to m</w:t>
      </w:r>
      <w:r w:rsidRPr="0079518F">
        <w:rPr>
          <w:szCs w:val="22"/>
        </w:rPr>
        <w:t>aking the necessary improvements to the way the Commission collects and uses broadband data, and the way it uses data generally.  In my efforts to work toward increasing the rigor and responsible use of data at the Commission, here is what I look for:</w:t>
      </w:r>
    </w:p>
    <w:p w:rsidR="004D0465" w:rsidRPr="0079518F" w:rsidP="004D0465" w14:paraId="6A172240" w14:textId="77777777">
      <w:pPr>
        <w:numPr>
          <w:ilvl w:val="0"/>
          <w:numId w:val="28"/>
        </w:numPr>
        <w:spacing w:after="120"/>
        <w:rPr>
          <w:szCs w:val="22"/>
        </w:rPr>
      </w:pPr>
      <w:r w:rsidRPr="0079518F">
        <w:rPr>
          <w:szCs w:val="22"/>
        </w:rPr>
        <w:t>Are we asking the right questions? To best accomplish our goals, we need to be intentional and deliberate in the data we ask for to ensure that we have access to the full spectrum of information needed to make informed decisions and to measure our progress</w:t>
      </w:r>
      <w:r w:rsidRPr="0079518F">
        <w:rPr>
          <w:szCs w:val="22"/>
        </w:rPr>
        <w:t>.</w:t>
      </w:r>
    </w:p>
    <w:p w:rsidR="004D0465" w:rsidRPr="0079518F" w:rsidP="004D0465" w14:paraId="1489E0D3" w14:textId="77777777">
      <w:pPr>
        <w:numPr>
          <w:ilvl w:val="0"/>
          <w:numId w:val="28"/>
        </w:numPr>
        <w:spacing w:after="120"/>
        <w:rPr>
          <w:szCs w:val="22"/>
        </w:rPr>
      </w:pPr>
      <w:r w:rsidRPr="0079518F">
        <w:rPr>
          <w:szCs w:val="22"/>
        </w:rPr>
        <w:t xml:space="preserve">Have we established precise technical standards for how this information is to be collected?  Our end goal is not to amass mountains of data to file it away, but rather to use data to shape and inform our decisions.  To do so the data the </w:t>
      </w:r>
      <w:r w:rsidRPr="0079518F">
        <w:rPr>
          <w:szCs w:val="22"/>
        </w:rPr>
        <w:t>Commission collects must be standardized and interoperable.</w:t>
      </w:r>
    </w:p>
    <w:p w:rsidR="004D0465" w:rsidRPr="0079518F" w:rsidP="004D0465" w14:paraId="0882B488" w14:textId="77777777">
      <w:pPr>
        <w:numPr>
          <w:ilvl w:val="0"/>
          <w:numId w:val="28"/>
        </w:numPr>
        <w:spacing w:after="120"/>
        <w:rPr>
          <w:szCs w:val="22"/>
        </w:rPr>
      </w:pPr>
      <w:r w:rsidRPr="0079518F">
        <w:rPr>
          <w:szCs w:val="22"/>
        </w:rPr>
        <w:t xml:space="preserve">Are we validating and verifying the data we collect?  As we learned from </w:t>
      </w:r>
      <w:r w:rsidRPr="0079518F">
        <w:rPr>
          <w:szCs w:val="22"/>
        </w:rPr>
        <w:t>BarrierFree</w:t>
      </w:r>
      <w:r w:rsidRPr="0079518F">
        <w:rPr>
          <w:szCs w:val="22"/>
        </w:rPr>
        <w:t>, more must be done to vet and validate data anomalies.  For us to be confident in the outputs of our data analy</w:t>
      </w:r>
      <w:r w:rsidRPr="0079518F">
        <w:rPr>
          <w:szCs w:val="22"/>
        </w:rPr>
        <w:t xml:space="preserve">sis and the resulting decisions, we must be confident in the accuracy and validity of the data we receive.  Afterall, how can we close the digital divide if we can’t trust the broadband data we collect?  </w:t>
      </w:r>
    </w:p>
    <w:p w:rsidR="004D0465" w:rsidRPr="0079518F" w:rsidP="004D0465" w14:paraId="19546986" w14:textId="77777777">
      <w:pPr>
        <w:numPr>
          <w:ilvl w:val="0"/>
          <w:numId w:val="28"/>
        </w:numPr>
        <w:spacing w:after="120"/>
        <w:rPr>
          <w:szCs w:val="22"/>
        </w:rPr>
      </w:pPr>
      <w:r w:rsidRPr="0079518F">
        <w:rPr>
          <w:szCs w:val="22"/>
        </w:rPr>
        <w:t>Are we being as transparent as possible with the da</w:t>
      </w:r>
      <w:r w:rsidRPr="0079518F">
        <w:rPr>
          <w:szCs w:val="22"/>
        </w:rPr>
        <w:t xml:space="preserve">ta we collect?  Where possible both our raw data and resulting analyses should be made public to allow for scrutiny and external validation.  Sharing data doesn’t just promote transparency, it also allows for academics, industry, and the public to explore </w:t>
      </w:r>
      <w:r w:rsidRPr="0079518F">
        <w:rPr>
          <w:szCs w:val="22"/>
        </w:rPr>
        <w:t xml:space="preserve">the data to propose new and novel ideas to addressing our most pressing challenges.  </w:t>
      </w:r>
    </w:p>
    <w:p w:rsidR="004D0465" w:rsidRPr="0079518F" w:rsidP="004D0465" w14:paraId="56610249" w14:textId="77777777">
      <w:pPr>
        <w:numPr>
          <w:ilvl w:val="0"/>
          <w:numId w:val="28"/>
        </w:numPr>
        <w:spacing w:after="120"/>
        <w:rPr>
          <w:szCs w:val="22"/>
        </w:rPr>
      </w:pPr>
      <w:r w:rsidRPr="0079518F">
        <w:rPr>
          <w:szCs w:val="22"/>
        </w:rPr>
        <w:t>Lastly, and perhaps most importantly, are we using data to drive and inform our decision making?  Universal Service Fund dollars are limited and precious and the American</w:t>
      </w:r>
      <w:r w:rsidRPr="0079518F">
        <w:rPr>
          <w:szCs w:val="22"/>
        </w:rPr>
        <w:t xml:space="preserve"> people deserve to have their funds put to the best possible use through rigorous data driven decision making.</w:t>
      </w:r>
    </w:p>
    <w:p w:rsidR="004D0465" w:rsidRPr="0079518F" w:rsidP="004D0465" w14:paraId="62A184BB" w14:textId="77777777">
      <w:pPr>
        <w:spacing w:after="120"/>
        <w:ind w:firstLine="720"/>
        <w:rPr>
          <w:szCs w:val="22"/>
        </w:rPr>
      </w:pPr>
      <w:r w:rsidRPr="0079518F">
        <w:rPr>
          <w:szCs w:val="22"/>
        </w:rPr>
        <w:t xml:space="preserve">I evaluated the item before us with this framework in mind.  I believe that the order and NPRM, by adopting shapefile reporting and by proposing </w:t>
      </w:r>
      <w:r w:rsidRPr="0079518F">
        <w:rPr>
          <w:szCs w:val="22"/>
        </w:rPr>
        <w:t>to create a broadband location fabric, asks many of the right questions as it begins the process of establishing the Digital Opportunity Data Collection.  However, while the item makes a few relatively minor fixes to the Commission’s Form 477 data collecti</w:t>
      </w:r>
      <w:r w:rsidRPr="0079518F">
        <w:rPr>
          <w:szCs w:val="22"/>
        </w:rPr>
        <w:t xml:space="preserve">on, it does not address the most glaring problems with it.  Why, you might ask, do we still need to spend time working to fix the Commission’s Form 477 data collection?  Because the Rural Digital Opportunity Fund NPRM on today’s agenda proposes using Form </w:t>
      </w:r>
      <w:r w:rsidRPr="0079518F">
        <w:rPr>
          <w:szCs w:val="22"/>
        </w:rPr>
        <w:t>477 data as the sole source of information to identify where to target $16 billion in USF funding over the upcoming decade.  For me, as long as Form 477 data continues to play an important role in the Commission’s policy making, it is our responsibility to</w:t>
      </w:r>
      <w:r w:rsidRPr="0079518F">
        <w:rPr>
          <w:szCs w:val="22"/>
        </w:rPr>
        <w:t xml:space="preserve"> make it as accurate as possible.</w:t>
      </w:r>
    </w:p>
    <w:p w:rsidR="004D0465" w:rsidRPr="0079518F" w:rsidP="004D0465" w14:paraId="696DEE72" w14:textId="77777777">
      <w:pPr>
        <w:spacing w:after="120"/>
        <w:ind w:firstLine="720"/>
        <w:rPr>
          <w:szCs w:val="22"/>
        </w:rPr>
      </w:pPr>
      <w:r w:rsidRPr="0079518F">
        <w:rPr>
          <w:szCs w:val="22"/>
        </w:rPr>
        <w:t xml:space="preserve">Accordingly, I suggested changes to fix some of the most glaring problems with the Form 477 data collection.  Unfortunately, the Chairman and I were not able to agree on a path forward that included my suggested changes.  </w:t>
      </w:r>
      <w:r w:rsidRPr="0079518F">
        <w:rPr>
          <w:szCs w:val="22"/>
        </w:rPr>
        <w:t>I also suggested adding several additional questions to the Further Notice about the format and technical specifications for data that service providers will file.  It’s important to ask these questions so that when the data arrives, it will be interoperab</w:t>
      </w:r>
      <w:r w:rsidRPr="0079518F">
        <w:rPr>
          <w:szCs w:val="22"/>
        </w:rPr>
        <w:t xml:space="preserve">le and will not require extensive processing before we can use it.  I’m glad that my suggestions were accepted, and I think the Further Notice is stronger with these questions included.  </w:t>
      </w:r>
    </w:p>
    <w:p w:rsidR="004D0465" w:rsidRPr="0079518F" w:rsidP="004D0465" w14:paraId="39617690" w14:textId="77777777">
      <w:pPr>
        <w:spacing w:after="120"/>
        <w:ind w:firstLine="720"/>
        <w:rPr>
          <w:szCs w:val="22"/>
        </w:rPr>
      </w:pPr>
      <w:r w:rsidRPr="0079518F">
        <w:rPr>
          <w:szCs w:val="22"/>
        </w:rPr>
        <w:t>With regard to validating and verifying data, the Digital Opportunit</w:t>
      </w:r>
      <w:r w:rsidRPr="0079518F">
        <w:rPr>
          <w:szCs w:val="22"/>
        </w:rPr>
        <w:t>y data Collection Order looks to crowdsourcing as one measure to check the validity of data that service providers report and directs USAC to propose a plan to validate the data that it receives.  These validation methods look to me like a good start.  But</w:t>
      </w:r>
      <w:r w:rsidRPr="0079518F">
        <w:rPr>
          <w:szCs w:val="22"/>
        </w:rPr>
        <w:t xml:space="preserve">, I urge the Commission to apply lessons from the </w:t>
      </w:r>
      <w:r w:rsidRPr="0079518F">
        <w:rPr>
          <w:szCs w:val="22"/>
        </w:rPr>
        <w:t>BarrierFree</w:t>
      </w:r>
      <w:r w:rsidRPr="0079518F">
        <w:rPr>
          <w:szCs w:val="22"/>
        </w:rPr>
        <w:t xml:space="preserve"> data issue that resulted in a Form 477 Fixed service filing that overstated broadband deployment by 62 million households.  The Commission should implement stringent validity checks across all o</w:t>
      </w:r>
      <w:r w:rsidRPr="0079518F">
        <w:rPr>
          <w:szCs w:val="22"/>
        </w:rPr>
        <w:t>f its data to ensure that it detects errors and does not make use of inaccurate data.</w:t>
      </w:r>
    </w:p>
    <w:p w:rsidR="004D0465" w:rsidRPr="0079518F" w:rsidP="004D0465" w14:paraId="6B0E4269" w14:textId="77777777">
      <w:pPr>
        <w:spacing w:after="120"/>
        <w:ind w:firstLine="720"/>
        <w:rPr>
          <w:szCs w:val="22"/>
        </w:rPr>
      </w:pPr>
      <w:r w:rsidRPr="0079518F">
        <w:rPr>
          <w:szCs w:val="22"/>
        </w:rPr>
        <w:t>On transparency, the Digital Opportunity Data Collection Order adopts a presumption that information filed as part of the new collection is not confidential.  And, it mak</w:t>
      </w:r>
      <w:r w:rsidRPr="0079518F">
        <w:rPr>
          <w:szCs w:val="22"/>
        </w:rPr>
        <w:t xml:space="preserve">es much of the information filed in the Form 477 data collection public.  These are welcome developments that will introduce significant transparency in the Commission’s handling of data it collects, and this transparency will benefit the public by making </w:t>
      </w:r>
      <w:r w:rsidRPr="0079518F">
        <w:rPr>
          <w:szCs w:val="22"/>
        </w:rPr>
        <w:t xml:space="preserve">the FCC’s data more accessible for researchers, academics, State governments, localities, and anyone with an interest in tracking the state of broadband deployment in the US. </w:t>
      </w:r>
    </w:p>
    <w:p w:rsidR="004D0465" w:rsidRPr="0079518F" w:rsidP="004D0465" w14:paraId="1D1696A8" w14:textId="77777777">
      <w:pPr>
        <w:spacing w:after="120"/>
        <w:ind w:firstLine="720"/>
        <w:rPr>
          <w:szCs w:val="22"/>
        </w:rPr>
      </w:pPr>
      <w:r w:rsidRPr="0079518F">
        <w:rPr>
          <w:szCs w:val="22"/>
        </w:rPr>
        <w:t xml:space="preserve">Finally, on the question of using data to drive and inform our decision making, </w:t>
      </w:r>
      <w:r w:rsidRPr="0079518F">
        <w:rPr>
          <w:szCs w:val="22"/>
        </w:rPr>
        <w:t xml:space="preserve">the Digital Opportunity Data Collection, with its shapefile reporting requirements and its proposed “Broadband Serviceable Location Tool” establishes what I hope will become a strong foundation for data driven policy making.  </w:t>
      </w:r>
    </w:p>
    <w:p w:rsidR="004D0465" w:rsidRPr="005577AD" w:rsidP="004D0465" w14:paraId="069E5CB6" w14:textId="77777777">
      <w:pPr>
        <w:spacing w:after="120"/>
        <w:ind w:firstLine="720"/>
        <w:rPr>
          <w:szCs w:val="22"/>
        </w:rPr>
      </w:pPr>
      <w:r w:rsidRPr="0079518F">
        <w:rPr>
          <w:szCs w:val="22"/>
        </w:rPr>
        <w:t>All told, while the item meet</w:t>
      </w:r>
      <w:r w:rsidRPr="0079518F">
        <w:rPr>
          <w:szCs w:val="22"/>
        </w:rPr>
        <w:t>s some of my framework, and appears to set up a promising framework for a Digital Opportunity Data Collection, I would have hoped that the Commissions would have been further along two years into this proceeding, and I would have also hoped for the glaring</w:t>
      </w:r>
      <w:r w:rsidRPr="0079518F">
        <w:rPr>
          <w:szCs w:val="22"/>
        </w:rPr>
        <w:t xml:space="preserve"> problems with the Commission’s Form 477 data collection to have been addressed before 477 data was used for additional policy making.  That said, it is a step in the right direction, and I look forward to reviewing the record and continuing to push for th</w:t>
      </w:r>
      <w:r w:rsidRPr="0079518F">
        <w:rPr>
          <w:szCs w:val="22"/>
        </w:rPr>
        <w:t>e improved use of data at the Commission, and by extension improved connectivity for all Americans.  I thank the staff from many of the Commissions Bureaus and Offices that have contributed to this order</w:t>
      </w:r>
      <w:r>
        <w:rPr>
          <w:szCs w:val="22"/>
        </w:rPr>
        <w:t>.</w:t>
      </w:r>
    </w:p>
    <w:p w:rsidR="004D0465" w:rsidRPr="005577AD" w:rsidP="004D0465" w14:paraId="04577602" w14:textId="77777777">
      <w:pPr>
        <w:widowControl/>
        <w:ind w:firstLine="720"/>
        <w:rPr>
          <w:szCs w:val="22"/>
        </w:rPr>
      </w:pPr>
    </w:p>
    <w:p w:rsidR="004D0465" w:rsidRPr="00DE72D3" w:rsidP="004D0465" w14:paraId="2A56CD92" w14:textId="77777777"/>
    <w:p w:rsidR="004D0465" w:rsidRPr="00934012" w:rsidP="004D0465" w14:paraId="5F191F45" w14:textId="77777777"/>
    <w:p w:rsidR="004D0465" w:rsidRPr="00377F2A" w:rsidP="004D0465" w14:paraId="61D193F9" w14:textId="77777777">
      <w:pPr>
        <w:spacing w:after="120"/>
        <w:ind w:firstLine="720"/>
        <w:rPr>
          <w:szCs w:val="22"/>
        </w:rPr>
      </w:pPr>
    </w:p>
    <w:p w:rsidR="004D0465" w:rsidRPr="00934012" w:rsidP="004D0465" w14:paraId="4026A59A" w14:textId="77777777"/>
    <w:p w:rsidR="00412FC5" w:rsidRPr="00252A4C" w:rsidP="00252A4C" w14:paraId="25ABDF3C" w14:textId="77777777"/>
    <w:sectPr w:rsidSect="004D0465">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2A4C" w14:paraId="3B465918" w14:textId="77777777">
    <w:pPr>
      <w:pStyle w:val="Footer"/>
    </w:pPr>
  </w:p>
  <w:p w:rsidR="00252A4C" w14:paraId="14D4C816" w14:textId="77777777"/>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5AC38B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B091F46" w14:textId="7777777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D074316"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AA5902A" w14:textId="77777777">
    <w:pPr>
      <w:suppressAutoHyphens/>
      <w:spacing w:line="227" w:lineRule="auto"/>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D0465" w14:paraId="252E48F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2A4C" w14:paraId="7AD7B462" w14:textId="77777777">
    <w:pPr>
      <w:pStyle w:val="Footer"/>
      <w:jc w:val="center"/>
    </w:pPr>
    <w:r>
      <w:fldChar w:fldCharType="begin"/>
    </w:r>
    <w:r>
      <w:instrText xml:space="preserve"> PAGE   \* MERGEFORMAT </w:instrText>
    </w:r>
    <w:r>
      <w:fldChar w:fldCharType="separate"/>
    </w:r>
    <w:r>
      <w:rPr>
        <w:noProof/>
      </w:rPr>
      <w:t>69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2A4C" w:rsidP="00F1497E" w14:paraId="03E16030" w14:textId="7777777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E9C171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52F2FB7"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1497E" w14:paraId="0A5961E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2A4C" w14:paraId="67E3958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20ED0C67" w14:textId="77777777">
    <w:pPr>
      <w:pStyle w:val="Footer"/>
      <w:tabs>
        <w:tab w:val="clear" w:pos="864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06D4F6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C8C8DFF"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EEAA83F"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B455C8A" w14:textId="77777777">
    <w:pPr>
      <w:suppressAutoHyphens/>
      <w:spacing w:line="227"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1497E" w14:paraId="0F0A4DC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C0A15" w14:paraId="4D9FD5EA" w14:textId="77777777">
      <w:r>
        <w:separator/>
      </w:r>
    </w:p>
  </w:footnote>
  <w:footnote w:type="continuationSeparator" w:id="1">
    <w:p w:rsidR="002C0A15" w:rsidP="00C721AC" w14:paraId="780A7EBD" w14:textId="77777777">
      <w:pPr>
        <w:spacing w:before="120"/>
        <w:rPr>
          <w:sz w:val="20"/>
        </w:rPr>
      </w:pPr>
      <w:r>
        <w:rPr>
          <w:sz w:val="20"/>
        </w:rPr>
        <w:t xml:space="preserve">(Continued from previous page)  </w:t>
      </w:r>
      <w:r>
        <w:rPr>
          <w:sz w:val="20"/>
        </w:rPr>
        <w:separator/>
      </w:r>
    </w:p>
  </w:footnote>
  <w:footnote w:type="continuationNotice" w:id="2">
    <w:p w:rsidR="002C0A15" w:rsidP="00C721AC" w14:paraId="1D18629A" w14:textId="77777777">
      <w:pPr>
        <w:jc w:val="right"/>
        <w:rPr>
          <w:sz w:val="20"/>
        </w:rPr>
      </w:pPr>
      <w:r>
        <w:rPr>
          <w:sz w:val="20"/>
        </w:rPr>
        <w:t>(contin</w:t>
      </w:r>
      <w:r>
        <w:rPr>
          <w:sz w:val="20"/>
        </w:rPr>
        <w:t>ued….)</w:t>
      </w:r>
    </w:p>
  </w:footnote>
  <w:footnote w:id="3">
    <w:p w:rsidR="00252A4C" w:rsidRPr="00ED6163" w:rsidP="00D60B92" w14:paraId="516544A9" w14:textId="77777777">
      <w:pPr>
        <w:pStyle w:val="FootnoteText"/>
      </w:pPr>
      <w:r w:rsidRPr="00ED6163">
        <w:rPr>
          <w:rStyle w:val="FootnoteReference"/>
        </w:rPr>
        <w:footnoteRef/>
      </w:r>
      <w:r w:rsidRPr="00ED6163">
        <w:t xml:space="preserve"> </w:t>
      </w:r>
      <w:r w:rsidRPr="00ED6163">
        <w:rPr>
          <w:i/>
        </w:rPr>
        <w:t xml:space="preserve">See </w:t>
      </w:r>
      <w:r w:rsidRPr="00ED6163">
        <w:t xml:space="preserve">Letter from Mike Saperstein, Vice President Law &amp; Policy, USTelecom, to Marlene Dortch, Secretary, FCC, WC Docket Nos. 11-10, 10-90, at 1 (filed Mar. 8, 2019) (“USTelecom stressed the importance of granular data to make federal funding programs, including </w:t>
      </w:r>
      <w:r w:rsidRPr="00ED6163">
        <w:t>CAF 3, as targeted as possible; we will only be able to close the digital divide through an efficient use of limited funds.”); Letter from S. Jenell Trigg, Counsel to WISPA, to Marlene H. Dortch, Secretary, FCC, WC Docket Nos. 11-10, 10-90, at 1-2 (filed O</w:t>
      </w:r>
      <w:r w:rsidRPr="00ED6163">
        <w:t xml:space="preserve">ct. 22, 2018) (WISPA Oct. 22, 2018 </w:t>
      </w:r>
      <w:r w:rsidRPr="00ED6163">
        <w:rPr>
          <w:i/>
        </w:rPr>
        <w:t>Ex Parte</w:t>
      </w:r>
      <w:r w:rsidRPr="00ED6163">
        <w:t xml:space="preserve"> Letter)</w:t>
      </w:r>
      <w:r w:rsidRPr="00ED6163">
        <w:rPr>
          <w:rFonts w:eastAsia="Calibri"/>
        </w:rPr>
        <w:t xml:space="preserve"> (“Congress, Tribal policymakers, the U.S. Department of Agriculture and state agencies have a critical need for accurate deployment data, especially for improvements in deployment in rural areas and to ad</w:t>
      </w:r>
      <w:r w:rsidRPr="00ED6163">
        <w:rPr>
          <w:rFonts w:eastAsia="Calibri"/>
        </w:rPr>
        <w:t>minister state and federal government funding such as the Commission’s Connect America Fund (“CAF”) and the Rural Utilities Service’s Broadband e-Connectivity Fund Pilot Program established pursuant to the Consolidated Appropriations Act of 2018</w:t>
      </w:r>
      <w:r w:rsidRPr="00ED6163">
        <w:t>.” (footnot</w:t>
      </w:r>
      <w:r w:rsidRPr="00ED6163">
        <w:t>es omitted)).</w:t>
      </w:r>
    </w:p>
  </w:footnote>
  <w:footnote w:id="4">
    <w:p w:rsidR="00252A4C" w:rsidRPr="00ED6163" w:rsidP="00D60B92" w14:paraId="3507E26F" w14:textId="77777777">
      <w:pPr>
        <w:pStyle w:val="FootnoteText"/>
      </w:pPr>
      <w:r w:rsidRPr="00ED6163">
        <w:rPr>
          <w:rStyle w:val="FootnoteReference"/>
        </w:rPr>
        <w:footnoteRef/>
      </w:r>
      <w:r w:rsidRPr="00ED6163">
        <w:t xml:space="preserve"> News Release, FCC, FCC Launches Investigation Into Potential Violations of Mobility Fund Phase II Mapping Rules (Dec. 7, 2018), </w:t>
      </w:r>
      <w:hyperlink r:id="rId1" w:history="1">
        <w:r w:rsidRPr="00ED6163">
          <w:rPr>
            <w:rStyle w:val="Hyperlink"/>
          </w:rPr>
          <w:t>https://docs.fcc.gov/public/attachments</w:t>
        </w:r>
        <w:r w:rsidRPr="00ED6163">
          <w:rPr>
            <w:rStyle w:val="Hyperlink"/>
          </w:rPr>
          <w:t>/DOC-355447A1.pdf</w:t>
        </w:r>
      </w:hyperlink>
      <w:r w:rsidRPr="00ED6163">
        <w:t>.</w:t>
      </w:r>
    </w:p>
  </w:footnote>
  <w:footnote w:id="5">
    <w:p w:rsidR="00252A4C" w:rsidRPr="00ED6163" w:rsidP="00D60B92" w14:paraId="0A868A67" w14:textId="77777777">
      <w:pPr>
        <w:pStyle w:val="FootnoteText"/>
      </w:pPr>
      <w:r w:rsidRPr="00ED6163">
        <w:rPr>
          <w:rStyle w:val="FootnoteReference"/>
        </w:rPr>
        <w:footnoteRef/>
      </w:r>
      <w:r w:rsidRPr="00ED6163">
        <w:t xml:space="preserve"> </w:t>
      </w:r>
      <w:r w:rsidRPr="00ED6163">
        <w:rPr>
          <w:i/>
        </w:rPr>
        <w:t xml:space="preserve">See </w:t>
      </w:r>
      <w:r w:rsidRPr="00ED6163">
        <w:t xml:space="preserve">47 U.S.C. § 1302(b) (Section 706 of the Telecommunications Act of 1996 requires the FCC to determine and report annually on “whether advanced telecommunications capability is being deployed to all Americans in a reasonable and timely fashion”); </w:t>
      </w:r>
      <w:r w:rsidRPr="00ED6163">
        <w:rPr>
          <w:rFonts w:eastAsia="Calibri"/>
          <w:i/>
          <w:iCs/>
        </w:rPr>
        <w:t>Local Compe</w:t>
      </w:r>
      <w:r w:rsidRPr="00ED6163">
        <w:rPr>
          <w:rFonts w:eastAsia="Calibri"/>
          <w:i/>
          <w:iCs/>
        </w:rPr>
        <w:t>tition and Broadband Reporting</w:t>
      </w:r>
      <w:r w:rsidRPr="00ED6163">
        <w:rPr>
          <w:rFonts w:eastAsia="Calibri"/>
        </w:rPr>
        <w:t>, CC Docket No. 99-301, Report and Order, 15 FCC Rcd 7717, 7719-20, para. 3 (2000) (</w:t>
      </w:r>
      <w:r w:rsidRPr="00ED6163">
        <w:rPr>
          <w:rFonts w:eastAsia="Calibri"/>
          <w:i/>
        </w:rPr>
        <w:t>2000 Data Gathering Order</w:t>
      </w:r>
      <w:r w:rsidRPr="00ED6163">
        <w:rPr>
          <w:rFonts w:eastAsia="Calibri"/>
        </w:rPr>
        <w:t>).</w:t>
      </w:r>
    </w:p>
  </w:footnote>
  <w:footnote w:id="6">
    <w:p w:rsidR="00252A4C" w:rsidRPr="00ED6163" w:rsidP="00D60B92" w14:paraId="66784F3B" w14:textId="77777777">
      <w:pPr>
        <w:pStyle w:val="FootnoteText"/>
      </w:pPr>
      <w:r w:rsidRPr="00ED6163">
        <w:rPr>
          <w:rStyle w:val="FootnoteReference"/>
        </w:rPr>
        <w:footnoteRef/>
      </w:r>
      <w:r w:rsidRPr="00ED6163">
        <w:t xml:space="preserve"> </w:t>
      </w:r>
      <w:r w:rsidRPr="00ED6163">
        <w:rPr>
          <w:i/>
        </w:rPr>
        <w:t>See Modernizing the FCC Form 477 Data Program</w:t>
      </w:r>
      <w:r w:rsidRPr="00ED6163">
        <w:t>, WC Docket No. 11-10, Report and Order, 28 FCC Rcd 9887, 9895, par</w:t>
      </w:r>
      <w:r w:rsidRPr="00ED6163">
        <w:t>a. 16 (2013) (</w:t>
      </w:r>
      <w:r w:rsidRPr="00ED6163">
        <w:rPr>
          <w:i/>
        </w:rPr>
        <w:t>2013 Form 477 Order</w:t>
      </w:r>
      <w:r w:rsidRPr="00ED6163">
        <w:t xml:space="preserve">); </w:t>
      </w:r>
      <w:r w:rsidRPr="00ED6163">
        <w:rPr>
          <w:rFonts w:eastAsia="Calibri"/>
          <w:i/>
          <w:iCs/>
        </w:rPr>
        <w:t>Local Telephone Competition and Broadband Reporting</w:t>
      </w:r>
      <w:r w:rsidRPr="00ED6163">
        <w:rPr>
          <w:rFonts w:eastAsia="Calibri"/>
        </w:rPr>
        <w:t>, WC Docket No. 04-141, Report and Order, 19 FCC Rcd 22340, 22341, paras. 1-2 (2004) (</w:t>
      </w:r>
      <w:r w:rsidRPr="00ED6163">
        <w:rPr>
          <w:rFonts w:eastAsia="Calibri"/>
          <w:i/>
        </w:rPr>
        <w:t>2004 Broadband Data Gathering Order</w:t>
      </w:r>
      <w:r w:rsidRPr="00ED6163">
        <w:rPr>
          <w:rFonts w:eastAsia="Calibri"/>
        </w:rPr>
        <w:t xml:space="preserve">); </w:t>
      </w:r>
      <w:r w:rsidRPr="00ED6163">
        <w:rPr>
          <w:rFonts w:eastAsia="Calibri"/>
          <w:i/>
          <w:iCs/>
        </w:rPr>
        <w:t>Development of Nationwide Broadband Data to E</w:t>
      </w:r>
      <w:r w:rsidRPr="00ED6163">
        <w:rPr>
          <w:rFonts w:eastAsia="Calibri"/>
          <w:i/>
          <w:iCs/>
        </w:rPr>
        <w:t>valuate Reasonable and Timely Deployment of Advanced Services to All Americans, Improvement of Wireless Broadband Subscribership Data, and Development of Data on Interconnected Voice over Internet Protocol Subscribership</w:t>
      </w:r>
      <w:r w:rsidRPr="00ED6163">
        <w:rPr>
          <w:rFonts w:eastAsia="Calibri"/>
        </w:rPr>
        <w:t>, WC Docket No. 07-38, Report and Or</w:t>
      </w:r>
      <w:r w:rsidRPr="00ED6163">
        <w:rPr>
          <w:rFonts w:eastAsia="Calibri"/>
        </w:rPr>
        <w:t>der and Further Notice of Proposed Rulemaking, 23 FCC Rcd 9691, 9692, paras. 1-2 (2008)</w:t>
      </w:r>
      <w:r w:rsidRPr="00ED6163">
        <w:t>.</w:t>
      </w:r>
    </w:p>
  </w:footnote>
  <w:footnote w:id="7">
    <w:p w:rsidR="00252A4C" w:rsidRPr="00ED6163" w:rsidP="00D60B92" w14:paraId="30848504" w14:textId="77777777">
      <w:pPr>
        <w:pStyle w:val="FootnoteText"/>
      </w:pPr>
      <w:r w:rsidRPr="00ED6163">
        <w:rPr>
          <w:rStyle w:val="FootnoteReference"/>
        </w:rPr>
        <w:footnoteRef/>
      </w:r>
      <w:r w:rsidRPr="00ED6163">
        <w:t xml:space="preserve"> </w:t>
      </w:r>
      <w:r w:rsidRPr="00ED6163">
        <w:rPr>
          <w:i/>
        </w:rPr>
        <w:t xml:space="preserve">See </w:t>
      </w:r>
      <w:r w:rsidRPr="00ED6163">
        <w:t>Letter from Michael R. Romano, Senior Vice President, NTCA, to Marlene H. Dortch, Secretary, FCC, WC Docket Nos. 10-90, 11-10, at 1 (filed Apr. 30, 2019) (NTCA A</w:t>
      </w:r>
      <w:r w:rsidRPr="00ED6163">
        <w:t xml:space="preserve">pr. 30, 2019 </w:t>
      </w:r>
      <w:r w:rsidRPr="00ED6163">
        <w:rPr>
          <w:i/>
        </w:rPr>
        <w:t>Ex Parte</w:t>
      </w:r>
      <w:r w:rsidRPr="00ED6163">
        <w:t xml:space="preserve"> Letter) (stating that “false positives” from Form 477 reporting can lead to the “denial or withdrawal of federal USF support in areas where support is in fact needed to reach unserved locations, dooming those locations to a lack of se</w:t>
      </w:r>
      <w:r w:rsidRPr="00ED6163">
        <w:t>rvice for years to come”).</w:t>
      </w:r>
    </w:p>
  </w:footnote>
  <w:footnote w:id="8">
    <w:p w:rsidR="00252A4C" w:rsidRPr="00ED6163" w:rsidP="00D60B92" w14:paraId="66EFCA96" w14:textId="77777777">
      <w:pPr>
        <w:pStyle w:val="FootnoteText"/>
      </w:pPr>
      <w:r w:rsidRPr="00ED6163">
        <w:rPr>
          <w:rStyle w:val="FootnoteReference"/>
        </w:rPr>
        <w:footnoteRef/>
      </w:r>
      <w:r w:rsidRPr="00ED6163">
        <w:t xml:space="preserve"> FCC, FCC Form 477, Local Telephone Competition and Broadband Reporting Instructions, at 5-8 (Dec. 5, 2016) (</w:t>
      </w:r>
      <w:r w:rsidRPr="00ED6163">
        <w:rPr>
          <w:i/>
        </w:rPr>
        <w:t>FCC Form 477 Instructions</w:t>
      </w:r>
      <w:r w:rsidRPr="00ED6163">
        <w:t xml:space="preserve">), </w:t>
      </w:r>
      <w:hyperlink r:id="rId2" w:history="1">
        <w:r w:rsidRPr="00ED6163">
          <w:rPr>
            <w:rStyle w:val="Hyperlink"/>
          </w:rPr>
          <w:t>https://transition.fcc.gov/f</w:t>
        </w:r>
        <w:r w:rsidRPr="00ED6163">
          <w:rPr>
            <w:rStyle w:val="Hyperlink"/>
          </w:rPr>
          <w:t>orm477/477inst.pdf</w:t>
        </w:r>
      </w:hyperlink>
      <w:r w:rsidRPr="00ED6163">
        <w:t>.</w:t>
      </w:r>
    </w:p>
  </w:footnote>
  <w:footnote w:id="9">
    <w:p w:rsidR="00252A4C" w:rsidRPr="00ED6163" w:rsidP="00D60B92" w14:paraId="183BB80F" w14:textId="77777777">
      <w:pPr>
        <w:pStyle w:val="FootnoteText"/>
      </w:pPr>
      <w:r w:rsidRPr="00ED6163">
        <w:rPr>
          <w:rStyle w:val="FootnoteReference"/>
        </w:rPr>
        <w:footnoteRef/>
      </w:r>
      <w:r w:rsidRPr="00ED6163">
        <w:t xml:space="preserve"> </w:t>
      </w:r>
      <w:r w:rsidRPr="00ED6163">
        <w:rPr>
          <w:i/>
        </w:rPr>
        <w:t xml:space="preserve">Id. </w:t>
      </w:r>
      <w:r w:rsidRPr="00ED6163">
        <w:t>at 17 (italics in original).</w:t>
      </w:r>
    </w:p>
  </w:footnote>
  <w:footnote w:id="10">
    <w:p w:rsidR="00252A4C" w:rsidRPr="00ED6163" w:rsidP="00D60B92" w14:paraId="4610C994" w14:textId="77777777">
      <w:pPr>
        <w:pStyle w:val="FootnoteText"/>
      </w:pPr>
      <w:r w:rsidRPr="00ED6163">
        <w:rPr>
          <w:rStyle w:val="FootnoteReference"/>
        </w:rPr>
        <w:footnoteRef/>
      </w:r>
      <w:r w:rsidRPr="00ED6163">
        <w:t xml:space="preserve"> </w:t>
      </w:r>
      <w:r w:rsidRPr="00ED6163">
        <w:rPr>
          <w:i/>
        </w:rPr>
        <w:t xml:space="preserve">See </w:t>
      </w:r>
      <w:r w:rsidRPr="00ED6163">
        <w:rPr>
          <w:rFonts w:eastAsia="Calibri"/>
        </w:rPr>
        <w:t xml:space="preserve">Letter from Steven F. Morris, Vice President and Deputy General Counsel, NCTA, to Marlene H. Dortch, Secretary, FCC, WC Docket No. 11-10, at 1 (filed May 3, 2019) (NCTA May 3, 2019 </w:t>
      </w:r>
      <w:r w:rsidRPr="00ED6163">
        <w:rPr>
          <w:rFonts w:eastAsia="Calibri"/>
          <w:i/>
        </w:rPr>
        <w:t xml:space="preserve">Ex Parte </w:t>
      </w:r>
      <w:r w:rsidRPr="00ED6163">
        <w:rPr>
          <w:rFonts w:eastAsia="Calibri"/>
        </w:rPr>
        <w:t>Lette</w:t>
      </w:r>
      <w:r w:rsidRPr="00ED6163">
        <w:rPr>
          <w:rFonts w:eastAsia="Calibri"/>
        </w:rPr>
        <w:t>r)</w:t>
      </w:r>
      <w:r w:rsidRPr="00ED6163">
        <w:t xml:space="preserve">; Letter from John P. Janka and Jarrett S. Taubman, Counsel to Viasat, Inc., to Marlene H. Dortch, Secretary, FCC, WC Docket No. 11-10, at 1 (filed July 16, 2018) (Viasat July 16, 2018 </w:t>
      </w:r>
      <w:r w:rsidRPr="00ED6163">
        <w:rPr>
          <w:i/>
        </w:rPr>
        <w:t>Ex Parte</w:t>
      </w:r>
      <w:r w:rsidRPr="00ED6163">
        <w:t xml:space="preserve"> Letter); Letter from Vanita Gupta, President &amp; CEO, and Kris</w:t>
      </w:r>
      <w:r w:rsidRPr="00ED6163">
        <w:t>tine Lucius, Executive Vice President, The Leadership Conference on Civil and Human Rights, to Marlene H. Dortch, Secretary, FCC, WC Docket No. 11-10, at 3 (filed July 12, 2019).</w:t>
      </w:r>
    </w:p>
  </w:footnote>
  <w:footnote w:id="11">
    <w:p w:rsidR="00252A4C" w:rsidRPr="00ED6163" w:rsidP="00D60B92" w14:paraId="0D11FA1A" w14:textId="77777777">
      <w:pPr>
        <w:pStyle w:val="FootnoteText"/>
      </w:pPr>
      <w:r w:rsidRPr="00ED6163">
        <w:rPr>
          <w:rStyle w:val="FootnoteReference"/>
        </w:rPr>
        <w:footnoteRef/>
      </w:r>
      <w:r w:rsidRPr="00ED6163">
        <w:t xml:space="preserve"> In response to concerns raised by Microsoft and OTI, we will continue to co</w:t>
      </w:r>
      <w:r w:rsidRPr="00ED6163">
        <w:t xml:space="preserve">llect fixed broadband subscription data on Form 477 and make them publicly available to the extent such data are public today.  </w:t>
      </w:r>
      <w:r w:rsidRPr="00ED6163">
        <w:rPr>
          <w:i/>
        </w:rPr>
        <w:t xml:space="preserve">See </w:t>
      </w:r>
      <w:r w:rsidRPr="00ED6163">
        <w:t>Letter from Paula Boyd, Senior Director, Microsoft, and David A. LaFuria, Counsel to Microsoft, to Marlene H. Dortch, Secret</w:t>
      </w:r>
      <w:r w:rsidRPr="00ED6163">
        <w:t>ary, FCC, WC Docket Nos. 11-10</w:t>
      </w:r>
      <w:r>
        <w:t>,</w:t>
      </w:r>
      <w:r w:rsidRPr="00ED6163">
        <w:t xml:space="preserve"> 19-195, at 2-3 (filed July 25, 2019) (Microsoft July 25, 2019 Ex Parte Letter); Letter from New America’s Open Technology Institute et al. to Marlene H. Dortch, Secretary, FCC, WC Docket No. 11-10, at 5 (filed July 24, 2019)</w:t>
      </w:r>
      <w:r w:rsidRPr="00ED6163">
        <w:t xml:space="preserve"> (OTI July 24, 2019 </w:t>
      </w:r>
      <w:r w:rsidRPr="00ED6163">
        <w:rPr>
          <w:i/>
        </w:rPr>
        <w:t>Ex Parte</w:t>
      </w:r>
      <w:r w:rsidRPr="00ED6163">
        <w:t xml:space="preserve"> Letter).</w:t>
      </w:r>
    </w:p>
  </w:footnote>
  <w:footnote w:id="12">
    <w:p w:rsidR="00252A4C" w:rsidRPr="00ED6163" w:rsidP="00D60B92" w14:paraId="05B467EE" w14:textId="77777777">
      <w:pPr>
        <w:pStyle w:val="FootnoteText"/>
      </w:pPr>
      <w:r w:rsidRPr="00ED6163">
        <w:rPr>
          <w:rStyle w:val="FootnoteReference"/>
        </w:rPr>
        <w:footnoteRef/>
      </w:r>
      <w:r w:rsidRPr="00ED6163">
        <w:t xml:space="preserve"> </w:t>
      </w:r>
      <w:r w:rsidRPr="00ED6163">
        <w:rPr>
          <w:i/>
        </w:rPr>
        <w:t xml:space="preserve">FCC Form 477 Instructions </w:t>
      </w:r>
      <w:r w:rsidRPr="00ED6163">
        <w:t>at 25-27.</w:t>
      </w:r>
    </w:p>
  </w:footnote>
  <w:footnote w:id="13">
    <w:p w:rsidR="00252A4C" w:rsidRPr="00ED6163" w:rsidP="00D60B92" w14:paraId="7503B694" w14:textId="77777777">
      <w:pPr>
        <w:pStyle w:val="FootnoteText"/>
      </w:pPr>
      <w:r w:rsidRPr="00ED6163">
        <w:rPr>
          <w:rStyle w:val="FootnoteReference"/>
        </w:rPr>
        <w:footnoteRef/>
      </w:r>
      <w:r w:rsidRPr="00ED6163">
        <w:t xml:space="preserve"> </w:t>
      </w:r>
      <w:r w:rsidRPr="00ED6163">
        <w:rPr>
          <w:i/>
        </w:rPr>
        <w:t xml:space="preserve">Id. </w:t>
      </w:r>
      <w:r w:rsidRPr="00ED6163">
        <w:t>at 24.</w:t>
      </w:r>
    </w:p>
  </w:footnote>
  <w:footnote w:id="14">
    <w:p w:rsidR="00252A4C" w:rsidRPr="00ED6163" w:rsidP="00D60B92" w14:paraId="2A80308C" w14:textId="77777777">
      <w:pPr>
        <w:pStyle w:val="FootnoteText"/>
      </w:pPr>
      <w:r w:rsidRPr="00ED6163">
        <w:rPr>
          <w:rStyle w:val="FootnoteReference"/>
        </w:rPr>
        <w:footnoteRef/>
      </w:r>
      <w:r w:rsidRPr="00ED6163">
        <w:t xml:space="preserve"> </w:t>
      </w:r>
      <w:r w:rsidRPr="00ED6163">
        <w:rPr>
          <w:i/>
        </w:rPr>
        <w:t xml:space="preserve">Id. </w:t>
      </w:r>
      <w:r w:rsidRPr="00ED6163">
        <w:t>at 26.</w:t>
      </w:r>
    </w:p>
  </w:footnote>
  <w:footnote w:id="15">
    <w:p w:rsidR="00252A4C" w:rsidRPr="00ED6163" w:rsidP="00D60B92" w14:paraId="12D32A2D" w14:textId="77777777">
      <w:pPr>
        <w:pStyle w:val="FootnoteText"/>
      </w:pPr>
      <w:r w:rsidRPr="00ED6163">
        <w:rPr>
          <w:rStyle w:val="FootnoteReference"/>
        </w:rPr>
        <w:footnoteRef/>
      </w:r>
      <w:r w:rsidRPr="00ED6163">
        <w:t xml:space="preserve"> </w:t>
      </w:r>
      <w:r w:rsidRPr="00ED6163">
        <w:rPr>
          <w:i/>
        </w:rPr>
        <w:t>2000 Data Gathering Order</w:t>
      </w:r>
      <w:r w:rsidRPr="00ED6163">
        <w:t>, 15 FCC Rcd at 7718, para. 1 (“</w:t>
      </w:r>
      <w:r w:rsidRPr="00ED6163">
        <w:rPr>
          <w:rFonts w:eastAsia="Calibri"/>
          <w:color w:val="010101"/>
        </w:rPr>
        <w:t xml:space="preserve">Form 477 collects data that are ‘a critical precursor’ to the Commission’s ability to </w:t>
      </w:r>
      <w:r w:rsidRPr="00ED6163">
        <w:rPr>
          <w:rFonts w:eastAsia="Calibri"/>
          <w:color w:val="010101"/>
        </w:rPr>
        <w:t>fulfill its statutory duties, and provides the Commission with ‘a set of data of uniform quality and reliability’ superior to other publicly available information sources</w:t>
      </w:r>
      <w:r w:rsidRPr="00ED6163">
        <w:t xml:space="preserve">.”); </w:t>
      </w:r>
      <w:r w:rsidRPr="00ED6163">
        <w:rPr>
          <w:i/>
        </w:rPr>
        <w:t>see also</w:t>
      </w:r>
      <w:r w:rsidRPr="00ED6163">
        <w:t xml:space="preserve"> Letter from Kathy D. Smith, Chief Counsel, NTIA, to Marlene H. Dortch, S</w:t>
      </w:r>
      <w:r w:rsidRPr="00ED6163">
        <w:t>ecretary, FCC, WC Docket No. 11-10, at 3 (filed Jan. 2, 2018)</w:t>
      </w:r>
      <w:r w:rsidRPr="00ED6163">
        <w:rPr>
          <w:i/>
        </w:rPr>
        <w:t xml:space="preserve"> </w:t>
      </w:r>
      <w:r w:rsidRPr="00ED6163">
        <w:t xml:space="preserve">(NTIA </w:t>
      </w:r>
      <w:r w:rsidRPr="00ED6163">
        <w:rPr>
          <w:i/>
        </w:rPr>
        <w:t>Ex Parte</w:t>
      </w:r>
      <w:r w:rsidRPr="00ED6163">
        <w:t>) (“</w:t>
      </w:r>
      <w:r w:rsidRPr="00ED6163">
        <w:rPr>
          <w:rFonts w:eastAsia="Calibri"/>
        </w:rPr>
        <w:t>The Form 477 program draws a diverse audience of data users, encompassing federal policymakers, national business leaders, local government, businesses, and community groups an</w:t>
      </w:r>
      <w:r w:rsidRPr="00ED6163">
        <w:rPr>
          <w:rFonts w:eastAsia="Calibri"/>
        </w:rPr>
        <w:t>d anchor institutions, and more traditional academic and think-tank researchers</w:t>
      </w:r>
      <w:r w:rsidRPr="00ED6163">
        <w:t>.”); National Digital Inclusion Alliance Comments at 2 (listing examples of local and regional research and analysis efforts that rely on Form 477 data).</w:t>
      </w:r>
    </w:p>
  </w:footnote>
  <w:footnote w:id="16">
    <w:p w:rsidR="00252A4C" w:rsidRPr="00ED6163" w:rsidP="00D60B92" w14:paraId="4A05C67B" w14:textId="77777777">
      <w:pPr>
        <w:pStyle w:val="FootnoteText"/>
      </w:pPr>
      <w:r w:rsidRPr="00ED6163">
        <w:rPr>
          <w:rStyle w:val="FootnoteReference"/>
        </w:rPr>
        <w:footnoteRef/>
      </w:r>
      <w:r w:rsidRPr="00ED6163">
        <w:t xml:space="preserve"> NTIA </w:t>
      </w:r>
      <w:r w:rsidRPr="00ED6163">
        <w:rPr>
          <w:i/>
        </w:rPr>
        <w:t>Ex Parte</w:t>
      </w:r>
      <w:r w:rsidRPr="00ED6163">
        <w:t xml:space="preserve"> at 2 (n</w:t>
      </w:r>
      <w:r w:rsidRPr="00ED6163">
        <w:t xml:space="preserve">oting that states, nonprofits, and other stakeholders also use Form 477 data); </w:t>
      </w:r>
      <w:r w:rsidRPr="00ED6163">
        <w:rPr>
          <w:i/>
        </w:rPr>
        <w:t xml:space="preserve">see also </w:t>
      </w:r>
      <w:r w:rsidRPr="00ED6163">
        <w:t>Communications Workers of America (CWA) Reply at 1 (“</w:t>
      </w:r>
      <w:r w:rsidRPr="00ED6163">
        <w:rPr>
          <w:rFonts w:eastAsia="Calibri"/>
        </w:rPr>
        <w:t>CWA is among the organizations that often use Commission and third-party analyses of Form 477 data to inform our po</w:t>
      </w:r>
      <w:r w:rsidRPr="00ED6163">
        <w:rPr>
          <w:rFonts w:eastAsia="Calibri"/>
        </w:rPr>
        <w:t>licy analysis.”)</w:t>
      </w:r>
      <w:r w:rsidRPr="00ED6163">
        <w:t>.</w:t>
      </w:r>
    </w:p>
  </w:footnote>
  <w:footnote w:id="17">
    <w:p w:rsidR="00252A4C" w:rsidRPr="00ED6163" w:rsidP="00D60B92" w14:paraId="5A9C371F" w14:textId="77777777">
      <w:pPr>
        <w:pStyle w:val="FootnoteText"/>
      </w:pPr>
      <w:r w:rsidRPr="00ED6163">
        <w:rPr>
          <w:rStyle w:val="FootnoteReference"/>
        </w:rPr>
        <w:footnoteRef/>
      </w:r>
      <w:r w:rsidRPr="00ED6163">
        <w:t xml:space="preserve"> </w:t>
      </w:r>
      <w:r w:rsidRPr="00ED6163">
        <w:rPr>
          <w:i/>
        </w:rPr>
        <w:t>See 2013 Form 477 Order</w:t>
      </w:r>
      <w:r w:rsidRPr="00ED6163">
        <w:t>, 28 FCC Rcd at 9892-93, para. 14; Deere Reply at 1-2; Small Company Coalition Comments at 2 (Form 477 data is used in USF programs, CAF Phase II auction, CAF Broadband Loop Support Program, and the Connect Americ</w:t>
      </w:r>
      <w:r w:rsidRPr="00ED6163">
        <w:t>a Cost Model).</w:t>
      </w:r>
    </w:p>
  </w:footnote>
  <w:footnote w:id="18">
    <w:p w:rsidR="00252A4C" w:rsidRPr="00ED6163" w:rsidP="00D60B92" w14:paraId="35FB8351" w14:textId="77777777">
      <w:pPr>
        <w:pStyle w:val="FootnoteText"/>
      </w:pPr>
      <w:r w:rsidRPr="00ED6163">
        <w:rPr>
          <w:rStyle w:val="FootnoteReference"/>
        </w:rPr>
        <w:footnoteRef/>
      </w:r>
      <w:r w:rsidRPr="00ED6163">
        <w:t xml:space="preserve"> </w:t>
      </w:r>
      <w:r w:rsidRPr="00ED6163">
        <w:rPr>
          <w:i/>
        </w:rPr>
        <w:t>See Modernizing the FCC Form 477 Data Program</w:t>
      </w:r>
      <w:r w:rsidRPr="00ED6163">
        <w:t>, WC Docket No. 11-10, Further Notice of Proposed Rulemaking, 32 FCC Rcd 6329, 6331, para. 6 (2017) (</w:t>
      </w:r>
      <w:r w:rsidRPr="00ED6163">
        <w:rPr>
          <w:i/>
        </w:rPr>
        <w:t>2017 Data Collection Improvement FNPRM</w:t>
      </w:r>
      <w:r w:rsidRPr="00ED6163">
        <w:t>).</w:t>
      </w:r>
    </w:p>
  </w:footnote>
  <w:footnote w:id="19">
    <w:p w:rsidR="00252A4C" w:rsidRPr="00ED6163" w:rsidP="00D60B92" w14:paraId="0CE99937" w14:textId="77777777">
      <w:pPr>
        <w:pStyle w:val="FootnoteText"/>
      </w:pPr>
      <w:r w:rsidRPr="00ED6163">
        <w:rPr>
          <w:rStyle w:val="FootnoteReference"/>
        </w:rPr>
        <w:footnoteRef/>
      </w:r>
      <w:r w:rsidRPr="00ED6163">
        <w:t xml:space="preserve"> </w:t>
      </w:r>
      <w:r w:rsidRPr="00ED6163">
        <w:rPr>
          <w:i/>
        </w:rPr>
        <w:t>Id</w:t>
      </w:r>
      <w:r w:rsidRPr="00ED6163">
        <w:t>.</w:t>
      </w:r>
    </w:p>
  </w:footnote>
  <w:footnote w:id="20">
    <w:p w:rsidR="00252A4C" w:rsidRPr="00ED6163" w:rsidP="00D60B92" w14:paraId="78A77DD6" w14:textId="77777777">
      <w:pPr>
        <w:pStyle w:val="FootnoteText"/>
      </w:pPr>
      <w:r w:rsidRPr="00ED6163">
        <w:rPr>
          <w:rStyle w:val="FootnoteReference"/>
        </w:rPr>
        <w:footnoteRef/>
      </w:r>
      <w:r w:rsidRPr="00ED6163">
        <w:t xml:space="preserve"> </w:t>
      </w:r>
      <w:r w:rsidRPr="00ED6163">
        <w:rPr>
          <w:i/>
        </w:rPr>
        <w:t>Id.</w:t>
      </w:r>
      <w:r w:rsidRPr="00ED6163">
        <w:t xml:space="preserve"> at 6331, para. 7.</w:t>
      </w:r>
    </w:p>
  </w:footnote>
  <w:footnote w:id="21">
    <w:p w:rsidR="00252A4C" w:rsidRPr="00ED6163" w:rsidP="00D60B92" w14:paraId="4C93770C" w14:textId="77777777">
      <w:pPr>
        <w:pStyle w:val="FootnoteText"/>
      </w:pPr>
      <w:r w:rsidRPr="00ED6163">
        <w:rPr>
          <w:rStyle w:val="FootnoteReference"/>
        </w:rPr>
        <w:footnoteRef/>
      </w:r>
      <w:r w:rsidRPr="00ED6163">
        <w:t xml:space="preserve"> </w:t>
      </w:r>
      <w:r w:rsidRPr="00ED6163">
        <w:rPr>
          <w:i/>
        </w:rPr>
        <w:t xml:space="preserve">See </w:t>
      </w:r>
      <w:r w:rsidRPr="00ED6163">
        <w:t>NTCA Apr. 30, 20</w:t>
      </w:r>
      <w:r w:rsidRPr="00ED6163">
        <w:t xml:space="preserve">19 </w:t>
      </w:r>
      <w:r w:rsidRPr="00ED6163">
        <w:rPr>
          <w:i/>
        </w:rPr>
        <w:t>Ex Parte</w:t>
      </w:r>
      <w:r w:rsidRPr="00ED6163">
        <w:t xml:space="preserve"> Letter at 1.</w:t>
      </w:r>
    </w:p>
  </w:footnote>
  <w:footnote w:id="22">
    <w:p w:rsidR="00252A4C" w:rsidRPr="00ED6163" w:rsidP="00D60B92" w14:paraId="504AEE63" w14:textId="77777777">
      <w:pPr>
        <w:pStyle w:val="FootnoteText"/>
      </w:pPr>
      <w:r w:rsidRPr="00ED6163">
        <w:rPr>
          <w:rStyle w:val="FootnoteReference"/>
        </w:rPr>
        <w:footnoteRef/>
      </w:r>
      <w:r w:rsidRPr="00ED6163">
        <w:t xml:space="preserve"> </w:t>
      </w:r>
      <w:r w:rsidRPr="00ED6163">
        <w:rPr>
          <w:i/>
        </w:rPr>
        <w:t>2017 Data Collection Improvement FNPRM</w:t>
      </w:r>
      <w:r w:rsidRPr="00ED6163">
        <w:t>,</w:t>
      </w:r>
      <w:r w:rsidRPr="00ED6163">
        <w:rPr>
          <w:i/>
        </w:rPr>
        <w:t xml:space="preserve"> </w:t>
      </w:r>
      <w:r w:rsidRPr="00ED6163">
        <w:t xml:space="preserve">32 FCC Rcd at 6341, para. 37.  </w:t>
      </w:r>
    </w:p>
  </w:footnote>
  <w:footnote w:id="23">
    <w:p w:rsidR="00252A4C" w:rsidRPr="00ED6163" w:rsidP="00D60B92" w14:paraId="65A81C70" w14:textId="77777777">
      <w:pPr>
        <w:pStyle w:val="FootnoteText"/>
      </w:pPr>
      <w:r w:rsidRPr="00ED6163">
        <w:rPr>
          <w:rStyle w:val="FootnoteReference"/>
        </w:rPr>
        <w:footnoteRef/>
      </w:r>
      <w:r w:rsidRPr="00ED6163">
        <w:t xml:space="preserve"> </w:t>
      </w:r>
      <w:r w:rsidRPr="00ED6163">
        <w:rPr>
          <w:i/>
        </w:rPr>
        <w:t>See, e.g.</w:t>
      </w:r>
      <w:r w:rsidRPr="00ED6163">
        <w:t>,</w:t>
      </w:r>
      <w:r w:rsidRPr="00ED6163">
        <w:rPr>
          <w:i/>
        </w:rPr>
        <w:t xml:space="preserve"> </w:t>
      </w:r>
      <w:r w:rsidRPr="00ED6163">
        <w:t>Letter from Brent Legg, Vice President, Government Affairs, Connected Nation, Inc., to Marlene H. Dortch, Secretary, FCC, WC Docket No. 11-10, a</w:t>
      </w:r>
      <w:r w:rsidRPr="00ED6163">
        <w:t xml:space="preserve">t 2 (filed May 17, 2019) (Connected Nation May 17, 2019 </w:t>
      </w:r>
      <w:r w:rsidRPr="00ED6163">
        <w:rPr>
          <w:i/>
        </w:rPr>
        <w:t xml:space="preserve">Ex Parte </w:t>
      </w:r>
      <w:r w:rsidRPr="00ED6163">
        <w:t xml:space="preserve">Letter) (asserting that “the generation of shapefiles that depict granular service footprints derived from broadband infrastructure capabilities has been a proven path forward in states like </w:t>
      </w:r>
      <w:r w:rsidRPr="00ED6163">
        <w:t xml:space="preserve">Minnesota, where the resulting map is used to guide the state’s Border-to-Border Grant Program”); NCTA May 3, 2019 </w:t>
      </w:r>
      <w:r w:rsidRPr="00ED6163">
        <w:rPr>
          <w:i/>
        </w:rPr>
        <w:t xml:space="preserve">Ex Parte </w:t>
      </w:r>
      <w:r w:rsidRPr="00ED6163">
        <w:t>Letter at 1 (supporting modifying “the Form 477 regime for reporting broadband availability by moving from the current census-block-</w:t>
      </w:r>
      <w:r w:rsidRPr="00ED6163">
        <w:t>based approach to a framework based on submission of shapefiles that represent the area where each provider makes service available”).</w:t>
      </w:r>
    </w:p>
  </w:footnote>
  <w:footnote w:id="24">
    <w:p w:rsidR="00252A4C" w:rsidRPr="00ED6163" w:rsidP="00D60B92" w14:paraId="7D57D1AC" w14:textId="77777777">
      <w:pPr>
        <w:pStyle w:val="FootnoteText"/>
      </w:pPr>
      <w:r w:rsidRPr="00ED6163">
        <w:rPr>
          <w:rStyle w:val="FootnoteReference"/>
        </w:rPr>
        <w:footnoteRef/>
      </w:r>
      <w:r w:rsidRPr="00ED6163">
        <w:t xml:space="preserve"> In this item, “broadband coverage polygons,” “coverage polygons,” and “polygons” refer to broadband coverage areas or f</w:t>
      </w:r>
      <w:r w:rsidRPr="00ED6163">
        <w:t xml:space="preserve">ootprints—captured in GIS-compatible formats—delineating the areas in which a provider’s network meets the requirements detailed in this </w:t>
      </w:r>
      <w:r w:rsidRPr="00ED6163">
        <w:rPr>
          <w:i/>
        </w:rPr>
        <w:t>Report and Order</w:t>
      </w:r>
      <w:r w:rsidRPr="00ED6163">
        <w:t xml:space="preserve"> and as defined by the Commission.  </w:t>
      </w:r>
    </w:p>
  </w:footnote>
  <w:footnote w:id="25">
    <w:p w:rsidR="00252A4C" w:rsidRPr="00ED6163" w:rsidP="00D60B92" w14:paraId="2D139D49" w14:textId="77777777">
      <w:pPr>
        <w:pStyle w:val="FootnoteText"/>
      </w:pPr>
      <w:r w:rsidRPr="00ED6163">
        <w:rPr>
          <w:rStyle w:val="FootnoteReference"/>
        </w:rPr>
        <w:footnoteRef/>
      </w:r>
      <w:r w:rsidRPr="00ED6163">
        <w:t xml:space="preserve"> In this item, “fixed providers” refer to facilities-based wireli</w:t>
      </w:r>
      <w:r w:rsidRPr="00ED6163">
        <w:t>ne providers (e.g., incumbent and competitive local exchange carriers, cable television system operators), fixed terrestrial wireless providers (e.g., wireless Internet service providers (WISPs)), and satellite providers providing fixed broadband connectio</w:t>
      </w:r>
      <w:r w:rsidRPr="00ED6163">
        <w:t>ns to end users.  We define a fixed broadband connection as a wired line or fixed wireless channel, whether terrestrial or satellite, that terminates at an end-user location and enables the end user to receive information from and/or send information to th</w:t>
      </w:r>
      <w:r w:rsidRPr="00ED6163">
        <w:t xml:space="preserve">e Internet at information transfer rates </w:t>
      </w:r>
      <w:r w:rsidRPr="00ED6163">
        <w:rPr>
          <w:bCs/>
        </w:rPr>
        <w:t>exceeding 200 kilobits per second (kbps) in at least one direction</w:t>
      </w:r>
      <w:r w:rsidRPr="00ED6163">
        <w:t>.</w:t>
      </w:r>
      <w:r w:rsidRPr="00ED6163">
        <w:rPr>
          <w:i/>
        </w:rPr>
        <w:t xml:space="preserve">  </w:t>
      </w:r>
      <w:r w:rsidRPr="00ED6163">
        <w:t>We define a facilities-based provider as an entity that supplies service using facilities that it either owns or has obtained the right to use fro</w:t>
      </w:r>
      <w:r w:rsidRPr="00ED6163">
        <w:t xml:space="preserve">m other entities.  </w:t>
      </w:r>
      <w:r w:rsidRPr="00ED6163">
        <w:rPr>
          <w:i/>
        </w:rPr>
        <w:t xml:space="preserve">See </w:t>
      </w:r>
      <w:r w:rsidRPr="00ED6163">
        <w:t>new 47 CFR § 1.7001(a)(2) in Appx. A.  We decline INCOMPAS’ request to exclude from the definition of “facilities-based” those providers that supply service through the purchase or lease of capacity on the last-mile facilities of oth</w:t>
      </w:r>
      <w:r w:rsidRPr="00ED6163">
        <w:t xml:space="preserve">ers.  </w:t>
      </w:r>
      <w:r w:rsidRPr="00ED6163">
        <w:rPr>
          <w:i/>
        </w:rPr>
        <w:t xml:space="preserve">See </w:t>
      </w:r>
      <w:r w:rsidRPr="00ED6163">
        <w:t xml:space="preserve">Letter from Angie Kronenberg, Chief Advocate &amp; General Counsel, INCOMPAS, to Marlene H. Dortch, Secretary, FCC, WC Docket Nos. 11-10, 19-195, at 1-2 (filed July 24, 2019) (INCOMPAS July 24, 2019 </w:t>
      </w:r>
      <w:r w:rsidRPr="00ED6163">
        <w:rPr>
          <w:i/>
        </w:rPr>
        <w:t>Ex Parte</w:t>
      </w:r>
      <w:r w:rsidRPr="00ED6163">
        <w:t xml:space="preserve"> Letter).  We currently require fixed providers that provide broadband service using leased or purchased capacity on third-party facilities to file broadband deployment data, and we see no reason to change that practice for Digital Opportunity Data Collect</w:t>
      </w:r>
      <w:r w:rsidRPr="00ED6163">
        <w:t xml:space="preserve">ion filers.  </w:t>
      </w:r>
      <w:r w:rsidRPr="00ED6163">
        <w:rPr>
          <w:i/>
        </w:rPr>
        <w:t xml:space="preserve">See FCC Form 477 Instructions </w:t>
      </w:r>
      <w:r w:rsidRPr="00ED6163">
        <w:t>at 5.</w:t>
      </w:r>
    </w:p>
  </w:footnote>
  <w:footnote w:id="26">
    <w:p w:rsidR="00252A4C" w:rsidRPr="00ED6163" w:rsidP="00D60B92" w14:paraId="6485BF47" w14:textId="77777777">
      <w:pPr>
        <w:pStyle w:val="FootnoteText"/>
      </w:pPr>
      <w:r w:rsidRPr="00ED6163">
        <w:rPr>
          <w:rStyle w:val="FootnoteReference"/>
        </w:rPr>
        <w:footnoteRef/>
      </w:r>
      <w:r w:rsidRPr="00ED6163">
        <w:t xml:space="preserve"> While it seeks improvements to our process of collecting fixed broadband deployment data in order to advance broadband availability and affordability, we decline OTI’s request to further expand our collect</w:t>
      </w:r>
      <w:r w:rsidRPr="00ED6163">
        <w:t xml:space="preserve">ion beyond the steps we take herein.  </w:t>
      </w:r>
      <w:r w:rsidRPr="00ED6163">
        <w:rPr>
          <w:i/>
        </w:rPr>
        <w:t xml:space="preserve">See </w:t>
      </w:r>
      <w:r w:rsidRPr="00ED6163">
        <w:t xml:space="preserve">OTI July 24, 2019 </w:t>
      </w:r>
      <w:r w:rsidRPr="00ED6163">
        <w:rPr>
          <w:i/>
        </w:rPr>
        <w:t>Ex Parte</w:t>
      </w:r>
      <w:r w:rsidRPr="00ED6163">
        <w:t xml:space="preserve"> Letter at 1-2 (advocating the collection of broadband affordability and pricing information, data on end user demographics, performance data that measures actual broadband speeds and late</w:t>
      </w:r>
      <w:r w:rsidRPr="00ED6163">
        <w:t xml:space="preserve">ncy, and vulnerability and resiliency network data).  While important, we find that the data OTI requests are beyond the scope of this particular </w:t>
      </w:r>
      <w:r w:rsidRPr="00ED6163">
        <w:rPr>
          <w:i/>
        </w:rPr>
        <w:t>Report and Order</w:t>
      </w:r>
      <w:r w:rsidRPr="00ED6163">
        <w:t>.</w:t>
      </w:r>
    </w:p>
  </w:footnote>
  <w:footnote w:id="27">
    <w:p w:rsidR="00252A4C" w:rsidRPr="00ED6163" w:rsidP="00D60B92" w14:paraId="7A07E4C0" w14:textId="77777777">
      <w:pPr>
        <w:pStyle w:val="FootnoteText"/>
      </w:pPr>
      <w:r w:rsidRPr="00ED6163">
        <w:rPr>
          <w:rStyle w:val="FootnoteReference"/>
        </w:rPr>
        <w:footnoteRef/>
      </w:r>
      <w:r w:rsidRPr="00ED6163">
        <w:t xml:space="preserve"> </w:t>
      </w:r>
      <w:r w:rsidRPr="00ED6163">
        <w:rPr>
          <w:i/>
        </w:rPr>
        <w:t xml:space="preserve">See </w:t>
      </w:r>
      <w:r w:rsidRPr="00ED6163">
        <w:t xml:space="preserve">NTIA </w:t>
      </w:r>
      <w:r w:rsidRPr="00ED6163">
        <w:rPr>
          <w:i/>
        </w:rPr>
        <w:t>Ex Parte</w:t>
      </w:r>
      <w:r w:rsidRPr="00ED6163">
        <w:t xml:space="preserve"> at 7 (“NTIA recommends that covered Census block data only include areas</w:t>
      </w:r>
      <w:r w:rsidRPr="00ED6163">
        <w:t xml:space="preserve"> currently served and areas that the provider expects to serve or could serve, upon request, within a maximum timeframe of several weeks or months, at the reasonable expense of the provider.”); </w:t>
      </w:r>
      <w:r w:rsidRPr="00ED6163">
        <w:rPr>
          <w:i/>
        </w:rPr>
        <w:t xml:space="preserve">see also </w:t>
      </w:r>
      <w:r w:rsidRPr="00ED6163">
        <w:rPr>
          <w:rFonts w:eastAsia="Calibri"/>
        </w:rPr>
        <w:t>Letter from Ola Oyefusi, Director, Federal Regulatory</w:t>
      </w:r>
      <w:r w:rsidRPr="00ED6163">
        <w:rPr>
          <w:rFonts w:eastAsia="Calibri"/>
        </w:rPr>
        <w:t xml:space="preserve">, AT&amp;T, to Marlene H. Dortch, Secretary, FCC, WC Docket Nos. 11-10, 10-90, at 4 (filed Oct. 12, 2018) (AT&amp;T Oct. 12, 2018 </w:t>
      </w:r>
      <w:r w:rsidRPr="00ED6163">
        <w:rPr>
          <w:rFonts w:eastAsia="Calibri"/>
          <w:i/>
        </w:rPr>
        <w:t>Ex Parte</w:t>
      </w:r>
      <w:r w:rsidRPr="00ED6163">
        <w:rPr>
          <w:rFonts w:eastAsia="Calibri"/>
        </w:rPr>
        <w:t xml:space="preserve"> Letter) </w:t>
      </w:r>
      <w:r w:rsidRPr="00ED6163">
        <w:t>(suggesting that the Commission use the same “‘can provide’ or ‘served’ standard adopted for CAF purposes which defin</w:t>
      </w:r>
      <w:r w:rsidRPr="00ED6163">
        <w:t>es a location as ‘served’ if a carrier could provide broadband service to a customer within 10 business days of a request”); National States Geographic Information Council Comments at 1 (stating that “</w:t>
      </w:r>
      <w:r w:rsidRPr="00ED6163">
        <w:rPr>
          <w:bCs/>
        </w:rPr>
        <w:t>the best data format for mapping broadband service depi</w:t>
      </w:r>
      <w:r w:rsidRPr="00ED6163">
        <w:rPr>
          <w:bCs/>
        </w:rPr>
        <w:t xml:space="preserve">cts the actual physical boundaries in which a provider has the ability to deliver service within a reasonable service order time frame </w:t>
      </w:r>
      <w:r w:rsidRPr="00ED6163">
        <w:t>(e.g. 5-10 business days)”).  We decline Microsoft’s request to eliminate the phrase “an extraordinary commitment of reso</w:t>
      </w:r>
      <w:r w:rsidRPr="00ED6163">
        <w:t xml:space="preserve">urces” from the definition of broadband service availability.  </w:t>
      </w:r>
      <w:r w:rsidRPr="00ED6163">
        <w:rPr>
          <w:i/>
        </w:rPr>
        <w:t xml:space="preserve">See </w:t>
      </w:r>
      <w:r w:rsidRPr="00ED6163">
        <w:t xml:space="preserve">Microsoft July 25, 2019 </w:t>
      </w:r>
      <w:r w:rsidRPr="00ED6163">
        <w:rPr>
          <w:i/>
        </w:rPr>
        <w:t>Ex Parte</w:t>
      </w:r>
      <w:r w:rsidRPr="00ED6163">
        <w:t xml:space="preserve"> Letter at 1-2.  </w:t>
      </w:r>
      <w:r>
        <w:t>We disagree that the standard is subjective and find that this terminology will help appropriately constrain provider reporting to areas tha</w:t>
      </w:r>
      <w:r>
        <w:t>t they can realistically serve within a reasonable timeframe</w:t>
      </w:r>
      <w:r w:rsidRPr="00ED6163">
        <w:t xml:space="preserve">.  In response to Microsoft’s concerns, however, we adjust the definition of service availability to make clear that service is not available in an area where a carrier must assess a non-ordinary </w:t>
      </w:r>
      <w:r w:rsidRPr="00ED6163">
        <w:t xml:space="preserve">activation fee on a new broadband customer.  </w:t>
      </w:r>
      <w:r w:rsidRPr="00ED6163">
        <w:rPr>
          <w:i/>
        </w:rPr>
        <w:t xml:space="preserve">Id. </w:t>
      </w:r>
      <w:r w:rsidRPr="00ED6163">
        <w:t>at 2.</w:t>
      </w:r>
    </w:p>
  </w:footnote>
  <w:footnote w:id="28">
    <w:p w:rsidR="00252A4C" w:rsidRPr="00ED6163" w:rsidP="00D60B92" w14:paraId="1BDF916A" w14:textId="77777777">
      <w:pPr>
        <w:pStyle w:val="FootnoteText"/>
      </w:pPr>
      <w:r w:rsidRPr="00ED6163">
        <w:rPr>
          <w:rStyle w:val="FootnoteReference"/>
        </w:rPr>
        <w:footnoteRef/>
      </w:r>
      <w:r w:rsidRPr="00ED6163">
        <w:t xml:space="preserve"> </w:t>
      </w:r>
      <w:r w:rsidRPr="00ED6163">
        <w:rPr>
          <w:i/>
        </w:rPr>
        <w:t xml:space="preserve">See </w:t>
      </w:r>
      <w:r w:rsidRPr="00ED6163">
        <w:t xml:space="preserve">NTCA Apr. 30, 2019 </w:t>
      </w:r>
      <w:r w:rsidRPr="00ED6163">
        <w:rPr>
          <w:i/>
        </w:rPr>
        <w:t>Ex Parte</w:t>
      </w:r>
      <w:r w:rsidRPr="00ED6163">
        <w:t xml:space="preserve"> Letter at 5 (arguing that “the Commission should take steps to standardize how providers assess the scope of their coverage”).</w:t>
      </w:r>
    </w:p>
  </w:footnote>
  <w:footnote w:id="29">
    <w:p w:rsidR="00252A4C" w:rsidRPr="00ED6163" w:rsidP="00D60B92" w14:paraId="6ADA4621" w14:textId="77777777">
      <w:pPr>
        <w:pStyle w:val="FootnoteText"/>
      </w:pPr>
      <w:r w:rsidRPr="00ED6163">
        <w:rPr>
          <w:rStyle w:val="FootnoteReference"/>
        </w:rPr>
        <w:footnoteRef/>
      </w:r>
      <w:r w:rsidRPr="00ED6163">
        <w:t xml:space="preserve"> </w:t>
      </w:r>
      <w:r w:rsidRPr="00ED6163">
        <w:rPr>
          <w:i/>
        </w:rPr>
        <w:t>See</w:t>
      </w:r>
      <w:r w:rsidRPr="00ED6163">
        <w:t xml:space="preserve"> Letter from Thomas Cohen and J. Br</w:t>
      </w:r>
      <w:r w:rsidRPr="00ED6163">
        <w:t xml:space="preserve">adford Currier, Counsel to ACA, to Marlene H. Dortch, Secretary, FCC, WC Docket No. 11-10, at 6 (filed Oct. 19, 2018) (ACA Oct. 19, 2018 </w:t>
      </w:r>
      <w:r w:rsidRPr="00ED6163">
        <w:rPr>
          <w:i/>
        </w:rPr>
        <w:t>Ex Parte</w:t>
      </w:r>
      <w:r w:rsidRPr="00ED6163">
        <w:t xml:space="preserve"> Letter (urging the FCC to give providers flexibility in determining whether service is available, as opposed t</w:t>
      </w:r>
      <w:r w:rsidRPr="00ED6163">
        <w:t>o the FCC providing detailed, prescriptive rules); Verizon Comments at 11 (asserting that “each broadband provider is likely to rely on its own, similarly complex systems and approaches in making its own predictions concerning availability”).</w:t>
      </w:r>
    </w:p>
  </w:footnote>
  <w:footnote w:id="30">
    <w:p w:rsidR="00252A4C" w:rsidRPr="00ED6163" w:rsidP="00D60B92" w14:paraId="52C149C9" w14:textId="77777777">
      <w:pPr>
        <w:pStyle w:val="FootnoteText"/>
      </w:pPr>
      <w:r w:rsidRPr="00ED6163">
        <w:rPr>
          <w:rStyle w:val="FootnoteReference"/>
        </w:rPr>
        <w:footnoteRef/>
      </w:r>
      <w:r w:rsidRPr="00ED6163">
        <w:t xml:space="preserve"> NCTA disagr</w:t>
      </w:r>
      <w:r w:rsidRPr="00ED6163">
        <w:t xml:space="preserve">ees with delegating directly to USAC the creation of a new online portal to handle the Digital Opportunity Data Collection.  </w:t>
      </w:r>
      <w:r w:rsidRPr="00ED6163">
        <w:rPr>
          <w:i/>
        </w:rPr>
        <w:t xml:space="preserve">See </w:t>
      </w:r>
      <w:r w:rsidRPr="00ED6163">
        <w:t>Letter from Steven F. Morris, Vice President &amp; Deputy General Counsel, NCTA, to Marlene H. Dortch, Secretary, FCC, WC Docket No</w:t>
      </w:r>
      <w:r w:rsidRPr="00ED6163">
        <w:t>s. 11-10</w:t>
      </w:r>
      <w:r>
        <w:t>,</w:t>
      </w:r>
      <w:r w:rsidRPr="00ED6163">
        <w:t xml:space="preserve"> 19-195, at 2 (filed July 18, 2019) (NCTA July 18, 2019 </w:t>
      </w:r>
      <w:r w:rsidRPr="00ED6163">
        <w:rPr>
          <w:i/>
        </w:rPr>
        <w:t>Ex Parte</w:t>
      </w:r>
      <w:r w:rsidRPr="00ED6163">
        <w:t xml:space="preserve"> Letter).  However, the Commission has taken this approach in similar situations, and we find that this is the most efficient way of establishing and administering the new collection.</w:t>
      </w:r>
      <w:r w:rsidRPr="00ED6163">
        <w:t xml:space="preserve">  </w:t>
      </w:r>
      <w:r w:rsidRPr="00ED6163">
        <w:rPr>
          <w:i/>
        </w:rPr>
        <w:t xml:space="preserve">See, e.g., Connect America Fund et al., </w:t>
      </w:r>
      <w:r w:rsidRPr="00ED6163">
        <w:t>WC Docket No. 10-90 et al.,</w:t>
      </w:r>
      <w:r w:rsidRPr="00ED6163">
        <w:rPr>
          <w:i/>
        </w:rPr>
        <w:t xml:space="preserve"> </w:t>
      </w:r>
      <w:r w:rsidRPr="00ED6163">
        <w:t>Report and Order and Order on Reconsideration, and Further Notice of Proposed Rulemaking, 31 FCC Rcd 3087, 3117, 3156, 3166, paras. 79, 186, 214 (2016) (directing USAC, working with WCB,</w:t>
      </w:r>
      <w:r w:rsidRPr="00ED6163">
        <w:t xml:space="preserve"> to develop an online portal to enable carriers to submit geocoded locations as part of the CAF-II process).  In addition, while we intend for USAC’s establishment of the new online portals to be as transparent as possible, we decline the requests of USTel</w:t>
      </w:r>
      <w:r w:rsidRPr="00ED6163">
        <w:t xml:space="preserve">ecom and ITTA that we require </w:t>
      </w:r>
      <w:r>
        <w:t>a notice-and-comment-like process for</w:t>
      </w:r>
      <w:r w:rsidRPr="00ED6163">
        <w:t xml:space="preserve"> development.  </w:t>
      </w:r>
      <w:r w:rsidRPr="00ED6163">
        <w:rPr>
          <w:i/>
        </w:rPr>
        <w:t xml:space="preserve">See </w:t>
      </w:r>
      <w:r w:rsidRPr="00ED6163">
        <w:t>Letter from B. Lynn Follansbee, Vice President – Policy and Advocacy, USTelecom, to Marlene H. Dortch, Secretary, FCC, WC Docket No</w:t>
      </w:r>
      <w:r>
        <w:t>s</w:t>
      </w:r>
      <w:r w:rsidRPr="00ED6163">
        <w:t>. 11-10 et al., at 2 (filed July 22, 2</w:t>
      </w:r>
      <w:r w:rsidRPr="00ED6163">
        <w:t xml:space="preserve">019) (USTelecom July 22, 2019 </w:t>
      </w:r>
      <w:r w:rsidRPr="00ED6163">
        <w:rPr>
          <w:i/>
        </w:rPr>
        <w:t>Ex Parte</w:t>
      </w:r>
      <w:r w:rsidRPr="00ED6163">
        <w:t xml:space="preserve"> Letter); Letter from Mike Saperstein, Vice President, Policy &amp; Advocacy, USTelecom, to Marlene Dortch, Secretary, FCC, WC Docket No</w:t>
      </w:r>
      <w:r>
        <w:t>s</w:t>
      </w:r>
      <w:r w:rsidRPr="00ED6163">
        <w:t xml:space="preserve">. 11-10 et al., at 2 (filed July 23, 2019) (BMC July 23, 2019 </w:t>
      </w:r>
      <w:r w:rsidRPr="00ED6163">
        <w:rPr>
          <w:i/>
        </w:rPr>
        <w:t>Ex Parte</w:t>
      </w:r>
      <w:r w:rsidRPr="00ED6163">
        <w:t xml:space="preserve"> Letter); Lette</w:t>
      </w:r>
      <w:r w:rsidRPr="00ED6163">
        <w:t>r from Genevieve Morelli, President, ITTA, to Marlene H. Dortch, Secretary, FCC, WC Docket Nos. 11-10</w:t>
      </w:r>
      <w:r>
        <w:t>,</w:t>
      </w:r>
      <w:r w:rsidRPr="00ED6163">
        <w:t xml:space="preserve"> 19-195, at 2 (filed July 24, 2019) (ITTA July 24, 2019 </w:t>
      </w:r>
      <w:r w:rsidRPr="00ED6163">
        <w:rPr>
          <w:i/>
        </w:rPr>
        <w:t>Ex Parte</w:t>
      </w:r>
      <w:r w:rsidRPr="00ED6163">
        <w:t xml:space="preserve"> Letter).  Rather than mandating </w:t>
      </w:r>
      <w:r>
        <w:t xml:space="preserve">a particular means of gathering </w:t>
      </w:r>
      <w:r w:rsidRPr="00ED6163">
        <w:t>public input, we anticipa</w:t>
      </w:r>
      <w:r w:rsidRPr="00ED6163">
        <w:t xml:space="preserve">te instead that there will be industry outreach before the portals are established to gain practical input on the collection process. </w:t>
      </w:r>
    </w:p>
  </w:footnote>
  <w:footnote w:id="31">
    <w:p w:rsidR="00252A4C" w:rsidRPr="00ED6163" w:rsidP="00D60B92" w14:paraId="5C389024" w14:textId="77777777">
      <w:pPr>
        <w:pStyle w:val="FootnoteText"/>
      </w:pPr>
      <w:r w:rsidRPr="00ED6163">
        <w:rPr>
          <w:rStyle w:val="FootnoteReference"/>
        </w:rPr>
        <w:footnoteRef/>
      </w:r>
      <w:r w:rsidRPr="00ED6163">
        <w:t xml:space="preserve"> In the context of reporting fixed broadband deployment data, parties in the record have referred to GIS file formats as</w:t>
      </w:r>
      <w:r w:rsidRPr="00ED6163">
        <w:t xml:space="preserve"> a “shapefile” collection.  However, shapefiles are just one possible GIS file format, albeit one that is widely used.  </w:t>
      </w:r>
      <w:r w:rsidRPr="00ED6163">
        <w:rPr>
          <w:i/>
        </w:rPr>
        <w:t xml:space="preserve">See </w:t>
      </w:r>
      <w:r w:rsidRPr="00ED6163">
        <w:t>Letter from B. Lynn Follansbee, Vice President – Law &amp; Policy, USTelecom, Michael J. Jacobs, Vice President Regulatory Affairs, ITTA</w:t>
      </w:r>
      <w:r w:rsidRPr="00ED6163">
        <w:t xml:space="preserve">, and Claude Aiken, President &amp; CEO, WISPA, to Marlene H. Dortch, Secretary, FCC, </w:t>
      </w:r>
      <w:r>
        <w:t xml:space="preserve">WC Docket Nos. 11-10, 10-90, </w:t>
      </w:r>
      <w:r w:rsidRPr="00ED6163">
        <w:t xml:space="preserve">at 2 (filed Apr. 12, 2019) (BMC Apr. 12, 2019 </w:t>
      </w:r>
      <w:r w:rsidRPr="00ED6163">
        <w:rPr>
          <w:i/>
        </w:rPr>
        <w:t>Ex Parte</w:t>
      </w:r>
      <w:r w:rsidRPr="00ED6163">
        <w:t xml:space="preserve"> Letter) (“A shapefile is a container for a number of other data files such as, in the case of a coverage area, the geometric (e.g., polygons) and geographical (e.g., latitude and longitude) information needed to render the data in a map.”).  As noted, we </w:t>
      </w:r>
      <w:r w:rsidRPr="00ED6163">
        <w:t xml:space="preserve">direct OEA to set the GIS file format(s) and data type that it ultimately determines are most advantageous for broadband reporting, while taking into account the potential burdens on filers.  </w:t>
      </w:r>
      <w:r w:rsidRPr="00ED6163">
        <w:rPr>
          <w:i/>
        </w:rPr>
        <w:t xml:space="preserve">See </w:t>
      </w:r>
      <w:r w:rsidRPr="00ED6163">
        <w:t>Letter from Thomas Cohen and J. Bradford Currier, Counsel to</w:t>
      </w:r>
      <w:r w:rsidRPr="00ED6163">
        <w:t xml:space="preserve"> ACA Connects, to Marlene Dortch, Secretary, FCC, WC Docket Nos. 11-10 et al., at 6 (filed July 24, 2019) (ACA July 24, 2019 </w:t>
      </w:r>
      <w:r w:rsidRPr="00ED6163">
        <w:rPr>
          <w:i/>
        </w:rPr>
        <w:t>Ex Parte</w:t>
      </w:r>
      <w:r w:rsidRPr="00ED6163">
        <w:t xml:space="preserve"> Letter) (advocating that OEA take into account the burdens on smaller fixed providers when establishing the format(s) for </w:t>
      </w:r>
      <w:r w:rsidRPr="00ED6163">
        <w:t xml:space="preserve">the polygons).  We find that OEA’s adoption of these rules would comply with the requirements of the APA.  </w:t>
      </w:r>
      <w:r w:rsidRPr="00ED6163">
        <w:rPr>
          <w:i/>
        </w:rPr>
        <w:t>See, e.g.</w:t>
      </w:r>
      <w:r w:rsidRPr="00ED6163">
        <w:t xml:space="preserve">, </w:t>
      </w:r>
      <w:r w:rsidRPr="00ED6163">
        <w:rPr>
          <w:i/>
        </w:rPr>
        <w:t>Connect America Fund Universal Service Reform – Mobility Fund</w:t>
      </w:r>
      <w:r w:rsidRPr="00ED6163">
        <w:t>, WC Docket No. 10-90, WT Docket No. 10-208, Order on Reconsideration and Sec</w:t>
      </w:r>
      <w:r w:rsidRPr="00ED6163">
        <w:t>ond Report and Order, 32 FCC Rcd 6282, 6298, para. 33 (2017).</w:t>
      </w:r>
    </w:p>
  </w:footnote>
  <w:footnote w:id="32">
    <w:p w:rsidR="00252A4C" w:rsidRPr="00ED6163" w:rsidP="00D60B92" w14:paraId="00FE930B" w14:textId="77777777">
      <w:pPr>
        <w:pStyle w:val="FootnoteText"/>
      </w:pPr>
      <w:r w:rsidRPr="00ED6163">
        <w:rPr>
          <w:rStyle w:val="FootnoteReference"/>
        </w:rPr>
        <w:footnoteRef/>
      </w:r>
      <w:r w:rsidRPr="00ED6163">
        <w:t xml:space="preserve"> We decline USTelecom’s requested clarification that “the first shapefile submission would be due at the later of six months after the portal is ready or once GIS compatibility standards are decided upon.”  USTelecom July 22, 2019 </w:t>
      </w:r>
      <w:r w:rsidRPr="00ED6163">
        <w:rPr>
          <w:i/>
        </w:rPr>
        <w:t>Ex Parte</w:t>
      </w:r>
      <w:r w:rsidRPr="00ED6163">
        <w:t xml:space="preserve"> Letter at 2; </w:t>
      </w:r>
      <w:r w:rsidRPr="00ED6163">
        <w:rPr>
          <w:i/>
        </w:rPr>
        <w:t>see</w:t>
      </w:r>
      <w:r w:rsidRPr="00ED6163">
        <w:rPr>
          <w:i/>
        </w:rPr>
        <w:t xml:space="preserve"> also </w:t>
      </w:r>
      <w:r w:rsidRPr="00ED6163">
        <w:t xml:space="preserve">BMC July 23, 2019 </w:t>
      </w:r>
      <w:r w:rsidRPr="00ED6163">
        <w:rPr>
          <w:i/>
        </w:rPr>
        <w:t>Ex Parte</w:t>
      </w:r>
      <w:r w:rsidRPr="00ED6163">
        <w:t xml:space="preserve"> Letter at 1; ITTA July 24, 2019 Ex Parte Letter at 2.  Practically speaking, the new collection platform will not be available for use until after the filing specifics have been established, and we direct </w:t>
      </w:r>
      <w:r>
        <w:t>OEA</w:t>
      </w:r>
      <w:r w:rsidRPr="00ED6163">
        <w:t xml:space="preserve"> to take that i</w:t>
      </w:r>
      <w:r w:rsidRPr="00ED6163">
        <w:t xml:space="preserve">nto account in establishing the initial filing deadline. </w:t>
      </w:r>
    </w:p>
  </w:footnote>
  <w:footnote w:id="33">
    <w:p w:rsidR="00252A4C" w:rsidRPr="00ED6163" w:rsidP="00D60B92" w14:paraId="415BB7EE" w14:textId="77777777">
      <w:pPr>
        <w:pStyle w:val="FootnoteText"/>
      </w:pPr>
      <w:r w:rsidRPr="00ED6163">
        <w:rPr>
          <w:rStyle w:val="FootnoteReference"/>
        </w:rPr>
        <w:footnoteRef/>
      </w:r>
      <w:r w:rsidRPr="00ED6163">
        <w:t xml:space="preserve"> </w:t>
      </w:r>
      <w:r w:rsidRPr="00ED6163">
        <w:rPr>
          <w:i/>
        </w:rPr>
        <w:t xml:space="preserve">See, e.g., </w:t>
      </w:r>
      <w:r w:rsidRPr="00ED6163">
        <w:t xml:space="preserve">NCTA July 18, 2019 </w:t>
      </w:r>
      <w:r w:rsidRPr="00ED6163">
        <w:rPr>
          <w:i/>
        </w:rPr>
        <w:t>Ex Parte</w:t>
      </w:r>
      <w:r w:rsidRPr="00ED6163">
        <w:t xml:space="preserve"> Letter at 2 (“the Commission should clarify that a provider that upgrades the speeds it offers to consumers should report such an upgrade in the same way tha</w:t>
      </w:r>
      <w:r w:rsidRPr="00ED6163">
        <w:t>t it would report a new deployment of broadband facilities”).</w:t>
      </w:r>
    </w:p>
  </w:footnote>
  <w:footnote w:id="34">
    <w:p w:rsidR="00252A4C" w:rsidRPr="00ED6163" w:rsidP="00D60B92" w14:paraId="76AC025F" w14:textId="77777777">
      <w:pPr>
        <w:pStyle w:val="FootnoteText"/>
      </w:pPr>
      <w:r w:rsidRPr="00ED6163">
        <w:rPr>
          <w:rStyle w:val="FootnoteReference"/>
        </w:rPr>
        <w:footnoteRef/>
      </w:r>
      <w:r w:rsidRPr="00ED6163">
        <w:t xml:space="preserve"> We decline USTelecom’s suggestion that we align collection dates for the Digital Opportunity Data Collection with the filing deadlines for Form 477.  USTelecom July 22, 2019 </w:t>
      </w:r>
      <w:r w:rsidRPr="00ED6163">
        <w:rPr>
          <w:i/>
        </w:rPr>
        <w:t>Ex Parte</w:t>
      </w:r>
      <w:r w:rsidRPr="00ED6163">
        <w:t xml:space="preserve"> Letter at</w:t>
      </w:r>
      <w:r w:rsidRPr="00ED6163">
        <w:t xml:space="preserve"> 2.  USTelecom argues that for large companies that deploy new locations frequently, the filing requirements in the Digital Opportunity Data Collection “would result in a more frequent and burdensome reporting cycle.”  </w:t>
      </w:r>
      <w:r w:rsidRPr="00ED6163">
        <w:rPr>
          <w:i/>
        </w:rPr>
        <w:t>Id</w:t>
      </w:r>
      <w:r w:rsidRPr="00ED6163">
        <w:t xml:space="preserve">.  However, our requirement is for </w:t>
      </w:r>
      <w:r w:rsidRPr="00ED6163">
        <w:t>fixed providers to report on any changes within six months after they occur.  Filers could</w:t>
      </w:r>
      <w:r>
        <w:t xml:space="preserve"> generally</w:t>
      </w:r>
      <w:r w:rsidRPr="00ED6163">
        <w:t xml:space="preserve"> batch their changes together in six-month increments, resulting in two updated filings per year–effectively the same burden as for Form 477 filers.</w:t>
      </w:r>
    </w:p>
  </w:footnote>
  <w:footnote w:id="35">
    <w:p w:rsidR="00252A4C" w:rsidRPr="00ED6163" w:rsidP="00D60B92" w14:paraId="3FE3E4CE" w14:textId="77777777">
      <w:pPr>
        <w:pStyle w:val="FootnoteText"/>
      </w:pPr>
      <w:r w:rsidRPr="00ED6163">
        <w:rPr>
          <w:rStyle w:val="FootnoteReference"/>
        </w:rPr>
        <w:footnoteRef/>
      </w:r>
      <w:r w:rsidRPr="00ED6163">
        <w:t xml:space="preserve"> We al</w:t>
      </w:r>
      <w:r w:rsidRPr="00ED6163">
        <w:t xml:space="preserve">so seek comment in the </w:t>
      </w:r>
      <w:r w:rsidRPr="00ED6163">
        <w:rPr>
          <w:i/>
        </w:rPr>
        <w:t xml:space="preserve">Second Notice </w:t>
      </w:r>
      <w:r w:rsidRPr="00ED6163">
        <w:t>regarding the timing and extent to which fixed providers must update their Digital Opportunity Data Collection filings based on crowdsourced input.</w:t>
      </w:r>
    </w:p>
  </w:footnote>
  <w:footnote w:id="36">
    <w:p w:rsidR="00252A4C" w:rsidRPr="00ED6163" w:rsidP="00D60B92" w14:paraId="24CD9B10" w14:textId="77777777">
      <w:pPr>
        <w:pStyle w:val="FootnoteText"/>
      </w:pPr>
      <w:r w:rsidRPr="00ED6163">
        <w:rPr>
          <w:rStyle w:val="FootnoteReference"/>
        </w:rPr>
        <w:footnoteRef/>
      </w:r>
      <w:r w:rsidRPr="00ED6163">
        <w:t xml:space="preserve"> ACA July 24, 2019 </w:t>
      </w:r>
      <w:r w:rsidRPr="00ED6163">
        <w:rPr>
          <w:i/>
        </w:rPr>
        <w:t>Ex Parte</w:t>
      </w:r>
      <w:r w:rsidRPr="00ED6163">
        <w:t xml:space="preserve"> Letter at 6 (advocating that very small fi</w:t>
      </w:r>
      <w:r w:rsidRPr="00ED6163">
        <w:t>xed providers have additional time to file their initial reports and receive assistance from WCB in filing their reports).</w:t>
      </w:r>
    </w:p>
  </w:footnote>
  <w:footnote w:id="37">
    <w:p w:rsidR="00252A4C" w:rsidRPr="00ED6163" w:rsidP="00D60B92" w14:paraId="7EC281AF" w14:textId="77777777">
      <w:pPr>
        <w:pStyle w:val="FootnoteText"/>
      </w:pPr>
      <w:r w:rsidRPr="00ED6163">
        <w:rPr>
          <w:rStyle w:val="FootnoteReference"/>
        </w:rPr>
        <w:footnoteRef/>
      </w:r>
      <w:r w:rsidRPr="00ED6163">
        <w:t xml:space="preserve"> Letter from Steven F. Morris, Vice President &amp; Deputy General Counsel, NCTA, to Marlene H. Dortch, Secretary, FCC, WC Docket No. 11</w:t>
      </w:r>
      <w:r w:rsidRPr="00ED6163">
        <w:t xml:space="preserve">-10, at 4 (filed Apr. 10, 2019) (NCTA Apr. 10, 2019 </w:t>
      </w:r>
      <w:r w:rsidRPr="00ED6163">
        <w:rPr>
          <w:i/>
        </w:rPr>
        <w:t>Ex Parte</w:t>
      </w:r>
      <w:r w:rsidRPr="00ED6163">
        <w:t xml:space="preserve"> Letter) (“[I]n a regime with shapefile-based reporting, consumers should have a greater expectation that areas identified as served are, in fact, served.  A crowdsourcing tool would enable consum</w:t>
      </w:r>
      <w:r w:rsidRPr="00ED6163">
        <w:t>ers to report concerns about areas that they believe are incorrectly reported as served.”).</w:t>
      </w:r>
    </w:p>
  </w:footnote>
  <w:footnote w:id="38">
    <w:p w:rsidR="00252A4C" w:rsidRPr="00ED6163" w:rsidP="00D60B92" w14:paraId="06F624B8" w14:textId="77777777">
      <w:pPr>
        <w:pStyle w:val="FootnoteText"/>
      </w:pPr>
      <w:r w:rsidRPr="00ED6163">
        <w:rPr>
          <w:rStyle w:val="FootnoteReference"/>
        </w:rPr>
        <w:footnoteRef/>
      </w:r>
      <w:r w:rsidRPr="00ED6163">
        <w:t xml:space="preserve"> </w:t>
      </w:r>
      <w:r w:rsidRPr="00ED6163">
        <w:rPr>
          <w:i/>
        </w:rPr>
        <w:t xml:space="preserve">See </w:t>
      </w:r>
      <w:r w:rsidRPr="00ED6163">
        <w:t>47 CFR § 0.457(f).</w:t>
      </w:r>
    </w:p>
  </w:footnote>
  <w:footnote w:id="39">
    <w:p w:rsidR="00252A4C" w:rsidRPr="00ED6163" w:rsidP="00D60B92" w14:paraId="2BEB49FD" w14:textId="77777777">
      <w:pPr>
        <w:pStyle w:val="FootnoteText"/>
      </w:pPr>
      <w:r w:rsidRPr="00ED6163">
        <w:rPr>
          <w:rStyle w:val="FootnoteReference"/>
        </w:rPr>
        <w:footnoteRef/>
      </w:r>
      <w:r w:rsidRPr="00ED6163">
        <w:t xml:space="preserve"> </w:t>
      </w:r>
      <w:r w:rsidRPr="00ED6163">
        <w:rPr>
          <w:i/>
        </w:rPr>
        <w:t xml:space="preserve">See </w:t>
      </w:r>
      <w:r w:rsidRPr="00ED6163">
        <w:t>ACA Reply at 2; WTA Reply at 2; AT&amp;T Reply at 2; WISPA Reply at 1-4; Sacred Wind Communications Comments at 1-2; Lightower Comments a</w:t>
      </w:r>
      <w:r w:rsidRPr="00ED6163">
        <w:t>t 5; Verizon Comments at 10-13; Comcast Comments at 10-11; GCI Comments at 4; Alaska Communications Comments at 4-5.</w:t>
      </w:r>
    </w:p>
  </w:footnote>
  <w:footnote w:id="40">
    <w:p w:rsidR="00252A4C" w:rsidRPr="00ED6163" w:rsidP="00D60B92" w14:paraId="7C8229A7" w14:textId="77777777">
      <w:pPr>
        <w:pStyle w:val="FootnoteText"/>
      </w:pPr>
      <w:r w:rsidRPr="00ED6163">
        <w:rPr>
          <w:rStyle w:val="FootnoteReference"/>
        </w:rPr>
        <w:footnoteRef/>
      </w:r>
      <w:r w:rsidRPr="00ED6163">
        <w:t xml:space="preserve"> </w:t>
      </w:r>
      <w:r w:rsidRPr="00ED6163">
        <w:rPr>
          <w:i/>
        </w:rPr>
        <w:t>See, e.g.</w:t>
      </w:r>
      <w:r w:rsidRPr="00ED6163">
        <w:t xml:space="preserve">, Connected Nation May 17, 2019 </w:t>
      </w:r>
      <w:r w:rsidRPr="00ED6163">
        <w:rPr>
          <w:i/>
        </w:rPr>
        <w:t xml:space="preserve">Ex Parte </w:t>
      </w:r>
      <w:r w:rsidRPr="00ED6163">
        <w:t>Letter at 2 (“implementing a shapefile-based reporting regime is reasonable and less bu</w:t>
      </w:r>
      <w:r w:rsidRPr="00ED6163">
        <w:t xml:space="preserve">rdensome than some alternatives, particularly considering that providers already incur some costs to provide the Commission with Form 477 data”); NCTA May 3, 2019 </w:t>
      </w:r>
      <w:r w:rsidRPr="00ED6163">
        <w:rPr>
          <w:i/>
        </w:rPr>
        <w:t xml:space="preserve">Ex Parte </w:t>
      </w:r>
      <w:r w:rsidRPr="00ED6163">
        <w:t>Letter at 1 (“By requiring submitted shapefiles to be based on each provider’s servi</w:t>
      </w:r>
      <w:r w:rsidRPr="00ED6163">
        <w:t>ce area, NCTA’s proposal would address the problem of unserved areas being inaccurately treated as served if they are located within served census blocks.”); Letter from Rosa Mendoza, President &amp; CEO, ALLvanza, to Marlene H. Dortch, Secretary, FCC, WC Dock</w:t>
      </w:r>
      <w:r w:rsidRPr="00ED6163">
        <w:t>et No</w:t>
      </w:r>
      <w:r>
        <w:t>s</w:t>
      </w:r>
      <w:r w:rsidRPr="00ED6163">
        <w:t xml:space="preserve">. 11-10 et al., at 2 (filed May 23, 2019) (ALLvanza May 23, 2019 </w:t>
      </w:r>
      <w:r w:rsidRPr="00ED6163">
        <w:rPr>
          <w:i/>
        </w:rPr>
        <w:t xml:space="preserve">Ex Parte </w:t>
      </w:r>
      <w:r w:rsidRPr="00ED6163">
        <w:t xml:space="preserve">Letter) (“NCTA’s proposal would fix many of the issues with reporting and mapping in an efficient and timely manner.”); WISPA Oct. 22, 2018 </w:t>
      </w:r>
      <w:r w:rsidRPr="00ED6163">
        <w:rPr>
          <w:i/>
        </w:rPr>
        <w:t>Ex Parte</w:t>
      </w:r>
      <w:r w:rsidRPr="00ED6163">
        <w:t xml:space="preserve"> Letter at 3</w:t>
      </w:r>
      <w:r w:rsidRPr="00ED6163">
        <w:rPr>
          <w:rFonts w:eastAsia="Calibri"/>
        </w:rPr>
        <w:t xml:space="preserve"> (</w:t>
      </w:r>
      <w:r w:rsidRPr="00ED6163">
        <w:t>contending tha</w:t>
      </w:r>
      <w:r w:rsidRPr="00ED6163">
        <w:t xml:space="preserve">t </w:t>
      </w:r>
      <w:r w:rsidRPr="00ED6163">
        <w:rPr>
          <w:rFonts w:eastAsia="Calibri"/>
        </w:rPr>
        <w:t xml:space="preserve">geospatial data (polygons of coverage submitted via GIS files) would provide more accurate deployment data for broadband services, especially in rural areas); Viasat July 16, 2018 </w:t>
      </w:r>
      <w:r w:rsidRPr="00ED6163">
        <w:rPr>
          <w:rFonts w:eastAsia="Calibri"/>
          <w:i/>
        </w:rPr>
        <w:t>Ex Parte</w:t>
      </w:r>
      <w:r w:rsidRPr="00ED6163">
        <w:rPr>
          <w:rFonts w:eastAsia="Calibri"/>
        </w:rPr>
        <w:t xml:space="preserve"> Letter at 1-2 (“The GIS shapefile would provide an efficient way </w:t>
      </w:r>
      <w:r w:rsidRPr="00ED6163">
        <w:rPr>
          <w:rFonts w:eastAsia="Calibri"/>
        </w:rPr>
        <w:t>to succinctly capture coverage over broad geographic areas without the burden of listing every census block within that area.”)</w:t>
      </w:r>
      <w:r w:rsidRPr="00ED6163">
        <w:t>.</w:t>
      </w:r>
    </w:p>
  </w:footnote>
  <w:footnote w:id="41">
    <w:p w:rsidR="00252A4C" w:rsidRPr="00ED6163" w:rsidP="00D60B92" w14:paraId="2884D518" w14:textId="77777777">
      <w:pPr>
        <w:pStyle w:val="FootnoteText"/>
      </w:pPr>
      <w:r w:rsidRPr="00ED6163">
        <w:rPr>
          <w:rStyle w:val="FootnoteReference"/>
        </w:rPr>
        <w:footnoteRef/>
      </w:r>
      <w:r w:rsidRPr="00ED6163">
        <w:t xml:space="preserve"> NCTA May 3, 2019 </w:t>
      </w:r>
      <w:r w:rsidRPr="00ED6163">
        <w:rPr>
          <w:i/>
        </w:rPr>
        <w:t>Ex Parte</w:t>
      </w:r>
      <w:r w:rsidRPr="00ED6163">
        <w:t xml:space="preserve"> Letter at 3 (italics in original); </w:t>
      </w:r>
      <w:r w:rsidRPr="00ED6163">
        <w:rPr>
          <w:i/>
        </w:rPr>
        <w:t xml:space="preserve">see also </w:t>
      </w:r>
      <w:r w:rsidRPr="00ED6163">
        <w:t xml:space="preserve">Letter from C. Douglas Jarrett, Counsel to NRECA, to </w:t>
      </w:r>
      <w:r w:rsidRPr="00ED6163">
        <w:t>Marlene H. Dortch, Secretary, FCC, WC Docket No. 11-10, at 1 (filed Mar. 7, 2019) (“</w:t>
      </w:r>
      <w:r w:rsidRPr="00ED6163">
        <w:rPr>
          <w:rFonts w:eastAsia="Calibri"/>
        </w:rPr>
        <w:t>NRECA is deeply concerned with potentially significant overstatement of fixed broadband deployment as a result of the current Form 477 Guidelines.”)</w:t>
      </w:r>
      <w:r w:rsidRPr="00ED6163">
        <w:t>.</w:t>
      </w:r>
    </w:p>
  </w:footnote>
  <w:footnote w:id="42">
    <w:p w:rsidR="00252A4C" w:rsidRPr="00ED6163" w:rsidP="00D60B92" w14:paraId="0AEFC314" w14:textId="77777777">
      <w:pPr>
        <w:pStyle w:val="FootnoteText"/>
      </w:pPr>
      <w:r w:rsidRPr="00ED6163">
        <w:rPr>
          <w:rStyle w:val="FootnoteReference"/>
        </w:rPr>
        <w:footnoteRef/>
      </w:r>
      <w:r w:rsidRPr="00ED6163">
        <w:t xml:space="preserve"> </w:t>
      </w:r>
      <w:r w:rsidRPr="00ED6163">
        <w:rPr>
          <w:i/>
        </w:rPr>
        <w:t xml:space="preserve">See </w:t>
      </w:r>
      <w:r w:rsidRPr="00ED6163">
        <w:t>Letter from S. D</w:t>
      </w:r>
      <w:r w:rsidRPr="00ED6163">
        <w:t xml:space="preserve">erek Turner, Research Director, Free Press, to Marlene H. Dortch, Secretary, FCC, WC Docket No. 11-10, at 7 (filed July 11, 2019) (Free Press July 11, 2019 </w:t>
      </w:r>
      <w:r w:rsidRPr="00ED6163">
        <w:rPr>
          <w:i/>
        </w:rPr>
        <w:t xml:space="preserve">Ex Parte </w:t>
      </w:r>
      <w:r w:rsidRPr="00ED6163">
        <w:t>Letter) (“To be sure, there is likely a need for the Commission to modify its reporting sta</w:t>
      </w:r>
      <w:r w:rsidRPr="00ED6163">
        <w:t>ndard for rural area deployment to collect more granular data.  Such changes will improve the efficiency and effectiveness of its USF program and other rural-focused deployment efforts.”);</w:t>
      </w:r>
      <w:r w:rsidRPr="00947E6A">
        <w:t xml:space="preserve"> </w:t>
      </w:r>
      <w:r w:rsidRPr="00ED6163">
        <w:rPr>
          <w:rFonts w:eastAsia="Calibri"/>
        </w:rPr>
        <w:t>Letter from Mark Klausner, President, Board of Directors, and Joe M</w:t>
      </w:r>
      <w:r w:rsidRPr="00ED6163">
        <w:rPr>
          <w:rFonts w:eastAsia="Calibri"/>
        </w:rPr>
        <w:t xml:space="preserve">attingley, General Manager, The Galena Territory Association, Inc., to FCC Commissioners, WC Docket No. 11-10, at 2 (filed Nov. 9, 2017) (Galena Territory Nov. 9, 2017 </w:t>
      </w:r>
      <w:r w:rsidRPr="00ED6163">
        <w:rPr>
          <w:rFonts w:eastAsia="Calibri"/>
          <w:i/>
        </w:rPr>
        <w:t>Ex Parte</w:t>
      </w:r>
      <w:r w:rsidRPr="00ED6163">
        <w:rPr>
          <w:rFonts w:eastAsia="Calibri"/>
        </w:rPr>
        <w:t xml:space="preserve"> Letter).</w:t>
      </w:r>
    </w:p>
  </w:footnote>
  <w:footnote w:id="43">
    <w:p w:rsidR="00252A4C" w:rsidRPr="00ED6163" w:rsidP="00D60B92" w14:paraId="2B1B8313" w14:textId="77777777">
      <w:pPr>
        <w:pStyle w:val="FootnoteText"/>
      </w:pPr>
      <w:r w:rsidRPr="00ED6163">
        <w:rPr>
          <w:rStyle w:val="FootnoteReference"/>
        </w:rPr>
        <w:footnoteRef/>
      </w:r>
      <w:r w:rsidRPr="00ED6163">
        <w:t xml:space="preserve"> We seek comment in the </w:t>
      </w:r>
      <w:r w:rsidRPr="00ED6163">
        <w:rPr>
          <w:i/>
        </w:rPr>
        <w:t xml:space="preserve">Second Notice </w:t>
      </w:r>
      <w:r w:rsidRPr="00ED6163">
        <w:t>regarding an appropriate sunset</w:t>
      </w:r>
      <w:r w:rsidRPr="00ED6163">
        <w:t xml:space="preserve"> date for the Form 477 fixed broadband deployment collection.  </w:t>
      </w:r>
      <w:r w:rsidRPr="00ED6163">
        <w:rPr>
          <w:i/>
        </w:rPr>
        <w:t xml:space="preserve">See </w:t>
      </w:r>
      <w:r w:rsidRPr="00ED6163">
        <w:t xml:space="preserve">NCTA July 18, 2019 </w:t>
      </w:r>
      <w:r w:rsidRPr="00ED6163">
        <w:rPr>
          <w:i/>
        </w:rPr>
        <w:t>Ex Parte</w:t>
      </w:r>
      <w:r w:rsidRPr="00ED6163">
        <w:t xml:space="preserve"> Letter at 2 (“it would be helpful for the Commission to specify a sunset date for reporting broadband availability on a census block basis on the current Form 47</w:t>
      </w:r>
      <w:r w:rsidRPr="00ED6163">
        <w:t>7”).</w:t>
      </w:r>
    </w:p>
  </w:footnote>
  <w:footnote w:id="44">
    <w:p w:rsidR="00252A4C" w:rsidRPr="00947E6A" w:rsidP="00D60B92" w14:paraId="59803B34" w14:textId="77777777">
      <w:pPr>
        <w:pStyle w:val="FootnoteText"/>
      </w:pPr>
      <w:r w:rsidRPr="00ED6163">
        <w:rPr>
          <w:rStyle w:val="FootnoteReference"/>
        </w:rPr>
        <w:footnoteRef/>
      </w:r>
      <w:r w:rsidRPr="00947E6A">
        <w:t xml:space="preserve"> </w:t>
      </w:r>
      <w:r w:rsidRPr="00947E6A">
        <w:rPr>
          <w:i/>
        </w:rPr>
        <w:t>See, e.g.</w:t>
      </w:r>
      <w:r w:rsidRPr="00947E6A">
        <w:t>,</w:t>
      </w:r>
      <w:r w:rsidRPr="00947E6A">
        <w:rPr>
          <w:i/>
        </w:rPr>
        <w:t xml:space="preserve"> </w:t>
      </w:r>
      <w:r w:rsidRPr="00947E6A">
        <w:t xml:space="preserve">NCTA Apr. 10, 2019 </w:t>
      </w:r>
      <w:r w:rsidRPr="00947E6A">
        <w:rPr>
          <w:i/>
        </w:rPr>
        <w:t>Ex Parte</w:t>
      </w:r>
      <w:r w:rsidRPr="00947E6A">
        <w:t xml:space="preserve"> Letter at 4-5 (recommending that “for an interim period” the FCC calculate the number of homes served in a census block both using GIS-based polygons as well as the current approach that assumes a partially-ser</w:t>
      </w:r>
      <w:r w:rsidRPr="00947E6A">
        <w:t>ved census block is fully served in order to monitor “year-to-year trends in deployment that are not associated with the shift in reporting methods</w:t>
      </w:r>
      <w:r w:rsidRPr="00ED6163">
        <w:t xml:space="preserve">”); Free Press July 11, 2019 </w:t>
      </w:r>
      <w:r w:rsidRPr="00ED6163">
        <w:rPr>
          <w:i/>
        </w:rPr>
        <w:t xml:space="preserve">Ex Parte </w:t>
      </w:r>
      <w:r w:rsidRPr="00ED6163">
        <w:t>Letter at 9 (“retaining the ability to analyze the data at the Census b</w:t>
      </w:r>
      <w:r w:rsidRPr="00ED6163">
        <w:t xml:space="preserve">lock-level will both maintain comparability to years worth of historical data and continue to facilitate rich analysis”); INCOMPAS July 24, 2019 </w:t>
      </w:r>
      <w:r w:rsidRPr="00ED6163">
        <w:rPr>
          <w:i/>
        </w:rPr>
        <w:t>Ex Parte</w:t>
      </w:r>
      <w:r w:rsidRPr="00ED6163">
        <w:t xml:space="preserve"> Letter at 2 (supporting the continued importance of data collected on Form 477).</w:t>
      </w:r>
    </w:p>
  </w:footnote>
  <w:footnote w:id="45">
    <w:p w:rsidR="00252A4C" w:rsidRPr="00ED6163" w:rsidP="00D60B92" w14:paraId="276C28C9" w14:textId="77777777">
      <w:pPr>
        <w:pStyle w:val="FootnoteText"/>
        <w:rPr>
          <w:i/>
        </w:rPr>
      </w:pPr>
      <w:r w:rsidRPr="00ED6163">
        <w:rPr>
          <w:rStyle w:val="FootnoteReference"/>
        </w:rPr>
        <w:footnoteRef/>
      </w:r>
      <w:r w:rsidRPr="00ED6163">
        <w:t xml:space="preserve"> </w:t>
      </w:r>
      <w:r w:rsidRPr="00ED6163">
        <w:rPr>
          <w:i/>
        </w:rPr>
        <w:t xml:space="preserve">See </w:t>
      </w:r>
      <w:r w:rsidRPr="00ED6163">
        <w:t>NTCA Apr. 30, 2</w:t>
      </w:r>
      <w:r w:rsidRPr="00ED6163">
        <w:t xml:space="preserve">019 </w:t>
      </w:r>
      <w:r w:rsidRPr="00ED6163">
        <w:rPr>
          <w:i/>
        </w:rPr>
        <w:t xml:space="preserve">Ex Parte </w:t>
      </w:r>
      <w:r w:rsidRPr="00ED6163">
        <w:t xml:space="preserve">Letter at 3; Letter from Steven F. Morris, Vice President &amp; Associate General Counsel, NCTA, to Marlene H. Dortch, Secretary, FCC, WC Docket No. 11-10, at 1 (filed Feb. 27, 2019) (NCTA Feb. 27, 2019 </w:t>
      </w:r>
      <w:r w:rsidRPr="00ED6163">
        <w:rPr>
          <w:i/>
        </w:rPr>
        <w:t xml:space="preserve">Ex Parte </w:t>
      </w:r>
      <w:r w:rsidRPr="00ED6163">
        <w:t>Letter); Letter from Elizabeth Andr</w:t>
      </w:r>
      <w:r w:rsidRPr="00ED6163">
        <w:t xml:space="preserve">ion, Senior Vice President, Regulatory Affairs, Charter, to Marlene H. Dortch, Secretary, FCC, WC Docket No. 11-10, at 1-2 (filed Mar. 18, 2019) (Charter Mar. 18, 2019 </w:t>
      </w:r>
      <w:r w:rsidRPr="00ED6163">
        <w:rPr>
          <w:i/>
        </w:rPr>
        <w:t>Ex Parte</w:t>
      </w:r>
      <w:r w:rsidRPr="00ED6163">
        <w:t xml:space="preserve"> Letter); Letter from Tim Stelzig, Federal Regulatory Attorney, General Communic</w:t>
      </w:r>
      <w:r w:rsidRPr="00ED6163">
        <w:t xml:space="preserve">ation, Inc., to Marlene H. Dortch, Secretary, FCC, WC Docket No. 11-10, at 1 (filed Feb. 28, 2019) (GCI Feb. 28, 2019 </w:t>
      </w:r>
      <w:r w:rsidRPr="00ED6163">
        <w:rPr>
          <w:i/>
        </w:rPr>
        <w:t xml:space="preserve">Ex Parte </w:t>
      </w:r>
      <w:r w:rsidRPr="00ED6163">
        <w:t>Letter) (“Shapefiles are used in multiple other contexts which demonstrates that any technical and operational challenges could b</w:t>
      </w:r>
      <w:r w:rsidRPr="00ED6163">
        <w:t xml:space="preserve">e overcome.”); U.S. Dep’t of Agriculture, RUS Broadband Mapping Tool Help Guide, at 16 (June 25, 2015), </w:t>
      </w:r>
      <w:hyperlink r:id="rId3" w:history="1">
        <w:r w:rsidRPr="00ED6163">
          <w:rPr>
            <w:rStyle w:val="Hyperlink"/>
          </w:rPr>
          <w:t>https://broadbandsearch.sc.egov.usda.gov/bsa/servlet/resource</w:t>
        </w:r>
        <w:r w:rsidRPr="00ED6163">
          <w:rPr>
            <w:rStyle w:val="Hyperlink"/>
          </w:rPr>
          <w:t>s/BSAHelp.pdf</w:t>
        </w:r>
      </w:hyperlink>
      <w:r w:rsidRPr="00ED6163">
        <w:t xml:space="preserve"> (indicating that various RUS programs require submission of service area maps as GIS file polygons); </w:t>
      </w:r>
      <w:r w:rsidRPr="00ED6163">
        <w:rPr>
          <w:i/>
        </w:rPr>
        <w:t xml:space="preserve">FCC Form 477 Instructions </w:t>
      </w:r>
      <w:r w:rsidRPr="00ED6163">
        <w:t>at 26 (indicating that mobile voice deployment requires the submission of polygons in a shapefile format).</w:t>
      </w:r>
    </w:p>
  </w:footnote>
  <w:footnote w:id="46">
    <w:p w:rsidR="00252A4C" w:rsidRPr="00ED6163" w:rsidP="00D60B92" w14:paraId="7B657A43" w14:textId="77777777">
      <w:pPr>
        <w:pStyle w:val="FootnoteText"/>
      </w:pPr>
      <w:r w:rsidRPr="00ED6163">
        <w:rPr>
          <w:rStyle w:val="FootnoteReference"/>
        </w:rPr>
        <w:footnoteRef/>
      </w:r>
      <w:r w:rsidRPr="00ED6163">
        <w:t xml:space="preserve"> Connec</w:t>
      </w:r>
      <w:r w:rsidRPr="00ED6163">
        <w:t xml:space="preserve">ted Nation May 17, 2019 </w:t>
      </w:r>
      <w:r w:rsidRPr="00ED6163">
        <w:rPr>
          <w:i/>
        </w:rPr>
        <w:t xml:space="preserve">Ex Parte </w:t>
      </w:r>
      <w:r w:rsidRPr="00ED6163">
        <w:t>Letter at 2 (pointing</w:t>
      </w:r>
      <w:r w:rsidRPr="00ED6163">
        <w:rPr>
          <w:rFonts w:eastAsia="Calibri"/>
        </w:rPr>
        <w:t xml:space="preserve"> to the generation of GIS files for clients in 16 states and Puerto Rico).</w:t>
      </w:r>
    </w:p>
  </w:footnote>
  <w:footnote w:id="47">
    <w:p w:rsidR="00252A4C" w:rsidRPr="00ED6163" w:rsidP="00D60B92" w14:paraId="7F1054F9" w14:textId="77777777">
      <w:pPr>
        <w:pStyle w:val="FootnoteText"/>
      </w:pPr>
      <w:r w:rsidRPr="00ED6163">
        <w:rPr>
          <w:rStyle w:val="FootnoteReference"/>
        </w:rPr>
        <w:footnoteRef/>
      </w:r>
      <w:r w:rsidRPr="00ED6163">
        <w:t xml:space="preserve"> </w:t>
      </w:r>
      <w:r w:rsidRPr="00ED6163">
        <w:rPr>
          <w:i/>
        </w:rPr>
        <w:t>Id.</w:t>
      </w:r>
      <w:r w:rsidRPr="00ED6163">
        <w:t xml:space="preserve"> at 2.</w:t>
      </w:r>
    </w:p>
  </w:footnote>
  <w:footnote w:id="48">
    <w:p w:rsidR="00252A4C" w:rsidRPr="00ED6163" w:rsidP="00D60B92" w14:paraId="3098BF62" w14:textId="77777777">
      <w:pPr>
        <w:pStyle w:val="FootnoteText"/>
      </w:pPr>
      <w:r w:rsidRPr="00ED6163">
        <w:rPr>
          <w:rStyle w:val="FootnoteReference"/>
        </w:rPr>
        <w:footnoteRef/>
      </w:r>
      <w:r w:rsidRPr="00ED6163">
        <w:t xml:space="preserve"> </w:t>
      </w:r>
      <w:r w:rsidRPr="00ED6163">
        <w:rPr>
          <w:i/>
        </w:rPr>
        <w:t xml:space="preserve">See </w:t>
      </w:r>
      <w:r w:rsidRPr="00ED6163">
        <w:t xml:space="preserve">Letter from Brent Legg, Vice President, Government Affairs, Connected Nation, to Marlene H. Dortch, </w:t>
      </w:r>
      <w:r w:rsidRPr="00ED6163">
        <w:t>Secretary, FCC, WC Docket Nos. 11-10</w:t>
      </w:r>
      <w:r>
        <w:t>,</w:t>
      </w:r>
      <w:r w:rsidRPr="00ED6163">
        <w:t xml:space="preserve"> 19-195, at 1-2 (filed July 25, 2019) (Connected Nation July 25, 2019 </w:t>
      </w:r>
      <w:r w:rsidRPr="00ED6163">
        <w:rPr>
          <w:i/>
        </w:rPr>
        <w:t>Ex Parte</w:t>
      </w:r>
      <w:r w:rsidRPr="00ED6163">
        <w:t xml:space="preserve"> Letter).</w:t>
      </w:r>
    </w:p>
  </w:footnote>
  <w:footnote w:id="49">
    <w:p w:rsidR="00252A4C" w:rsidRPr="00ED6163" w:rsidP="00D60B92" w14:paraId="6EF2CDDE" w14:textId="77777777">
      <w:pPr>
        <w:pStyle w:val="FootnoteText"/>
      </w:pPr>
      <w:r w:rsidRPr="00ED6163">
        <w:rPr>
          <w:rStyle w:val="FootnoteReference"/>
        </w:rPr>
        <w:footnoteRef/>
      </w:r>
      <w:r w:rsidRPr="00ED6163">
        <w:t xml:space="preserve"> We also seek comment in the </w:t>
      </w:r>
      <w:r w:rsidRPr="00ED6163">
        <w:rPr>
          <w:i/>
        </w:rPr>
        <w:t xml:space="preserve">Second Notice </w:t>
      </w:r>
      <w:r w:rsidRPr="00ED6163">
        <w:t>on the best ways for the Commission and USAC to provide assistance to fixed providers i</w:t>
      </w:r>
      <w:r w:rsidRPr="00ED6163">
        <w:t>n complying with the new collection’s filing requirements.</w:t>
      </w:r>
    </w:p>
  </w:footnote>
  <w:footnote w:id="50">
    <w:p w:rsidR="00252A4C" w:rsidRPr="00ED6163" w:rsidP="00D60B92" w14:paraId="73D0B17C" w14:textId="77777777">
      <w:pPr>
        <w:pStyle w:val="FootnoteText"/>
      </w:pPr>
      <w:r w:rsidRPr="00ED6163">
        <w:rPr>
          <w:rStyle w:val="FootnoteReference"/>
        </w:rPr>
        <w:footnoteRef/>
      </w:r>
      <w:r w:rsidRPr="00ED6163">
        <w:t xml:space="preserve"> </w:t>
      </w:r>
      <w:r w:rsidRPr="00ED6163">
        <w:rPr>
          <w:i/>
        </w:rPr>
        <w:t xml:space="preserve">See </w:t>
      </w:r>
      <w:r w:rsidRPr="00ED6163">
        <w:t xml:space="preserve">BMC Apr. 12, 2019 </w:t>
      </w:r>
      <w:r w:rsidRPr="00ED6163">
        <w:rPr>
          <w:i/>
        </w:rPr>
        <w:t>Ex Parte</w:t>
      </w:r>
      <w:r w:rsidRPr="00ED6163">
        <w:t xml:space="preserve"> Letter at 3-4.</w:t>
      </w:r>
    </w:p>
  </w:footnote>
  <w:footnote w:id="51">
    <w:p w:rsidR="00252A4C" w:rsidRPr="00ED6163" w:rsidP="00D60B92" w14:paraId="2835DB5C" w14:textId="77777777">
      <w:pPr>
        <w:pStyle w:val="FootnoteText"/>
      </w:pPr>
      <w:r w:rsidRPr="00ED6163">
        <w:rPr>
          <w:rStyle w:val="FootnoteReference"/>
        </w:rPr>
        <w:footnoteRef/>
      </w:r>
      <w:r w:rsidRPr="00ED6163">
        <w:t xml:space="preserve"> </w:t>
      </w:r>
      <w:r w:rsidRPr="00ED6163">
        <w:rPr>
          <w:i/>
        </w:rPr>
        <w:t xml:space="preserve">See </w:t>
      </w:r>
      <w:r w:rsidRPr="00ED6163">
        <w:t xml:space="preserve">Letter from Chris Barron, Regulatory Director, Alexicon, to Marlene H. Dortch, Secretary, FCC, WC Docket No. 11-10, at 1 (filed July 18, 2019) </w:t>
      </w:r>
      <w:r w:rsidRPr="00ED6163">
        <w:t xml:space="preserve">(Alexicon July 18, 2019 </w:t>
      </w:r>
      <w:r w:rsidRPr="00ED6163">
        <w:rPr>
          <w:i/>
        </w:rPr>
        <w:t>Ex Parte</w:t>
      </w:r>
      <w:r w:rsidRPr="00ED6163">
        <w:t xml:space="preserve"> Letter) (according to Alexicon, this margin of error “should provide a reasonable balance between the accuracy needed and the burden placed on those reporting”).</w:t>
      </w:r>
    </w:p>
  </w:footnote>
  <w:footnote w:id="52">
    <w:p w:rsidR="00252A4C" w:rsidRPr="00ED6163" w:rsidP="00D60B92" w14:paraId="352D0EE5" w14:textId="77777777">
      <w:pPr>
        <w:pStyle w:val="FootnoteText"/>
      </w:pPr>
      <w:r w:rsidRPr="00ED6163">
        <w:rPr>
          <w:rStyle w:val="FootnoteReference"/>
        </w:rPr>
        <w:footnoteRef/>
      </w:r>
      <w:r w:rsidRPr="00ED6163">
        <w:t xml:space="preserve"> </w:t>
      </w:r>
      <w:r w:rsidRPr="00ED6163">
        <w:rPr>
          <w:i/>
        </w:rPr>
        <w:t xml:space="preserve">See </w:t>
      </w:r>
      <w:r w:rsidRPr="00ED6163">
        <w:t xml:space="preserve">NCTA May 3, 2019 </w:t>
      </w:r>
      <w:r w:rsidRPr="00ED6163">
        <w:rPr>
          <w:i/>
        </w:rPr>
        <w:t>Ex Parte</w:t>
      </w:r>
      <w:r w:rsidRPr="00ED6163">
        <w:t xml:space="preserve"> Letter at 1 (supporting crowd</w:t>
      </w:r>
      <w:r w:rsidRPr="00ED6163">
        <w:t>sourcing to supplement the verification process and to create a permanent feedback loop designed to continually improve the accuracy of broadband mapping); Letter from C. Douglas Jarrett, Counsel to NRECA, to Marlene H. Dortch, Secretary, FCC, WC Docket No</w:t>
      </w:r>
      <w:r w:rsidRPr="00ED6163">
        <w:t>. 11-10, at 2 (filed Feb. 28, 2019).</w:t>
      </w:r>
    </w:p>
  </w:footnote>
  <w:footnote w:id="53">
    <w:p w:rsidR="00252A4C" w:rsidRPr="00ED6163" w:rsidP="00D60B92" w14:paraId="1CA1430E" w14:textId="77777777">
      <w:pPr>
        <w:pStyle w:val="FootnoteText"/>
      </w:pPr>
      <w:r w:rsidRPr="00ED6163">
        <w:rPr>
          <w:rStyle w:val="FootnoteReference"/>
        </w:rPr>
        <w:footnoteRef/>
      </w:r>
      <w:r w:rsidRPr="00ED6163">
        <w:t xml:space="preserve"> We note NTCA’s request to “require that providers report the availability of fixed voice service at the same level of granularity as they are required to report broadband service availability.”  NTCA July 23, 2019 Ex </w:t>
      </w:r>
      <w:r w:rsidRPr="00ED6163">
        <w:t>Parte Letter at 3.  However, we do not collect fixed voice availability data on the Form 477</w:t>
      </w:r>
      <w:r>
        <w:t>,</w:t>
      </w:r>
      <w:r w:rsidRPr="00ED6163">
        <w:t xml:space="preserve"> </w:t>
      </w:r>
      <w:r>
        <w:rPr>
          <w:i/>
        </w:rPr>
        <w:t>s</w:t>
      </w:r>
      <w:r w:rsidRPr="00ED6163">
        <w:rPr>
          <w:i/>
        </w:rPr>
        <w:t>ee 2013 Form 477 Order</w:t>
      </w:r>
      <w:r w:rsidRPr="00ED6163">
        <w:t>, 28 FCC Rcd at 9912, para. 51</w:t>
      </w:r>
      <w:r>
        <w:t>, and focus the Digital Opportunity Data Collection squarely on our most pressing need—more granular broadban</w:t>
      </w:r>
      <w:r>
        <w:t>d deployment data</w:t>
      </w:r>
      <w:r w:rsidRPr="00ED6163">
        <w:t>.</w:t>
      </w:r>
    </w:p>
  </w:footnote>
  <w:footnote w:id="54">
    <w:p w:rsidR="00252A4C" w:rsidRPr="00ED6163" w:rsidP="00D60B92" w14:paraId="71963E15" w14:textId="77777777">
      <w:pPr>
        <w:pStyle w:val="FootnoteText"/>
      </w:pPr>
      <w:r w:rsidRPr="00ED6163">
        <w:rPr>
          <w:rStyle w:val="FootnoteReference"/>
        </w:rPr>
        <w:footnoteRef/>
      </w:r>
      <w:r w:rsidRPr="00ED6163">
        <w:t xml:space="preserve"> NTCA Apr. 30, 2019 </w:t>
      </w:r>
      <w:r w:rsidRPr="00ED6163">
        <w:rPr>
          <w:i/>
        </w:rPr>
        <w:t>Ex Parte</w:t>
      </w:r>
      <w:r w:rsidRPr="00ED6163">
        <w:t xml:space="preserve"> Letter at 6 (asserting that “the migration toward more granular maps . . . should help in focusing and narrowing challenges much more than they are today when entire census blocks are reported as served even</w:t>
      </w:r>
      <w:r w:rsidRPr="00ED6163">
        <w:t xml:space="preserve"> though all involved know that is not the case”); </w:t>
      </w:r>
      <w:r w:rsidRPr="00ED6163">
        <w:rPr>
          <w:i/>
        </w:rPr>
        <w:t xml:space="preserve">see also </w:t>
      </w:r>
      <w:r w:rsidRPr="00ED6163">
        <w:t xml:space="preserve">NCTA Apr. 10, 2019 </w:t>
      </w:r>
      <w:r w:rsidRPr="00ED6163">
        <w:rPr>
          <w:i/>
        </w:rPr>
        <w:t>Ex Parte</w:t>
      </w:r>
      <w:r w:rsidRPr="00ED6163">
        <w:t xml:space="preserve"> Letter at 4 (“[I]n a regime with shapefile-based reporting, consumers should have a greater expectation that areas identified as served are, in fact, served. A crowdsour</w:t>
      </w:r>
      <w:r w:rsidRPr="00ED6163">
        <w:t>cing tool would enable consumers to report concerns about areas that they believe are incorrectly reported as served.”).</w:t>
      </w:r>
    </w:p>
  </w:footnote>
  <w:footnote w:id="55">
    <w:p w:rsidR="00252A4C" w:rsidRPr="00ED6163" w:rsidP="00D60B92" w14:paraId="2BD8AF34" w14:textId="77777777">
      <w:pPr>
        <w:pStyle w:val="FootnoteText"/>
      </w:pPr>
      <w:r w:rsidRPr="00ED6163">
        <w:rPr>
          <w:rStyle w:val="FootnoteReference"/>
        </w:rPr>
        <w:footnoteRef/>
      </w:r>
      <w:r w:rsidRPr="00ED6163">
        <w:t xml:space="preserve"> NTCA Apr. 30, 2019 </w:t>
      </w:r>
      <w:r w:rsidRPr="00ED6163">
        <w:rPr>
          <w:i/>
        </w:rPr>
        <w:t>Ex Parte</w:t>
      </w:r>
      <w:r w:rsidRPr="00ED6163">
        <w:t xml:space="preserve"> Letter at 7.</w:t>
      </w:r>
    </w:p>
  </w:footnote>
  <w:footnote w:id="56">
    <w:p w:rsidR="00252A4C" w:rsidRPr="00ED6163" w:rsidP="00D60B92" w14:paraId="32C6363B" w14:textId="77777777">
      <w:pPr>
        <w:pStyle w:val="FootnoteText"/>
      </w:pPr>
      <w:r w:rsidRPr="00ED6163">
        <w:rPr>
          <w:rStyle w:val="FootnoteReference"/>
        </w:rPr>
        <w:footnoteRef/>
      </w:r>
      <w:r w:rsidRPr="00ED6163">
        <w:t xml:space="preserve"> Letter from B. Lynn Follansbee, Vice President – Policy &amp; Advocacy, USTelecom, to Marlene </w:t>
      </w:r>
      <w:r w:rsidRPr="00ED6163">
        <w:t>H. Dortch, Secretary, FCC, WC Docket Nos. 10-90</w:t>
      </w:r>
      <w:r>
        <w:t>,</w:t>
      </w:r>
      <w:r w:rsidRPr="00ED6163">
        <w:t xml:space="preserve"> 11-10, at 3-4 (filed May 28, 2019) (BMC May 28, 2019 </w:t>
      </w:r>
      <w:r w:rsidRPr="00ED6163">
        <w:rPr>
          <w:i/>
        </w:rPr>
        <w:t xml:space="preserve">Ex Parte </w:t>
      </w:r>
      <w:r w:rsidRPr="00ED6163">
        <w:t>Letter)</w:t>
      </w:r>
      <w:r w:rsidRPr="00ED6163">
        <w:rPr>
          <w:rFonts w:eastAsia="Calibri"/>
        </w:rPr>
        <w:t xml:space="preserve">; </w:t>
      </w:r>
      <w:r w:rsidRPr="00ED6163">
        <w:t>Letter from Thomas Cohen and J. Bradford Currier, Counsel to ACA, to Marlene H. Dortch, Secretary, FCC, WC Docket No. 11-10, at 2 (filed</w:t>
      </w:r>
      <w:r w:rsidRPr="00ED6163">
        <w:t xml:space="preserve"> Feb. 25, 2019) (</w:t>
      </w:r>
      <w:r w:rsidRPr="00ED6163">
        <w:rPr>
          <w:rFonts w:eastAsia="Calibri"/>
        </w:rPr>
        <w:t xml:space="preserve">ACA Feb. 25, 2019 </w:t>
      </w:r>
      <w:r w:rsidRPr="00ED6163">
        <w:rPr>
          <w:rFonts w:eastAsia="Calibri"/>
          <w:i/>
        </w:rPr>
        <w:t>Ex Parte</w:t>
      </w:r>
      <w:r w:rsidRPr="00ED6163">
        <w:rPr>
          <w:rFonts w:eastAsia="Calibri"/>
        </w:rPr>
        <w:t xml:space="preserve"> Letter) (arguing that GIS files are less precise in identifying specific locations).</w:t>
      </w:r>
    </w:p>
  </w:footnote>
  <w:footnote w:id="57">
    <w:p w:rsidR="00252A4C" w:rsidRPr="00ED6163" w:rsidP="00D60B92" w14:paraId="791B5530" w14:textId="77777777">
      <w:pPr>
        <w:pStyle w:val="FootnoteText"/>
      </w:pPr>
      <w:r w:rsidRPr="00ED6163">
        <w:rPr>
          <w:rStyle w:val="FootnoteReference"/>
        </w:rPr>
        <w:footnoteRef/>
      </w:r>
      <w:r w:rsidRPr="00ED6163">
        <w:t xml:space="preserve"> </w:t>
      </w:r>
      <w:r w:rsidRPr="00ED6163">
        <w:rPr>
          <w:i/>
        </w:rPr>
        <w:t xml:space="preserve">See </w:t>
      </w:r>
      <w:r w:rsidRPr="00ED6163">
        <w:t>BMC</w:t>
      </w:r>
      <w:r w:rsidRPr="00ED6163">
        <w:rPr>
          <w:i/>
        </w:rPr>
        <w:t xml:space="preserve"> </w:t>
      </w:r>
      <w:r w:rsidRPr="00ED6163">
        <w:t xml:space="preserve">May 28, 2019 </w:t>
      </w:r>
      <w:r w:rsidRPr="00ED6163">
        <w:rPr>
          <w:i/>
        </w:rPr>
        <w:t>Ex Parte</w:t>
      </w:r>
      <w:r w:rsidRPr="00ED6163">
        <w:t xml:space="preserve"> Letter at 3.</w:t>
      </w:r>
    </w:p>
  </w:footnote>
  <w:footnote w:id="58">
    <w:p w:rsidR="00252A4C" w:rsidRPr="00ED6163" w:rsidP="00D60B92" w14:paraId="28A017E3" w14:textId="77777777">
      <w:pPr>
        <w:pStyle w:val="FootnoteText"/>
      </w:pPr>
      <w:r w:rsidRPr="00ED6163">
        <w:rPr>
          <w:rStyle w:val="FootnoteReference"/>
        </w:rPr>
        <w:footnoteRef/>
      </w:r>
      <w:r w:rsidRPr="00ED6163">
        <w:t xml:space="preserve"> </w:t>
      </w:r>
      <w:r w:rsidRPr="00ED6163">
        <w:rPr>
          <w:i/>
        </w:rPr>
        <w:t xml:space="preserve">See </w:t>
      </w:r>
      <w:r w:rsidRPr="00ED6163">
        <w:t xml:space="preserve">Connected Nation May 17, 2019 </w:t>
      </w:r>
      <w:r w:rsidRPr="00ED6163">
        <w:rPr>
          <w:i/>
        </w:rPr>
        <w:t xml:space="preserve">Ex Parte </w:t>
      </w:r>
      <w:r w:rsidRPr="00ED6163">
        <w:t xml:space="preserve">Letter at 2; Charter Mar. 18, 2019 </w:t>
      </w:r>
      <w:r w:rsidRPr="00ED6163">
        <w:rPr>
          <w:i/>
        </w:rPr>
        <w:t>Ex Parte</w:t>
      </w:r>
      <w:r w:rsidRPr="00ED6163">
        <w:t xml:space="preserve"> Letter at 1.</w:t>
      </w:r>
    </w:p>
  </w:footnote>
  <w:footnote w:id="59">
    <w:p w:rsidR="00252A4C" w:rsidRPr="00ED6163" w:rsidP="00D60B92" w14:paraId="20C12646" w14:textId="77777777">
      <w:pPr>
        <w:pStyle w:val="FootnoteText"/>
      </w:pPr>
      <w:r w:rsidRPr="00ED6163">
        <w:rPr>
          <w:rStyle w:val="FootnoteReference"/>
        </w:rPr>
        <w:footnoteRef/>
      </w:r>
      <w:r w:rsidRPr="00ED6163">
        <w:t xml:space="preserve"> </w:t>
      </w:r>
      <w:r w:rsidRPr="00ED6163">
        <w:rPr>
          <w:i/>
        </w:rPr>
        <w:t xml:space="preserve">See </w:t>
      </w:r>
      <w:r w:rsidRPr="00ED6163">
        <w:t xml:space="preserve">Connected Nation May 17, 2019 </w:t>
      </w:r>
      <w:r w:rsidRPr="00ED6163">
        <w:rPr>
          <w:i/>
        </w:rPr>
        <w:t xml:space="preserve">Ex Parte </w:t>
      </w:r>
      <w:r w:rsidRPr="00ED6163">
        <w:t xml:space="preserve">Letter at 2; NCTA May 3, 2019 </w:t>
      </w:r>
      <w:r w:rsidRPr="00ED6163">
        <w:rPr>
          <w:i/>
        </w:rPr>
        <w:t xml:space="preserve">Ex Parte </w:t>
      </w:r>
      <w:r w:rsidRPr="00ED6163">
        <w:t>Letter at 2.</w:t>
      </w:r>
    </w:p>
  </w:footnote>
  <w:footnote w:id="60">
    <w:p w:rsidR="00252A4C" w:rsidRPr="00ED6163" w:rsidP="00D60B92" w14:paraId="2CE617DC" w14:textId="77777777">
      <w:pPr>
        <w:pStyle w:val="FootnoteText"/>
      </w:pPr>
      <w:r w:rsidRPr="00ED6163">
        <w:rPr>
          <w:rStyle w:val="FootnoteReference"/>
        </w:rPr>
        <w:footnoteRef/>
      </w:r>
      <w:r w:rsidRPr="00ED6163">
        <w:t xml:space="preserve"> </w:t>
      </w:r>
      <w:r w:rsidRPr="00ED6163">
        <w:rPr>
          <w:i/>
        </w:rPr>
        <w:t xml:space="preserve">See </w:t>
      </w:r>
      <w:r w:rsidRPr="00ED6163">
        <w:t xml:space="preserve">Charter Mar. 18, 2019 </w:t>
      </w:r>
      <w:r w:rsidRPr="00ED6163">
        <w:rPr>
          <w:i/>
        </w:rPr>
        <w:t>Ex Parte</w:t>
      </w:r>
      <w:r w:rsidRPr="00ED6163">
        <w:t xml:space="preserve"> Letter at 1-2; GCI Feb. 28, 2019 </w:t>
      </w:r>
      <w:r w:rsidRPr="00ED6163">
        <w:rPr>
          <w:i/>
        </w:rPr>
        <w:t xml:space="preserve">Ex Parte </w:t>
      </w:r>
      <w:r w:rsidRPr="00ED6163">
        <w:t xml:space="preserve">Letter at 1 (arguing that a polygon approach “would allow </w:t>
      </w:r>
      <w:r w:rsidRPr="00ED6163">
        <w:t xml:space="preserve">the Commission relatively quickly to significantly improve the accuracy of its broadband coverage data”); ALLvanza May 23, 2019 </w:t>
      </w:r>
      <w:r w:rsidRPr="00ED6163">
        <w:rPr>
          <w:i/>
        </w:rPr>
        <w:t xml:space="preserve">Ex Parte </w:t>
      </w:r>
      <w:r w:rsidRPr="00ED6163">
        <w:t xml:space="preserve">Letter at 2; NCTA Feb. 27, 2019 </w:t>
      </w:r>
      <w:r w:rsidRPr="00ED6163">
        <w:rPr>
          <w:i/>
        </w:rPr>
        <w:t>Ex Parte</w:t>
      </w:r>
      <w:r w:rsidRPr="00ED6163">
        <w:t xml:space="preserve"> Letter at 2 (arguing that a GIS file-based approach “could lead to improved re</w:t>
      </w:r>
      <w:r w:rsidRPr="00ED6163">
        <w:t>porting and mapping as early as next year,” while the location-based proposals “would require the Commission to engage in a costly and time-consuming exercise to create a database of every address in America before improved data would be collected”).</w:t>
      </w:r>
    </w:p>
  </w:footnote>
  <w:footnote w:id="61">
    <w:p w:rsidR="00252A4C" w:rsidRPr="00ED6163" w:rsidP="00D60B92" w14:paraId="122E10E4" w14:textId="77777777">
      <w:pPr>
        <w:pStyle w:val="FootnoteText"/>
      </w:pPr>
      <w:r w:rsidRPr="00ED6163">
        <w:rPr>
          <w:rStyle w:val="FootnoteReference"/>
        </w:rPr>
        <w:footnoteRef/>
      </w:r>
      <w:r w:rsidRPr="00ED6163">
        <w:t xml:space="preserve"> Connected Nation May 17, 2019 </w:t>
      </w:r>
      <w:r w:rsidRPr="00ED6163">
        <w:rPr>
          <w:i/>
        </w:rPr>
        <w:t xml:space="preserve">Ex Parte </w:t>
      </w:r>
      <w:r w:rsidRPr="00ED6163">
        <w:t xml:space="preserve">Letter at 2; </w:t>
      </w:r>
      <w:r w:rsidRPr="00ED6163">
        <w:rPr>
          <w:i/>
        </w:rPr>
        <w:t xml:space="preserve">see also </w:t>
      </w:r>
      <w:r w:rsidRPr="00ED6163">
        <w:t xml:space="preserve">NCTA Feb. 27, 2019 </w:t>
      </w:r>
      <w:r w:rsidRPr="00ED6163">
        <w:rPr>
          <w:i/>
        </w:rPr>
        <w:t>Ex Parte</w:t>
      </w:r>
      <w:r w:rsidRPr="00ED6163">
        <w:t xml:space="preserve"> Letter at 2 (stating that “NCTA’s shapefile-based approach could lead to improved reporting and mapping as early as next year,” while other proposals to revamp Form 4</w:t>
      </w:r>
      <w:r w:rsidRPr="00ED6163">
        <w:t>77 would “create a serious risk that the Commission will not have improved broadband data when Connect America Fund (CAF) Phase II model-based funding ends beginning in 2020”).</w:t>
      </w:r>
    </w:p>
  </w:footnote>
  <w:footnote w:id="62">
    <w:p w:rsidR="00252A4C" w:rsidRPr="00ED6163" w:rsidP="00D60B92" w14:paraId="0C4AB6A0" w14:textId="77777777">
      <w:pPr>
        <w:pStyle w:val="FootnoteText"/>
      </w:pPr>
      <w:r w:rsidRPr="00ED6163">
        <w:rPr>
          <w:rStyle w:val="FootnoteReference"/>
        </w:rPr>
        <w:footnoteRef/>
      </w:r>
      <w:r w:rsidRPr="00ED6163">
        <w:t xml:space="preserve"> </w:t>
      </w:r>
      <w:r w:rsidRPr="00ED6163">
        <w:rPr>
          <w:i/>
        </w:rPr>
        <w:t xml:space="preserve">See </w:t>
      </w:r>
      <w:r w:rsidRPr="00ED6163">
        <w:t xml:space="preserve">NCTA May 3, 2019 </w:t>
      </w:r>
      <w:r w:rsidRPr="00ED6163">
        <w:rPr>
          <w:i/>
        </w:rPr>
        <w:t xml:space="preserve">Ex Parte </w:t>
      </w:r>
      <w:r w:rsidRPr="00ED6163">
        <w:t>Letter at 2.</w:t>
      </w:r>
    </w:p>
  </w:footnote>
  <w:footnote w:id="63">
    <w:p w:rsidR="00252A4C" w:rsidRPr="00947E6A" w:rsidP="00D60B92" w14:paraId="294CC9A8" w14:textId="77777777">
      <w:pPr>
        <w:pStyle w:val="FootnoteText"/>
      </w:pPr>
      <w:r w:rsidRPr="00ED6163">
        <w:rPr>
          <w:rStyle w:val="FootnoteReference"/>
        </w:rPr>
        <w:footnoteRef/>
      </w:r>
      <w:r w:rsidRPr="00ED6163">
        <w:t xml:space="preserve"> NTIA </w:t>
      </w:r>
      <w:r w:rsidRPr="00ED6163">
        <w:rPr>
          <w:i/>
        </w:rPr>
        <w:t>Ex Parte</w:t>
      </w:r>
      <w:r w:rsidRPr="00ED6163">
        <w:t xml:space="preserve"> at 7, 10; </w:t>
      </w:r>
      <w:r w:rsidRPr="00ED6163">
        <w:rPr>
          <w:i/>
        </w:rPr>
        <w:t>see also</w:t>
      </w:r>
      <w:r w:rsidRPr="00ED6163">
        <w:t xml:space="preserve"> Free Press July 11, 2019 </w:t>
      </w:r>
      <w:r w:rsidRPr="00ED6163">
        <w:rPr>
          <w:i/>
        </w:rPr>
        <w:t xml:space="preserve">Ex Parte </w:t>
      </w:r>
      <w:r w:rsidRPr="00ED6163">
        <w:t>Letter at 8, 10 (“a key to analysis reform is maintaining full public access to the underlying data”).</w:t>
      </w:r>
    </w:p>
  </w:footnote>
  <w:footnote w:id="64">
    <w:p w:rsidR="00252A4C" w:rsidRPr="00ED6163" w:rsidP="00D60B92" w14:paraId="01E0E7FC" w14:textId="77777777">
      <w:pPr>
        <w:pStyle w:val="FootnoteText"/>
      </w:pPr>
      <w:r w:rsidRPr="00ED6163">
        <w:rPr>
          <w:rStyle w:val="FootnoteReference"/>
        </w:rPr>
        <w:footnoteRef/>
      </w:r>
      <w:r w:rsidRPr="00ED6163">
        <w:t xml:space="preserve"> </w:t>
      </w:r>
      <w:r w:rsidRPr="00ED6163">
        <w:rPr>
          <w:i/>
        </w:rPr>
        <w:t>See, e.g.</w:t>
      </w:r>
      <w:r w:rsidRPr="00ED6163">
        <w:t>,</w:t>
      </w:r>
      <w:r w:rsidRPr="00ED6163">
        <w:rPr>
          <w:i/>
        </w:rPr>
        <w:t xml:space="preserve"> </w:t>
      </w:r>
      <w:r w:rsidRPr="00ED6163">
        <w:t xml:space="preserve">Free Press July 11, 2019 </w:t>
      </w:r>
      <w:r w:rsidRPr="00ED6163">
        <w:rPr>
          <w:i/>
        </w:rPr>
        <w:t xml:space="preserve">Ex Parte </w:t>
      </w:r>
      <w:r w:rsidRPr="00ED6163">
        <w:t xml:space="preserve">Letter at 10-11 (“The public interest requires maximum transparency of </w:t>
      </w:r>
      <w:r w:rsidRPr="00ED6163">
        <w:t>the data used to justify countless Commission policy decisions, including those that ultimately determine the allocation of billions of ratepayer dollars. We strongly feel that there is no reasonable claim of confidentiality over availability data, even at</w:t>
      </w:r>
      <w:r w:rsidRPr="00ED6163">
        <w:t xml:space="preserve"> the most-detailed geographic level.”).</w:t>
      </w:r>
    </w:p>
  </w:footnote>
  <w:footnote w:id="65">
    <w:p w:rsidR="00252A4C" w:rsidRPr="00ED6163" w:rsidP="00D60B92" w14:paraId="2C3059A2" w14:textId="77777777">
      <w:pPr>
        <w:pStyle w:val="FootnoteText"/>
      </w:pPr>
      <w:r w:rsidRPr="00ED6163">
        <w:rPr>
          <w:rStyle w:val="FootnoteReference"/>
        </w:rPr>
        <w:footnoteRef/>
      </w:r>
      <w:r w:rsidRPr="00ED6163">
        <w:t xml:space="preserve"> </w:t>
      </w:r>
      <w:r w:rsidRPr="00ED6163">
        <w:rPr>
          <w:i/>
        </w:rPr>
        <w:t xml:space="preserve">See </w:t>
      </w:r>
      <w:r>
        <w:t xml:space="preserve">new </w:t>
      </w:r>
      <w:r w:rsidRPr="00ED6163">
        <w:t xml:space="preserve">47 CFR § </w:t>
      </w:r>
      <w:r>
        <w:t>54.1402(d)(2) in Appx. A</w:t>
      </w:r>
      <w:r w:rsidRPr="00ED6163">
        <w:t>.</w:t>
      </w:r>
    </w:p>
  </w:footnote>
  <w:footnote w:id="66">
    <w:p w:rsidR="00252A4C" w:rsidRPr="00ED6163" w:rsidP="00D60B92" w14:paraId="55EB6056" w14:textId="77777777">
      <w:pPr>
        <w:pStyle w:val="FootnoteText"/>
      </w:pPr>
      <w:r w:rsidRPr="00ED6163">
        <w:rPr>
          <w:rStyle w:val="FootnoteReference"/>
        </w:rPr>
        <w:footnoteRef/>
      </w:r>
      <w:r w:rsidRPr="00ED6163">
        <w:t xml:space="preserve"> </w:t>
      </w:r>
      <w:r w:rsidRPr="00ED6163">
        <w:rPr>
          <w:i/>
        </w:rPr>
        <w:t>See, e.g.</w:t>
      </w:r>
      <w:r w:rsidRPr="00ED6163">
        <w:t>,</w:t>
      </w:r>
      <w:r w:rsidRPr="00ED6163">
        <w:rPr>
          <w:i/>
        </w:rPr>
        <w:t xml:space="preserve"> </w:t>
      </w:r>
      <w:r>
        <w:t xml:space="preserve">new </w:t>
      </w:r>
      <w:r w:rsidRPr="00ED6163">
        <w:t xml:space="preserve">47 CFR § </w:t>
      </w:r>
      <w:r>
        <w:t>54.1402 (d)(3) in Appx. A</w:t>
      </w:r>
      <w:r w:rsidRPr="00ED6163">
        <w:t>.</w:t>
      </w:r>
    </w:p>
  </w:footnote>
  <w:footnote w:id="67">
    <w:p w:rsidR="00252A4C" w:rsidRPr="00ED6163" w:rsidP="00D60B92" w14:paraId="41DBB4D5" w14:textId="77777777">
      <w:pPr>
        <w:pStyle w:val="FootnoteText"/>
      </w:pPr>
      <w:r w:rsidRPr="00ED6163">
        <w:rPr>
          <w:rStyle w:val="FootnoteReference"/>
        </w:rPr>
        <w:footnoteRef/>
      </w:r>
      <w:r w:rsidRPr="00ED6163">
        <w:t xml:space="preserve"> </w:t>
      </w:r>
      <w:r w:rsidRPr="00ED6163">
        <w:rPr>
          <w:i/>
        </w:rPr>
        <w:t xml:space="preserve">See, e.g., </w:t>
      </w:r>
      <w:r w:rsidRPr="00ED6163">
        <w:t xml:space="preserve">Connected Nation July 25, 2019 </w:t>
      </w:r>
      <w:r w:rsidRPr="00ED6163">
        <w:rPr>
          <w:i/>
        </w:rPr>
        <w:t>Ex Parte</w:t>
      </w:r>
      <w:r w:rsidRPr="00ED6163">
        <w:t xml:space="preserve"> Letter at 2 (“the DODC would benefit significantly from having a </w:t>
      </w:r>
      <w:r w:rsidRPr="00ED6163">
        <w:t>mechanism for field validation in place at the outset of the first data collection so that there is a means of auditing the data and investigating where evidence suggests the resulting maps may be incorrect.”).</w:t>
      </w:r>
    </w:p>
  </w:footnote>
  <w:footnote w:id="68">
    <w:p w:rsidR="00252A4C" w:rsidRPr="00ED6163" w:rsidP="00D60B92" w14:paraId="24B5374E" w14:textId="77777777">
      <w:pPr>
        <w:pStyle w:val="FootnoteText"/>
      </w:pPr>
      <w:r w:rsidRPr="00ED6163">
        <w:rPr>
          <w:rStyle w:val="FootnoteReference"/>
        </w:rPr>
        <w:footnoteRef/>
      </w:r>
      <w:r w:rsidRPr="00ED6163">
        <w:t xml:space="preserve"> </w:t>
      </w:r>
      <w:r w:rsidRPr="00ED6163">
        <w:rPr>
          <w:i/>
        </w:rPr>
        <w:t xml:space="preserve">See </w:t>
      </w:r>
      <w:r w:rsidRPr="00ED6163">
        <w:t xml:space="preserve">USAC, </w:t>
      </w:r>
      <w:r w:rsidRPr="00ED6163">
        <w:rPr>
          <w:i/>
        </w:rPr>
        <w:t>The HUBB Portal</w:t>
      </w:r>
      <w:r w:rsidRPr="00ED6163">
        <w:t xml:space="preserve">, </w:t>
      </w:r>
      <w:hyperlink r:id="rId4" w:history="1">
        <w:r w:rsidRPr="00ED6163">
          <w:rPr>
            <w:rStyle w:val="Hyperlink"/>
          </w:rPr>
          <w:t>https://www.usac.org/hc/annual-requirements/hubb.aspx</w:t>
        </w:r>
      </w:hyperlink>
      <w:r w:rsidRPr="00ED6163">
        <w:t xml:space="preserve"> (last visited July 8, 2019); USAC, </w:t>
      </w:r>
      <w:r w:rsidRPr="00ED6163">
        <w:rPr>
          <w:i/>
        </w:rPr>
        <w:t>Connect America Fund Broadband Map</w:t>
      </w:r>
      <w:r w:rsidRPr="00ED6163">
        <w:t xml:space="preserve">, </w:t>
      </w:r>
      <w:hyperlink r:id="rId5" w:history="1">
        <w:r w:rsidRPr="00ED6163">
          <w:rPr>
            <w:rStyle w:val="Hyperlink"/>
          </w:rPr>
          <w:t>ht</w:t>
        </w:r>
        <w:r w:rsidRPr="00ED6163">
          <w:rPr>
            <w:rStyle w:val="Hyperlink"/>
          </w:rPr>
          <w:t>tps://data.usac.org/publicreports/caf-map/</w:t>
        </w:r>
      </w:hyperlink>
      <w:r w:rsidRPr="00ED6163">
        <w:t xml:space="preserve"> (last visited July 9, 2019).    </w:t>
      </w:r>
    </w:p>
  </w:footnote>
  <w:footnote w:id="69">
    <w:p w:rsidR="00252A4C" w:rsidRPr="00ED6163" w:rsidP="00D60B92" w14:paraId="571782B4" w14:textId="77777777">
      <w:pPr>
        <w:pStyle w:val="FootnoteText"/>
      </w:pPr>
      <w:r w:rsidRPr="00ED6163">
        <w:rPr>
          <w:rStyle w:val="FootnoteReference"/>
        </w:rPr>
        <w:footnoteRef/>
      </w:r>
      <w:r w:rsidRPr="00ED6163">
        <w:t xml:space="preserve"> </w:t>
      </w:r>
      <w:r w:rsidRPr="00ED6163">
        <w:rPr>
          <w:i/>
        </w:rPr>
        <w:t xml:space="preserve">See </w:t>
      </w:r>
      <w:r w:rsidRPr="00ED6163">
        <w:t xml:space="preserve">USAC, </w:t>
      </w:r>
      <w:r w:rsidRPr="00ED6163">
        <w:rPr>
          <w:i/>
        </w:rPr>
        <w:t>Connect America Fund Verification Review</w:t>
      </w:r>
      <w:r w:rsidRPr="00ED6163">
        <w:t xml:space="preserve">s, </w:t>
      </w:r>
      <w:hyperlink r:id="rId6" w:history="1">
        <w:r w:rsidRPr="00ED6163">
          <w:rPr>
            <w:rStyle w:val="Hyperlink"/>
          </w:rPr>
          <w:t>https://www.usac.org/hc/tools/hubb/caf-verification.</w:t>
        </w:r>
        <w:r w:rsidRPr="00ED6163">
          <w:rPr>
            <w:rStyle w:val="Hyperlink"/>
          </w:rPr>
          <w:t>aspx</w:t>
        </w:r>
      </w:hyperlink>
      <w:r w:rsidRPr="00ED6163">
        <w:t xml:space="preserve"> (last visited July 8, 2019).</w:t>
      </w:r>
    </w:p>
  </w:footnote>
  <w:footnote w:id="70">
    <w:p w:rsidR="00252A4C" w:rsidRPr="00ED6163" w:rsidP="00D60B92" w14:paraId="3BFE054A" w14:textId="77777777">
      <w:pPr>
        <w:pStyle w:val="FootnoteText"/>
      </w:pPr>
      <w:r w:rsidRPr="00ED6163">
        <w:rPr>
          <w:rStyle w:val="FootnoteReference"/>
        </w:rPr>
        <w:footnoteRef/>
      </w:r>
      <w:r w:rsidRPr="00ED6163">
        <w:t xml:space="preserve"> </w:t>
      </w:r>
      <w:r w:rsidRPr="00ED6163">
        <w:rPr>
          <w:i/>
        </w:rPr>
        <w:t>See id.</w:t>
      </w:r>
    </w:p>
  </w:footnote>
  <w:footnote w:id="71">
    <w:p w:rsidR="00252A4C" w:rsidRPr="00ED6163" w:rsidP="00D60B92" w14:paraId="1B1DAFD1" w14:textId="77777777">
      <w:pPr>
        <w:pStyle w:val="FootnoteText"/>
      </w:pPr>
      <w:r w:rsidRPr="00ED6163">
        <w:rPr>
          <w:rStyle w:val="FootnoteReference"/>
        </w:rPr>
        <w:footnoteRef/>
      </w:r>
      <w:r w:rsidRPr="00ED6163">
        <w:t xml:space="preserve"> We note that USAC historically has </w:t>
      </w:r>
      <w:r>
        <w:t xml:space="preserve">engaged in competitive bidding to </w:t>
      </w:r>
      <w:r w:rsidRPr="00ED6163">
        <w:t>contract with specialized entities to support technical functions, and we anticipate that USAC will do so in connection with the verification</w:t>
      </w:r>
      <w:r w:rsidRPr="00ED6163">
        <w:t xml:space="preserve"> process for the Digital Opportunity Data Collection.  </w:t>
      </w:r>
      <w:r w:rsidRPr="00ED6163">
        <w:rPr>
          <w:i/>
        </w:rPr>
        <w:t>See</w:t>
      </w:r>
      <w:r w:rsidRPr="00ED6163">
        <w:t xml:space="preserve"> USAC, Universal Service Administrative Company, Annual Report, </w:t>
      </w:r>
      <w:r>
        <w:t>at</w:t>
      </w:r>
      <w:r w:rsidRPr="00ED6163">
        <w:t xml:space="preserve"> 13 (2018), </w:t>
      </w:r>
      <w:hyperlink r:id="rId7" w:history="1">
        <w:r w:rsidRPr="00ED6163">
          <w:rPr>
            <w:rStyle w:val="Hyperlink"/>
          </w:rPr>
          <w:t>https://www.usa</w:t>
        </w:r>
        <w:r w:rsidRPr="00ED6163">
          <w:rPr>
            <w:rStyle w:val="Hyperlink"/>
          </w:rPr>
          <w:t>c.org/_res/documents/about/pdf/annual-reports/usac-annual-report-2018.pdf</w:t>
        </w:r>
      </w:hyperlink>
      <w:r w:rsidRPr="00ED6163">
        <w:t xml:space="preserve">.  </w:t>
      </w:r>
    </w:p>
  </w:footnote>
  <w:footnote w:id="72">
    <w:p w:rsidR="00252A4C" w:rsidRPr="00ED6163" w:rsidP="00D60B92" w14:paraId="5CEEA6C9" w14:textId="77777777">
      <w:pPr>
        <w:pStyle w:val="FootnoteText"/>
      </w:pPr>
      <w:r w:rsidRPr="00ED6163">
        <w:rPr>
          <w:rStyle w:val="FootnoteReference"/>
        </w:rPr>
        <w:footnoteRef/>
      </w:r>
      <w:r w:rsidRPr="00ED6163">
        <w:t xml:space="preserve"> </w:t>
      </w:r>
      <w:r w:rsidRPr="00ED6163">
        <w:rPr>
          <w:i/>
        </w:rPr>
        <w:t xml:space="preserve">See </w:t>
      </w:r>
      <w:r w:rsidRPr="00ED6163">
        <w:t>Letter from Patrick R. Halley, Senior Vice President, USTelecom, and Michael R. Romano, Senior Vice President, NTCA, to Ajit Pai, Chairman, FCC, et al., WC Docket Nos. 11-10</w:t>
      </w:r>
      <w:r>
        <w:t>,</w:t>
      </w:r>
      <w:r w:rsidRPr="00ED6163">
        <w:t xml:space="preserve"> -195, at 1 (filed July 25, 2019); </w:t>
      </w:r>
      <w:r w:rsidRPr="00ED6163">
        <w:rPr>
          <w:i/>
        </w:rPr>
        <w:t xml:space="preserve">see also </w:t>
      </w:r>
      <w:r w:rsidRPr="00ED6163">
        <w:t>Connected Nation July 25, 2019 Ex Parte Letter at 2 (stating that “the Commission should order the creation of such a dataset now so that it can be immediately paired with the very first round of polygonal servi</w:t>
      </w:r>
      <w:r w:rsidRPr="00ED6163">
        <w:t>ce availability data that is collected. The net result will be a much more usable map at the outset.”).</w:t>
      </w:r>
    </w:p>
  </w:footnote>
  <w:footnote w:id="73">
    <w:p w:rsidR="00252A4C" w:rsidRPr="00ED6163" w:rsidP="00D60B92" w14:paraId="4A816042" w14:textId="77777777">
      <w:pPr>
        <w:pStyle w:val="FootnoteText"/>
      </w:pPr>
      <w:r w:rsidRPr="00ED6163">
        <w:rPr>
          <w:rStyle w:val="FootnoteReference"/>
        </w:rPr>
        <w:footnoteRef/>
      </w:r>
      <w:r w:rsidRPr="00ED6163">
        <w:t xml:space="preserve"> Similar to the verification process for the Digital Opportunity Data Collection, we anticipate that USAC will </w:t>
      </w:r>
      <w:r>
        <w:t xml:space="preserve">engage in competitive bidding to </w:t>
      </w:r>
      <w:r w:rsidRPr="00ED6163">
        <w:t>contrac</w:t>
      </w:r>
      <w:r w:rsidRPr="00ED6163">
        <w:t>t with specialized entities to support the gathering of location-based data for use as part of the new collection.</w:t>
      </w:r>
    </w:p>
  </w:footnote>
  <w:footnote w:id="74">
    <w:p w:rsidR="00252A4C" w:rsidRPr="00ED6163" w:rsidP="00D60B92" w14:paraId="6056ABC0" w14:textId="77777777">
      <w:pPr>
        <w:pStyle w:val="FootnoteText"/>
      </w:pPr>
      <w:r w:rsidRPr="00ED6163">
        <w:rPr>
          <w:rStyle w:val="FootnoteReference"/>
        </w:rPr>
        <w:footnoteRef/>
      </w:r>
      <w:r w:rsidRPr="00ED6163">
        <w:t xml:space="preserve"> NTCA Apr. 30, 2019 </w:t>
      </w:r>
      <w:r w:rsidRPr="00ED6163">
        <w:rPr>
          <w:i/>
        </w:rPr>
        <w:t>Ex Parte</w:t>
      </w:r>
      <w:r w:rsidRPr="00ED6163">
        <w:t xml:space="preserve"> Letter at 4; </w:t>
      </w:r>
      <w:r w:rsidRPr="00ED6163">
        <w:rPr>
          <w:i/>
        </w:rPr>
        <w:t xml:space="preserve">see also </w:t>
      </w:r>
      <w:r w:rsidRPr="00ED6163">
        <w:t xml:space="preserve">Letter from Brent Legg, Vice President, Government Affairs, Connected Nation, to Marlene </w:t>
      </w:r>
      <w:r w:rsidRPr="00ED6163">
        <w:t>H. Dortch, Secretary, FCC, WC Docket No. 11-10, at 1 (filed June 7, 2019) (stating that “</w:t>
      </w:r>
      <w:r w:rsidRPr="00ED6163">
        <w:rPr>
          <w:rFonts w:eastAsia="Calibri"/>
        </w:rPr>
        <w:t>there is a viable path forward that can involve both a polygon shapefile-driven reporting approach (including propagation modeling for wireless services), as well as t</w:t>
      </w:r>
      <w:r w:rsidRPr="00ED6163">
        <w:rPr>
          <w:rFonts w:eastAsia="Calibri"/>
        </w:rPr>
        <w:t xml:space="preserve">he option to report addresses or ID numbers instead”); Broadband Census LLC and Microband Media LLC Comments at 6-7; California Public Utilities Commission Comments at 4 </w:t>
      </w:r>
      <w:r w:rsidRPr="00ED6163">
        <w:t>(contending that “</w:t>
      </w:r>
      <w:r w:rsidRPr="00ED6163">
        <w:rPr>
          <w:rFonts w:eastAsia="Calibri"/>
        </w:rPr>
        <w:t>address level data would greatly increase the accuracy of deployment</w:t>
      </w:r>
      <w:r w:rsidRPr="00ED6163">
        <w:rPr>
          <w:rFonts w:eastAsia="Calibri"/>
        </w:rPr>
        <w:t xml:space="preserve"> data”); West Virginia Broadband Enhancement Council Comments at 2-3.</w:t>
      </w:r>
    </w:p>
  </w:footnote>
  <w:footnote w:id="75">
    <w:p w:rsidR="00252A4C" w:rsidRPr="00ED6163" w:rsidP="00D60B92" w14:paraId="7807D48A" w14:textId="77777777">
      <w:pPr>
        <w:pStyle w:val="FootnoteText"/>
      </w:pPr>
      <w:r w:rsidRPr="00ED6163">
        <w:rPr>
          <w:rStyle w:val="FootnoteReference"/>
        </w:rPr>
        <w:footnoteRef/>
      </w:r>
      <w:r w:rsidRPr="00ED6163">
        <w:t xml:space="preserve"> Letter from B. Lynn Follansbee, Vice President – Law &amp; Policy, USTelecom, to Marlene H. Dortch, Secretary, FCC, WC Docket No</w:t>
      </w:r>
      <w:r>
        <w:t>s</w:t>
      </w:r>
      <w:r w:rsidRPr="00ED6163">
        <w:t>. 11-10 et al. (filed Mar. 21, 2019) (USTelecom Mar. 21, 20</w:t>
      </w:r>
      <w:r w:rsidRPr="00ED6163">
        <w:t xml:space="preserve">19 </w:t>
      </w:r>
      <w:r w:rsidRPr="00ED6163">
        <w:rPr>
          <w:i/>
        </w:rPr>
        <w:t>Ex Parte</w:t>
      </w:r>
      <w:r w:rsidRPr="00ED6163">
        <w:t xml:space="preserve"> Letter).</w:t>
      </w:r>
    </w:p>
  </w:footnote>
  <w:footnote w:id="76">
    <w:p w:rsidR="00252A4C" w:rsidRPr="00ED6163" w:rsidP="00D60B92" w14:paraId="5F71B2A2" w14:textId="77777777">
      <w:pPr>
        <w:pStyle w:val="FootnoteText"/>
      </w:pPr>
      <w:r w:rsidRPr="00ED6163">
        <w:rPr>
          <w:rStyle w:val="FootnoteReference"/>
        </w:rPr>
        <w:footnoteRef/>
      </w:r>
      <w:r w:rsidRPr="00ED6163">
        <w:t xml:space="preserve"> BMC Apr. 12, 2019 </w:t>
      </w:r>
      <w:r w:rsidRPr="00ED6163">
        <w:rPr>
          <w:i/>
        </w:rPr>
        <w:t>Ex Parte</w:t>
      </w:r>
      <w:r w:rsidRPr="00ED6163">
        <w:t xml:space="preserve"> Letter at 4.</w:t>
      </w:r>
    </w:p>
  </w:footnote>
  <w:footnote w:id="77">
    <w:p w:rsidR="00252A4C" w:rsidRPr="00ED6163" w:rsidP="00D60B92" w14:paraId="27DEDE79" w14:textId="77777777">
      <w:pPr>
        <w:pStyle w:val="FootnoteText"/>
      </w:pPr>
      <w:r w:rsidRPr="00ED6163">
        <w:rPr>
          <w:rStyle w:val="FootnoteReference"/>
        </w:rPr>
        <w:footnoteRef/>
      </w:r>
      <w:r w:rsidRPr="00ED6163">
        <w:t xml:space="preserve"> </w:t>
      </w:r>
      <w:r w:rsidRPr="00ED6163">
        <w:rPr>
          <w:i/>
        </w:rPr>
        <w:t xml:space="preserve">See </w:t>
      </w:r>
      <w:r w:rsidRPr="00ED6163">
        <w:t xml:space="preserve">BMC May 28, 2019 </w:t>
      </w:r>
      <w:r w:rsidRPr="00ED6163">
        <w:rPr>
          <w:i/>
        </w:rPr>
        <w:t xml:space="preserve">Ex Parte </w:t>
      </w:r>
      <w:r w:rsidRPr="00ED6163">
        <w:t>Letter at 2 (“[T]</w:t>
      </w:r>
      <w:r w:rsidRPr="00ED6163">
        <w:rPr>
          <w:rFonts w:eastAsia="Calibri"/>
        </w:rPr>
        <w:t>he creation of a national broadband serviceable location fabric is not only not ‘theoretical,’ it is realistic and necessary to ensure that we have an accurate map of where rural consumers are located, which will enable more granular reporting of where bro</w:t>
      </w:r>
      <w:r w:rsidRPr="00ED6163">
        <w:rPr>
          <w:rFonts w:eastAsia="Calibri"/>
        </w:rPr>
        <w:t xml:space="preserve">adband service is available or is not.”); </w:t>
      </w:r>
      <w:r w:rsidRPr="00ED6163">
        <w:t xml:space="preserve">AT&amp;T Oct. 12, 2018 </w:t>
      </w:r>
      <w:r w:rsidRPr="00ED6163">
        <w:rPr>
          <w:i/>
        </w:rPr>
        <w:t>Ex Parte</w:t>
      </w:r>
      <w:r w:rsidRPr="00ED6163">
        <w:t xml:space="preserve"> Letter </w:t>
      </w:r>
      <w:r w:rsidRPr="00ED6163">
        <w:rPr>
          <w:rFonts w:eastAsia="Calibri"/>
        </w:rPr>
        <w:t xml:space="preserve">at 2; </w:t>
      </w:r>
      <w:r w:rsidRPr="00ED6163">
        <w:rPr>
          <w:rFonts w:eastAsia="Calibri"/>
          <w:i/>
        </w:rPr>
        <w:t xml:space="preserve">see also </w:t>
      </w:r>
      <w:r w:rsidRPr="00ED6163">
        <w:rPr>
          <w:rFonts w:eastAsia="Calibri"/>
        </w:rPr>
        <w:t xml:space="preserve">NTCA Apr. 30, 2019 </w:t>
      </w:r>
      <w:r w:rsidRPr="00ED6163">
        <w:rPr>
          <w:rFonts w:eastAsia="Calibri"/>
          <w:i/>
        </w:rPr>
        <w:t>Ex Parte</w:t>
      </w:r>
      <w:r w:rsidRPr="00ED6163">
        <w:rPr>
          <w:rFonts w:eastAsia="Calibri"/>
        </w:rPr>
        <w:t xml:space="preserve"> Letter at 4 (“</w:t>
      </w:r>
      <w:r w:rsidRPr="00ED6163">
        <w:t>NTCA welcomes and is hopeful for the efforts initiated by USTelecom to explore creation of a ‘serviceable location fabric’</w:t>
      </w:r>
      <w:r w:rsidRPr="00ED6163">
        <w:t xml:space="preserve"> that could ultimately enable identification of individual locations that either have or lack access to broadband</w:t>
      </w:r>
      <w:r w:rsidRPr="00ED6163">
        <w:rPr>
          <w:rFonts w:eastAsia="Calibri"/>
        </w:rPr>
        <w:t>.”).</w:t>
      </w:r>
    </w:p>
  </w:footnote>
  <w:footnote w:id="78">
    <w:p w:rsidR="00252A4C" w:rsidRPr="00ED6163" w:rsidP="00D60B92" w14:paraId="2C0997D5" w14:textId="77777777">
      <w:pPr>
        <w:pStyle w:val="FootnoteText"/>
      </w:pPr>
      <w:r w:rsidRPr="00ED6163">
        <w:rPr>
          <w:rStyle w:val="FootnoteReference"/>
        </w:rPr>
        <w:footnoteRef/>
      </w:r>
      <w:r w:rsidRPr="00ED6163">
        <w:t xml:space="preserve"> </w:t>
      </w:r>
      <w:r w:rsidRPr="00ED6163">
        <w:rPr>
          <w:rFonts w:eastAsia="Calibri"/>
        </w:rPr>
        <w:t xml:space="preserve">NCTA May 3, 2019 </w:t>
      </w:r>
      <w:r w:rsidRPr="00ED6163">
        <w:rPr>
          <w:rFonts w:eastAsia="Calibri"/>
          <w:i/>
        </w:rPr>
        <w:t xml:space="preserve">Ex Parte </w:t>
      </w:r>
      <w:r w:rsidRPr="00ED6163">
        <w:rPr>
          <w:rFonts w:eastAsia="Calibri"/>
        </w:rPr>
        <w:t xml:space="preserve">Letter at 4-5; NTCA Apr. 30, 2019 </w:t>
      </w:r>
      <w:r w:rsidRPr="00ED6163">
        <w:rPr>
          <w:rFonts w:eastAsia="Calibri"/>
          <w:i/>
        </w:rPr>
        <w:t>Ex Parte</w:t>
      </w:r>
      <w:r w:rsidRPr="00ED6163">
        <w:rPr>
          <w:rFonts w:eastAsia="Calibri"/>
        </w:rPr>
        <w:t xml:space="preserve"> Letter at 4 (asserting that “work to improve granularity (and impor</w:t>
      </w:r>
      <w:r w:rsidRPr="00ED6163">
        <w:rPr>
          <w:rFonts w:eastAsia="Calibri"/>
        </w:rPr>
        <w:t>tant policy and funding decisions) should not and cannot await the potential outcomes of that longer-term effort”); Letter from Beth Choroser, Vice President Regulatory Affairs, Comcast, to Marlene H. Dortch, Secretary, FCC, WC Docket No. 11-10, at 1-2 (fi</w:t>
      </w:r>
      <w:r w:rsidRPr="00ED6163">
        <w:rPr>
          <w:rFonts w:eastAsia="Calibri"/>
        </w:rPr>
        <w:t xml:space="preserve">led Nov. 28, 2018) (Comcast Nov. 28, 2018 </w:t>
      </w:r>
      <w:r w:rsidRPr="00ED6163">
        <w:rPr>
          <w:rFonts w:eastAsia="Calibri"/>
          <w:i/>
        </w:rPr>
        <w:t>Ex Parte</w:t>
      </w:r>
      <w:r w:rsidRPr="00ED6163">
        <w:rPr>
          <w:rFonts w:eastAsia="Calibri"/>
        </w:rPr>
        <w:t xml:space="preserve"> Letter) (“There are a number of practical concerns associated with measuring broadband deployment through the collection of nationwide address-level data that make this approach infeasible in the near futu</w:t>
      </w:r>
      <w:r w:rsidRPr="00ED6163">
        <w:rPr>
          <w:rFonts w:eastAsia="Calibri"/>
        </w:rPr>
        <w:t>re.”).</w:t>
      </w:r>
    </w:p>
  </w:footnote>
  <w:footnote w:id="79">
    <w:p w:rsidR="00252A4C" w:rsidRPr="00ED6163" w:rsidP="00D60B92" w14:paraId="071291FC" w14:textId="77777777">
      <w:pPr>
        <w:pStyle w:val="FootnoteText"/>
      </w:pPr>
      <w:r w:rsidRPr="00ED6163">
        <w:rPr>
          <w:rStyle w:val="FootnoteReference"/>
        </w:rPr>
        <w:footnoteRef/>
      </w:r>
      <w:r w:rsidRPr="00ED6163">
        <w:t xml:space="preserve"> ACA Feb. 25, 2019 </w:t>
      </w:r>
      <w:r w:rsidRPr="00ED6163">
        <w:rPr>
          <w:i/>
        </w:rPr>
        <w:t>Ex Parte</w:t>
      </w:r>
      <w:r w:rsidRPr="00ED6163">
        <w:t xml:space="preserve"> Letter at 2-3.</w:t>
      </w:r>
    </w:p>
  </w:footnote>
  <w:footnote w:id="80">
    <w:p w:rsidR="00252A4C" w:rsidRPr="00ED6163" w:rsidP="00D60B92" w14:paraId="6E772E96" w14:textId="77777777">
      <w:pPr>
        <w:pStyle w:val="FootnoteText"/>
      </w:pPr>
      <w:r w:rsidRPr="00ED6163">
        <w:rPr>
          <w:rStyle w:val="FootnoteReference"/>
        </w:rPr>
        <w:footnoteRef/>
      </w:r>
      <w:r w:rsidRPr="00ED6163">
        <w:t xml:space="preserve"> The BMC argues that “polygons alone will not enable the Commission to target USF funding,” but rather “only the combination of granular service area polygons overlaid upon reliable geocoded location info</w:t>
      </w:r>
      <w:r w:rsidRPr="00ED6163">
        <w:t xml:space="preserve">rmation [] will give the Commission the ability to identify with precision whether there are locations in the areas not covered by polygons.”  BMC July 23, 2019 </w:t>
      </w:r>
      <w:r w:rsidRPr="00ED6163">
        <w:rPr>
          <w:i/>
        </w:rPr>
        <w:t>Ex Parte</w:t>
      </w:r>
      <w:r w:rsidRPr="00ED6163">
        <w:t xml:space="preserve"> Letter at 1-2.  </w:t>
      </w:r>
    </w:p>
  </w:footnote>
  <w:footnote w:id="81">
    <w:p w:rsidR="00252A4C" w:rsidRPr="00ED6163" w:rsidP="00D60B92" w14:paraId="6D43199D" w14:textId="77777777">
      <w:pPr>
        <w:pStyle w:val="FootnoteText"/>
      </w:pPr>
      <w:r w:rsidRPr="00ED6163">
        <w:rPr>
          <w:rStyle w:val="FootnoteReference"/>
        </w:rPr>
        <w:footnoteRef/>
      </w:r>
      <w:r w:rsidRPr="00ED6163">
        <w:t xml:space="preserve"> </w:t>
      </w:r>
      <w:r w:rsidRPr="00ED6163">
        <w:rPr>
          <w:i/>
        </w:rPr>
        <w:t xml:space="preserve">See </w:t>
      </w:r>
      <w:r w:rsidRPr="00ED6163">
        <w:t xml:space="preserve">USTelecom July 22, 2019 </w:t>
      </w:r>
      <w:r w:rsidRPr="00ED6163">
        <w:rPr>
          <w:i/>
        </w:rPr>
        <w:t>Ex Parte</w:t>
      </w:r>
      <w:r w:rsidRPr="00ED6163">
        <w:t xml:space="preserve"> Letter at 2 (arguing that “the</w:t>
      </w:r>
      <w:r w:rsidRPr="00ED6163">
        <w:t xml:space="preserve"> creation of the BSLF should run in parallel with the new USAC portal creation processes required to prepare for the submission of shapefile reporting”); BMC July 23, 2019 </w:t>
      </w:r>
      <w:r w:rsidRPr="00ED6163">
        <w:rPr>
          <w:i/>
        </w:rPr>
        <w:t>Ex Parte</w:t>
      </w:r>
      <w:r w:rsidRPr="00ED6163">
        <w:t xml:space="preserve"> Letter at 2 (“Developing the parameters and the portal for polygon reportin</w:t>
      </w:r>
      <w:r w:rsidRPr="00ED6163">
        <w:t xml:space="preserve">g will take time and the Coalition urged the Commission to adopt the location dataset or Fabric proposal as soon as possible so that it can be created in parallel with the implementation of polygon reporting.”); ITTA July 24, 2019 </w:t>
      </w:r>
      <w:r w:rsidRPr="00ED6163">
        <w:rPr>
          <w:i/>
        </w:rPr>
        <w:t>Ex Parte</w:t>
      </w:r>
      <w:r w:rsidRPr="00ED6163">
        <w:t xml:space="preserve"> Letter at 2.</w:t>
      </w:r>
    </w:p>
  </w:footnote>
  <w:footnote w:id="82">
    <w:p w:rsidR="00252A4C" w:rsidRPr="00ED6163" w:rsidP="00D60B92" w14:paraId="423A963E" w14:textId="77777777">
      <w:pPr>
        <w:pStyle w:val="FootnoteText"/>
      </w:pPr>
      <w:r w:rsidRPr="00ED6163">
        <w:rPr>
          <w:rStyle w:val="FootnoteReference"/>
        </w:rPr>
        <w:footnoteRef/>
      </w:r>
      <w:r w:rsidRPr="00ED6163">
        <w:t xml:space="preserve"> </w:t>
      </w:r>
      <w:bookmarkStart w:id="59" w:name="_Hlk13566121"/>
      <w:r w:rsidRPr="00ED6163">
        <w:rPr>
          <w:i/>
        </w:rPr>
        <w:t>S</w:t>
      </w:r>
      <w:r w:rsidRPr="00ED6163">
        <w:rPr>
          <w:i/>
        </w:rPr>
        <w:t>ee, e.g.</w:t>
      </w:r>
      <w:r w:rsidRPr="00ED6163">
        <w:t>,</w:t>
      </w:r>
      <w:r w:rsidRPr="00ED6163">
        <w:rPr>
          <w:i/>
        </w:rPr>
        <w:t xml:space="preserve"> </w:t>
      </w:r>
      <w:r w:rsidRPr="00ED6163">
        <w:t xml:space="preserve">ACA Feb. 25, 2019 </w:t>
      </w:r>
      <w:r w:rsidRPr="00ED6163">
        <w:rPr>
          <w:i/>
        </w:rPr>
        <w:t>Ex Parte</w:t>
      </w:r>
      <w:r w:rsidRPr="00ED6163">
        <w:t xml:space="preserve"> Letter at 1; Comcast Nov. 28, 2018 </w:t>
      </w:r>
      <w:r w:rsidRPr="00ED6163">
        <w:rPr>
          <w:i/>
        </w:rPr>
        <w:t>Ex Parte</w:t>
      </w:r>
      <w:r w:rsidRPr="00ED6163">
        <w:t xml:space="preserve"> Letter at 1.</w:t>
      </w:r>
      <w:bookmarkEnd w:id="59"/>
    </w:p>
  </w:footnote>
  <w:footnote w:id="83">
    <w:p w:rsidR="00252A4C" w:rsidRPr="00ED6163" w:rsidP="00D60B92" w14:paraId="5CA2AC40" w14:textId="77777777">
      <w:pPr>
        <w:pStyle w:val="FootnoteText"/>
      </w:pPr>
      <w:r w:rsidRPr="00ED6163">
        <w:rPr>
          <w:rStyle w:val="FootnoteReference"/>
        </w:rPr>
        <w:footnoteRef/>
      </w:r>
      <w:r w:rsidRPr="00ED6163">
        <w:t xml:space="preserve"> ACA Feb. 25, 2019 </w:t>
      </w:r>
      <w:r w:rsidRPr="00ED6163">
        <w:rPr>
          <w:i/>
        </w:rPr>
        <w:t>Ex Parte</w:t>
      </w:r>
      <w:r w:rsidRPr="00ED6163">
        <w:t xml:space="preserve"> Letter at 2.</w:t>
      </w:r>
    </w:p>
  </w:footnote>
  <w:footnote w:id="84">
    <w:p w:rsidR="00252A4C" w:rsidRPr="00ED6163" w:rsidP="00D60B92" w14:paraId="67B70A62" w14:textId="77777777">
      <w:pPr>
        <w:pStyle w:val="FootnoteText"/>
      </w:pPr>
      <w:r w:rsidRPr="00ED6163">
        <w:rPr>
          <w:rStyle w:val="FootnoteReference"/>
        </w:rPr>
        <w:footnoteRef/>
      </w:r>
      <w:r w:rsidRPr="00ED6163">
        <w:t xml:space="preserve"> </w:t>
      </w:r>
      <w:r w:rsidRPr="00ED6163">
        <w:rPr>
          <w:i/>
        </w:rPr>
        <w:t>See, e.g.</w:t>
      </w:r>
      <w:r w:rsidRPr="00ED6163">
        <w:t>,</w:t>
      </w:r>
      <w:r w:rsidRPr="00ED6163">
        <w:rPr>
          <w:i/>
        </w:rPr>
        <w:t xml:space="preserve"> </w:t>
      </w:r>
      <w:r w:rsidRPr="00ED6163">
        <w:t>Letter from Michael J. Jacobs, Vice President Regulatory Affairs, ITTA, to Marlene H. Dortch, Secretary, FC</w:t>
      </w:r>
      <w:r w:rsidRPr="00ED6163">
        <w:t>C, WC Docket No. 11-10, at 1 (filed Nov. 5, 2018) (</w:t>
      </w:r>
      <w:r w:rsidRPr="00ED6163">
        <w:rPr>
          <w:rFonts w:eastAsia="Calibri"/>
          <w:color w:val="000000"/>
        </w:rPr>
        <w:t>discuss</w:t>
      </w:r>
      <w:r w:rsidRPr="00ED6163">
        <w:t xml:space="preserve">ing </w:t>
      </w:r>
      <w:r w:rsidRPr="00ED6163">
        <w:rPr>
          <w:rFonts w:eastAsia="Calibri"/>
          <w:color w:val="000000"/>
        </w:rPr>
        <w:t>concerns with the costs and accuracy of a broadband deployment data collection based on road segments</w:t>
      </w:r>
      <w:r w:rsidRPr="00ED6163">
        <w:t>); Letter from Julie A. Veach, Counsel to GCI Communications, to Marlene H. Dortch, Secretary</w:t>
      </w:r>
      <w:r w:rsidRPr="00ED6163">
        <w:t xml:space="preserve">, FCC, WC Docket No. 11-10, at 2 (filed Oct. 25, 2018) (noting in some areas road segments can be more than 10 miles long, meaning that fixed broadband reporting along these road segments would also be at granularity of 10 miles); WISPA Oct. 22, 2018 </w:t>
      </w:r>
      <w:r w:rsidRPr="00ED6163">
        <w:rPr>
          <w:i/>
        </w:rPr>
        <w:t>Ex Pa</w:t>
      </w:r>
      <w:r w:rsidRPr="00ED6163">
        <w:rPr>
          <w:i/>
        </w:rPr>
        <w:t>rte</w:t>
      </w:r>
      <w:r w:rsidRPr="00ED6163">
        <w:t xml:space="preserve"> Letter at 3 (“</w:t>
      </w:r>
      <w:r w:rsidRPr="00ED6163">
        <w:rPr>
          <w:rFonts w:eastAsia="Calibri"/>
        </w:rPr>
        <w:t>A road segment (or a street address) is not an indicator in a rural area of where the actual house or building that needs broadband service is located; a house or other structure could be miles away from the actual road or street address</w:t>
      </w:r>
      <w:r w:rsidRPr="00ED6163">
        <w:t>.</w:t>
      </w:r>
      <w:r w:rsidRPr="00ED6163">
        <w:t xml:space="preserve">”); </w:t>
      </w:r>
      <w:r w:rsidRPr="00ED6163">
        <w:rPr>
          <w:rFonts w:eastAsia="Calibri"/>
        </w:rPr>
        <w:t xml:space="preserve">AT&amp;T Oct. 12, 2018 </w:t>
      </w:r>
      <w:r w:rsidRPr="00ED6163">
        <w:rPr>
          <w:rFonts w:eastAsia="Calibri"/>
          <w:i/>
        </w:rPr>
        <w:t>Ex Parte</w:t>
      </w:r>
      <w:r w:rsidRPr="00ED6163">
        <w:rPr>
          <w:rFonts w:eastAsia="Calibri"/>
        </w:rPr>
        <w:t xml:space="preserve"> Letter at 5 (“</w:t>
      </w:r>
      <w:r w:rsidRPr="00ED6163">
        <w:t>A road segment database would display the roads where broadband is available, but it would not provide any information on the locations and characteristics of areas that are unserved.”);</w:t>
      </w:r>
      <w:r w:rsidRPr="00ED6163">
        <w:rPr>
          <w:rFonts w:eastAsia="Calibri"/>
        </w:rPr>
        <w:t xml:space="preserve"> Utah Governor’s Office </w:t>
      </w:r>
      <w:r w:rsidRPr="00ED6163">
        <w:rPr>
          <w:rFonts w:eastAsia="Calibri"/>
        </w:rPr>
        <w:t>of Economic Development Comments at 8 (arguing that “the use of road centerlines to express broadband service availability would be a cumbersome and otherwise mediocre solution at best”).</w:t>
      </w:r>
    </w:p>
  </w:footnote>
  <w:footnote w:id="85">
    <w:p w:rsidR="00252A4C" w:rsidRPr="00ED6163" w:rsidP="00D60B92" w14:paraId="74164A75" w14:textId="77777777">
      <w:pPr>
        <w:pStyle w:val="FootnoteText"/>
        <w:rPr>
          <w:i/>
        </w:rPr>
      </w:pPr>
      <w:r w:rsidRPr="00ED6163">
        <w:rPr>
          <w:rStyle w:val="FootnoteReference"/>
        </w:rPr>
        <w:footnoteRef/>
      </w:r>
      <w:r w:rsidRPr="00ED6163">
        <w:t xml:space="preserve"> </w:t>
      </w:r>
      <w:r w:rsidRPr="00ED6163">
        <w:rPr>
          <w:i/>
        </w:rPr>
        <w:t>See, e.g.</w:t>
      </w:r>
      <w:r w:rsidRPr="00ED6163">
        <w:t>,</w:t>
      </w:r>
      <w:r w:rsidRPr="00ED6163">
        <w:rPr>
          <w:i/>
        </w:rPr>
        <w:t xml:space="preserve"> </w:t>
      </w:r>
      <w:r w:rsidRPr="00ED6163">
        <w:t xml:space="preserve">ACA Oct. 19, 2018 </w:t>
      </w:r>
      <w:r w:rsidRPr="00ED6163">
        <w:rPr>
          <w:i/>
        </w:rPr>
        <w:t>Ex Parte</w:t>
      </w:r>
      <w:r w:rsidRPr="00ED6163">
        <w:t xml:space="preserve"> Letter at 7 (arguing that GIS files </w:t>
      </w:r>
      <w:r w:rsidRPr="00ED6163">
        <w:rPr>
          <w:rFonts w:eastAsia="Calibri"/>
        </w:rPr>
        <w:t>can produce more granular broadband deployment information than street segments).</w:t>
      </w:r>
    </w:p>
  </w:footnote>
  <w:footnote w:id="86">
    <w:p w:rsidR="00252A4C" w:rsidRPr="00ED6163" w:rsidP="00D60B92" w14:paraId="16336A2F" w14:textId="77777777">
      <w:pPr>
        <w:pStyle w:val="FootnoteText"/>
      </w:pPr>
      <w:r w:rsidRPr="00ED6163">
        <w:rPr>
          <w:rStyle w:val="FootnoteReference"/>
        </w:rPr>
        <w:footnoteRef/>
      </w:r>
      <w:r w:rsidRPr="00ED6163">
        <w:t xml:space="preserve"> </w:t>
      </w:r>
      <w:r w:rsidRPr="00ED6163">
        <w:rPr>
          <w:i/>
        </w:rPr>
        <w:t xml:space="preserve">See </w:t>
      </w:r>
      <w:r w:rsidRPr="00ED6163">
        <w:t xml:space="preserve">WISPA Oct. 22, 2018 </w:t>
      </w:r>
      <w:r w:rsidRPr="00ED6163">
        <w:rPr>
          <w:i/>
        </w:rPr>
        <w:t>Ex Parte</w:t>
      </w:r>
      <w:r w:rsidRPr="00ED6163">
        <w:t xml:space="preserve"> Letter at 2.</w:t>
      </w:r>
    </w:p>
  </w:footnote>
  <w:footnote w:id="87">
    <w:p w:rsidR="00252A4C" w:rsidRPr="00ED6163" w:rsidP="00D60B92" w14:paraId="4D7D5455" w14:textId="77777777">
      <w:pPr>
        <w:pStyle w:val="FootnoteText"/>
      </w:pPr>
      <w:r w:rsidRPr="00ED6163">
        <w:rPr>
          <w:rStyle w:val="FootnoteReference"/>
        </w:rPr>
        <w:footnoteRef/>
      </w:r>
      <w:r w:rsidRPr="00ED6163">
        <w:t xml:space="preserve"> </w:t>
      </w:r>
      <w:r w:rsidRPr="00ED6163">
        <w:rPr>
          <w:i/>
        </w:rPr>
        <w:t>See, e.g.</w:t>
      </w:r>
      <w:r w:rsidRPr="00ED6163">
        <w:t>,</w:t>
      </w:r>
      <w:r w:rsidRPr="00ED6163">
        <w:rPr>
          <w:i/>
        </w:rPr>
        <w:t xml:space="preserve"> </w:t>
      </w:r>
      <w:r w:rsidRPr="00ED6163">
        <w:t xml:space="preserve">ACA Oct. 19, 2018 </w:t>
      </w:r>
      <w:r w:rsidRPr="00ED6163">
        <w:rPr>
          <w:i/>
        </w:rPr>
        <w:t>Ex Parte</w:t>
      </w:r>
      <w:r w:rsidRPr="00ED6163">
        <w:t xml:space="preserve"> Letter at 7 (noting that </w:t>
      </w:r>
      <w:r w:rsidRPr="00ED6163">
        <w:rPr>
          <w:rFonts w:eastAsia="Calibri"/>
        </w:rPr>
        <w:t xml:space="preserve">the FCC already accepts </w:t>
      </w:r>
      <w:r w:rsidRPr="00ED6163">
        <w:rPr>
          <w:rFonts w:eastAsia="Calibri"/>
        </w:rPr>
        <w:t xml:space="preserve">deployment information in GIS file format in other contexts and </w:t>
      </w:r>
      <w:r w:rsidRPr="00ED6163">
        <w:t xml:space="preserve">that </w:t>
      </w:r>
      <w:r w:rsidRPr="00ED6163">
        <w:rPr>
          <w:rFonts w:eastAsia="Calibri"/>
        </w:rPr>
        <w:t>for some operators GIS files could be less burdensome than producing street segment data).</w:t>
      </w:r>
    </w:p>
  </w:footnote>
  <w:footnote w:id="88">
    <w:p w:rsidR="00252A4C" w:rsidRPr="00ED6163" w:rsidP="00D60B92" w14:paraId="5C1910C0" w14:textId="77777777">
      <w:pPr>
        <w:pStyle w:val="FootnoteText"/>
      </w:pPr>
      <w:r w:rsidRPr="00ED6163">
        <w:rPr>
          <w:rStyle w:val="FootnoteReference"/>
        </w:rPr>
        <w:footnoteRef/>
      </w:r>
      <w:r w:rsidRPr="00ED6163">
        <w:t xml:space="preserve"> </w:t>
      </w:r>
      <w:r w:rsidRPr="00ED6163">
        <w:rPr>
          <w:i/>
        </w:rPr>
        <w:t xml:space="preserve">See </w:t>
      </w:r>
      <w:r w:rsidRPr="00ED6163">
        <w:t xml:space="preserve">NTIA </w:t>
      </w:r>
      <w:r w:rsidRPr="00ED6163">
        <w:rPr>
          <w:i/>
        </w:rPr>
        <w:t>Ex Parte</w:t>
      </w:r>
      <w:r w:rsidRPr="00ED6163">
        <w:t xml:space="preserve"> at 11.</w:t>
      </w:r>
    </w:p>
  </w:footnote>
  <w:footnote w:id="89">
    <w:p w:rsidR="00252A4C" w:rsidRPr="00ED6163" w:rsidP="00D60B92" w14:paraId="48A487B7" w14:textId="77777777">
      <w:pPr>
        <w:pStyle w:val="FootnoteText"/>
      </w:pPr>
      <w:r w:rsidRPr="00ED6163">
        <w:rPr>
          <w:rStyle w:val="FootnoteReference"/>
        </w:rPr>
        <w:footnoteRef/>
      </w:r>
      <w:r w:rsidRPr="00ED6163">
        <w:t xml:space="preserve"> </w:t>
      </w:r>
      <w:r w:rsidRPr="00ED6163">
        <w:rPr>
          <w:i/>
        </w:rPr>
        <w:t>See, e.g.</w:t>
      </w:r>
      <w:r w:rsidRPr="00ED6163">
        <w:t>,</w:t>
      </w:r>
      <w:r w:rsidRPr="00ED6163">
        <w:rPr>
          <w:i/>
        </w:rPr>
        <w:t xml:space="preserve"> </w:t>
      </w:r>
      <w:r w:rsidRPr="00ED6163">
        <w:t xml:space="preserve">Galena Territory Nov. 9, 2017 </w:t>
      </w:r>
      <w:r w:rsidRPr="00ED6163">
        <w:rPr>
          <w:i/>
        </w:rPr>
        <w:t>Ex Parte</w:t>
      </w:r>
      <w:r w:rsidRPr="00ED6163">
        <w:t xml:space="preserve"> Letter at 2 (argu</w:t>
      </w:r>
      <w:r w:rsidRPr="00ED6163">
        <w:t xml:space="preserve">ing that more granular data would permit funding to be targeted to all unserved locations and provide the FCC with a more accurate view of broadband availability in rural areas); NTCA Apr. 30, 2019 </w:t>
      </w:r>
      <w:r w:rsidRPr="00ED6163">
        <w:rPr>
          <w:i/>
        </w:rPr>
        <w:t>Ex Parte</w:t>
      </w:r>
      <w:r w:rsidRPr="00ED6163">
        <w:t xml:space="preserve"> Letter at 1 (arguing that sub-census-block report</w:t>
      </w:r>
      <w:r w:rsidRPr="00ED6163">
        <w:t>ing “would reduce greatly the number of unserved locations ‘swept in’ as served merely by virtue of sharing an arbitrary census block with a location that is in fact served”).</w:t>
      </w:r>
    </w:p>
  </w:footnote>
  <w:footnote w:id="90">
    <w:p w:rsidR="00252A4C" w:rsidRPr="00ED6163" w:rsidP="00D60B92" w14:paraId="6AF75BE2" w14:textId="77777777">
      <w:pPr>
        <w:pStyle w:val="FootnoteText"/>
      </w:pPr>
      <w:r w:rsidRPr="00ED6163">
        <w:rPr>
          <w:rStyle w:val="FootnoteReference"/>
        </w:rPr>
        <w:footnoteRef/>
      </w:r>
      <w:r w:rsidRPr="00ED6163">
        <w:t xml:space="preserve"> </w:t>
      </w:r>
      <w:r w:rsidRPr="00ED6163">
        <w:rPr>
          <w:i/>
        </w:rPr>
        <w:t xml:space="preserve">See </w:t>
      </w:r>
      <w:r w:rsidRPr="00ED6163">
        <w:t xml:space="preserve">Connected Nation May 17, 2019 </w:t>
      </w:r>
      <w:r w:rsidRPr="00ED6163">
        <w:rPr>
          <w:i/>
        </w:rPr>
        <w:t>Ex Parte</w:t>
      </w:r>
      <w:r w:rsidRPr="00ED6163">
        <w:t xml:space="preserve"> Letter at 2.</w:t>
      </w:r>
    </w:p>
  </w:footnote>
  <w:footnote w:id="91">
    <w:p w:rsidR="00252A4C" w:rsidRPr="00ED6163" w:rsidP="00D60B92" w14:paraId="2E8CD63A" w14:textId="77777777">
      <w:pPr>
        <w:pStyle w:val="FootnoteText"/>
      </w:pPr>
      <w:r w:rsidRPr="00ED6163">
        <w:rPr>
          <w:rStyle w:val="FootnoteReference"/>
        </w:rPr>
        <w:footnoteRef/>
      </w:r>
      <w:r w:rsidRPr="00ED6163">
        <w:t xml:space="preserve"> </w:t>
      </w:r>
      <w:r w:rsidRPr="00ED6163">
        <w:rPr>
          <w:i/>
        </w:rPr>
        <w:t>See, e.g.</w:t>
      </w:r>
      <w:r w:rsidRPr="00ED6163">
        <w:t xml:space="preserve">, FCC, </w:t>
      </w:r>
      <w:r w:rsidRPr="00ED6163">
        <w:rPr>
          <w:i/>
        </w:rPr>
        <w:t>Analysis of Rural Served &amp; Unserved Price Cap CBs</w:t>
      </w:r>
      <w:r w:rsidRPr="00ED6163">
        <w:t xml:space="preserve">, </w:t>
      </w:r>
      <w:hyperlink r:id="rId8" w:history="1">
        <w:r w:rsidRPr="00ED6163">
          <w:rPr>
            <w:rStyle w:val="Hyperlink"/>
          </w:rPr>
          <w:t>https://ecfsapi.fcc.gov/file/10624097909042/Copy%20of</w:t>
        </w:r>
        <w:r w:rsidRPr="00ED6163">
          <w:rPr>
            <w:rStyle w:val="Hyperlink"/>
          </w:rPr>
          <w:t>%20PC%2025_3%20Unserved%20Rural%20HU%20Analysis_061919_PUBLIC_1%20(004).pdf</w:t>
        </w:r>
      </w:hyperlink>
      <w:r w:rsidRPr="00ED6163">
        <w:t xml:space="preserve"> (last visited July 9, 2019) (showing that, for the sample data, 29% of locations in small blocks may lack service availability).</w:t>
      </w:r>
    </w:p>
  </w:footnote>
  <w:footnote w:id="92">
    <w:p w:rsidR="00252A4C" w:rsidRPr="00ED6163" w:rsidP="00D60B92" w14:paraId="6C0342EA" w14:textId="77777777">
      <w:pPr>
        <w:pStyle w:val="FootnoteText"/>
        <w:rPr>
          <w:i/>
        </w:rPr>
      </w:pPr>
      <w:r w:rsidRPr="00ED6163">
        <w:rPr>
          <w:rStyle w:val="FootnoteReference"/>
        </w:rPr>
        <w:footnoteRef/>
      </w:r>
      <w:r w:rsidRPr="00ED6163">
        <w:t xml:space="preserve"> </w:t>
      </w:r>
      <w:r w:rsidRPr="00ED6163">
        <w:rPr>
          <w:i/>
        </w:rPr>
        <w:t xml:space="preserve">See </w:t>
      </w:r>
      <w:r w:rsidRPr="00ED6163">
        <w:t>NTCA Apr. 30, 2019</w:t>
      </w:r>
      <w:r w:rsidRPr="00ED6163">
        <w:rPr>
          <w:i/>
        </w:rPr>
        <w:t xml:space="preserve"> Ex Parte </w:t>
      </w:r>
      <w:r w:rsidRPr="00ED6163">
        <w:t>Letter at 4.  For</w:t>
      </w:r>
      <w:r w:rsidRPr="00ED6163">
        <w:t xml:space="preserve"> the same reasons, we decline to adopt Hughes’ proposal to use four major geographic census regions as reporting blocks for satellite providers as not granular enough.  Hughes Network Systems, LLC Comments at 2-4; Letter from Jodi Goldberg, Associate Corpo</w:t>
      </w:r>
      <w:r w:rsidRPr="00ED6163">
        <w:t>rate Counsel, Regulatory Affairs, Hughes Network Systems, LLC, to Marlene H. Dortch, Secretary, FCC, WC Docket No. 11-10, at 3-4 (filed Nov. 2, 2017).</w:t>
      </w:r>
    </w:p>
  </w:footnote>
  <w:footnote w:id="93">
    <w:p w:rsidR="00252A4C" w:rsidRPr="00ED6163" w:rsidP="00D60B92" w14:paraId="542AEEA9" w14:textId="77777777">
      <w:pPr>
        <w:pStyle w:val="FootnoteText"/>
      </w:pPr>
      <w:r w:rsidRPr="00ED6163">
        <w:rPr>
          <w:rStyle w:val="FootnoteReference"/>
        </w:rPr>
        <w:footnoteRef/>
      </w:r>
      <w:r w:rsidRPr="00ED6163">
        <w:t xml:space="preserve"> Connected Nation Reply at 1-7 (“This clearinghouse would carry out broadband data collection and analys</w:t>
      </w:r>
      <w:r w:rsidRPr="00ED6163">
        <w:t>is; map broadband availability, platforms, and speeds using GIS; track where federal investments have been made to improve access; and process feedback submitted by consumers and conduct on-site field validation where necessary to ensure continual refineme</w:t>
      </w:r>
      <w:r w:rsidRPr="00ED6163">
        <w:t>nt of the maps.”).</w:t>
      </w:r>
    </w:p>
  </w:footnote>
  <w:footnote w:id="94">
    <w:p w:rsidR="00252A4C" w:rsidRPr="00ED6163" w:rsidP="00D60B92" w14:paraId="0E12B9B7" w14:textId="77777777">
      <w:pPr>
        <w:pStyle w:val="FootnoteText"/>
        <w:rPr>
          <w:color w:val="FF0000"/>
        </w:rPr>
      </w:pPr>
      <w:r w:rsidRPr="00ED6163">
        <w:rPr>
          <w:rStyle w:val="FootnoteReference"/>
        </w:rPr>
        <w:footnoteRef/>
      </w:r>
      <w:r w:rsidRPr="00ED6163">
        <w:t xml:space="preserve"> </w:t>
      </w:r>
      <w:r w:rsidRPr="00ED6163">
        <w:rPr>
          <w:i/>
        </w:rPr>
        <w:t>2017 Data Collection Improvement FNPRM</w:t>
      </w:r>
      <w:r w:rsidRPr="00ED6163">
        <w:t>,</w:t>
      </w:r>
      <w:r w:rsidRPr="00ED6163">
        <w:rPr>
          <w:i/>
        </w:rPr>
        <w:t xml:space="preserve"> </w:t>
      </w:r>
      <w:r w:rsidRPr="00ED6163">
        <w:t xml:space="preserve">32 FCC Rcd at 6346, para. 51. </w:t>
      </w:r>
      <w:r w:rsidRPr="00ED6163">
        <w:rPr>
          <w:color w:val="FF0000"/>
        </w:rPr>
        <w:t xml:space="preserve"> </w:t>
      </w:r>
    </w:p>
  </w:footnote>
  <w:footnote w:id="95">
    <w:p w:rsidR="00252A4C" w:rsidRPr="00ED6163" w:rsidP="00D60B92" w14:paraId="7F6B5FAB" w14:textId="77777777">
      <w:pPr>
        <w:pStyle w:val="FootnoteText"/>
      </w:pPr>
      <w:r w:rsidRPr="00ED6163">
        <w:rPr>
          <w:rStyle w:val="FootnoteReference"/>
        </w:rPr>
        <w:footnoteRef/>
      </w:r>
      <w:r w:rsidRPr="00ED6163">
        <w:rPr>
          <w:i/>
          <w:iCs/>
        </w:rPr>
        <w:t xml:space="preserve"> See </w:t>
      </w:r>
      <w:r w:rsidRPr="00ED6163">
        <w:t xml:space="preserve">preexisting 47 CFR § 1.7001(d)(2)(i) &amp; (ii); </w:t>
      </w:r>
      <w:r w:rsidRPr="00ED6163">
        <w:rPr>
          <w:i/>
        </w:rPr>
        <w:t>FCC Form 477 Instructions</w:t>
      </w:r>
      <w:r w:rsidRPr="00ED6163">
        <w:t xml:space="preserve"> at 32.  </w:t>
      </w:r>
      <w:r w:rsidRPr="00ED6163">
        <w:rPr>
          <w:i/>
          <w:iCs/>
        </w:rPr>
        <w:t>See also</w:t>
      </w:r>
      <w:r w:rsidRPr="00ED6163">
        <w:t xml:space="preserve"> preexisting 47 CFR § 1.7001(d)(4) (providers may request confidential treatment of other data pursuant to section 0.459).</w:t>
      </w:r>
    </w:p>
  </w:footnote>
  <w:footnote w:id="96">
    <w:p w:rsidR="00252A4C" w:rsidRPr="00ED6163" w:rsidP="00D60B92" w14:paraId="55421A2E" w14:textId="77777777">
      <w:pPr>
        <w:pStyle w:val="FootnoteText"/>
      </w:pPr>
      <w:r w:rsidRPr="00ED6163">
        <w:rPr>
          <w:rStyle w:val="FootnoteReference"/>
        </w:rPr>
        <w:footnoteRef/>
      </w:r>
      <w:r w:rsidRPr="00ED6163">
        <w:t xml:space="preserve"> </w:t>
      </w:r>
      <w:r w:rsidRPr="00ED6163">
        <w:rPr>
          <w:i/>
        </w:rPr>
        <w:t xml:space="preserve">See </w:t>
      </w:r>
      <w:r w:rsidRPr="00ED6163">
        <w:t xml:space="preserve">FCC, </w:t>
      </w:r>
      <w:r w:rsidRPr="00ED6163">
        <w:rPr>
          <w:i/>
        </w:rPr>
        <w:t>Mobile Deployment Form 477 Data</w:t>
      </w:r>
      <w:r w:rsidRPr="00ED6163">
        <w:t>,</w:t>
      </w:r>
      <w:r w:rsidRPr="00ED6163">
        <w:rPr>
          <w:i/>
        </w:rPr>
        <w:t xml:space="preserve"> </w:t>
      </w:r>
      <w:hyperlink r:id="rId9" w:history="1">
        <w:r w:rsidRPr="00ED6163">
          <w:rPr>
            <w:rStyle w:val="Hyperlink"/>
          </w:rPr>
          <w:t>https://www.fcc.gov/general/mobile-broadband-deployment-data-provider-form-477</w:t>
        </w:r>
      </w:hyperlink>
      <w:r w:rsidRPr="00ED6163">
        <w:t xml:space="preserve"> (last visited July 9, 2019).  We amend § 1.7001(d) of the rules to clarify the procedures for public disclosure and requests for confidential treatment of certain categori</w:t>
      </w:r>
      <w:r w:rsidRPr="00ED6163">
        <w:t>es of information reported on Form 477.  First, new paragraph (d)(1) lists types of data that will not be made routinely available for public inspection (</w:t>
      </w:r>
      <w:r w:rsidRPr="00ED6163">
        <w:rPr>
          <w:i/>
          <w:iCs/>
        </w:rPr>
        <w:t>i.e.</w:t>
      </w:r>
      <w:r w:rsidRPr="00ED6163">
        <w:t>, emergency operations contact information and other information typically treated as confidential</w:t>
      </w:r>
      <w:r w:rsidRPr="00ED6163">
        <w:t xml:space="preserve"> under rule § 0.457).   Second, the Commission will disclose provider-specific subscription information as a general matter, but providers may request confidential treatment by checking a box on the form (new paragraph (d)(2)(i) of rule § 1.7001).  Third, </w:t>
      </w:r>
      <w:r w:rsidRPr="00ED6163">
        <w:t xml:space="preserve">the Commission will disclose—and will not entertain requests for confidential treatment of—data regarding providers’ mobile broadband deployment and advertised or expected speeds (new paragraph (d)(2)(ii)). </w:t>
      </w:r>
    </w:p>
  </w:footnote>
  <w:footnote w:id="97">
    <w:p w:rsidR="00252A4C" w:rsidRPr="00ED6163" w:rsidP="00D60B92" w14:paraId="63F348AD" w14:textId="77777777">
      <w:pPr>
        <w:pStyle w:val="FootnoteText"/>
      </w:pPr>
      <w:r w:rsidRPr="00ED6163">
        <w:rPr>
          <w:rStyle w:val="FootnoteReference"/>
        </w:rPr>
        <w:footnoteRef/>
      </w:r>
      <w:r w:rsidRPr="00ED6163">
        <w:t xml:space="preserve"> </w:t>
      </w:r>
      <w:r w:rsidRPr="00ED6163">
        <w:rPr>
          <w:i/>
        </w:rPr>
        <w:t>2013 Form 477 Order</w:t>
      </w:r>
      <w:r w:rsidRPr="00ED6163">
        <w:t>, 28 FCC Rcd at 9923, para.</w:t>
      </w:r>
      <w:r w:rsidRPr="00ED6163">
        <w:t xml:space="preserve"> 82. </w:t>
      </w:r>
    </w:p>
  </w:footnote>
  <w:footnote w:id="98">
    <w:p w:rsidR="00252A4C" w:rsidRPr="00ED6163" w:rsidP="00D60B92" w14:paraId="0737F941" w14:textId="77777777">
      <w:pPr>
        <w:pStyle w:val="FootnoteText"/>
      </w:pPr>
      <w:r w:rsidRPr="00ED6163">
        <w:rPr>
          <w:rStyle w:val="FootnoteReference"/>
        </w:rPr>
        <w:footnoteRef/>
      </w:r>
      <w:r w:rsidRPr="00ED6163">
        <w:t xml:space="preserve"> </w:t>
      </w:r>
      <w:r w:rsidRPr="00ED6163">
        <w:rPr>
          <w:i/>
          <w:iCs/>
        </w:rPr>
        <w:t>Id</w:t>
      </w:r>
      <w:r w:rsidRPr="00ED6163">
        <w:rPr>
          <w:iCs/>
        </w:rPr>
        <w:t>.</w:t>
      </w:r>
      <w:r w:rsidRPr="00ED6163">
        <w:rPr>
          <w:i/>
          <w:iCs/>
        </w:rPr>
        <w:t xml:space="preserve"> </w:t>
      </w:r>
    </w:p>
  </w:footnote>
  <w:footnote w:id="99">
    <w:p w:rsidR="00252A4C" w:rsidRPr="00ED6163" w:rsidP="00D60B92" w14:paraId="0961F561" w14:textId="77777777">
      <w:pPr>
        <w:pStyle w:val="FootnoteText"/>
      </w:pPr>
      <w:r w:rsidRPr="00ED6163">
        <w:rPr>
          <w:rStyle w:val="FootnoteReference"/>
        </w:rPr>
        <w:footnoteRef/>
      </w:r>
      <w:r w:rsidRPr="00ED6163">
        <w:t xml:space="preserve"> </w:t>
      </w:r>
      <w:r w:rsidRPr="00ED6163">
        <w:rPr>
          <w:i/>
        </w:rPr>
        <w:t>See, e.g</w:t>
      </w:r>
      <w:r w:rsidRPr="00ED6163">
        <w:t>., AT&amp;T Comments at 19 (“AT&amp;T acknowledges that the speeds included in its 477 deployment submissions mirror the speeds it posts on its website, which represents the range of speeds consumers can expect to receive at the CMA level”);</w:t>
      </w:r>
      <w:r w:rsidRPr="00ED6163">
        <w:t xml:space="preserve"> Verizon Comments at 14 (stating that a provider’s minimum advertised speeds could be publicly disclosed since “providers already inform customers of the typical expected wireless broadband speeds”). </w:t>
      </w:r>
    </w:p>
  </w:footnote>
  <w:footnote w:id="100">
    <w:p w:rsidR="00252A4C" w:rsidRPr="00ED6163" w:rsidP="00D60B92" w14:paraId="0E0F37A6" w14:textId="77777777">
      <w:pPr>
        <w:pStyle w:val="FootnoteText"/>
      </w:pPr>
      <w:r w:rsidRPr="00ED6163">
        <w:rPr>
          <w:rStyle w:val="FootnoteReference"/>
        </w:rPr>
        <w:footnoteRef/>
      </w:r>
      <w:r w:rsidRPr="00ED6163">
        <w:t xml:space="preserve"> </w:t>
      </w:r>
      <w:r w:rsidRPr="00ED6163">
        <w:rPr>
          <w:i/>
        </w:rPr>
        <w:t>See, e.g</w:t>
      </w:r>
      <w:r w:rsidRPr="00ED6163">
        <w:t>., Verizon Comments at 14 (“A provider’s mini</w:t>
      </w:r>
      <w:r w:rsidRPr="00ED6163">
        <w:t>mum advertised speeds could, as the Commission suggests, be disclosed publicly since providers already inform customers of the typical expected wireless broadband speeds.”); Connected Nation Comments at 9 (“The FCC should make minimum advertised/expected s</w:t>
      </w:r>
      <w:r w:rsidRPr="00ED6163">
        <w:t>peeds publicly available… because it is advertised by service providers.”); CPUC Comments at 9 (“The CPUC strongly supports these proposals to release publicly minimum advertised or expected speed data and non-commercially sensitive data”); Institute for L</w:t>
      </w:r>
      <w:r w:rsidRPr="00ED6163">
        <w:t xml:space="preserve">ocal Self-Reliance Comments at 2-3 (arguing that minimum advertised or expected speed data should not be considered commercially-sensitive because it is “already available from other sources, such as advertisements and providers’ websites”). </w:t>
      </w:r>
    </w:p>
  </w:footnote>
  <w:footnote w:id="101">
    <w:p w:rsidR="00252A4C" w:rsidRPr="00ED6163" w:rsidP="00D60B92" w14:paraId="78D691A0" w14:textId="77777777">
      <w:pPr>
        <w:pStyle w:val="FootnoteText"/>
      </w:pPr>
      <w:r w:rsidRPr="00ED6163">
        <w:rPr>
          <w:rStyle w:val="FootnoteReference"/>
        </w:rPr>
        <w:footnoteRef/>
      </w:r>
      <w:r w:rsidRPr="00ED6163">
        <w:t xml:space="preserve"> T-Mobile Co</w:t>
      </w:r>
      <w:r w:rsidRPr="00ED6163">
        <w:t xml:space="preserve">mments at 3 (stating that T-Mobile supports the public disclosure of speed data if the Commission eliminates the requirement that mobile broadband providers submit their broadband deployment data by spectrum band).    </w:t>
      </w:r>
    </w:p>
  </w:footnote>
  <w:footnote w:id="102">
    <w:p w:rsidR="00252A4C" w:rsidRPr="00ED6163" w:rsidP="00D60B92" w14:paraId="5A9D9B6A" w14:textId="77777777">
      <w:pPr>
        <w:pStyle w:val="FootnoteText"/>
      </w:pPr>
      <w:r w:rsidRPr="00ED6163">
        <w:rPr>
          <w:rStyle w:val="FootnoteReference"/>
        </w:rPr>
        <w:footnoteRef/>
      </w:r>
      <w:r w:rsidRPr="00ED6163">
        <w:t xml:space="preserve"> </w:t>
      </w:r>
      <w:r w:rsidRPr="00ED6163">
        <w:rPr>
          <w:i/>
        </w:rPr>
        <w:t>See</w:t>
      </w:r>
      <w:r w:rsidRPr="00ED6163">
        <w:t xml:space="preserve"> </w:t>
      </w:r>
      <w:r w:rsidRPr="00ED6163">
        <w:rPr>
          <w:i/>
        </w:rPr>
        <w:t>2013 Form 477 Order</w:t>
      </w:r>
      <w:r w:rsidRPr="00ED6163">
        <w:t>, 28 FCC Rcd</w:t>
      </w:r>
      <w:r w:rsidRPr="00ED6163">
        <w:t xml:space="preserve"> at 9911, para. 48 (weighing the burdens of the filing requirement against the public interest benefits).  Our decision to release this information is consistent with our long-established authority to release even otherwise confidential information after a</w:t>
      </w:r>
      <w:r w:rsidRPr="00ED6163">
        <w:t xml:space="preserve"> balancing of the public and private interests at stake.  </w:t>
      </w:r>
      <w:r w:rsidRPr="00ED6163">
        <w:rPr>
          <w:i/>
          <w:iCs/>
        </w:rPr>
        <w:t xml:space="preserve">See </w:t>
      </w:r>
      <w:r w:rsidRPr="00ED6163">
        <w:rPr>
          <w:iCs/>
        </w:rPr>
        <w:t>47 U.S.C. § 154(j);</w:t>
      </w:r>
      <w:r w:rsidRPr="00ED6163">
        <w:rPr>
          <w:i/>
          <w:iCs/>
        </w:rPr>
        <w:t xml:space="preserve"> Schreiber v. FCC</w:t>
      </w:r>
      <w:r w:rsidRPr="00ED6163">
        <w:rPr>
          <w:iCs/>
        </w:rPr>
        <w:t>,</w:t>
      </w:r>
      <w:r w:rsidRPr="00ED6163">
        <w:rPr>
          <w:i/>
          <w:iCs/>
        </w:rPr>
        <w:t xml:space="preserve"> </w:t>
      </w:r>
      <w:r w:rsidRPr="00ED6163">
        <w:rPr>
          <w:iCs/>
        </w:rPr>
        <w:t>381 U.S. 279, 291-92 (1965);</w:t>
      </w:r>
      <w:r w:rsidRPr="00ED6163">
        <w:rPr>
          <w:i/>
          <w:iCs/>
        </w:rPr>
        <w:t xml:space="preserve"> Examination of Current Policy Concerning the Treatment of Confidential Information Submitted to the Commission</w:t>
      </w:r>
      <w:r w:rsidRPr="00ED6163">
        <w:rPr>
          <w:iCs/>
        </w:rPr>
        <w:t>, GC Docket No. 9</w:t>
      </w:r>
      <w:r w:rsidRPr="00ED6163">
        <w:rPr>
          <w:iCs/>
        </w:rPr>
        <w:t>6-55,</w:t>
      </w:r>
      <w:r w:rsidRPr="00ED6163">
        <w:rPr>
          <w:i/>
          <w:iCs/>
        </w:rPr>
        <w:t xml:space="preserve"> </w:t>
      </w:r>
      <w:r w:rsidRPr="00ED6163">
        <w:rPr>
          <w:iCs/>
        </w:rPr>
        <w:t>Notice of Inquiry and Notice of Proposed Rulemaking,</w:t>
      </w:r>
      <w:r w:rsidRPr="00ED6163">
        <w:rPr>
          <w:i/>
          <w:iCs/>
        </w:rPr>
        <w:t xml:space="preserve"> </w:t>
      </w:r>
      <w:r w:rsidRPr="00ED6163">
        <w:rPr>
          <w:iCs/>
        </w:rPr>
        <w:t>11 FCC Rcd 12406, 12414-15, para. 15 (1996)</w:t>
      </w:r>
      <w:r w:rsidRPr="00ED6163">
        <w:rPr>
          <w:i/>
          <w:iCs/>
        </w:rPr>
        <w:t xml:space="preserve">.  </w:t>
      </w:r>
      <w:r w:rsidRPr="00ED6163">
        <w:t xml:space="preserve">The Supreme Court’s recent decision in </w:t>
      </w:r>
      <w:r w:rsidRPr="00ED6163">
        <w:rPr>
          <w:i/>
        </w:rPr>
        <w:t xml:space="preserve">Food Marketing Institute, </w:t>
      </w:r>
      <w:r w:rsidRPr="00ED6163">
        <w:t>(</w:t>
      </w:r>
      <w:r w:rsidRPr="00ED6163">
        <w:rPr>
          <w:i/>
        </w:rPr>
        <w:t xml:space="preserve">Food Mktg. Inst. v. Argus Leader Media, </w:t>
      </w:r>
      <w:r w:rsidRPr="00ED6163">
        <w:t>No. 18-481, 2019 WL 2570624 (U.S. June 24, 20</w:t>
      </w:r>
      <w:r w:rsidRPr="00ED6163">
        <w:t>19) (</w:t>
      </w:r>
      <w:r w:rsidRPr="00ED6163">
        <w:rPr>
          <w:i/>
        </w:rPr>
        <w:t>FMI</w:t>
      </w:r>
      <w:r w:rsidRPr="00ED6163">
        <w:t xml:space="preserve">)), does not affect this authority. </w:t>
      </w:r>
      <w:r w:rsidRPr="00ED6163">
        <w:rPr>
          <w:i/>
          <w:iCs/>
        </w:rPr>
        <w:t> </w:t>
      </w:r>
      <w:r w:rsidRPr="00ED6163">
        <w:t xml:space="preserve">In </w:t>
      </w:r>
      <w:r w:rsidRPr="00ED6163">
        <w:rPr>
          <w:i/>
          <w:iCs/>
        </w:rPr>
        <w:t>FMI,</w:t>
      </w:r>
      <w:r w:rsidRPr="00ED6163">
        <w:rPr>
          <w:iCs/>
        </w:rPr>
        <w:t xml:space="preserve"> the</w:t>
      </w:r>
      <w:r w:rsidRPr="00ED6163">
        <w:t xml:space="preserve"> Court addressed what showing was necessary to </w:t>
      </w:r>
      <w:r w:rsidRPr="00ED6163">
        <w:rPr>
          <w:i/>
          <w:iCs/>
        </w:rPr>
        <w:t xml:space="preserve">permit </w:t>
      </w:r>
      <w:r w:rsidRPr="00ED6163">
        <w:t xml:space="preserve">the agency to withhold confidential commercial and financial information from disclosure under the Freedom of Information Act (FOIA).  The Court found that information qualified as confidential “[a]t least where commercial or financial information is both </w:t>
      </w:r>
      <w:r w:rsidRPr="00ED6163">
        <w:t xml:space="preserve">customarily and actually treated as private by its owner and provided to the government under an assurance of privacy,” </w:t>
      </w:r>
      <w:r w:rsidRPr="00ED6163">
        <w:rPr>
          <w:iCs/>
        </w:rPr>
        <w:t xml:space="preserve">slip op. at </w:t>
      </w:r>
      <w:r w:rsidRPr="00ED6163">
        <w:t xml:space="preserve">12, without reaching the issue of whether government assurances of privacy were necessary, </w:t>
      </w:r>
      <w:r w:rsidRPr="00ED6163">
        <w:rPr>
          <w:iCs/>
        </w:rPr>
        <w:t>slip op.</w:t>
      </w:r>
      <w:r w:rsidRPr="00ED6163">
        <w:rPr>
          <w:i/>
          <w:iCs/>
        </w:rPr>
        <w:t xml:space="preserve"> </w:t>
      </w:r>
      <w:r w:rsidRPr="00ED6163">
        <w:t>at 6.  Here, the issue i</w:t>
      </w:r>
      <w:r w:rsidRPr="00ED6163">
        <w:t xml:space="preserve">s whether the Commission is </w:t>
      </w:r>
      <w:r w:rsidRPr="00ED6163">
        <w:rPr>
          <w:i/>
          <w:iCs/>
        </w:rPr>
        <w:t xml:space="preserve">required </w:t>
      </w:r>
      <w:r w:rsidRPr="00ED6163">
        <w:t>to withhold Form 477 filings from public review.  We believe that even if the data at issue is “customarily and actually treated as private by its owner,” and thus might qualify for protection under Exemption 4 of the F</w:t>
      </w:r>
      <w:r w:rsidRPr="00ED6163">
        <w:t>OIA, this finding alone, without a further showing of harm, is not a private interest sufficient to outweigh the public benefits identified above.  Here, no provider has made such a showing.</w:t>
      </w:r>
    </w:p>
  </w:footnote>
  <w:footnote w:id="103">
    <w:p w:rsidR="00252A4C" w:rsidRPr="00ED6163" w:rsidP="00D60B92" w14:paraId="6B6007BF" w14:textId="77777777">
      <w:pPr>
        <w:pStyle w:val="FootnoteText"/>
      </w:pPr>
      <w:r w:rsidRPr="00ED6163">
        <w:rPr>
          <w:rStyle w:val="FootnoteReference"/>
        </w:rPr>
        <w:footnoteRef/>
      </w:r>
      <w:r w:rsidRPr="00ED6163">
        <w:t xml:space="preserve"> </w:t>
      </w:r>
      <w:r w:rsidRPr="00ED6163">
        <w:rPr>
          <w:i/>
        </w:rPr>
        <w:t>See FCC Form 477 Instructions</w:t>
      </w:r>
      <w:r w:rsidRPr="00ED6163">
        <w:t xml:space="preserve"> at 12, 24.</w:t>
      </w:r>
    </w:p>
  </w:footnote>
  <w:footnote w:id="104">
    <w:p w:rsidR="00252A4C" w:rsidRPr="00ED6163" w:rsidP="00D60B92" w14:paraId="5E162D36" w14:textId="77777777">
      <w:pPr>
        <w:pStyle w:val="FootnoteText"/>
      </w:pPr>
      <w:r w:rsidRPr="00ED6163">
        <w:rPr>
          <w:rStyle w:val="FootnoteReference"/>
        </w:rPr>
        <w:footnoteRef/>
      </w:r>
      <w:r w:rsidRPr="00ED6163">
        <w:t xml:space="preserve"> </w:t>
      </w:r>
      <w:r w:rsidRPr="00ED6163">
        <w:rPr>
          <w:i/>
        </w:rPr>
        <w:t>2013 Form 477 Order</w:t>
      </w:r>
      <w:r w:rsidRPr="00ED6163">
        <w:t>,</w:t>
      </w:r>
      <w:r w:rsidRPr="00ED6163">
        <w:t xml:space="preserve"> 28 FCC Rcd</w:t>
      </w:r>
      <w:r w:rsidRPr="00ED6163">
        <w:rPr>
          <w:i/>
          <w:iCs/>
        </w:rPr>
        <w:t xml:space="preserve"> </w:t>
      </w:r>
      <w:r w:rsidRPr="00ED6163">
        <w:t xml:space="preserve">at 9908, para. 42; </w:t>
      </w:r>
      <w:r w:rsidRPr="00ED6163">
        <w:rPr>
          <w:i/>
        </w:rPr>
        <w:t>FCC Form 477 Instructions</w:t>
      </w:r>
      <w:r w:rsidRPr="00ED6163">
        <w:t xml:space="preserve"> at 24.</w:t>
      </w:r>
    </w:p>
  </w:footnote>
  <w:footnote w:id="105">
    <w:p w:rsidR="00252A4C" w:rsidRPr="00ED6163" w:rsidP="00D60B92" w14:paraId="13D15027" w14:textId="77777777">
      <w:pPr>
        <w:pStyle w:val="FootnoteText"/>
      </w:pPr>
      <w:r w:rsidRPr="00ED6163">
        <w:rPr>
          <w:rStyle w:val="FootnoteReference"/>
        </w:rPr>
        <w:footnoteRef/>
      </w:r>
      <w:r w:rsidRPr="00ED6163">
        <w:t xml:space="preserve"> Consistently, we amend section 1.7001 of our rules by deleting the text in paragraph (d)(2)(ii) regarding requests that provider-specific deployment data regarding spectrum parameters for in</w:t>
      </w:r>
      <w:r w:rsidRPr="00ED6163">
        <w:t xml:space="preserve">ternal network planning purposes be withheld from public disclosure.  This provision is unnecessary because such data will no longer be collected.  </w:t>
      </w:r>
    </w:p>
  </w:footnote>
  <w:footnote w:id="106">
    <w:p w:rsidR="00252A4C" w:rsidRPr="00ED6163" w:rsidP="00D60B92" w14:paraId="5FFCB258" w14:textId="77777777">
      <w:pPr>
        <w:pStyle w:val="FootnoteText"/>
      </w:pPr>
      <w:r w:rsidRPr="00ED6163">
        <w:rPr>
          <w:rStyle w:val="FootnoteReference"/>
        </w:rPr>
        <w:footnoteRef/>
      </w:r>
      <w:r w:rsidRPr="00ED6163">
        <w:t xml:space="preserve"> </w:t>
      </w:r>
      <w:r w:rsidRPr="00ED6163">
        <w:rPr>
          <w:i/>
        </w:rPr>
        <w:t>2013 Form 477 Order</w:t>
      </w:r>
      <w:r w:rsidRPr="00ED6163">
        <w:t>, 28 FCC Rcd at 9910, para. 45.</w:t>
      </w:r>
    </w:p>
  </w:footnote>
  <w:footnote w:id="107">
    <w:p w:rsidR="00252A4C" w:rsidRPr="00ED6163" w:rsidP="00D60B92" w14:paraId="7C52D36D" w14:textId="77777777">
      <w:pPr>
        <w:pStyle w:val="FootnoteText"/>
      </w:pPr>
      <w:r w:rsidRPr="00ED6163">
        <w:rPr>
          <w:rStyle w:val="FootnoteReference"/>
        </w:rPr>
        <w:footnoteRef/>
      </w:r>
      <w:r w:rsidRPr="00ED6163">
        <w:t xml:space="preserve"> </w:t>
      </w:r>
      <w:r w:rsidRPr="00ED6163">
        <w:rPr>
          <w:i/>
        </w:rPr>
        <w:t>See, e.g.</w:t>
      </w:r>
      <w:r w:rsidRPr="00ED6163">
        <w:t>, CTIA Comments at 9 (reporting by spectrum</w:t>
      </w:r>
      <w:r w:rsidRPr="00ED6163">
        <w:t xml:space="preserve"> band requires providers to create and maintain additional shapefiles, which costs providers time and resources); RWA Comments at 4 (eliminating the requirement to submit mobile broadband service availability data by spectrum band would “greatly streamline</w:t>
      </w:r>
      <w:r w:rsidRPr="00ED6163">
        <w:t xml:space="preserve"> the filing process and reduce the burden on mobile service providers”); T-Mobile Comments at 4-5 (“Eliminating the requirements that providers report their coverage by spectrum band will limit the number of maps providers must create and maintain, thereby</w:t>
      </w:r>
      <w:r w:rsidRPr="00ED6163">
        <w:t xml:space="preserve"> reducing burdens”). </w:t>
      </w:r>
    </w:p>
  </w:footnote>
  <w:footnote w:id="108">
    <w:p w:rsidR="00252A4C" w:rsidRPr="00ED6163" w:rsidP="00D60B92" w14:paraId="1085E74C" w14:textId="77777777">
      <w:pPr>
        <w:pStyle w:val="FootnoteText"/>
      </w:pPr>
      <w:r w:rsidRPr="00ED6163">
        <w:rPr>
          <w:rStyle w:val="FootnoteReference"/>
        </w:rPr>
        <w:footnoteRef/>
      </w:r>
      <w:r w:rsidRPr="00ED6163">
        <w:t xml:space="preserve"> Verizon Comments at 4-5 (explaining how the Commission can eliminate this requirement because the Commission monitors spectrum use through other processes); </w:t>
      </w:r>
      <w:r w:rsidRPr="00ED6163">
        <w:rPr>
          <w:i/>
        </w:rPr>
        <w:t xml:space="preserve">see also </w:t>
      </w:r>
      <w:r w:rsidRPr="00ED6163">
        <w:t xml:space="preserve">GCI Comments at 2 (noting that the carrier “also reports wireless </w:t>
      </w:r>
      <w:r w:rsidRPr="00ED6163">
        <w:t>coverage as required by the Commission’s buildout reporting requirements in certain wireless service and bands.” (citing</w:t>
      </w:r>
      <w:r w:rsidRPr="00ED6163">
        <w:rPr>
          <w:i/>
        </w:rPr>
        <w:t xml:space="preserve"> </w:t>
      </w:r>
      <w:r w:rsidRPr="00ED6163">
        <w:t>47 CFR § 27.14(l)).  The Commission requires spectrum licensees to demonstrate compliance with performance requirements through the fil</w:t>
      </w:r>
      <w:r w:rsidRPr="00ED6163">
        <w:t xml:space="preserve">ing of applications in the Universal Licensing System (ULS) database.  </w:t>
      </w:r>
      <w:r w:rsidRPr="00ED6163">
        <w:rPr>
          <w:i/>
        </w:rPr>
        <w:t xml:space="preserve">See </w:t>
      </w:r>
      <w:r w:rsidRPr="00ED6163">
        <w:t xml:space="preserve">FCC, </w:t>
      </w:r>
      <w:r w:rsidRPr="00ED6163">
        <w:rPr>
          <w:i/>
        </w:rPr>
        <w:t>Universal Licensing System</w:t>
      </w:r>
      <w:r w:rsidRPr="00ED6163">
        <w:t>,</w:t>
      </w:r>
      <w:r w:rsidRPr="00ED6163">
        <w:rPr>
          <w:i/>
        </w:rPr>
        <w:t xml:space="preserve"> </w:t>
      </w:r>
      <w:hyperlink r:id="rId10" w:history="1">
        <w:r w:rsidRPr="00ED6163">
          <w:rPr>
            <w:rStyle w:val="Hyperlink"/>
          </w:rPr>
          <w:t>https://www.fcc.gov/wireless/systems-utilities/universal-l</w:t>
        </w:r>
        <w:r w:rsidRPr="00ED6163">
          <w:rPr>
            <w:rStyle w:val="Hyperlink"/>
          </w:rPr>
          <w:t>icensing-system</w:t>
        </w:r>
      </w:hyperlink>
      <w:r w:rsidRPr="00ED6163">
        <w:t xml:space="preserve"> (last visited July 9, 2019).</w:t>
      </w:r>
    </w:p>
  </w:footnote>
  <w:footnote w:id="109">
    <w:p w:rsidR="00252A4C" w:rsidRPr="00ED6163" w:rsidP="00D60B92" w14:paraId="7C071B42" w14:textId="77777777">
      <w:pPr>
        <w:pStyle w:val="FootnoteText"/>
      </w:pPr>
      <w:r w:rsidRPr="00ED6163">
        <w:rPr>
          <w:rStyle w:val="FootnoteReference"/>
        </w:rPr>
        <w:footnoteRef/>
      </w:r>
      <w:r w:rsidRPr="00ED6163">
        <w:t xml:space="preserve"> However, as discussed in the </w:t>
      </w:r>
      <w:r w:rsidRPr="00ED6163">
        <w:rPr>
          <w:i/>
        </w:rPr>
        <w:t>Second Notice</w:t>
      </w:r>
      <w:r w:rsidRPr="00ED6163">
        <w:t>, we seek comment on a proposal to collect infrastructure data from providers, including channel bandwidth (in megahertz) by spectrum band.</w:t>
      </w:r>
    </w:p>
  </w:footnote>
  <w:footnote w:id="110">
    <w:p w:rsidR="00252A4C" w:rsidRPr="00ED6163" w:rsidP="00D60B92" w14:paraId="37ADAC36" w14:textId="77777777">
      <w:pPr>
        <w:pStyle w:val="FootnoteText"/>
      </w:pPr>
      <w:r w:rsidRPr="00ED6163">
        <w:rPr>
          <w:rStyle w:val="FootnoteReference"/>
        </w:rPr>
        <w:footnoteRef/>
      </w:r>
      <w:r w:rsidRPr="00ED6163">
        <w:t xml:space="preserve"> New America’s Open Techno</w:t>
      </w:r>
      <w:r w:rsidRPr="00ED6163">
        <w:t>logy Institute (OTI) Comments at 9.</w:t>
      </w:r>
    </w:p>
  </w:footnote>
  <w:footnote w:id="111">
    <w:p w:rsidR="00252A4C" w:rsidRPr="00ED6163" w:rsidP="00D60B92" w14:paraId="1CB46990" w14:textId="77777777">
      <w:pPr>
        <w:pStyle w:val="FootnoteText"/>
      </w:pPr>
      <w:r w:rsidRPr="00ED6163">
        <w:rPr>
          <w:rStyle w:val="FootnoteReference"/>
        </w:rPr>
        <w:footnoteRef/>
      </w:r>
      <w:r w:rsidRPr="00ED6163">
        <w:t xml:space="preserve"> ILSR Comments at 3.</w:t>
      </w:r>
    </w:p>
  </w:footnote>
  <w:footnote w:id="112">
    <w:p w:rsidR="00252A4C" w:rsidRPr="00ED6163" w:rsidP="00D60B92" w14:paraId="504279E6" w14:textId="77777777">
      <w:pPr>
        <w:pStyle w:val="FootnoteText"/>
      </w:pPr>
      <w:r w:rsidRPr="00ED6163">
        <w:rPr>
          <w:rStyle w:val="FootnoteReference"/>
        </w:rPr>
        <w:footnoteRef/>
      </w:r>
      <w:r w:rsidRPr="00ED6163">
        <w:t xml:space="preserve"> </w:t>
      </w:r>
      <w:r w:rsidRPr="00ED6163">
        <w:rPr>
          <w:i/>
        </w:rPr>
        <w:t>Id.</w:t>
      </w:r>
    </w:p>
  </w:footnote>
  <w:footnote w:id="113">
    <w:p w:rsidR="00252A4C" w:rsidRPr="00ED6163" w:rsidP="00D60B92" w14:paraId="214B5C6D" w14:textId="77777777">
      <w:pPr>
        <w:pStyle w:val="FootnoteText"/>
      </w:pPr>
      <w:r w:rsidRPr="00ED6163">
        <w:rPr>
          <w:rStyle w:val="FootnoteReference"/>
        </w:rPr>
        <w:footnoteRef/>
      </w:r>
      <w:r w:rsidRPr="00ED6163">
        <w:t xml:space="preserve"> Mike Dano, </w:t>
      </w:r>
      <w:r w:rsidRPr="00ED6163">
        <w:rPr>
          <w:i/>
        </w:rPr>
        <w:t>The Spectrum Bands Carrying the Most Data, Broken Down by Carrier</w:t>
      </w:r>
      <w:r w:rsidRPr="00ED6163">
        <w:t xml:space="preserve"> (Nov. 28, 2018), </w:t>
      </w:r>
      <w:hyperlink r:id="rId11" w:history="1">
        <w:r w:rsidRPr="00ED6163">
          <w:rPr>
            <w:rStyle w:val="Hyperlink"/>
          </w:rPr>
          <w:t>https://www.fiercewireless.com/wireless/exclusive-spectrum-bands-carrying-most-data-broken-down-by-carrier</w:t>
        </w:r>
      </w:hyperlink>
      <w:r w:rsidRPr="00ED6163">
        <w:t xml:space="preserve">. </w:t>
      </w:r>
    </w:p>
  </w:footnote>
  <w:footnote w:id="114">
    <w:p w:rsidR="00252A4C" w:rsidRPr="00ED6163" w:rsidP="00D60B92" w14:paraId="63257C57" w14:textId="77777777">
      <w:pPr>
        <w:pStyle w:val="FootnoteText"/>
      </w:pPr>
      <w:r w:rsidRPr="00ED6163">
        <w:rPr>
          <w:rStyle w:val="FootnoteReference"/>
        </w:rPr>
        <w:footnoteRef/>
      </w:r>
      <w:r w:rsidRPr="00ED6163">
        <w:t xml:space="preserve"> </w:t>
      </w:r>
      <w:r w:rsidRPr="00ED6163">
        <w:rPr>
          <w:i/>
        </w:rPr>
        <w:t>2017 Data Collection Improvement FNPRM</w:t>
      </w:r>
      <w:r w:rsidRPr="00ED6163">
        <w:t xml:space="preserve">, 32 FCC Rcd at 6329, para. 15. </w:t>
      </w:r>
    </w:p>
  </w:footnote>
  <w:footnote w:id="115">
    <w:p w:rsidR="00252A4C" w:rsidRPr="00ED6163" w:rsidP="00D60B92" w14:paraId="301FFF08" w14:textId="77777777">
      <w:pPr>
        <w:pStyle w:val="FootnoteText"/>
      </w:pPr>
      <w:r w:rsidRPr="00ED6163">
        <w:rPr>
          <w:rStyle w:val="FootnoteReference"/>
        </w:rPr>
        <w:footnoteRef/>
      </w:r>
      <w:r w:rsidRPr="00ED6163">
        <w:t xml:space="preserve"> </w:t>
      </w:r>
      <w:r w:rsidRPr="00ED6163">
        <w:rPr>
          <w:i/>
        </w:rPr>
        <w:t>See</w:t>
      </w:r>
      <w:r w:rsidRPr="00ED6163">
        <w:t xml:space="preserve"> Linda Hardesty, </w:t>
      </w:r>
      <w:r w:rsidRPr="00ED6163">
        <w:rPr>
          <w:i/>
        </w:rPr>
        <w:t xml:space="preserve">Sprint turns on </w:t>
      </w:r>
      <w:r w:rsidRPr="00ED6163">
        <w:rPr>
          <w:i/>
        </w:rPr>
        <w:t>‘true’ mobile 5G with Massive MIMO and ENDC</w:t>
      </w:r>
      <w:r w:rsidRPr="00ED6163">
        <w:t xml:space="preserve"> (May 30, 2019), </w:t>
      </w:r>
      <w:hyperlink r:id="rId12" w:history="1">
        <w:r w:rsidRPr="00ED6163">
          <w:rPr>
            <w:rStyle w:val="Hyperlink"/>
          </w:rPr>
          <w:t>https://www.fiercewireless.com/5g/sprint-turns-true-mobile-5g-using-massive-mimo-and-endc</w:t>
        </w:r>
      </w:hyperlink>
      <w:r w:rsidRPr="00ED6163">
        <w:t>;</w:t>
      </w:r>
      <w:r w:rsidRPr="00ED6163">
        <w:t xml:space="preserve"> Natt Garun, </w:t>
      </w:r>
      <w:r w:rsidRPr="00ED6163">
        <w:rPr>
          <w:i/>
        </w:rPr>
        <w:t>Verizon begins deploying its 5G mobile network in parts of Chicago and Minneapolis</w:t>
      </w:r>
      <w:r w:rsidRPr="00ED6163">
        <w:t xml:space="preserve"> (Apr. 3, 2019), </w:t>
      </w:r>
      <w:hyperlink r:id="rId13" w:history="1">
        <w:r w:rsidRPr="00ED6163">
          <w:rPr>
            <w:rStyle w:val="Hyperlink"/>
          </w:rPr>
          <w:t>https://www.theverge.com/2019</w:t>
        </w:r>
        <w:r w:rsidRPr="00ED6163">
          <w:rPr>
            <w:rStyle w:val="Hyperlink"/>
          </w:rPr>
          <w:t>/4/3/18293773/verizon-5g-wireless-network-rollout-chicago-minneapolis</w:t>
        </w:r>
      </w:hyperlink>
      <w:r w:rsidRPr="00ED6163">
        <w:t xml:space="preserve">; Dan Jones, </w:t>
      </w:r>
      <w:r w:rsidRPr="00ED6163">
        <w:rPr>
          <w:i/>
        </w:rPr>
        <w:t>5G in the USA: More Mobile Steps</w:t>
      </w:r>
      <w:r w:rsidRPr="00ED6163">
        <w:t xml:space="preserve"> (May 14, 2019), </w:t>
      </w:r>
      <w:hyperlink r:id="rId14" w:history="1">
        <w:r w:rsidRPr="00ED6163">
          <w:rPr>
            <w:rStyle w:val="Hyperlink"/>
          </w:rPr>
          <w:t>https://www.lightreading.com/5g-in</w:t>
        </w:r>
        <w:r w:rsidRPr="00ED6163">
          <w:rPr>
            <w:rStyle w:val="Hyperlink"/>
          </w:rPr>
          <w:t>-the-usa-more-mobile-steps/d/d-id/751436</w:t>
        </w:r>
      </w:hyperlink>
      <w:r w:rsidRPr="00ED6163">
        <w:rPr>
          <w:rStyle w:val="Hyperlink"/>
        </w:rPr>
        <w:t>.</w:t>
      </w:r>
    </w:p>
  </w:footnote>
  <w:footnote w:id="116">
    <w:p w:rsidR="00252A4C" w:rsidRPr="00ED6163" w:rsidP="00D60B92" w14:paraId="56879F2F" w14:textId="77777777">
      <w:pPr>
        <w:pStyle w:val="FootnoteText"/>
      </w:pPr>
      <w:r w:rsidRPr="00ED6163">
        <w:rPr>
          <w:rStyle w:val="FootnoteReference"/>
        </w:rPr>
        <w:footnoteRef/>
      </w:r>
      <w:r w:rsidRPr="00ED6163">
        <w:t xml:space="preserve">  </w:t>
      </w:r>
      <w:r w:rsidRPr="00ED6163">
        <w:rPr>
          <w:i/>
        </w:rPr>
        <w:t>See</w:t>
      </w:r>
      <w:r w:rsidRPr="00ED6163">
        <w:t xml:space="preserve"> Utah Governor’s Office of Economic Development Comments at 3 (supporting collection of 5G mobile deployment data); AT&amp;T Comments at 7 (supporting the proposal to require providers to file coverage maps for 5</w:t>
      </w:r>
      <w:r w:rsidRPr="00ED6163">
        <w:t>G deployment).</w:t>
      </w:r>
      <w:r w:rsidRPr="00ED6163">
        <w:rPr>
          <w:highlight w:val="yellow"/>
        </w:rPr>
        <w:t xml:space="preserve">  </w:t>
      </w:r>
    </w:p>
  </w:footnote>
  <w:footnote w:id="117">
    <w:p w:rsidR="00252A4C" w:rsidRPr="00ED6163" w:rsidP="00D60B92" w14:paraId="2BF2C0A4" w14:textId="77777777">
      <w:pPr>
        <w:pStyle w:val="FootnoteText"/>
      </w:pPr>
      <w:r w:rsidRPr="00ED6163">
        <w:rPr>
          <w:rStyle w:val="FootnoteReference"/>
        </w:rPr>
        <w:footnoteRef/>
      </w:r>
      <w:r w:rsidRPr="00ED6163">
        <w:t xml:space="preserve"> </w:t>
      </w:r>
      <w:r w:rsidRPr="00ED6163">
        <w:rPr>
          <w:i/>
        </w:rPr>
        <w:t>2013 Form 477 Order</w:t>
      </w:r>
      <w:r w:rsidRPr="00ED6163">
        <w:t xml:space="preserve">, 28 FCC Rcd at 9910, para. 45.  </w:t>
      </w:r>
    </w:p>
  </w:footnote>
  <w:footnote w:id="118">
    <w:p w:rsidR="00252A4C" w:rsidRPr="00ED6163" w:rsidP="00D60B92" w14:paraId="1AD52301" w14:textId="77777777">
      <w:pPr>
        <w:pStyle w:val="FootnoteText"/>
      </w:pPr>
      <w:r w:rsidRPr="00ED6163">
        <w:rPr>
          <w:rStyle w:val="FootnoteReference"/>
        </w:rPr>
        <w:footnoteRef/>
      </w:r>
      <w:r w:rsidRPr="00ED6163">
        <w:t xml:space="preserve"> 3GPP unites seven telecommunications standard development organizations, including the Alliance for Telecommunications Industry Solutions (the standards development organization that</w:t>
      </w:r>
      <w:r w:rsidRPr="00ED6163">
        <w:t xml:space="preserve"> applies 3GPP standards in the United States).  3GPP, </w:t>
      </w:r>
      <w:r w:rsidRPr="00ED6163">
        <w:rPr>
          <w:i/>
        </w:rPr>
        <w:t>About 3GPP</w:t>
      </w:r>
      <w:r w:rsidRPr="00ED6163">
        <w:t xml:space="preserve">,  </w:t>
      </w:r>
      <w:hyperlink r:id="rId15" w:history="1">
        <w:r w:rsidRPr="00ED6163">
          <w:rPr>
            <w:rStyle w:val="Hyperlink"/>
          </w:rPr>
          <w:t>https://www.3gpp.org/about-3gpp</w:t>
        </w:r>
      </w:hyperlink>
      <w:r w:rsidRPr="00ED6163">
        <w:t xml:space="preserve"> (last visited July 8, 2019).  3GPP “covers cellular telecommunications network technologies, including radio </w:t>
      </w:r>
      <w:r w:rsidRPr="00ED6163">
        <w:t xml:space="preserve">access, the core transport network, and service capabilities” “and thus provides complete system specifications.”  </w:t>
      </w:r>
      <w:r w:rsidRPr="00ED6163">
        <w:rPr>
          <w:i/>
        </w:rPr>
        <w:t>Id.</w:t>
      </w:r>
      <w:r w:rsidRPr="00ED6163">
        <w:t xml:space="preserve"> </w:t>
      </w:r>
    </w:p>
  </w:footnote>
  <w:footnote w:id="119">
    <w:p w:rsidR="00252A4C" w:rsidRPr="00ED6163" w:rsidP="00D60B92" w14:paraId="7DACA584" w14:textId="77777777">
      <w:pPr>
        <w:pStyle w:val="FootnoteText"/>
      </w:pPr>
      <w:r w:rsidRPr="00ED6163">
        <w:rPr>
          <w:rStyle w:val="FootnoteReference"/>
        </w:rPr>
        <w:footnoteRef/>
      </w:r>
      <w:r w:rsidRPr="00ED6163">
        <w:t xml:space="preserve"> Recommendation ITU-R M.2083-0 (09/2015), </w:t>
      </w:r>
      <w:r w:rsidRPr="00ED6163">
        <w:rPr>
          <w:i/>
        </w:rPr>
        <w:t xml:space="preserve">IMT Vision – Framework and overall objective of the future development of IMT for 2020 and </w:t>
      </w:r>
      <w:r w:rsidRPr="00ED6163">
        <w:rPr>
          <w:i/>
        </w:rPr>
        <w:t>beyond</w:t>
      </w:r>
      <w:r w:rsidRPr="00ED6163">
        <w:t xml:space="preserve"> (2015), </w:t>
      </w:r>
      <w:hyperlink r:id="rId16" w:history="1">
        <w:r w:rsidRPr="00ED6163">
          <w:rPr>
            <w:rStyle w:val="Hyperlink"/>
          </w:rPr>
          <w:t>https://www.itu.int/dms_pubrec/itu-r/rec/m/R-REC-M.2083-0-201509-I!!PDF-E.pdf</w:t>
        </w:r>
      </w:hyperlink>
      <w:r w:rsidRPr="00ED6163">
        <w:rPr>
          <w:rStyle w:val="Hyperlink"/>
        </w:rPr>
        <w:t xml:space="preserve">; </w:t>
      </w:r>
      <w:r w:rsidRPr="00ED6163">
        <w:rPr>
          <w:lang w:val="en-GB"/>
        </w:rPr>
        <w:t xml:space="preserve">3GPP, </w:t>
      </w:r>
      <w:r w:rsidRPr="00ED6163">
        <w:rPr>
          <w:i/>
          <w:lang w:val="en-GB"/>
        </w:rPr>
        <w:t>Release 15</w:t>
      </w:r>
      <w:r w:rsidRPr="00ED6163">
        <w:rPr>
          <w:lang w:val="en-GB"/>
        </w:rPr>
        <w:t xml:space="preserve"> (Apr. 26, 2019), </w:t>
      </w:r>
      <w:hyperlink r:id="rId17" w:history="1">
        <w:r w:rsidRPr="00ED6163">
          <w:rPr>
            <w:rStyle w:val="Hyperlink"/>
            <w:lang w:val="en-GB"/>
          </w:rPr>
          <w:t>https://www.3gpp.org/release-15</w:t>
        </w:r>
      </w:hyperlink>
      <w:r w:rsidRPr="00ED6163">
        <w:rPr>
          <w:rStyle w:val="Hyperlink"/>
          <w:lang w:val="en-GB"/>
        </w:rPr>
        <w:t xml:space="preserve">. </w:t>
      </w:r>
      <w:r w:rsidRPr="00ED6163">
        <w:t xml:space="preserve"> “</w:t>
      </w:r>
      <w:r w:rsidRPr="00ED6163">
        <w:rPr>
          <w:lang w:val="en-GB"/>
        </w:rPr>
        <w:t>While initial specifications enabled ‘non-standalone’ 5G radio systems integrated in previous-generation LTE networks, the scope of Release 15 expands to cover ‘standalone’ 5G, with a new radio system comple</w:t>
      </w:r>
      <w:r w:rsidRPr="00ED6163">
        <w:rPr>
          <w:lang w:val="en-GB"/>
        </w:rPr>
        <w:t xml:space="preserve">mented by a next-generation core network.  It also embraces enhancements to LTE . . . .”  3GPP, </w:t>
      </w:r>
      <w:r w:rsidRPr="00ED6163">
        <w:rPr>
          <w:i/>
          <w:lang w:val="en-GB"/>
        </w:rPr>
        <w:t>Release 15</w:t>
      </w:r>
      <w:r w:rsidRPr="00ED6163">
        <w:rPr>
          <w:lang w:val="en-GB"/>
        </w:rPr>
        <w:t xml:space="preserve"> (Apr. 26, 2019), </w:t>
      </w:r>
      <w:hyperlink r:id="rId17" w:history="1">
        <w:r w:rsidRPr="00ED6163">
          <w:rPr>
            <w:rStyle w:val="Hyperlink"/>
            <w:lang w:val="en-GB"/>
          </w:rPr>
          <w:t>https://www.3gpp.org/release-15</w:t>
        </w:r>
      </w:hyperlink>
      <w:r w:rsidRPr="00ED6163">
        <w:t xml:space="preserve">.  For Form 477 reporting purposes, 5G-NR </w:t>
      </w:r>
      <w:r w:rsidRPr="00ED6163">
        <w:t>includes both non-standalone and standalone configurations.</w:t>
      </w:r>
    </w:p>
  </w:footnote>
  <w:footnote w:id="120">
    <w:p w:rsidR="00252A4C" w:rsidRPr="00ED6163" w:rsidP="00D60B92" w14:paraId="6356B615" w14:textId="77777777">
      <w:pPr>
        <w:pStyle w:val="FootnoteText"/>
      </w:pPr>
      <w:r w:rsidRPr="00ED6163">
        <w:rPr>
          <w:rStyle w:val="FootnoteReference"/>
        </w:rPr>
        <w:footnoteRef/>
      </w:r>
      <w:r w:rsidRPr="00ED6163">
        <w:t xml:space="preserve"> </w:t>
      </w:r>
      <w:r w:rsidRPr="00ED6163">
        <w:rPr>
          <w:i/>
        </w:rPr>
        <w:t>See, e.g.</w:t>
      </w:r>
      <w:r w:rsidRPr="00ED6163">
        <w:t>, T-Mobile Comments at 3, 12-13 (requiring providers to report on 5G deployments would be premature given the lack of industry standards and the nascency of such technologies).  CTIA ar</w:t>
      </w:r>
      <w:r w:rsidRPr="00ED6163">
        <w:t xml:space="preserve">gues that </w:t>
      </w:r>
      <w:r w:rsidRPr="00ED6163">
        <w:rPr>
          <w:spacing w:val="-1"/>
        </w:rPr>
        <w:t xml:space="preserve">any Commission definition may fail to capture the full range of 5G deployments.  CTIA Comments at 10. </w:t>
      </w:r>
      <w:r w:rsidRPr="00ED6163">
        <w:t xml:space="preserve"> Verizon echoes CTIA’s position, arguing that the Commission should “not prematurely try to define or limit 5G technologies as they are developi</w:t>
      </w:r>
      <w:r w:rsidRPr="00ED6163">
        <w:t xml:space="preserve">ng.”  Verizon Comments at 6; </w:t>
      </w:r>
      <w:r w:rsidRPr="00ED6163">
        <w:rPr>
          <w:i/>
        </w:rPr>
        <w:t xml:space="preserve">see also </w:t>
      </w:r>
      <w:r w:rsidRPr="00ED6163">
        <w:t xml:space="preserve">Utah Governor’s Office of Economic Development Comments at 3; T-Mobile Comments at 3, 12-13.  </w:t>
      </w:r>
    </w:p>
  </w:footnote>
  <w:footnote w:id="121">
    <w:p w:rsidR="00252A4C" w:rsidRPr="00ED6163" w:rsidP="00D60B92" w14:paraId="10942AA9" w14:textId="77777777">
      <w:pPr>
        <w:pStyle w:val="FootnoteText"/>
      </w:pPr>
      <w:r w:rsidRPr="00ED6163">
        <w:rPr>
          <w:rStyle w:val="FootnoteReference"/>
        </w:rPr>
        <w:footnoteRef/>
      </w:r>
      <w:r w:rsidRPr="00ED6163">
        <w:t xml:space="preserve"> Recommendation ITU-R  M2083-0 (09/2015), </w:t>
      </w:r>
      <w:r w:rsidRPr="00ED6163">
        <w:rPr>
          <w:i/>
        </w:rPr>
        <w:t>IMT Vision – Framework and overall objective of the future development of IMT fo</w:t>
      </w:r>
      <w:r w:rsidRPr="00ED6163">
        <w:rPr>
          <w:i/>
        </w:rPr>
        <w:t>r 2020 and beyond</w:t>
      </w:r>
      <w:r w:rsidRPr="00ED6163">
        <w:t xml:space="preserve"> (2015), </w:t>
      </w:r>
      <w:hyperlink r:id="rId18" w:history="1">
        <w:r w:rsidRPr="00ED6163">
          <w:rPr>
            <w:rStyle w:val="Hyperlink"/>
            <w:snapToGrid w:val="0"/>
          </w:rPr>
          <w:t>https://spectrum.ieee.org/telecom/wireless/3gpp-release-15-overview</w:t>
        </w:r>
      </w:hyperlink>
      <w:r w:rsidRPr="00ED6163">
        <w:rPr>
          <w:rStyle w:val="Hyperlink"/>
          <w:snapToGrid w:val="0"/>
        </w:rPr>
        <w:t>.</w:t>
      </w:r>
      <w:hyperlink w:history="1"/>
      <w:r w:rsidRPr="00ED6163">
        <w:t>.</w:t>
      </w:r>
    </w:p>
  </w:footnote>
  <w:footnote w:id="122">
    <w:p w:rsidR="00252A4C" w:rsidRPr="00ED6163" w:rsidP="00D60B92" w14:paraId="1F353F82" w14:textId="77777777">
      <w:pPr>
        <w:pStyle w:val="FootnoteText"/>
      </w:pPr>
      <w:r w:rsidRPr="00ED6163">
        <w:rPr>
          <w:rStyle w:val="FootnoteReference"/>
        </w:rPr>
        <w:footnoteRef/>
      </w:r>
      <w:r w:rsidRPr="00ED6163">
        <w:t xml:space="preserve"> CTIA Comments at 10.  </w:t>
      </w:r>
    </w:p>
  </w:footnote>
  <w:footnote w:id="123">
    <w:p w:rsidR="00252A4C" w:rsidRPr="00ED6163" w:rsidP="00D60B92" w14:paraId="58D214D9" w14:textId="77777777">
      <w:pPr>
        <w:pStyle w:val="FootnoteText"/>
      </w:pPr>
      <w:r w:rsidRPr="00ED6163">
        <w:rPr>
          <w:rStyle w:val="FootnoteReference"/>
        </w:rPr>
        <w:footnoteRef/>
      </w:r>
      <w:r w:rsidRPr="00ED6163">
        <w:t xml:space="preserve"> Our requirement to report 5G deploy</w:t>
      </w:r>
      <w:r w:rsidRPr="00ED6163">
        <w:t xml:space="preserve">ments that meet the 5G-NR standards addresses the concerns of commenters arguing that the lack of a 5G standard is a reason not to require mandatory reporting of 5G data.  </w:t>
      </w:r>
      <w:r w:rsidRPr="00ED6163">
        <w:rPr>
          <w:i/>
        </w:rPr>
        <w:t xml:space="preserve">See </w:t>
      </w:r>
      <w:r w:rsidRPr="00ED6163">
        <w:t>CTIA Comments at 10</w:t>
      </w:r>
      <w:r w:rsidRPr="00ED6163">
        <w:rPr>
          <w:i/>
        </w:rPr>
        <w:t xml:space="preserve">; </w:t>
      </w:r>
      <w:r w:rsidRPr="00ED6163">
        <w:t>Verizon Comments at 6; Utah Governor’s Office of Economic D</w:t>
      </w:r>
      <w:r w:rsidRPr="00ED6163">
        <w:t xml:space="preserve">evelopment Comments at 3; T-Mobile Comments at 3, 12-13.  </w:t>
      </w:r>
    </w:p>
  </w:footnote>
  <w:footnote w:id="124">
    <w:p w:rsidR="00252A4C" w:rsidRPr="00ED6163" w:rsidP="00D60B92" w14:paraId="0E76B2A2" w14:textId="77777777">
      <w:pPr>
        <w:pStyle w:val="FootnoteText"/>
      </w:pPr>
      <w:r w:rsidRPr="00ED6163">
        <w:rPr>
          <w:rStyle w:val="FootnoteReference"/>
        </w:rPr>
        <w:footnoteRef/>
      </w:r>
      <w:r w:rsidRPr="00ED6163">
        <w:t xml:space="preserve"> </w:t>
      </w:r>
      <w:r w:rsidRPr="00ED6163">
        <w:rPr>
          <w:i/>
        </w:rPr>
        <w:t>2017 Data Collection Improvement FNPRM</w:t>
      </w:r>
      <w:r w:rsidRPr="00ED6163">
        <w:t>, 32 FCC Rcd at 6335-36, para. 20.</w:t>
      </w:r>
    </w:p>
  </w:footnote>
  <w:footnote w:id="125">
    <w:p w:rsidR="00252A4C" w:rsidRPr="00ED6163" w:rsidP="00D60B92" w14:paraId="7AAFB69B" w14:textId="77777777">
      <w:pPr>
        <w:pStyle w:val="FootnoteText"/>
      </w:pPr>
      <w:r w:rsidRPr="00ED6163">
        <w:rPr>
          <w:rStyle w:val="FootnoteReference"/>
        </w:rPr>
        <w:footnoteRef/>
      </w:r>
      <w:r w:rsidRPr="00ED6163">
        <w:t xml:space="preserve"> </w:t>
      </w:r>
      <w:r w:rsidRPr="00ED6163">
        <w:rPr>
          <w:i/>
        </w:rPr>
        <w:t>Id</w:t>
      </w:r>
      <w:r w:rsidRPr="00ED6163">
        <w:t>.</w:t>
      </w:r>
    </w:p>
  </w:footnote>
  <w:footnote w:id="126">
    <w:p w:rsidR="00252A4C" w:rsidRPr="00ED6163" w:rsidP="00D60B92" w14:paraId="41FD5CA2" w14:textId="77777777">
      <w:pPr>
        <w:pStyle w:val="FootnoteText"/>
      </w:pPr>
      <w:r w:rsidRPr="00ED6163">
        <w:rPr>
          <w:rStyle w:val="FootnoteReference"/>
        </w:rPr>
        <w:footnoteRef/>
      </w:r>
      <w:r w:rsidRPr="00ED6163">
        <w:t xml:space="preserve"> </w:t>
      </w:r>
      <w:r w:rsidRPr="00ED6163">
        <w:rPr>
          <w:i/>
        </w:rPr>
        <w:t>See, e.g.</w:t>
      </w:r>
      <w:r w:rsidRPr="00ED6163">
        <w:t>, AT&amp;T Comments at 7 (suggesting filing under three technology categories); Verizon Comments at 6 (suppor</w:t>
      </w:r>
      <w:r w:rsidRPr="00ED6163">
        <w:t xml:space="preserve">ting proposal to limit collection by technology but also noting the Commission should update as necessary); CTIA Comments at 9-10 &amp;n. 23.  </w:t>
      </w:r>
    </w:p>
  </w:footnote>
  <w:footnote w:id="127">
    <w:p w:rsidR="00252A4C" w:rsidRPr="00ED6163" w:rsidP="00D60B92" w14:paraId="2FD7844D" w14:textId="77777777">
      <w:pPr>
        <w:pStyle w:val="FootnoteText"/>
      </w:pPr>
      <w:r w:rsidRPr="00ED6163">
        <w:rPr>
          <w:rStyle w:val="FootnoteReference"/>
        </w:rPr>
        <w:footnoteRef/>
      </w:r>
      <w:r w:rsidRPr="00ED6163">
        <w:t xml:space="preserve"> </w:t>
      </w:r>
      <w:r w:rsidRPr="00ED6163">
        <w:rPr>
          <w:i/>
        </w:rPr>
        <w:t xml:space="preserve">See Recommendation </w:t>
      </w:r>
      <w:r w:rsidRPr="00ED6163">
        <w:t xml:space="preserve">ITU-R M2083-0 (09/2015), </w:t>
      </w:r>
      <w:r w:rsidRPr="00ED6163">
        <w:rPr>
          <w:i/>
        </w:rPr>
        <w:t>IMT Vision – Framework and overall objective of the future development</w:t>
      </w:r>
      <w:r w:rsidRPr="00ED6163">
        <w:rPr>
          <w:i/>
        </w:rPr>
        <w:t xml:space="preserve"> of IMT for 2020 and beyond</w:t>
      </w:r>
      <w:r w:rsidRPr="00ED6163">
        <w:t xml:space="preserve"> (2015), </w:t>
      </w:r>
      <w:hyperlink r:id="rId16" w:history="1">
        <w:r w:rsidRPr="00ED6163">
          <w:rPr>
            <w:rStyle w:val="Hyperlink"/>
          </w:rPr>
          <w:t>https://www.itu.int/dms_pubrec/itu-r/rec/m/R-REC-M.2083-0-201509-I!!PDF-E.pdf</w:t>
        </w:r>
      </w:hyperlink>
      <w:r w:rsidRPr="00ED6163">
        <w:t xml:space="preserve">; </w:t>
      </w:r>
      <w:r w:rsidRPr="00ED6163">
        <w:rPr>
          <w:lang w:val="en-GB"/>
        </w:rPr>
        <w:t xml:space="preserve">3GPP, </w:t>
      </w:r>
      <w:r w:rsidRPr="00ED6163">
        <w:rPr>
          <w:i/>
          <w:lang w:val="en-GB"/>
        </w:rPr>
        <w:t>Release 15</w:t>
      </w:r>
      <w:r w:rsidRPr="00ED6163">
        <w:rPr>
          <w:lang w:val="en-GB"/>
        </w:rPr>
        <w:t xml:space="preserve"> (Apr. 26, 2019), </w:t>
      </w:r>
      <w:hyperlink r:id="rId17" w:history="1">
        <w:r w:rsidRPr="00ED6163">
          <w:rPr>
            <w:rStyle w:val="Hyperlink"/>
            <w:lang w:val="en-GB"/>
          </w:rPr>
          <w:t>https://www.3gpp.org/release-15</w:t>
        </w:r>
      </w:hyperlink>
      <w:r w:rsidRPr="00ED6163">
        <w:rPr>
          <w:rStyle w:val="Hyperlink"/>
          <w:lang w:val="en-GB"/>
        </w:rPr>
        <w:t xml:space="preserve">. </w:t>
      </w:r>
      <w:r w:rsidRPr="00ED6163">
        <w:t xml:space="preserve"> </w:t>
      </w:r>
    </w:p>
  </w:footnote>
  <w:footnote w:id="128">
    <w:p w:rsidR="00252A4C" w:rsidRPr="00ED6163" w:rsidP="00D60B92" w14:paraId="79FB4274" w14:textId="77777777">
      <w:pPr>
        <w:pStyle w:val="FootnoteText"/>
      </w:pPr>
      <w:r w:rsidRPr="00ED6163">
        <w:rPr>
          <w:rStyle w:val="FootnoteReference"/>
        </w:rPr>
        <w:footnoteRef/>
      </w:r>
      <w:r w:rsidRPr="00ED6163">
        <w:t xml:space="preserve">  </w:t>
      </w:r>
      <w:r w:rsidRPr="00ED6163">
        <w:rPr>
          <w:i/>
        </w:rPr>
        <w:t>See</w:t>
      </w:r>
      <w:r w:rsidRPr="00ED6163">
        <w:t xml:space="preserve"> 3GPP, </w:t>
      </w:r>
      <w:r w:rsidRPr="00ED6163">
        <w:rPr>
          <w:i/>
        </w:rPr>
        <w:t>Release 8</w:t>
      </w:r>
      <w:r w:rsidRPr="00ED6163">
        <w:t xml:space="preserve">, </w:t>
      </w:r>
      <w:hyperlink r:id="rId19" w:history="1">
        <w:r w:rsidRPr="00ED6163">
          <w:rPr>
            <w:rStyle w:val="Hyperlink"/>
          </w:rPr>
          <w:t>https://www.3gpp.org/specifications/releases/72-release-8</w:t>
        </w:r>
      </w:hyperlink>
      <w:r w:rsidRPr="00ED6163">
        <w:t xml:space="preserve"> (last visited June 24, 2019); 3GPP, </w:t>
      </w:r>
      <w:r w:rsidRPr="00ED6163">
        <w:rPr>
          <w:i/>
        </w:rPr>
        <w:t>Release 9</w:t>
      </w:r>
      <w:r w:rsidRPr="00ED6163">
        <w:t xml:space="preserve">, </w:t>
      </w:r>
      <w:hyperlink r:id="rId20" w:history="1">
        <w:r w:rsidRPr="00ED6163">
          <w:rPr>
            <w:rStyle w:val="Hyperlink"/>
          </w:rPr>
          <w:t>https://www.3gpp.org/specifications/releases/71-release-9</w:t>
        </w:r>
      </w:hyperlink>
      <w:r w:rsidRPr="00ED6163">
        <w:t xml:space="preserve"> (last visited June </w:t>
      </w:r>
      <w:r w:rsidRPr="00ED6163">
        <w:t xml:space="preserve">24, 2019); 3GPP, </w:t>
      </w:r>
      <w:r w:rsidRPr="00ED6163">
        <w:rPr>
          <w:i/>
        </w:rPr>
        <w:t>Release 10</w:t>
      </w:r>
      <w:r w:rsidRPr="00ED6163">
        <w:t xml:space="preserve">, </w:t>
      </w:r>
      <w:hyperlink r:id="rId21" w:history="1">
        <w:r w:rsidRPr="00ED6163">
          <w:rPr>
            <w:rStyle w:val="Hyperlink"/>
          </w:rPr>
          <w:t>https://www.3gpp.org/specifications/releases/70-release-10</w:t>
        </w:r>
      </w:hyperlink>
      <w:r w:rsidRPr="00ED6163">
        <w:t xml:space="preserve"> (last visited June 24, 2019); 3GPP, </w:t>
      </w:r>
      <w:r w:rsidRPr="00ED6163">
        <w:rPr>
          <w:i/>
        </w:rPr>
        <w:t>Release 11</w:t>
      </w:r>
      <w:r w:rsidRPr="00ED6163">
        <w:t xml:space="preserve">, </w:t>
      </w:r>
      <w:hyperlink r:id="rId22" w:history="1">
        <w:r w:rsidRPr="00ED6163">
          <w:rPr>
            <w:rStyle w:val="Hyperlink"/>
          </w:rPr>
          <w:t>https://www.3gpp.org/specifications/releases/69-release-11</w:t>
        </w:r>
      </w:hyperlink>
      <w:r w:rsidRPr="00ED6163">
        <w:t xml:space="preserve"> (last visited June 24, 2019); 3GPP, </w:t>
      </w:r>
      <w:r w:rsidRPr="00ED6163">
        <w:rPr>
          <w:i/>
        </w:rPr>
        <w:t>Release 12</w:t>
      </w:r>
      <w:r w:rsidRPr="00ED6163">
        <w:t xml:space="preserve">, </w:t>
      </w:r>
      <w:hyperlink r:id="rId23" w:history="1">
        <w:r w:rsidRPr="00ED6163">
          <w:rPr>
            <w:rStyle w:val="Hyperlink"/>
          </w:rPr>
          <w:t>https://www.3gpp.org/specifications/releases</w:t>
        </w:r>
        <w:r w:rsidRPr="00ED6163">
          <w:rPr>
            <w:rStyle w:val="Hyperlink"/>
          </w:rPr>
          <w:t>/68-release-12</w:t>
        </w:r>
      </w:hyperlink>
      <w:r w:rsidRPr="00ED6163">
        <w:t xml:space="preserve"> (last visited June 24, 2019); 3GPP, </w:t>
      </w:r>
      <w:r w:rsidRPr="00ED6163">
        <w:rPr>
          <w:i/>
        </w:rPr>
        <w:t>Release 13</w:t>
      </w:r>
      <w:r w:rsidRPr="00ED6163">
        <w:t xml:space="preserve">, </w:t>
      </w:r>
      <w:hyperlink r:id="rId24" w:history="1">
        <w:r w:rsidRPr="00ED6163">
          <w:rPr>
            <w:rStyle w:val="Hyperlink"/>
          </w:rPr>
          <w:t>https://www.3gpp.org/release-13</w:t>
        </w:r>
      </w:hyperlink>
      <w:r w:rsidRPr="00ED6163">
        <w:t xml:space="preserve"> (last visited June 24, 2019); 3GPP, </w:t>
      </w:r>
      <w:r w:rsidRPr="00ED6163">
        <w:rPr>
          <w:i/>
        </w:rPr>
        <w:t>Release 14</w:t>
      </w:r>
      <w:r w:rsidRPr="00ED6163">
        <w:t xml:space="preserve">, </w:t>
      </w:r>
      <w:hyperlink r:id="rId25" w:history="1">
        <w:r w:rsidRPr="00ED6163">
          <w:rPr>
            <w:rStyle w:val="Hyperlink"/>
          </w:rPr>
          <w:t>https://www.3gpp.</w:t>
        </w:r>
        <w:r w:rsidRPr="00ED6163">
          <w:rPr>
            <w:rStyle w:val="Hyperlink"/>
          </w:rPr>
          <w:t>org/release-14</w:t>
        </w:r>
      </w:hyperlink>
      <w:r w:rsidRPr="00ED6163">
        <w:t xml:space="preserve"> (last visited June 24, 2019). </w:t>
      </w:r>
    </w:p>
  </w:footnote>
  <w:footnote w:id="129">
    <w:p w:rsidR="00252A4C" w:rsidRPr="00ED6163" w:rsidP="00D60B92" w14:paraId="37315D18" w14:textId="77777777">
      <w:pPr>
        <w:pStyle w:val="FootnoteText"/>
      </w:pPr>
      <w:r w:rsidRPr="00ED6163">
        <w:rPr>
          <w:rStyle w:val="FootnoteReference"/>
        </w:rPr>
        <w:footnoteRef/>
      </w:r>
      <w:r w:rsidRPr="00ED6163">
        <w:t xml:space="preserve"> We specify the standards governing each technology category to provide clarity and consistency for filers and users of data collected.  </w:t>
      </w:r>
      <w:r w:rsidRPr="00ED6163">
        <w:rPr>
          <w:i/>
        </w:rPr>
        <w:t>See</w:t>
      </w:r>
      <w:r w:rsidRPr="00ED6163">
        <w:t xml:space="preserve"> Utah Governor’s Office of Economic Development Comments at 4 (recomm</w:t>
      </w:r>
      <w:r w:rsidRPr="00ED6163">
        <w:t xml:space="preserve">ending that the Commission “specify which technologies fit into each category so that data users can understand the data collection method”).    </w:t>
      </w:r>
    </w:p>
  </w:footnote>
  <w:footnote w:id="130">
    <w:p w:rsidR="00252A4C" w:rsidRPr="00ED6163" w:rsidP="00D60B92" w14:paraId="7BCD2C6B" w14:textId="77777777">
      <w:pPr>
        <w:pStyle w:val="FootnoteText"/>
      </w:pPr>
      <w:r w:rsidRPr="00ED6163">
        <w:rPr>
          <w:rStyle w:val="FootnoteReference"/>
        </w:rPr>
        <w:footnoteRef/>
      </w:r>
      <w:r w:rsidRPr="00ED6163">
        <w:t xml:space="preserve"> </w:t>
      </w:r>
      <w:r w:rsidRPr="00ED6163">
        <w:rPr>
          <w:i/>
        </w:rPr>
        <w:t>See</w:t>
      </w:r>
      <w:r w:rsidRPr="00ED6163">
        <w:t xml:space="preserve"> David Chartier, </w:t>
      </w:r>
      <w:r w:rsidRPr="00ED6163">
        <w:rPr>
          <w:i/>
        </w:rPr>
        <w:t>Can you hear me now? Analog cellular networks shutting down next week</w:t>
      </w:r>
      <w:r w:rsidRPr="00ED6163">
        <w:t xml:space="preserve"> (Feb. 15, 2009), </w:t>
      </w:r>
      <w:hyperlink r:id="rId26" w:history="1">
        <w:r w:rsidRPr="00ED6163">
          <w:rPr>
            <w:rStyle w:val="Hyperlink"/>
          </w:rPr>
          <w:t>https://arstechnica.com/uncategorized/2008/02/can-you-hear-me-now-analog-cellular-networks-shutting-down-next-week/</w:t>
        </w:r>
      </w:hyperlink>
      <w:r w:rsidRPr="00ED6163">
        <w:t xml:space="preserve"> (stating </w:t>
      </w:r>
      <w:r w:rsidRPr="00ED6163">
        <w:t xml:space="preserve">that both AT&amp;T and Verizon, the only two major providers with nationwide analog networks, were shutting down their analog networks in February 2008); Sean Kinney, </w:t>
      </w:r>
      <w:r w:rsidRPr="00ED6163">
        <w:rPr>
          <w:i/>
        </w:rPr>
        <w:t>Today is the last day of Sprint WiMAX service</w:t>
      </w:r>
      <w:r w:rsidRPr="00ED6163">
        <w:t xml:space="preserve"> (Mar. 31, 2016), </w:t>
      </w:r>
      <w:hyperlink r:id="rId27" w:history="1">
        <w:r w:rsidRPr="00ED6163">
          <w:rPr>
            <w:rStyle w:val="Hyperlink"/>
          </w:rPr>
          <w:t>https://www.rcrwireless.com/20160331/network-infrastructure/today-last-day-sprint-wimax-service-tag17</w:t>
        </w:r>
      </w:hyperlink>
      <w:r w:rsidRPr="00ED6163">
        <w:t xml:space="preserve"> (explaining that Sprint was shutting down its WiMAX network in Mar</w:t>
      </w:r>
      <w:r w:rsidRPr="00ED6163">
        <w:t xml:space="preserve">ch 2016). </w:t>
      </w:r>
    </w:p>
  </w:footnote>
  <w:footnote w:id="131">
    <w:p w:rsidR="00252A4C" w:rsidRPr="00ED6163" w:rsidP="00D60B92" w14:paraId="092E08C0" w14:textId="77777777">
      <w:pPr>
        <w:pStyle w:val="FootnoteText"/>
      </w:pPr>
      <w:r w:rsidRPr="00ED6163">
        <w:rPr>
          <w:rStyle w:val="FootnoteReference"/>
        </w:rPr>
        <w:footnoteRef/>
      </w:r>
      <w:r w:rsidRPr="00ED6163">
        <w:t xml:space="preserve"> </w:t>
      </w:r>
      <w:r w:rsidRPr="00ED6163">
        <w:rPr>
          <w:i/>
        </w:rPr>
        <w:t xml:space="preserve">See </w:t>
      </w:r>
      <w:r w:rsidRPr="00ED6163">
        <w:t>CTIA Comments at 9-10, n.23 (arguing that the Commission should limit the required filing by technology to two categories—3G/4G and 4G LTE—and allow voluntary reporting of 5G technology); GCI Comments at 10-11 (stating that the four catego</w:t>
      </w:r>
      <w:r w:rsidRPr="00ED6163">
        <w:t xml:space="preserve">ries proposed will capture relevant differences in technology, and recommending maintaining a category of 2G/voice to distinguish areas that are entirely unserved from areas that have voice).  However, Connected Nation and the </w:t>
      </w:r>
      <w:r w:rsidRPr="00ED6163">
        <w:rPr>
          <w:spacing w:val="-1"/>
        </w:rPr>
        <w:t>California Public Utilities C</w:t>
      </w:r>
      <w:r w:rsidRPr="00ED6163">
        <w:rPr>
          <w:spacing w:val="-1"/>
        </w:rPr>
        <w:t xml:space="preserve">ommission (CPUC) </w:t>
      </w:r>
      <w:r w:rsidRPr="00ED6163">
        <w:t>discourage us from eliminating the requirement for filers to report mobile broadband coverage for each category of technology deployed in their networks.  Connected Nation Comments at 11; CPUC Comments at 7.</w:t>
      </w:r>
    </w:p>
  </w:footnote>
  <w:footnote w:id="132">
    <w:p w:rsidR="00252A4C" w:rsidRPr="00ED6163" w:rsidP="00D60B92" w14:paraId="4612553D" w14:textId="77777777">
      <w:pPr>
        <w:pStyle w:val="FootnoteText"/>
      </w:pPr>
      <w:r w:rsidRPr="00ED6163">
        <w:rPr>
          <w:rStyle w:val="FootnoteReference"/>
        </w:rPr>
        <w:footnoteRef/>
      </w:r>
      <w:r w:rsidRPr="00ED6163">
        <w:t xml:space="preserve"> AT&amp;T Comments at 7.</w:t>
      </w:r>
    </w:p>
  </w:footnote>
  <w:footnote w:id="133">
    <w:p w:rsidR="00252A4C" w:rsidRPr="00ED6163" w:rsidP="00D60B92" w14:paraId="485CD46F" w14:textId="77777777">
      <w:pPr>
        <w:pStyle w:val="FootnoteText"/>
      </w:pPr>
      <w:r w:rsidRPr="00ED6163">
        <w:rPr>
          <w:rStyle w:val="FootnoteReference"/>
        </w:rPr>
        <w:footnoteRef/>
      </w:r>
      <w:r w:rsidRPr="00ED6163">
        <w:t xml:space="preserve"> </w:t>
      </w:r>
      <w:r w:rsidRPr="00ED6163">
        <w:rPr>
          <w:i/>
        </w:rPr>
        <w:t>See</w:t>
      </w:r>
      <w:r w:rsidRPr="00ED6163">
        <w:t xml:space="preserve"> GCI Comments at 10-11; CPUC Comments at 7; Connected Nation Comments at 11.  </w:t>
      </w:r>
    </w:p>
  </w:footnote>
  <w:footnote w:id="134">
    <w:p w:rsidR="00252A4C" w:rsidRPr="00ED6163" w:rsidP="00D60B92" w14:paraId="2C4E86E9" w14:textId="77777777">
      <w:pPr>
        <w:pStyle w:val="FootnoteText"/>
      </w:pPr>
      <w:r w:rsidRPr="00ED6163">
        <w:rPr>
          <w:rStyle w:val="FootnoteReference"/>
        </w:rPr>
        <w:footnoteRef/>
      </w:r>
      <w:r w:rsidRPr="00ED6163">
        <w:t xml:space="preserve"> GCI points out that portions of Alaska still depend on 2G/voice technology.  </w:t>
      </w:r>
      <w:r w:rsidRPr="00ED6163">
        <w:rPr>
          <w:i/>
        </w:rPr>
        <w:t>See</w:t>
      </w:r>
      <w:r w:rsidRPr="00ED6163">
        <w:t xml:space="preserve"> GCI Comments at 10-11.  </w:t>
      </w:r>
      <w:r w:rsidRPr="00ED6163">
        <w:rPr>
          <w:snapToGrid w:val="0"/>
        </w:rPr>
        <w:t xml:space="preserve">Under the rule changes adopted today, the Commission will continue to </w:t>
      </w:r>
      <w:r w:rsidRPr="00ED6163">
        <w:rPr>
          <w:snapToGrid w:val="0"/>
        </w:rPr>
        <w:t xml:space="preserve">collect 2G voice deployment data under its “Other” category of reporting.  </w:t>
      </w:r>
      <w:r w:rsidRPr="00ED6163">
        <w:rPr>
          <w:i/>
          <w:snapToGrid w:val="0"/>
        </w:rPr>
        <w:t xml:space="preserve">See </w:t>
      </w:r>
      <w:r w:rsidRPr="00ED6163">
        <w:rPr>
          <w:i/>
          <w:iCs/>
          <w:snapToGrid w:val="0"/>
        </w:rPr>
        <w:t>infra</w:t>
      </w:r>
      <w:r w:rsidRPr="00ED6163">
        <w:rPr>
          <w:snapToGrid w:val="0"/>
        </w:rPr>
        <w:t xml:space="preserve">, para. 52.  Our continued collection of 2G voice deployment data should minimize—if not alleviate entirely—GCI’s concerns.  </w:t>
      </w:r>
      <w:r w:rsidRPr="00ED6163">
        <w:t xml:space="preserve">  </w:t>
      </w:r>
    </w:p>
  </w:footnote>
  <w:footnote w:id="135">
    <w:p w:rsidR="00252A4C" w:rsidRPr="00ED6163" w:rsidP="00D60B92" w14:paraId="5B9A514A" w14:textId="77777777">
      <w:pPr>
        <w:pStyle w:val="FootnoteText"/>
      </w:pPr>
      <w:r w:rsidRPr="00ED6163">
        <w:rPr>
          <w:rStyle w:val="FootnoteReference"/>
        </w:rPr>
        <w:footnoteRef/>
      </w:r>
      <w:r w:rsidRPr="00ED6163">
        <w:t xml:space="preserve"> </w:t>
      </w:r>
      <w:r w:rsidRPr="00ED6163">
        <w:rPr>
          <w:i/>
        </w:rPr>
        <w:t>See</w:t>
      </w:r>
      <w:r w:rsidRPr="00ED6163">
        <w:t xml:space="preserve"> GCI Comments at 10-11; s</w:t>
      </w:r>
      <w:r w:rsidRPr="00ED6163">
        <w:rPr>
          <w:i/>
        </w:rPr>
        <w:t>ee</w:t>
      </w:r>
      <w:r w:rsidRPr="00ED6163">
        <w:t xml:space="preserve"> </w:t>
      </w:r>
      <w:r w:rsidRPr="00ED6163">
        <w:rPr>
          <w:i/>
        </w:rPr>
        <w:t xml:space="preserve">also </w:t>
      </w:r>
      <w:r w:rsidRPr="00ED6163">
        <w:t>Connec</w:t>
      </w:r>
      <w:r w:rsidRPr="00ED6163">
        <w:t xml:space="preserve">ted Nation Comments at 11; CPUC Comments at 7.  </w:t>
      </w:r>
    </w:p>
  </w:footnote>
  <w:footnote w:id="136">
    <w:p w:rsidR="00252A4C" w:rsidRPr="00ED6163" w:rsidP="00D60B92" w14:paraId="4A2D6A03" w14:textId="77777777">
      <w:pPr>
        <w:pStyle w:val="FootnoteText"/>
      </w:pPr>
      <w:r w:rsidRPr="00ED6163">
        <w:rPr>
          <w:rStyle w:val="FootnoteReference"/>
        </w:rPr>
        <w:footnoteRef/>
      </w:r>
      <w:r w:rsidRPr="00ED6163">
        <w:t xml:space="preserve"> In fact, some providers already have started the process of sunsetting certain 3G mobile broadband technologies. </w:t>
      </w:r>
      <w:r w:rsidRPr="00ED6163">
        <w:rPr>
          <w:i/>
        </w:rPr>
        <w:t>See, e.g.</w:t>
      </w:r>
      <w:r w:rsidRPr="00ED6163">
        <w:t xml:space="preserve">, Mike Dano, </w:t>
      </w:r>
      <w:r w:rsidRPr="00ED6163">
        <w:rPr>
          <w:i/>
        </w:rPr>
        <w:t>Verizon stops activating CDMA 3G devices as network shutdown looms</w:t>
      </w:r>
      <w:r w:rsidRPr="00ED6163">
        <w:t xml:space="preserve"> (Ju</w:t>
      </w:r>
      <w:r w:rsidRPr="00ED6163">
        <w:t xml:space="preserve">ly 17, 2018), </w:t>
      </w:r>
      <w:hyperlink r:id="rId28" w:history="1">
        <w:r w:rsidRPr="00ED6163">
          <w:rPr>
            <w:rStyle w:val="Hyperlink"/>
          </w:rPr>
          <w:t>https://www.fiercewireless.com/wireless/verizon-stops-activating-cdma-3g-devices-as-network-shutdown-looms</w:t>
        </w:r>
      </w:hyperlink>
      <w:r w:rsidRPr="00ED6163">
        <w:t>; Drew Fitzge</w:t>
      </w:r>
      <w:r w:rsidRPr="00ED6163">
        <w:t xml:space="preserve">rald, </w:t>
      </w:r>
      <w:r w:rsidRPr="00ED6163">
        <w:rPr>
          <w:i/>
        </w:rPr>
        <w:t>AT&amp;T Gives 3G Service Three Years to Live</w:t>
      </w:r>
      <w:r w:rsidRPr="00ED6163">
        <w:t xml:space="preserve"> (Feb. 21, 2019), </w:t>
      </w:r>
      <w:hyperlink r:id="rId29" w:history="1">
        <w:r w:rsidRPr="00ED6163">
          <w:rPr>
            <w:rStyle w:val="Hyperlink"/>
          </w:rPr>
          <w:t>https://www.wsj.com/articles/at-t-gives-3g-service-three-years-to-live-11550765221</w:t>
        </w:r>
      </w:hyperlink>
      <w:r w:rsidRPr="00ED6163">
        <w:t xml:space="preserve">. </w:t>
      </w:r>
    </w:p>
  </w:footnote>
  <w:footnote w:id="137">
    <w:p w:rsidR="00252A4C" w:rsidRPr="00ED6163" w:rsidP="00D60B92" w14:paraId="4B48BEAB" w14:textId="77777777">
      <w:pPr>
        <w:pStyle w:val="FootnoteText"/>
      </w:pPr>
      <w:r w:rsidRPr="00ED6163">
        <w:rPr>
          <w:rStyle w:val="FootnoteReference"/>
        </w:rPr>
        <w:footnoteRef/>
      </w:r>
      <w:r w:rsidRPr="00ED6163">
        <w:t xml:space="preserve"> </w:t>
      </w:r>
      <w:r w:rsidRPr="00ED6163">
        <w:rPr>
          <w:i/>
          <w:iCs/>
        </w:rPr>
        <w:t>Commu</w:t>
      </w:r>
      <w:r w:rsidRPr="00ED6163">
        <w:rPr>
          <w:i/>
          <w:iCs/>
        </w:rPr>
        <w:t>nications Marketplace Report et al.</w:t>
      </w:r>
      <w:r w:rsidRPr="00ED6163">
        <w:t>, Report</w:t>
      </w:r>
      <w:r w:rsidRPr="00947E6A">
        <w:t xml:space="preserve">, </w:t>
      </w:r>
      <w:r w:rsidRPr="00947E6A">
        <w:rPr>
          <w:color w:val="1D2B3E"/>
          <w:shd w:val="clear" w:color="auto" w:fill="FFFFFF"/>
        </w:rPr>
        <w:t xml:space="preserve">33 FCC Rcd </w:t>
      </w:r>
      <w:r w:rsidRPr="00ED6163">
        <w:rPr>
          <w:color w:val="1D2B3E"/>
          <w:shd w:val="clear" w:color="auto" w:fill="FFFFFF"/>
        </w:rPr>
        <w:t>12558</w:t>
      </w:r>
      <w:r w:rsidRPr="00ED6163">
        <w:t>,</w:t>
      </w:r>
      <w:r w:rsidRPr="00947E6A">
        <w:t xml:space="preserve"> 12592, paras. 41-42</w:t>
      </w:r>
      <w:r w:rsidRPr="00ED6163">
        <w:t xml:space="preserve"> (2018) (</w:t>
      </w:r>
      <w:r w:rsidRPr="00ED6163">
        <w:rPr>
          <w:i/>
          <w:iCs/>
        </w:rPr>
        <w:t>Communications Marketplace Report</w:t>
      </w:r>
      <w:r w:rsidRPr="00ED6163">
        <w:t>).</w:t>
      </w:r>
    </w:p>
  </w:footnote>
  <w:footnote w:id="138">
    <w:p w:rsidR="00252A4C" w:rsidRPr="00ED6163" w:rsidP="00D60B92" w14:paraId="40C78E32" w14:textId="77777777">
      <w:pPr>
        <w:pStyle w:val="FootnoteText"/>
      </w:pPr>
      <w:r w:rsidRPr="00ED6163">
        <w:rPr>
          <w:rStyle w:val="FootnoteReference"/>
        </w:rPr>
        <w:footnoteRef/>
      </w:r>
      <w:r w:rsidRPr="00ED6163">
        <w:t xml:space="preserve"> In recent years, the Commission has been able to measure the state of wireless broadband deployment without separately needing </w:t>
      </w:r>
      <w:r w:rsidRPr="00ED6163">
        <w:t xml:space="preserve">deployment data for each of the nine technology codes.  </w:t>
      </w:r>
      <w:r w:rsidRPr="00ED6163">
        <w:rPr>
          <w:i/>
        </w:rPr>
        <w:t xml:space="preserve">See generally </w:t>
      </w:r>
      <w:r w:rsidRPr="00ED6163">
        <w:rPr>
          <w:i/>
          <w:iCs/>
        </w:rPr>
        <w:t>Inquiry Concerning the Deployment of Advanced Telecommunications Capability to All Americans in a Reasonable and Timely Fashion</w:t>
      </w:r>
      <w:r w:rsidRPr="00ED6163">
        <w:t>, GN Docket No. 18-238, 2019 Broadband Deployment Report, F</w:t>
      </w:r>
      <w:r w:rsidRPr="00ED6163">
        <w:t>CC 19-44, 2019 WL 2336551 (rel. May 29, 2019) (</w:t>
      </w:r>
      <w:r w:rsidRPr="00ED6163">
        <w:rPr>
          <w:i/>
        </w:rPr>
        <w:t>2019 Broadband Deployment Report</w:t>
      </w:r>
      <w:r w:rsidRPr="00ED6163">
        <w:t xml:space="preserve">); </w:t>
      </w:r>
      <w:r w:rsidRPr="00ED6163">
        <w:rPr>
          <w:i/>
        </w:rPr>
        <w:t>Communications Marketplace Report</w:t>
      </w:r>
      <w:r w:rsidRPr="00ED6163">
        <w:t xml:space="preserve">, </w:t>
      </w:r>
      <w:r w:rsidRPr="00ED6163">
        <w:rPr>
          <w:color w:val="1D2B3E"/>
          <w:shd w:val="clear" w:color="auto" w:fill="FFFFFF"/>
        </w:rPr>
        <w:t>33 FCC Rcd 12558</w:t>
      </w:r>
      <w:r w:rsidRPr="00ED6163">
        <w:t xml:space="preserve">; </w:t>
      </w:r>
      <w:r w:rsidRPr="00ED6163">
        <w:rPr>
          <w:i/>
        </w:rPr>
        <w:t>Implementation of Section 6002(B) of the Omnibus Budget Reconciliation Act of 1993</w:t>
      </w:r>
      <w:r w:rsidRPr="00ED6163">
        <w:t xml:space="preserve">; </w:t>
      </w:r>
      <w:r w:rsidRPr="00ED6163">
        <w:rPr>
          <w:i/>
        </w:rPr>
        <w:t xml:space="preserve">Annual Report and Analysis of </w:t>
      </w:r>
      <w:r w:rsidRPr="00ED6163">
        <w:rPr>
          <w:i/>
        </w:rPr>
        <w:t>Competitive Market Conditions with Respect to Mobile Wireless, Including Commercial Mobile Services</w:t>
      </w:r>
      <w:r w:rsidRPr="00ED6163">
        <w:t>, GN Docket No. 17-69, Twentieth Report, 32 FCC Rcd 8968 (2017) (</w:t>
      </w:r>
      <w:r w:rsidRPr="00ED6163">
        <w:rPr>
          <w:i/>
        </w:rPr>
        <w:t>Twentieth CMRS Competition Report</w:t>
      </w:r>
      <w:r w:rsidRPr="00ED6163">
        <w:t xml:space="preserve">).  </w:t>
      </w:r>
    </w:p>
  </w:footnote>
  <w:footnote w:id="139">
    <w:p w:rsidR="00252A4C" w:rsidRPr="00ED6163" w:rsidP="00D60B92" w14:paraId="42A6F978" w14:textId="77777777">
      <w:pPr>
        <w:pStyle w:val="FootnoteText"/>
      </w:pPr>
      <w:r w:rsidRPr="00ED6163">
        <w:rPr>
          <w:rStyle w:val="FootnoteReference"/>
        </w:rPr>
        <w:footnoteRef/>
      </w:r>
      <w:r w:rsidRPr="00ED6163">
        <w:t xml:space="preserve"> </w:t>
      </w:r>
      <w:r w:rsidRPr="00ED6163">
        <w:rPr>
          <w:i/>
        </w:rPr>
        <w:t>2013 Form 477 Order</w:t>
      </w:r>
      <w:r w:rsidRPr="00ED6163">
        <w:t xml:space="preserve">, 28 FCC Rcd at 9910, para. 45; </w:t>
      </w:r>
      <w:r w:rsidRPr="00ED6163">
        <w:rPr>
          <w:i/>
        </w:rPr>
        <w:t>s</w:t>
      </w:r>
      <w:r w:rsidRPr="00ED6163">
        <w:rPr>
          <w:i/>
        </w:rPr>
        <w:t>ee also</w:t>
      </w:r>
      <w:r w:rsidRPr="00ED6163">
        <w:t xml:space="preserve"> Connected Nation Comments at 11.  </w:t>
      </w:r>
    </w:p>
  </w:footnote>
  <w:footnote w:id="140">
    <w:p w:rsidR="00252A4C" w:rsidRPr="00ED6163" w:rsidP="00D60B92" w14:paraId="1ABD3A40" w14:textId="77777777">
      <w:pPr>
        <w:pStyle w:val="FootnoteText"/>
      </w:pPr>
      <w:r w:rsidRPr="00ED6163">
        <w:rPr>
          <w:rStyle w:val="FootnoteReference"/>
        </w:rPr>
        <w:footnoteRef/>
      </w:r>
      <w:r w:rsidRPr="00ED6163">
        <w:t xml:space="preserve"> </w:t>
      </w:r>
      <w:r w:rsidRPr="00ED6163">
        <w:rPr>
          <w:i/>
        </w:rPr>
        <w:t>See</w:t>
      </w:r>
      <w:r w:rsidRPr="00ED6163">
        <w:t xml:space="preserve"> CTIA Comments at 10; T-Mobile Comments at 3, 12-13.</w:t>
      </w:r>
    </w:p>
  </w:footnote>
  <w:footnote w:id="141">
    <w:p w:rsidR="00252A4C" w:rsidRPr="00ED6163" w:rsidP="00D60B92" w14:paraId="687071EE" w14:textId="77777777">
      <w:pPr>
        <w:pStyle w:val="FootnoteText"/>
      </w:pPr>
      <w:r w:rsidRPr="00ED6163">
        <w:rPr>
          <w:rStyle w:val="FootnoteReference"/>
        </w:rPr>
        <w:footnoteRef/>
      </w:r>
      <w:r w:rsidRPr="00ED6163">
        <w:t xml:space="preserve"> </w:t>
      </w:r>
      <w:r w:rsidRPr="00ED6163">
        <w:rPr>
          <w:i/>
        </w:rPr>
        <w:t>Cf.</w:t>
      </w:r>
      <w:r w:rsidRPr="00ED6163">
        <w:t xml:space="preserve"> CTIA Comments at 9 n.23.</w:t>
      </w:r>
    </w:p>
  </w:footnote>
  <w:footnote w:id="142">
    <w:p w:rsidR="00252A4C" w:rsidRPr="00ED6163" w:rsidP="00D60B92" w14:paraId="3CCF98A5" w14:textId="77777777">
      <w:pPr>
        <w:pStyle w:val="FootnoteText"/>
      </w:pPr>
      <w:r w:rsidRPr="00ED6163">
        <w:rPr>
          <w:rStyle w:val="FootnoteReference"/>
        </w:rPr>
        <w:footnoteRef/>
      </w:r>
      <w:r w:rsidRPr="00ED6163">
        <w:t xml:space="preserve"> </w:t>
      </w:r>
      <w:r w:rsidRPr="00ED6163">
        <w:rPr>
          <w:i/>
        </w:rPr>
        <w:t>See</w:t>
      </w:r>
      <w:r w:rsidRPr="00ED6163">
        <w:t xml:space="preserve"> T-Mobile Comments at 4-5 (stating that it “must generate and submit 14 different coverage maps based on different tech</w:t>
      </w:r>
      <w:r w:rsidRPr="00ED6163">
        <w:t>nology, spectrum band, and speed combinations” and that “[t]his is a significant undertaking”); CTIA Comments at 9-10 (simplifying the categories of technologies reported would “ease burdens on providers while making the information more relevant to stakeh</w:t>
      </w:r>
      <w:r w:rsidRPr="00ED6163">
        <w:t>olders”).</w:t>
      </w:r>
    </w:p>
  </w:footnote>
  <w:footnote w:id="143">
    <w:p w:rsidR="00252A4C" w:rsidRPr="00ED6163" w:rsidP="00D60B92" w14:paraId="031FBBF9" w14:textId="77777777">
      <w:pPr>
        <w:pStyle w:val="FootnoteText"/>
      </w:pPr>
      <w:r w:rsidRPr="00ED6163">
        <w:rPr>
          <w:rStyle w:val="FootnoteReference"/>
        </w:rPr>
        <w:footnoteRef/>
      </w:r>
      <w:r w:rsidRPr="00ED6163">
        <w:t xml:space="preserve"> </w:t>
      </w:r>
      <w:r w:rsidRPr="00ED6163">
        <w:rPr>
          <w:i/>
        </w:rPr>
        <w:t>See</w:t>
      </w:r>
      <w:r w:rsidRPr="00ED6163">
        <w:t xml:space="preserve"> </w:t>
      </w:r>
      <w:r w:rsidRPr="00ED6163">
        <w:rPr>
          <w:i/>
        </w:rPr>
        <w:t>2013 Form 477 Order</w:t>
      </w:r>
      <w:r w:rsidRPr="00ED6163">
        <w:t xml:space="preserve">, 28 FCC Rcd at 9911, para. 48 (weighing the burdens of the filing requirement against the public interest benefits). </w:t>
      </w:r>
    </w:p>
  </w:footnote>
  <w:footnote w:id="144">
    <w:p w:rsidR="00252A4C" w:rsidRPr="00ED6163" w:rsidP="00D60B92" w14:paraId="737B049D" w14:textId="77777777">
      <w:pPr>
        <w:pStyle w:val="FootnoteText"/>
      </w:pPr>
      <w:r w:rsidRPr="00ED6163">
        <w:rPr>
          <w:rStyle w:val="FootnoteReference"/>
        </w:rPr>
        <w:footnoteRef/>
      </w:r>
      <w:r w:rsidRPr="00ED6163">
        <w:t xml:space="preserve"> We note that we will continue to require a Form 477 collection for “Other” to include any technology</w:t>
      </w:r>
      <w:r w:rsidRPr="00ED6163">
        <w:t xml:space="preserve"> not captured by our classifications above.</w:t>
      </w:r>
    </w:p>
  </w:footnote>
  <w:footnote w:id="145">
    <w:p w:rsidR="00252A4C" w:rsidRPr="00ED6163" w:rsidP="00D60B92" w14:paraId="516CEDFA" w14:textId="77777777">
      <w:pPr>
        <w:pStyle w:val="FootnoteText"/>
      </w:pPr>
      <w:r w:rsidRPr="00ED6163">
        <w:rPr>
          <w:rStyle w:val="FootnoteReference"/>
        </w:rPr>
        <w:footnoteRef/>
      </w:r>
      <w:r w:rsidRPr="00ED6163">
        <w:t xml:space="preserve"> </w:t>
      </w:r>
      <w:r w:rsidRPr="00ED6163">
        <w:rPr>
          <w:i/>
        </w:rPr>
        <w:t>FCC Form 477 Instructions</w:t>
      </w:r>
      <w:r w:rsidRPr="00ED6163">
        <w:rPr>
          <w:iCs/>
        </w:rPr>
        <w:t xml:space="preserve"> </w:t>
      </w:r>
      <w:r w:rsidRPr="00ED6163">
        <w:t>at 31.</w:t>
      </w:r>
    </w:p>
  </w:footnote>
  <w:footnote w:id="146">
    <w:p w:rsidR="00252A4C" w:rsidRPr="00ED6163" w:rsidP="00D60B92" w14:paraId="5AF272CD" w14:textId="77777777">
      <w:pPr>
        <w:pStyle w:val="FootnoteText"/>
      </w:pPr>
      <w:r w:rsidRPr="00ED6163">
        <w:rPr>
          <w:rStyle w:val="FootnoteReference"/>
        </w:rPr>
        <w:footnoteRef/>
      </w:r>
      <w:r w:rsidRPr="00ED6163">
        <w:t xml:space="preserve"> </w:t>
      </w:r>
      <w:r w:rsidRPr="00ED6163">
        <w:rPr>
          <w:i/>
        </w:rPr>
        <w:t>Id</w:t>
      </w:r>
      <w:r w:rsidRPr="00ED6163">
        <w:t>.</w:t>
      </w:r>
    </w:p>
  </w:footnote>
  <w:footnote w:id="147">
    <w:p w:rsidR="00252A4C" w:rsidRPr="00ED6163" w:rsidP="00D60B92" w14:paraId="222AFA4A" w14:textId="77777777">
      <w:pPr>
        <w:pStyle w:val="FootnoteText"/>
      </w:pPr>
      <w:r w:rsidRPr="00ED6163">
        <w:rPr>
          <w:rStyle w:val="FootnoteReference"/>
        </w:rPr>
        <w:footnoteRef/>
      </w:r>
      <w:r w:rsidRPr="00ED6163">
        <w:t xml:space="preserve"> </w:t>
      </w:r>
      <w:r w:rsidRPr="00ED6163">
        <w:rPr>
          <w:i/>
        </w:rPr>
        <w:t>Id.</w:t>
      </w:r>
      <w:r w:rsidRPr="00ED6163">
        <w:rPr>
          <w:iCs/>
        </w:rPr>
        <w:t xml:space="preserve"> </w:t>
      </w:r>
      <w:r w:rsidRPr="00ED6163">
        <w:t>at 26;</w:t>
      </w:r>
      <w:r w:rsidRPr="00ED6163">
        <w:rPr>
          <w:i/>
        </w:rPr>
        <w:t>2013 Form 477 Order</w:t>
      </w:r>
      <w:r w:rsidRPr="00ED6163">
        <w:t>,</w:t>
      </w:r>
      <w:r w:rsidRPr="00947E6A">
        <w:t xml:space="preserve"> </w:t>
      </w:r>
      <w:r w:rsidRPr="00ED6163">
        <w:t>28 FCC Rcd at 9912, para. 53.  This requirement is the same for the mobile broadband service reporting, except that providers do not submi</w:t>
      </w:r>
      <w:r w:rsidRPr="00ED6163">
        <w:t xml:space="preserve">t minimum speed information for voice deployments.  </w:t>
      </w:r>
      <w:r w:rsidRPr="00ED6163">
        <w:rPr>
          <w:i/>
        </w:rPr>
        <w:t>Compare</w:t>
      </w:r>
      <w:r w:rsidRPr="00ED6163">
        <w:t xml:space="preserve"> </w:t>
      </w:r>
      <w:r w:rsidRPr="00ED6163">
        <w:rPr>
          <w:i/>
        </w:rPr>
        <w:t>FCC Form 477 Instructions</w:t>
      </w:r>
      <w:r w:rsidRPr="00ED6163">
        <w:rPr>
          <w:iCs/>
        </w:rPr>
        <w:t xml:space="preserve"> </w:t>
      </w:r>
      <w:r w:rsidRPr="00ED6163">
        <w:t xml:space="preserve">at 24 with </w:t>
      </w:r>
      <w:r w:rsidRPr="00ED6163">
        <w:rPr>
          <w:i/>
        </w:rPr>
        <w:t>FCC Form 477 Instructions</w:t>
      </w:r>
      <w:r w:rsidRPr="00ED6163">
        <w:rPr>
          <w:iCs/>
        </w:rPr>
        <w:t xml:space="preserve"> </w:t>
      </w:r>
      <w:r w:rsidRPr="00ED6163">
        <w:t xml:space="preserve">at 26. </w:t>
      </w:r>
    </w:p>
  </w:footnote>
  <w:footnote w:id="148">
    <w:p w:rsidR="00252A4C" w:rsidRPr="00ED6163" w:rsidP="00D60B92" w14:paraId="65D0BE39" w14:textId="77777777">
      <w:pPr>
        <w:pStyle w:val="FootnoteText"/>
      </w:pPr>
      <w:r w:rsidRPr="00ED6163">
        <w:rPr>
          <w:rStyle w:val="FootnoteReference"/>
        </w:rPr>
        <w:footnoteRef/>
      </w:r>
      <w:r w:rsidRPr="00ED6163">
        <w:t xml:space="preserve"> </w:t>
      </w:r>
      <w:r w:rsidRPr="00ED6163">
        <w:rPr>
          <w:i/>
        </w:rPr>
        <w:t>2017</w:t>
      </w:r>
      <w:r w:rsidRPr="00ED6163">
        <w:t xml:space="preserve"> </w:t>
      </w:r>
      <w:r w:rsidRPr="00ED6163">
        <w:rPr>
          <w:i/>
        </w:rPr>
        <w:t>Data Collection Improvement FNPRM</w:t>
      </w:r>
      <w:r w:rsidRPr="00ED6163">
        <w:t>, 32 FCC Rcd at 6336, para. 24.</w:t>
      </w:r>
    </w:p>
  </w:footnote>
  <w:footnote w:id="149">
    <w:p w:rsidR="00252A4C" w:rsidRPr="00ED6163" w:rsidP="00D60B92" w14:paraId="141E8CA4" w14:textId="77777777">
      <w:pPr>
        <w:pStyle w:val="FootnoteText"/>
      </w:pPr>
      <w:r w:rsidRPr="00ED6163">
        <w:rPr>
          <w:rStyle w:val="FootnoteReference"/>
        </w:rPr>
        <w:footnoteRef/>
      </w:r>
      <w:r w:rsidRPr="00ED6163">
        <w:t xml:space="preserve"> </w:t>
      </w:r>
      <w:r w:rsidRPr="00ED6163">
        <w:rPr>
          <w:i/>
        </w:rPr>
        <w:t>Id</w:t>
      </w:r>
      <w:r w:rsidRPr="00ED6163">
        <w:t>.</w:t>
      </w:r>
    </w:p>
  </w:footnote>
  <w:footnote w:id="150">
    <w:p w:rsidR="00252A4C" w:rsidRPr="00ED6163" w:rsidP="00D60B92" w14:paraId="730633AF" w14:textId="77777777">
      <w:pPr>
        <w:pStyle w:val="FootnoteText"/>
      </w:pPr>
      <w:r w:rsidRPr="00ED6163">
        <w:rPr>
          <w:rStyle w:val="FootnoteReference"/>
        </w:rPr>
        <w:footnoteRef/>
      </w:r>
      <w:r w:rsidRPr="00ED6163">
        <w:t xml:space="preserve"> </w:t>
      </w:r>
      <w:r w:rsidRPr="00ED6163">
        <w:rPr>
          <w:i/>
        </w:rPr>
        <w:t>Id.</w:t>
      </w:r>
      <w:r w:rsidRPr="00ED6163">
        <w:t xml:space="preserve"> at 6337, para. 25. </w:t>
      </w:r>
    </w:p>
  </w:footnote>
  <w:footnote w:id="151">
    <w:p w:rsidR="00252A4C" w:rsidRPr="00ED6163" w:rsidP="00D60B92" w14:paraId="4FF9C50C" w14:textId="77777777">
      <w:pPr>
        <w:pStyle w:val="FootnoteText"/>
      </w:pPr>
      <w:r w:rsidRPr="00ED6163">
        <w:rPr>
          <w:rStyle w:val="FootnoteReference"/>
        </w:rPr>
        <w:footnoteRef/>
      </w:r>
      <w:r w:rsidRPr="00ED6163">
        <w:t xml:space="preserve"> </w:t>
      </w:r>
      <w:r w:rsidRPr="00ED6163">
        <w:rPr>
          <w:i/>
        </w:rPr>
        <w:t xml:space="preserve">See 2013 Form </w:t>
      </w:r>
      <w:r w:rsidRPr="00ED6163">
        <w:rPr>
          <w:i/>
        </w:rPr>
        <w:t>477 Order</w:t>
      </w:r>
      <w:r w:rsidRPr="00ED6163">
        <w:t>, 28 FCC Rcd</w:t>
      </w:r>
      <w:r w:rsidRPr="00ED6163">
        <w:rPr>
          <w:i/>
        </w:rPr>
        <w:t xml:space="preserve"> </w:t>
      </w:r>
      <w:r w:rsidRPr="00ED6163">
        <w:t>at 9912-13, paras. 52-55.</w:t>
      </w:r>
    </w:p>
  </w:footnote>
  <w:footnote w:id="152">
    <w:p w:rsidR="00252A4C" w:rsidRPr="00ED6163" w:rsidP="00D60B92" w14:paraId="3C093C98" w14:textId="77777777">
      <w:pPr>
        <w:pStyle w:val="FootnoteText"/>
      </w:pPr>
      <w:r w:rsidRPr="00ED6163">
        <w:rPr>
          <w:rStyle w:val="FootnoteReference"/>
        </w:rPr>
        <w:footnoteRef/>
      </w:r>
      <w:r w:rsidRPr="00ED6163">
        <w:t xml:space="preserve"> Mike Dano, </w:t>
      </w:r>
      <w:r w:rsidRPr="00ED6163">
        <w:rPr>
          <w:i/>
        </w:rPr>
        <w:t>The Spectrum Bands Carrying the Most Data, Broken Down by Carrier</w:t>
      </w:r>
      <w:r w:rsidRPr="00ED6163">
        <w:t xml:space="preserve"> (Nov. 28, 2018), </w:t>
      </w:r>
      <w:hyperlink r:id="rId11" w:history="1">
        <w:r w:rsidRPr="00ED6163">
          <w:rPr>
            <w:rStyle w:val="Hyperlink"/>
          </w:rPr>
          <w:t>https://www.fiercewireless.com/wireless/exclusive-spectrum-bands-carrying-most-data-broken-down-by-carrier</w:t>
        </w:r>
      </w:hyperlink>
      <w:r w:rsidRPr="00ED6163">
        <w:t xml:space="preserve">. </w:t>
      </w:r>
    </w:p>
  </w:footnote>
  <w:footnote w:id="153">
    <w:p w:rsidR="00252A4C" w:rsidRPr="00ED6163" w:rsidP="00D60B92" w14:paraId="496667E3" w14:textId="77777777">
      <w:pPr>
        <w:pStyle w:val="FootnoteText"/>
      </w:pPr>
      <w:r w:rsidRPr="00ED6163">
        <w:rPr>
          <w:rStyle w:val="FootnoteReference"/>
        </w:rPr>
        <w:footnoteRef/>
      </w:r>
      <w:r w:rsidRPr="00ED6163">
        <w:t xml:space="preserve"> </w:t>
      </w:r>
      <w:r w:rsidRPr="00ED6163">
        <w:rPr>
          <w:i/>
        </w:rPr>
        <w:t>See, e.g.</w:t>
      </w:r>
      <w:r w:rsidRPr="00ED6163">
        <w:t>,</w:t>
      </w:r>
      <w:r w:rsidRPr="00ED6163">
        <w:rPr>
          <w:i/>
        </w:rPr>
        <w:t xml:space="preserve"> </w:t>
      </w:r>
      <w:r w:rsidRPr="00ED6163">
        <w:t>AT&amp;T Comments at 8-9; T-Mobile Comments at 4-5; Verizon Comments at 7.</w:t>
      </w:r>
    </w:p>
  </w:footnote>
  <w:footnote w:id="154">
    <w:p w:rsidR="00252A4C" w:rsidRPr="00ED6163" w:rsidP="00D60B92" w14:paraId="78AC530B" w14:textId="77777777">
      <w:pPr>
        <w:pStyle w:val="FootnoteText"/>
      </w:pPr>
      <w:r w:rsidRPr="00ED6163">
        <w:rPr>
          <w:rStyle w:val="FootnoteReference"/>
        </w:rPr>
        <w:footnoteRef/>
      </w:r>
      <w:r w:rsidRPr="00ED6163">
        <w:t xml:space="preserve"> </w:t>
      </w:r>
      <w:r w:rsidRPr="00ED6163">
        <w:rPr>
          <w:i/>
        </w:rPr>
        <w:t xml:space="preserve">See </w:t>
      </w:r>
      <w:r w:rsidRPr="00ED6163">
        <w:t>RWA Comments at 5-6; Utah Governor’s Office of</w:t>
      </w:r>
      <w:r w:rsidRPr="00ED6163">
        <w:t xml:space="preserve"> Economic Development Comments at 4.  </w:t>
      </w:r>
      <w:r w:rsidRPr="00ED6163">
        <w:rPr>
          <w:i/>
        </w:rPr>
        <w:t>But see</w:t>
      </w:r>
      <w:r w:rsidRPr="00ED6163">
        <w:t xml:space="preserve"> Verizon Comments at 7 (noting that incompatibilities among older technologies are less meaningful due to VoLTE).</w:t>
      </w:r>
    </w:p>
  </w:footnote>
  <w:footnote w:id="155">
    <w:p w:rsidR="00252A4C" w:rsidRPr="00ED6163" w:rsidP="00D60B92" w14:paraId="05FAB633" w14:textId="77777777">
      <w:pPr>
        <w:pStyle w:val="FootnoteText"/>
      </w:pPr>
      <w:r w:rsidRPr="00ED6163">
        <w:rPr>
          <w:rStyle w:val="FootnoteReference"/>
        </w:rPr>
        <w:footnoteRef/>
      </w:r>
      <w:r w:rsidRPr="00ED6163">
        <w:t xml:space="preserve"> </w:t>
      </w:r>
      <w:r w:rsidRPr="00ED6163">
        <w:rPr>
          <w:i/>
        </w:rPr>
        <w:t>See, e.g</w:t>
      </w:r>
      <w:r w:rsidRPr="00ED6163">
        <w:t xml:space="preserve">., Verizon, </w:t>
      </w:r>
      <w:r w:rsidRPr="00947E6A">
        <w:rPr>
          <w:i/>
        </w:rPr>
        <w:t>CDMA Network Activation Retirement</w:t>
      </w:r>
      <w:r w:rsidRPr="00ED6163">
        <w:t xml:space="preserve">, </w:t>
      </w:r>
      <w:hyperlink r:id="rId30" w:history="1">
        <w:r w:rsidRPr="00ED6163">
          <w:rPr>
            <w:rStyle w:val="Hyperlink"/>
          </w:rPr>
          <w:t>https://www.verizonwireless.com/support/knowledge-base-218813/</w:t>
        </w:r>
      </w:hyperlink>
      <w:r w:rsidRPr="00ED6163">
        <w:t xml:space="preserve"> (“[Verizon Wireless will] no longer allow[ ] activation of CDMA-only devices, including CDMA-only basic phones and smartphones, or 4G LTE smartphones tha</w:t>
      </w:r>
      <w:r w:rsidRPr="00ED6163">
        <w:t xml:space="preserve">t do not support HD Voice service.”); John Donovan, AT&amp;T, Technology Blog, </w:t>
      </w:r>
      <w:r w:rsidRPr="00ED6163">
        <w:rPr>
          <w:i/>
          <w:iCs/>
        </w:rPr>
        <w:t>2G Sunset Brings Faster Speeds, Newer Technologies</w:t>
      </w:r>
      <w:r w:rsidRPr="00ED6163">
        <w:t xml:space="preserve"> (Jan. 16, 2017) (observing that AT&amp;T shut down its 2G network on January 1, 2017). </w:t>
      </w:r>
    </w:p>
  </w:footnote>
  <w:footnote w:id="156">
    <w:p w:rsidR="00252A4C" w:rsidRPr="00ED6163" w:rsidP="00D60B92" w14:paraId="7E2C76E6" w14:textId="77777777">
      <w:pPr>
        <w:pStyle w:val="FootnoteText"/>
      </w:pPr>
      <w:r w:rsidRPr="00ED6163">
        <w:rPr>
          <w:rStyle w:val="FootnoteReference"/>
        </w:rPr>
        <w:footnoteRef/>
      </w:r>
      <w:r w:rsidRPr="00ED6163">
        <w:t xml:space="preserve"> The current requirement for facilities-based</w:t>
      </w:r>
      <w:r w:rsidRPr="00ED6163">
        <w:t xml:space="preserve"> mobile voice providers is that they supply their deployment data by technology, which includes “LTE.”  FCC, </w:t>
      </w:r>
      <w:r w:rsidRPr="00947E6A">
        <w:rPr>
          <w:i/>
        </w:rPr>
        <w:t>How Should I Format My Mobile Voice Deployment Data 1</w:t>
      </w:r>
      <w:r w:rsidRPr="00ED6163">
        <w:t xml:space="preserve"> (rvsd Dec. 5, 2016), </w:t>
      </w:r>
      <w:hyperlink r:id="rId31" w:history="1">
        <w:r w:rsidRPr="00ED6163">
          <w:rPr>
            <w:rStyle w:val="Hyperlink"/>
          </w:rPr>
          <w:t>https://transition.fcc.gov/form477/MVD/formatting_mvd.pdf</w:t>
        </w:r>
      </w:hyperlink>
      <w:r w:rsidRPr="00ED6163">
        <w:t>.  This requirement will now be “VoLTE” and “Other,” until such time as WTB and OEA further revise the requirement.</w:t>
      </w:r>
    </w:p>
  </w:footnote>
  <w:footnote w:id="157">
    <w:p w:rsidR="00252A4C" w:rsidRPr="00ED6163" w:rsidP="00D60B92" w14:paraId="0ADA547D" w14:textId="77777777">
      <w:pPr>
        <w:pStyle w:val="FootnoteText"/>
      </w:pPr>
      <w:r w:rsidRPr="00ED6163">
        <w:rPr>
          <w:rStyle w:val="FootnoteReference"/>
        </w:rPr>
        <w:footnoteRef/>
      </w:r>
      <w:r w:rsidRPr="00ED6163">
        <w:t xml:space="preserve"> </w:t>
      </w:r>
      <w:r w:rsidRPr="00ED6163">
        <w:rPr>
          <w:i/>
        </w:rPr>
        <w:t>See, e.g</w:t>
      </w:r>
      <w:r w:rsidRPr="00ED6163">
        <w:t xml:space="preserve">., </w:t>
      </w:r>
      <w:r w:rsidRPr="00ED6163">
        <w:rPr>
          <w:i/>
        </w:rPr>
        <w:t>Connect America Fund et al</w:t>
      </w:r>
      <w:r w:rsidRPr="00ED6163">
        <w:t xml:space="preserve">., Report and Order and Further Notice of </w:t>
      </w:r>
      <w:r w:rsidRPr="00ED6163">
        <w:t xml:space="preserve">Proposed Rulemaking, 32 FCC Rcd 2152, 2156-57, paras. 11-15 (2017) (seeking to advance the deployment of 4G LTE where it does not already exist).  </w:t>
      </w:r>
    </w:p>
  </w:footnote>
  <w:footnote w:id="158">
    <w:p w:rsidR="00252A4C" w:rsidRPr="00ED6163" w:rsidP="00D60B92" w14:paraId="74E7E77E" w14:textId="77777777">
      <w:pPr>
        <w:pStyle w:val="FootnoteText"/>
      </w:pPr>
      <w:r w:rsidRPr="00ED6163">
        <w:rPr>
          <w:rStyle w:val="FootnoteReference"/>
        </w:rPr>
        <w:footnoteRef/>
      </w:r>
      <w:r w:rsidRPr="00ED6163">
        <w:t xml:space="preserve"> RWA Comments at 5-6, n.12.</w:t>
      </w:r>
    </w:p>
  </w:footnote>
  <w:footnote w:id="159">
    <w:p w:rsidR="00252A4C" w:rsidRPr="00ED6163" w:rsidP="00D60B92" w14:paraId="7FA8D3CA" w14:textId="77777777">
      <w:pPr>
        <w:pStyle w:val="FootnoteText"/>
      </w:pPr>
      <w:r w:rsidRPr="00ED6163">
        <w:rPr>
          <w:rStyle w:val="FootnoteReference"/>
        </w:rPr>
        <w:footnoteRef/>
      </w:r>
      <w:r w:rsidRPr="00ED6163">
        <w:t xml:space="preserve"> </w:t>
      </w:r>
      <w:r w:rsidRPr="00ED6163">
        <w:rPr>
          <w:i/>
        </w:rPr>
        <w:t>See, e.g.</w:t>
      </w:r>
      <w:r w:rsidRPr="00ED6163">
        <w:t xml:space="preserve">, </w:t>
      </w:r>
      <w:r w:rsidRPr="00ED6163">
        <w:rPr>
          <w:i/>
        </w:rPr>
        <w:t>Sprint is Launching Voice over LTE in 15 Cities</w:t>
      </w:r>
      <w:r w:rsidRPr="00ED6163">
        <w:t>, CIO Bulletin (Oct</w:t>
      </w:r>
      <w:r w:rsidRPr="00ED6163">
        <w:t xml:space="preserve">. 5, 2018), </w:t>
      </w:r>
      <w:hyperlink r:id="rId32" w:history="1">
        <w:r w:rsidRPr="00ED6163">
          <w:rPr>
            <w:rStyle w:val="Hyperlink"/>
          </w:rPr>
          <w:t>http://www.ciobulletin.com/telecom/sprint-launches-volte</w:t>
        </w:r>
      </w:hyperlink>
      <w:r w:rsidRPr="00ED6163">
        <w:t xml:space="preserve">. </w:t>
      </w:r>
    </w:p>
  </w:footnote>
  <w:footnote w:id="160">
    <w:p w:rsidR="00252A4C" w:rsidRPr="00ED6163" w:rsidP="00D60B92" w14:paraId="0AD1F8E0" w14:textId="77777777">
      <w:pPr>
        <w:pStyle w:val="FootnoteText"/>
      </w:pPr>
      <w:r w:rsidRPr="00ED6163">
        <w:rPr>
          <w:rStyle w:val="FootnoteReference"/>
        </w:rPr>
        <w:footnoteRef/>
      </w:r>
      <w:r w:rsidRPr="00ED6163">
        <w:t xml:space="preserve"> </w:t>
      </w:r>
      <w:r w:rsidRPr="00ED6163">
        <w:rPr>
          <w:i/>
        </w:rPr>
        <w:t xml:space="preserve">FCC </w:t>
      </w:r>
      <w:r w:rsidRPr="00ED6163">
        <w:rPr>
          <w:i/>
          <w:iCs/>
        </w:rPr>
        <w:t>Form 477 Instructions</w:t>
      </w:r>
      <w:r w:rsidRPr="00ED6163">
        <w:rPr>
          <w:iCs/>
        </w:rPr>
        <w:t xml:space="preserve"> </w:t>
      </w:r>
      <w:r w:rsidRPr="00ED6163">
        <w:t xml:space="preserve">at 25-27; </w:t>
      </w:r>
      <w:r w:rsidRPr="00ED6163">
        <w:rPr>
          <w:i/>
        </w:rPr>
        <w:t>2013 Form 477 Order</w:t>
      </w:r>
      <w:r w:rsidRPr="00ED6163">
        <w:t>, 28 FCC Rcd at 9914, para 57</w:t>
      </w:r>
      <w:r w:rsidRPr="00947E6A">
        <w:t>;</w:t>
      </w:r>
      <w:r w:rsidRPr="00ED6163">
        <w:rPr>
          <w:i/>
        </w:rPr>
        <w:t xml:space="preserve"> 2017 Data Collection Improvement FNPRM</w:t>
      </w:r>
      <w:r w:rsidRPr="00ED6163">
        <w:t>,</w:t>
      </w:r>
      <w:r w:rsidRPr="00ED6163">
        <w:rPr>
          <w:i/>
        </w:rPr>
        <w:t xml:space="preserve"> </w:t>
      </w:r>
      <w:r w:rsidRPr="00ED6163">
        <w:t>32 FCC Rcd at 6337, para. 26.</w:t>
      </w:r>
    </w:p>
  </w:footnote>
  <w:footnote w:id="161">
    <w:p w:rsidR="00252A4C" w:rsidRPr="00ED6163" w:rsidP="00D60B92" w14:paraId="34457308" w14:textId="77777777">
      <w:pPr>
        <w:pStyle w:val="FootnoteText"/>
      </w:pPr>
      <w:r w:rsidRPr="00ED6163">
        <w:rPr>
          <w:rStyle w:val="FootnoteReference"/>
        </w:rPr>
        <w:footnoteRef/>
      </w:r>
      <w:r w:rsidRPr="00ED6163">
        <w:t xml:space="preserve"> </w:t>
      </w:r>
      <w:r w:rsidRPr="00ED6163">
        <w:rPr>
          <w:i/>
        </w:rPr>
        <w:t xml:space="preserve">FCC </w:t>
      </w:r>
      <w:r w:rsidRPr="00ED6163">
        <w:rPr>
          <w:i/>
          <w:iCs/>
          <w:color w:val="000000"/>
        </w:rPr>
        <w:t>Form 477 Instructions</w:t>
      </w:r>
      <w:r w:rsidRPr="00ED6163">
        <w:rPr>
          <w:iCs/>
          <w:color w:val="000000"/>
        </w:rPr>
        <w:t xml:space="preserve"> </w:t>
      </w:r>
      <w:r w:rsidRPr="00ED6163">
        <w:t xml:space="preserve">at 25-27; </w:t>
      </w:r>
      <w:r w:rsidRPr="00ED6163">
        <w:rPr>
          <w:i/>
        </w:rPr>
        <w:t>see also Development of Nationwide Broadband Data to Evaluate Reasonable and Timely Deployment of Advanced Services to All American, Improvement of</w:t>
      </w:r>
      <w:r w:rsidRPr="00ED6163">
        <w:rPr>
          <w:i/>
        </w:rPr>
        <w:t xml:space="preserve"> Wireless Broadband Subscribership Data, and Development of Data on Interconnected Voice over Internet Protocol (VoIP) Subscribership</w:t>
      </w:r>
      <w:r w:rsidRPr="00ED6163">
        <w:t>, Report and Order and Further Notice of Proposed Rulemaking, 23 FCC Rcd 9691, 9706, para. 16 (2008) (retaining mobile subs</w:t>
      </w:r>
      <w:r w:rsidRPr="00ED6163">
        <w:t xml:space="preserve">cribership data by state); </w:t>
      </w:r>
      <w:r w:rsidRPr="00ED6163">
        <w:rPr>
          <w:i/>
        </w:rPr>
        <w:t>2013 Form 477 Order</w:t>
      </w:r>
      <w:r w:rsidRPr="00ED6163">
        <w:t>,</w:t>
      </w:r>
      <w:r w:rsidRPr="00ED6163">
        <w:rPr>
          <w:i/>
        </w:rPr>
        <w:t xml:space="preserve"> </w:t>
      </w:r>
      <w:r w:rsidRPr="00ED6163">
        <w:t>28 FCC Rcd at 9914, para. 57.</w:t>
      </w:r>
    </w:p>
  </w:footnote>
  <w:footnote w:id="162">
    <w:p w:rsidR="00252A4C" w:rsidRPr="00ED6163" w:rsidP="00D60B92" w14:paraId="675AC296" w14:textId="77777777">
      <w:pPr>
        <w:pStyle w:val="FootnoteText"/>
      </w:pPr>
      <w:r w:rsidRPr="00ED6163">
        <w:rPr>
          <w:rStyle w:val="FootnoteReference"/>
        </w:rPr>
        <w:footnoteRef/>
      </w:r>
      <w:r w:rsidRPr="00ED6163">
        <w:t xml:space="preserve"> </w:t>
      </w:r>
      <w:r w:rsidRPr="00ED6163">
        <w:rPr>
          <w:i/>
        </w:rPr>
        <w:t xml:space="preserve">FCC </w:t>
      </w:r>
      <w:r w:rsidRPr="00ED6163">
        <w:rPr>
          <w:i/>
          <w:color w:val="000000"/>
        </w:rPr>
        <w:t>Form 477 Instructions</w:t>
      </w:r>
      <w:r w:rsidRPr="00ED6163">
        <w:t xml:space="preserve"> at 28; </w:t>
      </w:r>
      <w:r w:rsidRPr="00ED6163">
        <w:rPr>
          <w:i/>
        </w:rPr>
        <w:t xml:space="preserve">see also </w:t>
      </w:r>
      <w:r w:rsidRPr="00ED6163">
        <w:rPr>
          <w:i/>
          <w:iCs/>
        </w:rPr>
        <w:t>2004 Broadband Data Gathering</w:t>
      </w:r>
      <w:r w:rsidRPr="00947E6A">
        <w:rPr>
          <w:i/>
        </w:rPr>
        <w:t xml:space="preserve"> Order</w:t>
      </w:r>
      <w:r w:rsidRPr="00ED6163">
        <w:t>, 19 FCC Rcd at 22387, Line A.I-8 (requiring reporting of subscribers whose billing addresses are w</w:t>
      </w:r>
      <w:r w:rsidRPr="00ED6163">
        <w:t>ithin the mobile provider’s reported areas of availability).</w:t>
      </w:r>
    </w:p>
  </w:footnote>
  <w:footnote w:id="163">
    <w:p w:rsidR="00252A4C" w:rsidRPr="00ED6163" w:rsidP="00D60B92" w14:paraId="1FE7D5AD" w14:textId="77777777">
      <w:pPr>
        <w:pStyle w:val="FootnoteText"/>
      </w:pPr>
      <w:r w:rsidRPr="00ED6163">
        <w:rPr>
          <w:rStyle w:val="FootnoteReference"/>
        </w:rPr>
        <w:footnoteRef/>
      </w:r>
      <w:r w:rsidRPr="00ED6163">
        <w:rPr>
          <w:i/>
        </w:rPr>
        <w:t xml:space="preserve"> 2017</w:t>
      </w:r>
      <w:r w:rsidRPr="00ED6163">
        <w:t xml:space="preserve"> </w:t>
      </w:r>
      <w:r w:rsidRPr="00ED6163">
        <w:rPr>
          <w:i/>
        </w:rPr>
        <w:t>Data Collection Improvement FNPRM</w:t>
      </w:r>
      <w:r w:rsidRPr="00ED6163">
        <w:t>, 32 FCC Rcd at 6337-38, para. 28.</w:t>
      </w:r>
    </w:p>
  </w:footnote>
  <w:footnote w:id="164">
    <w:p w:rsidR="00252A4C" w:rsidRPr="00ED6163" w:rsidP="00D60B92" w14:paraId="1BFD17E1" w14:textId="77777777">
      <w:pPr>
        <w:pStyle w:val="FootnoteText"/>
      </w:pPr>
      <w:r w:rsidRPr="00ED6163">
        <w:rPr>
          <w:rStyle w:val="FootnoteReference"/>
        </w:rPr>
        <w:footnoteRef/>
      </w:r>
      <w:r w:rsidRPr="00ED6163">
        <w:t xml:space="preserve"> </w:t>
      </w:r>
      <w:r w:rsidRPr="00ED6163">
        <w:rPr>
          <w:i/>
        </w:rPr>
        <w:t xml:space="preserve">Id. </w:t>
      </w:r>
      <w:r w:rsidRPr="00ED6163">
        <w:t>at 6337, para. 27 (noting the Commission’s ability to provide more accurate mobile competition analyses using cens</w:t>
      </w:r>
      <w:r w:rsidRPr="00ED6163">
        <w:t>us-tract level data, particularly in secondary market transactions review).</w:t>
      </w:r>
    </w:p>
  </w:footnote>
  <w:footnote w:id="165">
    <w:p w:rsidR="00252A4C" w:rsidRPr="00ED6163" w:rsidP="00D60B92" w14:paraId="5789D7E5" w14:textId="77777777">
      <w:pPr>
        <w:pStyle w:val="FootnoteText"/>
      </w:pPr>
      <w:r w:rsidRPr="00ED6163">
        <w:rPr>
          <w:rStyle w:val="FootnoteReference"/>
        </w:rPr>
        <w:footnoteRef/>
      </w:r>
      <w:r w:rsidRPr="00ED6163">
        <w:t xml:space="preserve"> </w:t>
      </w:r>
      <w:r w:rsidRPr="00ED6163">
        <w:rPr>
          <w:i/>
        </w:rPr>
        <w:t>See, e.g</w:t>
      </w:r>
      <w:r w:rsidRPr="00ED6163">
        <w:t xml:space="preserve">., </w:t>
      </w:r>
      <w:r w:rsidRPr="00ED6163">
        <w:rPr>
          <w:i/>
        </w:rPr>
        <w:t>SprintCom, Inc., Shenandoah Personal Communications, LLC, and NTELOS Holdings Corp</w:t>
      </w:r>
      <w:r w:rsidRPr="00ED6163">
        <w:t>., Memorandum Opinion and Order, 31 FCC Rcd 3631, 3641, para. 21 n.66 (2016) (using N</w:t>
      </w:r>
      <w:r w:rsidRPr="00ED6163">
        <w:t xml:space="preserve">umber Resource Utilization/Forecast (NRUF) data for a competitive market analysis).  </w:t>
      </w:r>
      <w:r w:rsidRPr="00ED6163">
        <w:rPr>
          <w:i/>
        </w:rPr>
        <w:t>See also 2017</w:t>
      </w:r>
      <w:r w:rsidRPr="00ED6163">
        <w:t xml:space="preserve"> </w:t>
      </w:r>
      <w:r w:rsidRPr="00ED6163">
        <w:rPr>
          <w:i/>
        </w:rPr>
        <w:t>Data Collection Improvement FNPRM</w:t>
      </w:r>
      <w:r w:rsidRPr="00ED6163">
        <w:t>, 32 FCC Rcd at 6337, para. 26.</w:t>
      </w:r>
      <w:r w:rsidRPr="00ED6163">
        <w:rPr>
          <w:i/>
        </w:rPr>
        <w:t xml:space="preserve"> </w:t>
      </w:r>
    </w:p>
  </w:footnote>
  <w:footnote w:id="166">
    <w:p w:rsidR="00252A4C" w:rsidRPr="00ED6163" w:rsidP="00D60B92" w14:paraId="5E2C5F21" w14:textId="77777777">
      <w:pPr>
        <w:pStyle w:val="FootnoteText"/>
      </w:pPr>
      <w:r w:rsidRPr="00ED6163">
        <w:rPr>
          <w:rStyle w:val="FootnoteReference"/>
        </w:rPr>
        <w:footnoteRef/>
      </w:r>
      <w:r w:rsidRPr="00ED6163">
        <w:t xml:space="preserve"> </w:t>
      </w:r>
      <w:r w:rsidRPr="00ED6163">
        <w:rPr>
          <w:i/>
        </w:rPr>
        <w:t>See</w:t>
      </w:r>
      <w:r w:rsidRPr="00ED6163">
        <w:t xml:space="preserve"> CTIA Comments at 11 (arguing that the Commission could merely ask applicants in a tra</w:t>
      </w:r>
      <w:r w:rsidRPr="00ED6163">
        <w:t>nsaction for subscriber data in a particular market).</w:t>
      </w:r>
    </w:p>
  </w:footnote>
  <w:footnote w:id="167">
    <w:p w:rsidR="00252A4C" w:rsidRPr="00ED6163" w:rsidP="00D60B92" w14:paraId="674A6740" w14:textId="77777777">
      <w:pPr>
        <w:pStyle w:val="FootnoteText"/>
      </w:pPr>
      <w:r w:rsidRPr="00ED6163">
        <w:rPr>
          <w:rStyle w:val="FootnoteReference"/>
        </w:rPr>
        <w:footnoteRef/>
      </w:r>
      <w:r w:rsidRPr="00ED6163">
        <w:t xml:space="preserve"> </w:t>
      </w:r>
      <w:r w:rsidRPr="00ED6163">
        <w:rPr>
          <w:i/>
        </w:rPr>
        <w:t>2017 Data Collection Improvement FNPRM</w:t>
      </w:r>
      <w:r w:rsidRPr="00ED6163">
        <w:t xml:space="preserve">, 32 FCC Rcd at 6337-38, para. 26; </w:t>
      </w:r>
      <w:r w:rsidRPr="00ED6163">
        <w:rPr>
          <w:i/>
        </w:rPr>
        <w:t>Communications Marketplace Report</w:t>
      </w:r>
      <w:r w:rsidRPr="00ED6163">
        <w:t>,</w:t>
      </w:r>
      <w:r w:rsidRPr="00ED6163">
        <w:rPr>
          <w:i/>
        </w:rPr>
        <w:t xml:space="preserve"> </w:t>
      </w:r>
      <w:r w:rsidRPr="00ED6163">
        <w:t xml:space="preserve">33 FCC Rcd at 12583, para. 30 n.9394; </w:t>
      </w:r>
      <w:r w:rsidRPr="00ED6163">
        <w:rPr>
          <w:i/>
        </w:rPr>
        <w:t>Twentieth CMRS Competition Report</w:t>
      </w:r>
      <w:r w:rsidRPr="00ED6163">
        <w:t xml:space="preserve">, 32 FCC Rcd at 8977-78 . </w:t>
      </w:r>
    </w:p>
  </w:footnote>
  <w:footnote w:id="168">
    <w:p w:rsidR="00252A4C" w:rsidRPr="00ED6163" w:rsidP="00D60B92" w14:paraId="2C680287" w14:textId="77777777">
      <w:pPr>
        <w:pStyle w:val="FootnoteText"/>
      </w:pPr>
      <w:r w:rsidRPr="00ED6163">
        <w:rPr>
          <w:rStyle w:val="FootnoteReference"/>
        </w:rPr>
        <w:footnoteRef/>
      </w:r>
      <w:r w:rsidRPr="00ED6163">
        <w:t xml:space="preserve"> </w:t>
      </w:r>
      <w:r w:rsidRPr="00ED6163">
        <w:rPr>
          <w:i/>
        </w:rPr>
        <w:t>Communications Marketplace Report</w:t>
      </w:r>
      <w:r w:rsidRPr="00ED6163">
        <w:t>, 33 FCC Rcd at 12583, para. 30 n.94 (“[Number Resource Utilization/Forecast] subscriber data indicate the number of assigned phone numbers that a wireless service provider has in a particular r</w:t>
      </w:r>
      <w:r w:rsidRPr="00ED6163">
        <w:t>ate center (there are approximately 18,000 rate centers in the country)).</w:t>
      </w:r>
    </w:p>
  </w:footnote>
  <w:footnote w:id="169">
    <w:p w:rsidR="00252A4C" w:rsidRPr="00ED6163" w:rsidP="00D60B92" w14:paraId="2D35CDAF" w14:textId="77777777">
      <w:pPr>
        <w:pStyle w:val="FootnoteText"/>
      </w:pPr>
      <w:r w:rsidRPr="00ED6163">
        <w:rPr>
          <w:rStyle w:val="FootnoteReference"/>
        </w:rPr>
        <w:footnoteRef/>
      </w:r>
      <w:r w:rsidRPr="00ED6163">
        <w:t xml:space="preserve"> </w:t>
      </w:r>
      <w:r w:rsidRPr="00ED6163">
        <w:rPr>
          <w:i/>
        </w:rPr>
        <w:t>Id.</w:t>
      </w:r>
    </w:p>
  </w:footnote>
  <w:footnote w:id="170">
    <w:p w:rsidR="00252A4C" w:rsidRPr="00ED6163" w:rsidP="00D60B92" w14:paraId="042087D9" w14:textId="77777777">
      <w:pPr>
        <w:pStyle w:val="FootnoteText"/>
      </w:pPr>
      <w:r w:rsidRPr="00ED6163">
        <w:rPr>
          <w:rStyle w:val="FootnoteReference"/>
        </w:rPr>
        <w:footnoteRef/>
      </w:r>
      <w:r w:rsidRPr="00ED6163">
        <w:t xml:space="preserve"> </w:t>
      </w:r>
      <w:r w:rsidRPr="00ED6163">
        <w:rPr>
          <w:i/>
        </w:rPr>
        <w:t>Id</w:t>
      </w:r>
      <w:r w:rsidRPr="00ED6163">
        <w:t>.</w:t>
      </w:r>
    </w:p>
  </w:footnote>
  <w:footnote w:id="171">
    <w:p w:rsidR="00252A4C" w:rsidRPr="00ED6163" w:rsidP="00D60B92" w14:paraId="6F083811" w14:textId="77777777">
      <w:pPr>
        <w:pStyle w:val="FootnoteText"/>
      </w:pPr>
      <w:r w:rsidRPr="00ED6163">
        <w:rPr>
          <w:rStyle w:val="FootnoteReference"/>
        </w:rPr>
        <w:footnoteRef/>
      </w:r>
      <w:r w:rsidRPr="00ED6163">
        <w:t xml:space="preserve"> </w:t>
      </w:r>
      <w:r w:rsidRPr="00ED6163">
        <w:rPr>
          <w:i/>
        </w:rPr>
        <w:t>Twentieth CMRS Competition Report</w:t>
      </w:r>
      <w:r w:rsidRPr="00ED6163">
        <w:t>, 32 FCC Rcd at 8977-78 n.65 (noting that NRUF data is increasing out of date the less each distinct device relies on a particular phon</w:t>
      </w:r>
      <w:r w:rsidRPr="00ED6163">
        <w:t>e number).</w:t>
      </w:r>
    </w:p>
  </w:footnote>
  <w:footnote w:id="172">
    <w:p w:rsidR="00252A4C" w:rsidRPr="00ED6163" w:rsidP="00D60B92" w14:paraId="295BD2C6" w14:textId="77777777">
      <w:pPr>
        <w:pStyle w:val="FootnoteText"/>
      </w:pPr>
      <w:r w:rsidRPr="00ED6163">
        <w:rPr>
          <w:rStyle w:val="FootnoteReference"/>
        </w:rPr>
        <w:footnoteRef/>
      </w:r>
      <w:r w:rsidRPr="00ED6163">
        <w:t xml:space="preserve"> </w:t>
      </w:r>
      <w:bookmarkStart w:id="67" w:name="_Hlk11154896"/>
      <w:r w:rsidRPr="00ED6163">
        <w:rPr>
          <w:i/>
        </w:rPr>
        <w:t>See 2017 Data Collection Improvement FNPRM</w:t>
      </w:r>
      <w:r w:rsidRPr="00ED6163">
        <w:t>, 32 FCC Rcd at 6337, para. 26 n.38.</w:t>
      </w:r>
      <w:bookmarkEnd w:id="67"/>
      <w:r w:rsidRPr="00ED6163">
        <w:t xml:space="preserve">  </w:t>
      </w:r>
    </w:p>
  </w:footnote>
  <w:footnote w:id="173">
    <w:p w:rsidR="00252A4C" w:rsidRPr="00ED6163" w:rsidP="00D60B92" w14:paraId="42B1AD4D" w14:textId="77777777">
      <w:pPr>
        <w:pStyle w:val="FootnoteText"/>
      </w:pPr>
      <w:r w:rsidRPr="00ED6163">
        <w:rPr>
          <w:rStyle w:val="FootnoteReference"/>
        </w:rPr>
        <w:footnoteRef/>
      </w:r>
      <w:r w:rsidRPr="00ED6163">
        <w:t xml:space="preserve"> </w:t>
      </w:r>
      <w:r w:rsidRPr="00ED6163">
        <w:rPr>
          <w:i/>
        </w:rPr>
        <w:t>See id</w:t>
      </w:r>
      <w:r w:rsidRPr="00ED6163">
        <w:t>.  For example, a consumer that received an 812 area code because he or she initially subscribed to mobile voice service in southern Indiana, but moved to</w:t>
      </w:r>
      <w:r w:rsidRPr="00ED6163">
        <w:t xml:space="preserve"> California, is attributed to southern Indiana in NRUF data.  That same consumer would continue to be attributed to southern Indiana, even if he or she never moves back to Indiana.  As another example, an analysis of NRUF data in New Orleans following Hurr</w:t>
      </w:r>
      <w:r w:rsidRPr="00ED6163">
        <w:t xml:space="preserve">icane Katrina overinflated subscribership by accounting for subscribers who left the area because of the disaster.  </w:t>
      </w:r>
      <w:r w:rsidRPr="00ED6163">
        <w:rPr>
          <w:i/>
        </w:rPr>
        <w:t>Implementation of Section 6002(b) of the Omnibus Budget Reconciliation Act of 1993 et al.</w:t>
      </w:r>
      <w:r w:rsidRPr="00ED6163">
        <w:t xml:space="preserve">, </w:t>
      </w:r>
      <w:r w:rsidRPr="00ED6163">
        <w:rPr>
          <w:i/>
        </w:rPr>
        <w:t xml:space="preserve">Annual Report and Analysis of Competitive Market </w:t>
      </w:r>
      <w:r w:rsidRPr="00ED6163">
        <w:rPr>
          <w:i/>
        </w:rPr>
        <w:t>Conditions with respect to Commercial Mobile Services,</w:t>
      </w:r>
      <w:r w:rsidRPr="00ED6163">
        <w:t xml:space="preserve"> Twelfth Report, 23 FCC Rcd 2241, 2369, 2372 (2008) (</w:t>
      </w:r>
      <w:r w:rsidRPr="00ED6163">
        <w:rPr>
          <w:i/>
        </w:rPr>
        <w:t>Twelfth CMRS Competition Report</w:t>
      </w:r>
      <w:r w:rsidRPr="00ED6163">
        <w:t>).  Because the subscribers did not change their telephone numbers, the data reflected that they remained in New Orlea</w:t>
      </w:r>
      <w:r w:rsidRPr="00ED6163">
        <w:t xml:space="preserve">ns.  </w:t>
      </w:r>
      <w:r w:rsidRPr="00ED6163">
        <w:rPr>
          <w:i/>
        </w:rPr>
        <w:t>Id.</w:t>
      </w:r>
      <w:r w:rsidRPr="00ED6163">
        <w:t xml:space="preserve"> at 2372.  (“One explanation for this may be that, after the flooding, people leaving the area took their cell phones (and cell phone numbers) with them.  Thus, those numbers may still be associated with New Orleans rate centers, even though the pe</w:t>
      </w:r>
      <w:r w:rsidRPr="00ED6163">
        <w:t xml:space="preserve">ople actually no longer live anywhere near there.”); </w:t>
      </w:r>
      <w:r w:rsidRPr="00ED6163">
        <w:rPr>
          <w:i/>
        </w:rPr>
        <w:t>compare id</w:t>
      </w:r>
      <w:r w:rsidRPr="00ED6163">
        <w:t xml:space="preserve">. at 2369 (showing 100% penetration) </w:t>
      </w:r>
      <w:r w:rsidRPr="00ED6163">
        <w:rPr>
          <w:i/>
        </w:rPr>
        <w:t>with</w:t>
      </w:r>
      <w:r w:rsidRPr="00ED6163">
        <w:t xml:space="preserve"> </w:t>
      </w:r>
      <w:r w:rsidRPr="00ED6163">
        <w:rPr>
          <w:i/>
        </w:rPr>
        <w:t>Implementation of Section 6002(b) of the Omnibus Budget Reconciliation Act of 1993 et al.</w:t>
      </w:r>
      <w:r w:rsidRPr="00ED6163">
        <w:t xml:space="preserve">, </w:t>
      </w:r>
      <w:r w:rsidRPr="00ED6163">
        <w:rPr>
          <w:i/>
        </w:rPr>
        <w:t xml:space="preserve">Annual Report and Analysis of Competitive Market Conditions </w:t>
      </w:r>
      <w:r w:rsidRPr="00ED6163">
        <w:rPr>
          <w:i/>
        </w:rPr>
        <w:t>with respect to Commercial Mobile Services</w:t>
      </w:r>
      <w:r w:rsidRPr="00ED6163">
        <w:t>, Eleventh Report, 21 FCC Rcd 10947, 11046 (2007) (</w:t>
      </w:r>
      <w:r w:rsidRPr="00ED6163">
        <w:rPr>
          <w:i/>
        </w:rPr>
        <w:t>Eleventh CMRS Competition Report</w:t>
      </w:r>
      <w:r w:rsidRPr="00ED6163">
        <w:t xml:space="preserve">) (showing 77% penetration in New Orleans).  </w:t>
      </w:r>
      <w:r w:rsidRPr="00ED6163">
        <w:rPr>
          <w:i/>
        </w:rPr>
        <w:t>See 2017 Data Collection Improvement FNPRM</w:t>
      </w:r>
      <w:r w:rsidRPr="00ED6163">
        <w:t xml:space="preserve">, 32 FCC Rcd at 6337, para. 26 n.38.  </w:t>
      </w:r>
    </w:p>
  </w:footnote>
  <w:footnote w:id="174">
    <w:p w:rsidR="00252A4C" w:rsidRPr="00ED6163" w:rsidP="00D60B92" w14:paraId="355245BB" w14:textId="77777777">
      <w:pPr>
        <w:pStyle w:val="FootnoteText"/>
      </w:pPr>
      <w:r w:rsidRPr="00ED6163">
        <w:rPr>
          <w:rStyle w:val="FootnoteReference"/>
        </w:rPr>
        <w:footnoteRef/>
      </w:r>
      <w:r w:rsidRPr="00ED6163">
        <w:t xml:space="preserve"> AT&amp;</w:t>
      </w:r>
      <w:r w:rsidRPr="00ED6163">
        <w:t>T Comments at 9-10; CTIA Comments at 11-12; T-Mobile Comments at 9-10; Verizon Comments at 8-9; AT&amp;T Reply at 2; GCI Reply at 5.</w:t>
      </w:r>
    </w:p>
  </w:footnote>
  <w:footnote w:id="175">
    <w:p w:rsidR="00252A4C" w:rsidRPr="00ED6163" w:rsidP="00D60B92" w14:paraId="3049D9D9" w14:textId="77777777">
      <w:pPr>
        <w:pStyle w:val="FootnoteText"/>
      </w:pPr>
      <w:r w:rsidRPr="00ED6163">
        <w:rPr>
          <w:rStyle w:val="FootnoteReference"/>
        </w:rPr>
        <w:footnoteRef/>
      </w:r>
      <w:r w:rsidRPr="00ED6163">
        <w:t xml:space="preserve"> </w:t>
      </w:r>
      <w:r w:rsidRPr="00ED6163">
        <w:rPr>
          <w:i/>
        </w:rPr>
        <w:t>Communications Marketplace Report</w:t>
      </w:r>
      <w:r w:rsidRPr="00ED6163">
        <w:t xml:space="preserve">, 33 FCC Rcd at 12583, para. 30 n.94; </w:t>
      </w:r>
      <w:r w:rsidRPr="00ED6163">
        <w:rPr>
          <w:i/>
        </w:rPr>
        <w:t>see also</w:t>
      </w:r>
      <w:r w:rsidRPr="00ED6163">
        <w:t xml:space="preserve"> </w:t>
      </w:r>
      <w:r w:rsidRPr="00ED6163">
        <w:rPr>
          <w:i/>
        </w:rPr>
        <w:t>2017</w:t>
      </w:r>
      <w:r w:rsidRPr="00ED6163">
        <w:t xml:space="preserve"> </w:t>
      </w:r>
      <w:r w:rsidRPr="00ED6163">
        <w:rPr>
          <w:i/>
        </w:rPr>
        <w:t>Data Collection Improvement FNPRM</w:t>
      </w:r>
      <w:r w:rsidRPr="00ED6163">
        <w:t>, 32 FC</w:t>
      </w:r>
      <w:r w:rsidRPr="00ED6163">
        <w:t>C Rcd at 6337, para. 26 n.38.</w:t>
      </w:r>
    </w:p>
  </w:footnote>
  <w:footnote w:id="176">
    <w:p w:rsidR="00252A4C" w:rsidRPr="00ED6163" w:rsidP="00D60B92" w14:paraId="1C37152E" w14:textId="77777777">
      <w:pPr>
        <w:pStyle w:val="FootnoteText"/>
      </w:pPr>
      <w:r w:rsidRPr="00ED6163">
        <w:rPr>
          <w:rStyle w:val="FootnoteReference"/>
        </w:rPr>
        <w:footnoteRef/>
      </w:r>
      <w:r w:rsidRPr="00ED6163">
        <w:t xml:space="preserve"> CPUC Comments at 5; NTCA Comments at 9 n.12; OTI Comments at 6; West Virginia Broadband Enhancement Council Comments at 2;</w:t>
      </w:r>
      <w:r w:rsidRPr="00ED6163">
        <w:rPr>
          <w:i/>
        </w:rPr>
        <w:t xml:space="preserve"> </w:t>
      </w:r>
      <w:r w:rsidRPr="00ED6163">
        <w:t>Deere Reply at 3 (arguing that since address-level data is collected anyway, the Commission should re</w:t>
      </w:r>
      <w:r w:rsidRPr="00ED6163">
        <w:t>quire subscriber-level data by census block).</w:t>
      </w:r>
    </w:p>
  </w:footnote>
  <w:footnote w:id="177">
    <w:p w:rsidR="00252A4C" w:rsidRPr="00ED6163" w:rsidP="00D60B92" w14:paraId="083433CC" w14:textId="77777777">
      <w:pPr>
        <w:pStyle w:val="FootnoteText"/>
      </w:pPr>
      <w:r w:rsidRPr="00ED6163">
        <w:rPr>
          <w:rStyle w:val="FootnoteReference"/>
        </w:rPr>
        <w:footnoteRef/>
      </w:r>
      <w:r w:rsidRPr="00ED6163">
        <w:t xml:space="preserve"> OTI Comments at 6.</w:t>
      </w:r>
    </w:p>
  </w:footnote>
  <w:footnote w:id="178">
    <w:p w:rsidR="00252A4C" w:rsidRPr="00ED6163" w:rsidP="00D60B92" w14:paraId="55B3C16B" w14:textId="77777777">
      <w:pPr>
        <w:pStyle w:val="FootnoteText"/>
      </w:pPr>
      <w:r w:rsidRPr="00ED6163">
        <w:rPr>
          <w:rStyle w:val="FootnoteReference"/>
        </w:rPr>
        <w:footnoteRef/>
      </w:r>
      <w:r w:rsidRPr="00ED6163">
        <w:t xml:space="preserve"> </w:t>
      </w:r>
      <w:r w:rsidRPr="00ED6163">
        <w:rPr>
          <w:i/>
          <w:iCs/>
        </w:rPr>
        <w:t>2013 Form 477 Order</w:t>
      </w:r>
      <w:r w:rsidRPr="00ED6163">
        <w:t xml:space="preserve">, 28 FCC Rcd at 9917, para. 67; </w:t>
      </w:r>
      <w:r w:rsidRPr="00ED6163">
        <w:rPr>
          <w:i/>
        </w:rPr>
        <w:t>see also</w:t>
      </w:r>
      <w:r w:rsidRPr="00ED6163">
        <w:t xml:space="preserve"> OTI Comments at 7.</w:t>
      </w:r>
      <w:r w:rsidRPr="00ED6163">
        <w:rPr>
          <w:i/>
        </w:rPr>
        <w:t xml:space="preserve">  Cf.</w:t>
      </w:r>
      <w:r w:rsidRPr="00ED6163">
        <w:t xml:space="preserve"> CWA Reply at 3 (stating if the Commission disaggregates data, then it needs to ensure that the data be disaggregated to a census-recognized boundary so that the data can be correlated with census data for demographic analyses).</w:t>
      </w:r>
    </w:p>
  </w:footnote>
  <w:footnote w:id="179">
    <w:p w:rsidR="00252A4C" w:rsidRPr="00ED6163" w:rsidP="00D60B92" w14:paraId="6C101B6E" w14:textId="77777777">
      <w:pPr>
        <w:pStyle w:val="FootnoteText"/>
      </w:pPr>
      <w:r w:rsidRPr="00ED6163">
        <w:rPr>
          <w:rStyle w:val="FootnoteReference"/>
        </w:rPr>
        <w:footnoteRef/>
      </w:r>
      <w:r w:rsidRPr="00ED6163">
        <w:t xml:space="preserve"> Verizon Comments at 8-9 (arguing that the more disaggregated mobile data the Commission collects, the more artificial precision and inaccuracy are introduced).</w:t>
      </w:r>
    </w:p>
  </w:footnote>
  <w:footnote w:id="180">
    <w:p w:rsidR="00252A4C" w:rsidRPr="00ED6163" w:rsidP="00D60B92" w14:paraId="40F94AF0" w14:textId="77777777">
      <w:pPr>
        <w:pStyle w:val="FootnoteText"/>
      </w:pPr>
      <w:r w:rsidRPr="00ED6163">
        <w:rPr>
          <w:rStyle w:val="FootnoteReference"/>
        </w:rPr>
        <w:footnoteRef/>
      </w:r>
      <w:r w:rsidRPr="00ED6163">
        <w:t xml:space="preserve"> </w:t>
      </w:r>
      <w:r w:rsidRPr="00ED6163">
        <w:rPr>
          <w:i/>
        </w:rPr>
        <w:t>See</w:t>
      </w:r>
      <w:r w:rsidRPr="00ED6163">
        <w:t xml:space="preserve"> CTIA Comments at 11 (arguing that the Commission could use NRUF data instead of subscribe</w:t>
      </w:r>
      <w:r w:rsidRPr="00ED6163">
        <w:t>r data); T-Mobile Comments at 2, 8-10.</w:t>
      </w:r>
    </w:p>
  </w:footnote>
  <w:footnote w:id="181">
    <w:p w:rsidR="00252A4C" w:rsidRPr="00ED6163" w:rsidP="00D60B92" w14:paraId="36BCBC52" w14:textId="77777777">
      <w:pPr>
        <w:pStyle w:val="FootnoteText"/>
      </w:pPr>
      <w:r w:rsidRPr="00ED6163">
        <w:rPr>
          <w:rStyle w:val="FootnoteReference"/>
        </w:rPr>
        <w:footnoteRef/>
      </w:r>
      <w:r w:rsidRPr="00ED6163">
        <w:t xml:space="preserve"> </w:t>
      </w:r>
      <w:r w:rsidRPr="00ED6163">
        <w:rPr>
          <w:i/>
        </w:rPr>
        <w:t>But see</w:t>
      </w:r>
      <w:r w:rsidRPr="00ED6163">
        <w:t xml:space="preserve"> AT&amp;T Comments at 9-10 (</w:t>
      </w:r>
      <w:r w:rsidRPr="00ED6163">
        <w:rPr>
          <w:snapToGrid w:val="0"/>
        </w:rPr>
        <w:t>explaining AT&amp;T’s burdens with regard to this requirement for wireless service without distinguishing its burdens for its fixed service)</w:t>
      </w:r>
      <w:r w:rsidRPr="00ED6163">
        <w:t xml:space="preserve">.  AT&amp;T predicts that disaggregating subscriber </w:t>
      </w:r>
      <w:r w:rsidRPr="00ED6163">
        <w:t>data to the census-tract level would add 30-45 days to the filing requirement.  AT&amp;T Comments at 10.  Verizon argues that providers do not maintain customer records by census tract, and that providers would need to create new systems and processes to map b</w:t>
      </w:r>
      <w:r w:rsidRPr="00ED6163">
        <w:t>illing addresses to census tracts,</w:t>
      </w:r>
      <w:r w:rsidRPr="00ED6163">
        <w:rPr>
          <w:snapToGrid w:val="0"/>
        </w:rPr>
        <w:t xml:space="preserve"> without explaining how this burden is unique to wireless as compared to fixed service</w:t>
      </w:r>
      <w:r w:rsidRPr="00ED6163">
        <w:t>.  Verizon Comments at 9.</w:t>
      </w:r>
    </w:p>
  </w:footnote>
  <w:footnote w:id="182">
    <w:p w:rsidR="00252A4C" w:rsidRPr="00ED6163" w:rsidP="00D60B92" w14:paraId="0191552F" w14:textId="77777777">
      <w:pPr>
        <w:pStyle w:val="FootnoteText"/>
      </w:pPr>
      <w:r w:rsidRPr="00ED6163">
        <w:rPr>
          <w:rStyle w:val="FootnoteReference"/>
        </w:rPr>
        <w:footnoteRef/>
      </w:r>
      <w:r w:rsidRPr="00ED6163">
        <w:t xml:space="preserve"> </w:t>
      </w:r>
      <w:r w:rsidRPr="00ED6163">
        <w:rPr>
          <w:i/>
          <w:iCs/>
        </w:rPr>
        <w:t>2013 Form 477 Order</w:t>
      </w:r>
      <w:r w:rsidRPr="00ED6163">
        <w:t xml:space="preserve">, 28 FCC Rcd at 9916-18, paras. 64-68.  </w:t>
      </w:r>
    </w:p>
  </w:footnote>
  <w:footnote w:id="183">
    <w:p w:rsidR="00252A4C" w:rsidRPr="00ED6163" w:rsidP="00D60B92" w14:paraId="3F7D92D0" w14:textId="77777777">
      <w:pPr>
        <w:pStyle w:val="FootnoteText"/>
      </w:pPr>
      <w:r w:rsidRPr="00ED6163">
        <w:rPr>
          <w:rStyle w:val="FootnoteReference"/>
        </w:rPr>
        <w:footnoteRef/>
      </w:r>
      <w:r w:rsidRPr="00ED6163">
        <w:t xml:space="preserve"> 4 U.S.C. § 124(8) (defining “place of primary </w:t>
      </w:r>
      <w:r w:rsidRPr="00ED6163">
        <w:t xml:space="preserve">use”); </w:t>
      </w:r>
      <w:r w:rsidRPr="00ED6163">
        <w:rPr>
          <w:i/>
        </w:rPr>
        <w:t>see also</w:t>
      </w:r>
      <w:r w:rsidRPr="00ED6163">
        <w:t xml:space="preserve"> </w:t>
      </w:r>
      <w:r w:rsidRPr="00ED6163">
        <w:rPr>
          <w:i/>
        </w:rPr>
        <w:t>2017</w:t>
      </w:r>
      <w:r w:rsidRPr="00ED6163">
        <w:t xml:space="preserve"> </w:t>
      </w:r>
      <w:r w:rsidRPr="00ED6163">
        <w:rPr>
          <w:i/>
        </w:rPr>
        <w:t>Data Collection Improvement FNPRM</w:t>
      </w:r>
      <w:r w:rsidRPr="00ED6163">
        <w:t xml:space="preserve">, 32 FCC Rcd at 6338, para. 29 &amp; n.42 (seeking comment on “place of primary use”).  </w:t>
      </w:r>
    </w:p>
  </w:footnote>
  <w:footnote w:id="184">
    <w:p w:rsidR="00252A4C" w:rsidRPr="00ED6163" w:rsidP="00D60B92" w14:paraId="4F760BE1" w14:textId="77777777">
      <w:pPr>
        <w:pStyle w:val="FootnoteText"/>
      </w:pPr>
      <w:r w:rsidRPr="00ED6163">
        <w:rPr>
          <w:rStyle w:val="FootnoteReference"/>
        </w:rPr>
        <w:footnoteRef/>
      </w:r>
      <w:r w:rsidRPr="00ED6163">
        <w:t xml:space="preserve"> </w:t>
      </w:r>
      <w:r w:rsidRPr="00ED6163">
        <w:rPr>
          <w:i/>
        </w:rPr>
        <w:t xml:space="preserve">See </w:t>
      </w:r>
      <w:r w:rsidRPr="00ED6163">
        <w:t>Letter from Matthew Gerst, Vice President, Regulatory Affairs, CTIA, to Marlene H. Dortch, Secretary, FCC, WC D</w:t>
      </w:r>
      <w:r w:rsidRPr="00ED6163">
        <w:t xml:space="preserve">ocket No. 19-195, at 2 (July 24, 2019) (CTIA July 24, 2019 </w:t>
      </w:r>
      <w:r w:rsidRPr="00ED6163">
        <w:rPr>
          <w:i/>
        </w:rPr>
        <w:t>Ex Parte</w:t>
      </w:r>
      <w:r w:rsidRPr="00ED6163">
        <w:t xml:space="preserve"> Letter) (explaining the challenges of applying place of primary use to prepaid and reseller subscribers).</w:t>
      </w:r>
    </w:p>
  </w:footnote>
  <w:footnote w:id="185">
    <w:p w:rsidR="00252A4C" w:rsidRPr="00ED6163" w:rsidP="00D60B92" w14:paraId="7EB2A5A1" w14:textId="77777777">
      <w:pPr>
        <w:pStyle w:val="FootnoteText"/>
        <w:rPr>
          <w:i/>
        </w:rPr>
      </w:pPr>
      <w:r w:rsidRPr="00ED6163">
        <w:rPr>
          <w:rStyle w:val="FootnoteReference"/>
        </w:rPr>
        <w:footnoteRef/>
      </w:r>
      <w:r w:rsidRPr="00ED6163">
        <w:t xml:space="preserve"> </w:t>
      </w:r>
      <w:r w:rsidRPr="00ED6163">
        <w:rPr>
          <w:i/>
        </w:rPr>
        <w:t>See id.</w:t>
      </w:r>
    </w:p>
  </w:footnote>
  <w:footnote w:id="186">
    <w:p w:rsidR="00252A4C" w:rsidRPr="00ED6163" w:rsidP="00D60B92" w14:paraId="26890B19" w14:textId="77777777">
      <w:pPr>
        <w:pStyle w:val="FootnoteText"/>
      </w:pPr>
      <w:r w:rsidRPr="00ED6163">
        <w:rPr>
          <w:rStyle w:val="FootnoteReference"/>
        </w:rPr>
        <w:footnoteRef/>
      </w:r>
      <w:r w:rsidRPr="00ED6163">
        <w:t xml:space="preserve"> Connected Nation Comments at 12; GCI Comments at 15; T-Mobile Comments</w:t>
      </w:r>
      <w:r w:rsidRPr="00ED6163">
        <w:t xml:space="preserve"> at 9; Verizon Comments at 8-9; </w:t>
      </w:r>
      <w:r w:rsidRPr="00ED6163">
        <w:rPr>
          <w:i/>
        </w:rPr>
        <w:t xml:space="preserve">but see </w:t>
      </w:r>
      <w:r w:rsidRPr="00ED6163">
        <w:t>CPUC Comments at 5 (advocating for billing address over “place of use,” as the latter is not always determinable).</w:t>
      </w:r>
    </w:p>
  </w:footnote>
  <w:footnote w:id="187">
    <w:p w:rsidR="00252A4C" w:rsidRPr="00ED6163" w:rsidP="00D60B92" w14:paraId="727B906D" w14:textId="77777777">
      <w:pPr>
        <w:pStyle w:val="FootnoteText"/>
      </w:pPr>
      <w:r w:rsidRPr="00ED6163">
        <w:rPr>
          <w:rStyle w:val="FootnoteReference"/>
        </w:rPr>
        <w:footnoteRef/>
      </w:r>
      <w:r w:rsidRPr="00ED6163">
        <w:t xml:space="preserve"> GCI Comments at 15; Verizon Comments at 8-9; T-Mobile Comments at 9; Connected Nation Comments at 1</w:t>
      </w:r>
      <w:r w:rsidRPr="00ED6163">
        <w:t>2.</w:t>
      </w:r>
    </w:p>
  </w:footnote>
  <w:footnote w:id="188">
    <w:p w:rsidR="00252A4C" w:rsidRPr="00ED6163" w:rsidP="00D60B92" w14:paraId="09609758" w14:textId="77777777">
      <w:pPr>
        <w:pStyle w:val="FootnoteText"/>
      </w:pPr>
      <w:r w:rsidRPr="00ED6163">
        <w:rPr>
          <w:rStyle w:val="FootnoteReference"/>
        </w:rPr>
        <w:footnoteRef/>
      </w:r>
      <w:r w:rsidRPr="00ED6163">
        <w:t xml:space="preserve"> </w:t>
      </w:r>
      <w:r w:rsidRPr="00ED6163">
        <w:rPr>
          <w:i/>
        </w:rPr>
        <w:t>See</w:t>
      </w:r>
      <w:r w:rsidRPr="00ED6163">
        <w:t xml:space="preserve"> 4 U.S.C. § 124(5) (defining “home service provider” as “the facilities-based carrier or reseller with which the customer contracts for the provision of mobile telecommunications services”).</w:t>
      </w:r>
    </w:p>
  </w:footnote>
  <w:footnote w:id="189">
    <w:p w:rsidR="00252A4C" w:rsidRPr="00ED6163" w:rsidP="00D60B92" w14:paraId="599AB441" w14:textId="77777777">
      <w:pPr>
        <w:pStyle w:val="FootnoteText"/>
      </w:pPr>
      <w:r w:rsidRPr="00ED6163">
        <w:rPr>
          <w:rStyle w:val="FootnoteReference"/>
        </w:rPr>
        <w:footnoteRef/>
      </w:r>
      <w:r w:rsidRPr="00ED6163">
        <w:t xml:space="preserve"> 4 U.S.C. § 122 (requiring home service providers to obt</w:t>
      </w:r>
      <w:r w:rsidRPr="00ED6163">
        <w:t xml:space="preserve">ain and maintain customer’s primary place of use for taxing jurisdictions).  </w:t>
      </w:r>
    </w:p>
  </w:footnote>
  <w:footnote w:id="190">
    <w:p w:rsidR="00252A4C" w:rsidRPr="00ED6163" w:rsidP="00D60B92" w14:paraId="1F01FEAD" w14:textId="77777777">
      <w:pPr>
        <w:pStyle w:val="FootnoteText"/>
      </w:pPr>
      <w:r w:rsidRPr="00ED6163">
        <w:rPr>
          <w:rStyle w:val="FootnoteReference"/>
        </w:rPr>
        <w:footnoteRef/>
      </w:r>
      <w:r w:rsidRPr="00ED6163">
        <w:t xml:space="preserve"> AT&amp;T Comments at 9-10; Verizon Comments at 9.</w:t>
      </w:r>
    </w:p>
  </w:footnote>
  <w:footnote w:id="191">
    <w:p w:rsidR="00252A4C" w:rsidRPr="00ED6163" w:rsidP="00D60B92" w14:paraId="2A93FD41" w14:textId="77777777">
      <w:pPr>
        <w:pStyle w:val="FootnoteText"/>
      </w:pPr>
      <w:r w:rsidRPr="00ED6163">
        <w:rPr>
          <w:rStyle w:val="FootnoteReference"/>
        </w:rPr>
        <w:footnoteRef/>
      </w:r>
      <w:r w:rsidRPr="00ED6163">
        <w:t xml:space="preserve"> 4 U.S.C. § 122 (requiring providers collect and maintain subscriber’s place of primary use).</w:t>
      </w:r>
    </w:p>
  </w:footnote>
  <w:footnote w:id="192">
    <w:p w:rsidR="00252A4C" w:rsidRPr="00ED6163" w:rsidP="00D60B92" w14:paraId="0A676841" w14:textId="77777777">
      <w:pPr>
        <w:pStyle w:val="FootnoteText"/>
      </w:pPr>
      <w:r w:rsidRPr="00ED6163">
        <w:rPr>
          <w:rStyle w:val="FootnoteReference"/>
        </w:rPr>
        <w:footnoteRef/>
      </w:r>
      <w:r w:rsidRPr="00ED6163">
        <w:t xml:space="preserve"> </w:t>
      </w:r>
      <w:r w:rsidRPr="00ED6163">
        <w:rPr>
          <w:i/>
        </w:rPr>
        <w:t>See</w:t>
      </w:r>
      <w:r w:rsidRPr="00ED6163">
        <w:t xml:space="preserve"> T-Mobile Comments at 9 (argui</w:t>
      </w:r>
      <w:r w:rsidRPr="00ED6163">
        <w:t>ng that subscribers use their mobile broadband and telephony services hundreds or even thousands of miles away from their billing addresses, whether running errands, at work, visiting friends and family locally or out-of-state, or retaining their number wh</w:t>
      </w:r>
      <w:r w:rsidRPr="00ED6163">
        <w:t xml:space="preserve">en moving to another state).  </w:t>
      </w:r>
      <w:r w:rsidRPr="00ED6163">
        <w:rPr>
          <w:i/>
        </w:rPr>
        <w:t>See also</w:t>
      </w:r>
      <w:r w:rsidRPr="00ED6163">
        <w:t xml:space="preserve"> Connected Nation Comments at 12; GCI Comments at 15; Verizon Comments at 8-9. </w:t>
      </w:r>
    </w:p>
  </w:footnote>
  <w:footnote w:id="193">
    <w:p w:rsidR="00252A4C" w:rsidRPr="00ED6163" w:rsidP="00D60B92" w14:paraId="3C173D96" w14:textId="77777777">
      <w:pPr>
        <w:pStyle w:val="FootnoteText"/>
      </w:pPr>
      <w:r w:rsidRPr="00ED6163">
        <w:rPr>
          <w:rStyle w:val="FootnoteReference"/>
        </w:rPr>
        <w:footnoteRef/>
      </w:r>
      <w:r w:rsidRPr="00ED6163">
        <w:t xml:space="preserve"> </w:t>
      </w:r>
      <w:r w:rsidRPr="00ED6163">
        <w:rPr>
          <w:i/>
          <w:color w:val="000000"/>
        </w:rPr>
        <w:t>FCC Form 477 Instructions</w:t>
      </w:r>
      <w:r w:rsidRPr="00ED6163">
        <w:rPr>
          <w:color w:val="000000"/>
        </w:rPr>
        <w:t xml:space="preserve"> at 25</w:t>
      </w:r>
      <w:r w:rsidRPr="00ED6163">
        <w:t xml:space="preserve">; </w:t>
      </w:r>
      <w:r w:rsidRPr="00ED6163">
        <w:rPr>
          <w:i/>
          <w:iCs/>
        </w:rPr>
        <w:t>2013 Form 477 Order</w:t>
      </w:r>
      <w:r w:rsidRPr="00ED6163">
        <w:t>, 28 FCC Rcd at 9909-10, paras. 44-45, n.141.</w:t>
      </w:r>
    </w:p>
  </w:footnote>
  <w:footnote w:id="194">
    <w:p w:rsidR="00252A4C" w:rsidRPr="00ED6163" w:rsidP="00D60B92" w14:paraId="62A27144" w14:textId="77777777">
      <w:pPr>
        <w:pStyle w:val="FootnoteText"/>
      </w:pPr>
      <w:r w:rsidRPr="00ED6163">
        <w:rPr>
          <w:rStyle w:val="FootnoteReference"/>
        </w:rPr>
        <w:footnoteRef/>
      </w:r>
      <w:r w:rsidRPr="00ED6163">
        <w:t xml:space="preserve"> The </w:t>
      </w:r>
      <w:r w:rsidRPr="00ED6163">
        <w:rPr>
          <w:i/>
          <w:iCs/>
        </w:rPr>
        <w:t xml:space="preserve">2004 Broadband Data Gathering Order </w:t>
      </w:r>
      <w:r w:rsidRPr="00ED6163">
        <w:t xml:space="preserve">required filers reporting mobile wireless broadband subscribers to provide the Zip Codes representing the filer’s mobile wireless broadband coverage areas.  </w:t>
      </w:r>
      <w:r w:rsidRPr="00ED6163">
        <w:rPr>
          <w:i/>
        </w:rPr>
        <w:t>2004 Broadband Data Gathering Order</w:t>
      </w:r>
      <w:r w:rsidRPr="00ED6163">
        <w:t>, 19 FCC Rcd at 22349-50, pa</w:t>
      </w:r>
      <w:r w:rsidRPr="00ED6163">
        <w:t xml:space="preserve">ra. 18.  The accompanying instructions stated that providers should report the Zip Codes where the mobile wireless broadband service provider’s service “is advertised and available to actual and potential subscribers.”  </w:t>
      </w:r>
      <w:r w:rsidRPr="00ED6163">
        <w:rPr>
          <w:i/>
        </w:rPr>
        <w:t>Id</w:t>
      </w:r>
      <w:r w:rsidRPr="00ED6163">
        <w:t>. at 22393.</w:t>
      </w:r>
    </w:p>
  </w:footnote>
  <w:footnote w:id="195">
    <w:p w:rsidR="00252A4C" w:rsidRPr="00ED6163" w:rsidP="00D60B92" w14:paraId="0CE02C60" w14:textId="77777777">
      <w:pPr>
        <w:pStyle w:val="FootnoteText"/>
      </w:pPr>
      <w:r w:rsidRPr="00ED6163">
        <w:rPr>
          <w:rStyle w:val="FootnoteReference"/>
        </w:rPr>
        <w:footnoteRef/>
      </w:r>
      <w:r w:rsidRPr="00ED6163">
        <w:t xml:space="preserve"> The Commission began</w:t>
      </w:r>
      <w:r w:rsidRPr="00ED6163">
        <w:t xml:space="preserve"> collecting fixed and mobile service provider deployment information in 2013.  </w:t>
      </w:r>
      <w:r w:rsidRPr="00ED6163">
        <w:rPr>
          <w:i/>
        </w:rPr>
        <w:t xml:space="preserve">See </w:t>
      </w:r>
      <w:r w:rsidRPr="00ED6163">
        <w:rPr>
          <w:i/>
          <w:iCs/>
        </w:rPr>
        <w:t>2013 Form 477 Order</w:t>
      </w:r>
      <w:r w:rsidRPr="00ED6163">
        <w:t xml:space="preserve">, 28 FCC Rcd at 9922, para. 81 (“We are collecting deployment data for the first time . . .”).  </w:t>
      </w:r>
      <w:r w:rsidRPr="00ED6163">
        <w:rPr>
          <w:i/>
        </w:rPr>
        <w:t>Id</w:t>
      </w:r>
      <w:r w:rsidRPr="00947E6A">
        <w:t>.</w:t>
      </w:r>
      <w:r w:rsidRPr="00ED6163">
        <w:t xml:space="preserve"> at 9909-10, para. 44 (keeping the requirement but elim</w:t>
      </w:r>
      <w:r w:rsidRPr="00ED6163">
        <w:t>inating the reporting by speed tiers).</w:t>
      </w:r>
    </w:p>
  </w:footnote>
  <w:footnote w:id="196">
    <w:p w:rsidR="00252A4C" w:rsidRPr="00ED6163" w:rsidP="00D60B92" w14:paraId="0F131D38" w14:textId="77777777">
      <w:pPr>
        <w:pStyle w:val="FootnoteText"/>
      </w:pPr>
      <w:r w:rsidRPr="00ED6163">
        <w:rPr>
          <w:rStyle w:val="FootnoteReference"/>
        </w:rPr>
        <w:footnoteRef/>
      </w:r>
      <w:r w:rsidRPr="00ED6163">
        <w:t xml:space="preserve"> </w:t>
      </w:r>
      <w:r w:rsidRPr="00ED6163">
        <w:rPr>
          <w:i/>
        </w:rPr>
        <w:t>See 2017 Data Collection Improvement FNPRM</w:t>
      </w:r>
      <w:r w:rsidRPr="00ED6163">
        <w:t xml:space="preserve">, 32 FCC Rcd at 6336, para. 21; </w:t>
      </w:r>
      <w:r w:rsidRPr="00ED6163">
        <w:rPr>
          <w:i/>
          <w:iCs/>
        </w:rPr>
        <w:t>2013 Form 477 Order</w:t>
      </w:r>
      <w:r w:rsidRPr="00ED6163">
        <w:t>, 28 FCC Rcd at 9909-10, para. 44.</w:t>
      </w:r>
    </w:p>
  </w:footnote>
  <w:footnote w:id="197">
    <w:p w:rsidR="00252A4C" w:rsidRPr="00ED6163" w:rsidP="00D60B92" w14:paraId="6B54A59D" w14:textId="77777777">
      <w:pPr>
        <w:pStyle w:val="FootnoteText"/>
      </w:pPr>
      <w:r w:rsidRPr="00ED6163">
        <w:rPr>
          <w:rStyle w:val="FootnoteReference"/>
        </w:rPr>
        <w:footnoteRef/>
      </w:r>
      <w:r w:rsidRPr="00ED6163">
        <w:t xml:space="preserve"> </w:t>
      </w:r>
      <w:r w:rsidRPr="00ED6163">
        <w:rPr>
          <w:i/>
        </w:rPr>
        <w:t>See 2017 Data Collection Improvement FNPRM</w:t>
      </w:r>
      <w:r w:rsidRPr="00ED6163">
        <w:t xml:space="preserve">, 32 FCC Rcd at 6336, para. 21; </w:t>
      </w:r>
      <w:r w:rsidRPr="00ED6163">
        <w:rPr>
          <w:i/>
          <w:iCs/>
        </w:rPr>
        <w:t>2013 Form 4</w:t>
      </w:r>
      <w:r w:rsidRPr="00ED6163">
        <w:rPr>
          <w:i/>
          <w:iCs/>
        </w:rPr>
        <w:t>77 Order</w:t>
      </w:r>
      <w:r w:rsidRPr="00ED6163">
        <w:t>, 28 FCC Rcd at 9909-10, para. 44.</w:t>
      </w:r>
    </w:p>
  </w:footnote>
  <w:footnote w:id="198">
    <w:p w:rsidR="00252A4C" w:rsidRPr="00ED6163" w:rsidP="00D60B92" w14:paraId="296261B0" w14:textId="77777777">
      <w:pPr>
        <w:pStyle w:val="FootnoteText"/>
      </w:pPr>
      <w:r w:rsidRPr="00ED6163">
        <w:rPr>
          <w:rStyle w:val="FootnoteReference"/>
        </w:rPr>
        <w:footnoteRef/>
      </w:r>
      <w:r w:rsidRPr="00ED6163">
        <w:t xml:space="preserve"> </w:t>
      </w:r>
      <w:r w:rsidRPr="00ED6163">
        <w:rPr>
          <w:i/>
        </w:rPr>
        <w:t>2017</w:t>
      </w:r>
      <w:r w:rsidRPr="00ED6163">
        <w:t xml:space="preserve"> </w:t>
      </w:r>
      <w:r w:rsidRPr="00ED6163">
        <w:rPr>
          <w:i/>
        </w:rPr>
        <w:t>Data Collection Improvement FNPRM</w:t>
      </w:r>
      <w:r w:rsidRPr="00ED6163">
        <w:t>, 32 FCC Rcd at 6336, para. 22.</w:t>
      </w:r>
    </w:p>
  </w:footnote>
  <w:footnote w:id="199">
    <w:p w:rsidR="00252A4C" w:rsidRPr="00ED6163" w:rsidP="00D60B92" w14:paraId="3E4A54E9" w14:textId="77777777">
      <w:pPr>
        <w:pStyle w:val="FootnoteText"/>
      </w:pPr>
      <w:r w:rsidRPr="00ED6163">
        <w:rPr>
          <w:rStyle w:val="FootnoteReference"/>
        </w:rPr>
        <w:footnoteRef/>
      </w:r>
      <w:r w:rsidRPr="00ED6163">
        <w:t xml:space="preserve"> </w:t>
      </w:r>
      <w:r w:rsidRPr="00ED6163">
        <w:rPr>
          <w:i/>
        </w:rPr>
        <w:t>FCC Form 477 Instructions</w:t>
      </w:r>
      <w:r w:rsidRPr="00ED6163">
        <w:t xml:space="preserve"> at 25 (“Mobile Broadband Service Availability”).  </w:t>
      </w:r>
    </w:p>
  </w:footnote>
  <w:footnote w:id="200">
    <w:p w:rsidR="00252A4C" w:rsidRPr="00ED6163" w:rsidP="00D60B92" w14:paraId="44A83C6C" w14:textId="77777777">
      <w:pPr>
        <w:pStyle w:val="FootnoteText"/>
      </w:pPr>
      <w:r w:rsidRPr="00ED6163">
        <w:rPr>
          <w:rStyle w:val="FootnoteReference"/>
        </w:rPr>
        <w:footnoteRef/>
      </w:r>
      <w:r w:rsidRPr="00ED6163">
        <w:t xml:space="preserve"> Connected Nation Comments at 11 (agreeing that the availabil</w:t>
      </w:r>
      <w:r w:rsidRPr="00ED6163">
        <w:t>ity data collection does not reflect providers’ local retail presence); T-Mobile Comments at 5 (noting that the availability requirement is a burden without a benefit); Verizon Comments at 7.</w:t>
      </w:r>
    </w:p>
  </w:footnote>
  <w:footnote w:id="201">
    <w:p w:rsidR="00252A4C" w:rsidRPr="00ED6163" w:rsidP="00D60B92" w14:paraId="0522C38B" w14:textId="77777777">
      <w:pPr>
        <w:pStyle w:val="FootnoteText"/>
      </w:pPr>
      <w:r w:rsidRPr="00ED6163">
        <w:rPr>
          <w:rStyle w:val="FootnoteReference"/>
        </w:rPr>
        <w:footnoteRef/>
      </w:r>
      <w:r w:rsidRPr="00ED6163">
        <w:t xml:space="preserve"> CPUC Comments at 7 (arguing the Commission should retain the a</w:t>
      </w:r>
      <w:r w:rsidRPr="00ED6163">
        <w:t xml:space="preserve">vailability requirement).  </w:t>
      </w:r>
    </w:p>
  </w:footnote>
  <w:footnote w:id="202">
    <w:p w:rsidR="00252A4C" w:rsidRPr="00ED6163" w:rsidP="00D60B92" w14:paraId="21B469D7" w14:textId="77777777">
      <w:pPr>
        <w:pStyle w:val="FootnoteText"/>
      </w:pPr>
      <w:r w:rsidRPr="00ED6163">
        <w:rPr>
          <w:rStyle w:val="FootnoteReference"/>
        </w:rPr>
        <w:footnoteRef/>
      </w:r>
      <w:r w:rsidRPr="00ED6163">
        <w:t xml:space="preserve"> West Virginia Office of the GIS State Coordinator Comments at 5.</w:t>
      </w:r>
    </w:p>
  </w:footnote>
  <w:footnote w:id="203">
    <w:p w:rsidR="00252A4C" w:rsidRPr="00ED6163" w:rsidP="00D60B92" w14:paraId="214D1561" w14:textId="77777777">
      <w:pPr>
        <w:pStyle w:val="FootnoteText"/>
      </w:pPr>
      <w:r w:rsidRPr="00ED6163">
        <w:rPr>
          <w:rStyle w:val="FootnoteReference"/>
        </w:rPr>
        <w:footnoteRef/>
      </w:r>
      <w:r w:rsidRPr="00ED6163">
        <w:t xml:space="preserve"> </w:t>
      </w:r>
      <w:r w:rsidRPr="00ED6163">
        <w:rPr>
          <w:i/>
        </w:rPr>
        <w:t>See</w:t>
      </w:r>
      <w:r w:rsidRPr="00ED6163">
        <w:t xml:space="preserve"> Verizon Comments at 5 (arguing that providers are eager to provide service wherever they have coverage and there are a variety of means to subscribe to ser</w:t>
      </w:r>
      <w:r w:rsidRPr="00ED6163">
        <w:t>ve, other than through a local retail outlet).</w:t>
      </w:r>
    </w:p>
  </w:footnote>
  <w:footnote w:id="204">
    <w:p w:rsidR="00252A4C" w:rsidRPr="00ED6163" w:rsidP="00D60B92" w14:paraId="2539ED87" w14:textId="77777777">
      <w:pPr>
        <w:pStyle w:val="FootnoteText"/>
      </w:pPr>
      <w:r w:rsidRPr="00ED6163">
        <w:rPr>
          <w:rStyle w:val="FootnoteReference"/>
        </w:rPr>
        <w:footnoteRef/>
      </w:r>
      <w:r w:rsidRPr="00ED6163">
        <w:t xml:space="preserve"> </w:t>
      </w:r>
      <w:r w:rsidRPr="00ED6163">
        <w:rPr>
          <w:i/>
          <w:iCs/>
          <w:snapToGrid w:val="0"/>
        </w:rPr>
        <w:t>2013 Form 477 Order</w:t>
      </w:r>
      <w:r w:rsidRPr="00ED6163">
        <w:rPr>
          <w:snapToGrid w:val="0"/>
        </w:rPr>
        <w:t xml:space="preserve">, 28 FCC Rcd at </w:t>
      </w:r>
      <w:r w:rsidRPr="00ED6163">
        <w:t>9906</w:t>
      </w:r>
      <w:r w:rsidRPr="00ED6163">
        <w:rPr>
          <w:snapToGrid w:val="0"/>
        </w:rPr>
        <w:t xml:space="preserve">, para. 38.  </w:t>
      </w:r>
      <w:r w:rsidRPr="00ED6163">
        <w:rPr>
          <w:i/>
        </w:rPr>
        <w:t>FCC Form 477 Instructions</w:t>
      </w:r>
      <w:r w:rsidRPr="00ED6163">
        <w:t xml:space="preserve"> at 2</w:t>
      </w:r>
      <w:r w:rsidRPr="00947E6A">
        <w:t>.</w:t>
      </w:r>
    </w:p>
  </w:footnote>
  <w:footnote w:id="205">
    <w:p w:rsidR="00252A4C" w:rsidRPr="00ED6163" w:rsidP="00D60B92" w14:paraId="3A5A0BDD" w14:textId="77777777">
      <w:pPr>
        <w:pStyle w:val="FootnoteText"/>
      </w:pPr>
      <w:r w:rsidRPr="00ED6163">
        <w:rPr>
          <w:rStyle w:val="FootnoteReference"/>
        </w:rPr>
        <w:footnoteRef/>
      </w:r>
      <w:r w:rsidRPr="00ED6163">
        <w:t xml:space="preserve"> </w:t>
      </w:r>
      <w:r w:rsidRPr="00ED6163">
        <w:rPr>
          <w:i/>
        </w:rPr>
        <w:t>See</w:t>
      </w:r>
      <w:r w:rsidRPr="00ED6163">
        <w:t xml:space="preserve"> Alaska Communications Comments at 2, 3 (Commission should “rely instead on price lists and similar sources of general</w:t>
      </w:r>
      <w:r w:rsidRPr="00ED6163">
        <w:t xml:space="preserve">ly available terms for available speed in enterprise offerings”).   </w:t>
      </w:r>
    </w:p>
  </w:footnote>
  <w:footnote w:id="206">
    <w:p w:rsidR="00252A4C" w:rsidRPr="00ED6163" w:rsidP="00D60B92" w14:paraId="2B86037D" w14:textId="77777777">
      <w:pPr>
        <w:pStyle w:val="FootnoteText"/>
      </w:pPr>
      <w:r w:rsidRPr="00ED6163">
        <w:rPr>
          <w:rStyle w:val="FootnoteReference"/>
        </w:rPr>
        <w:footnoteRef/>
      </w:r>
      <w:r w:rsidRPr="00ED6163">
        <w:t xml:space="preserve"> ACA Comments at 13.</w:t>
      </w:r>
    </w:p>
  </w:footnote>
  <w:footnote w:id="207">
    <w:p w:rsidR="00252A4C" w:rsidRPr="00ED6163" w:rsidP="00D60B92" w14:paraId="4F40A2F5" w14:textId="77777777">
      <w:pPr>
        <w:pStyle w:val="FootnoteText"/>
      </w:pPr>
      <w:r w:rsidRPr="00ED6163">
        <w:rPr>
          <w:rStyle w:val="FootnoteReference"/>
        </w:rPr>
        <w:footnoteRef/>
      </w:r>
      <w:r w:rsidRPr="00ED6163">
        <w:t xml:space="preserve"> Verizon Comments at 7.</w:t>
      </w:r>
    </w:p>
  </w:footnote>
  <w:footnote w:id="208">
    <w:p w:rsidR="00252A4C" w:rsidRPr="00ED6163" w:rsidP="00D60B92" w14:paraId="7DB874F4" w14:textId="77777777">
      <w:pPr>
        <w:pStyle w:val="FootnoteText"/>
      </w:pPr>
      <w:r w:rsidRPr="00ED6163">
        <w:rPr>
          <w:rStyle w:val="FootnoteReference"/>
        </w:rPr>
        <w:footnoteRef/>
      </w:r>
      <w:r w:rsidRPr="00ED6163">
        <w:t xml:space="preserve"> AT&amp;T Comments at 11.</w:t>
      </w:r>
    </w:p>
  </w:footnote>
  <w:footnote w:id="209">
    <w:p w:rsidR="00252A4C" w:rsidRPr="00ED6163" w:rsidP="00D60B92" w14:paraId="286BC0AF" w14:textId="77777777">
      <w:pPr>
        <w:pStyle w:val="FootnoteText"/>
      </w:pPr>
      <w:r w:rsidRPr="00ED6163">
        <w:rPr>
          <w:rStyle w:val="FootnoteReference"/>
        </w:rPr>
        <w:footnoteRef/>
      </w:r>
      <w:r w:rsidRPr="00ED6163">
        <w:t xml:space="preserve"> Comcast Comments at 17 (supports elimination, citing the Commission’s sentiment that the CIR data do not provide “additional useful insight.”); USTelecom Comments at 11 (supports elimination, believing it “may be more accurate to simply report whether a p</w:t>
      </w:r>
      <w:r w:rsidRPr="00ED6163">
        <w:t>rovider offers BDS, but no longer require that it report any speed data.”) ITTA Comments at 2 (the CIR data does not provide “additional useful insight” and supports elimination); NCTA Comments at 3 (supports elimination for the reasons cited by the Commis</w:t>
      </w:r>
      <w:r w:rsidRPr="00ED6163">
        <w:t>sion); Sacred Wind Communications, Inc. Comments at 3 (agrees with eliminating the requirement because CIR data “provides no meaningful purpose” especially in rural areas where broadband speeds generally do not vary between residential and business/enterpr</w:t>
      </w:r>
      <w:r w:rsidRPr="00ED6163">
        <w:t xml:space="preserve">ise as both are provided “best efforts”).  </w:t>
      </w:r>
    </w:p>
  </w:footnote>
  <w:footnote w:id="210">
    <w:p w:rsidR="00252A4C" w:rsidRPr="00ED6163" w:rsidP="00D60B92" w14:paraId="48CBBFC8" w14:textId="77777777">
      <w:pPr>
        <w:pStyle w:val="FootnoteText"/>
      </w:pPr>
      <w:r w:rsidRPr="00ED6163">
        <w:rPr>
          <w:rStyle w:val="FootnoteReference"/>
        </w:rPr>
        <w:footnoteRef/>
      </w:r>
      <w:r w:rsidRPr="00ED6163">
        <w:t xml:space="preserve"> Windstream Comments at 2; Windstream Reply at 2-5.  </w:t>
      </w:r>
    </w:p>
  </w:footnote>
  <w:footnote w:id="211">
    <w:p w:rsidR="00252A4C" w:rsidRPr="00ED6163" w:rsidP="00D60B92" w14:paraId="4B893D10" w14:textId="77777777">
      <w:pPr>
        <w:pStyle w:val="FootnoteText"/>
      </w:pPr>
      <w:r w:rsidRPr="00ED6163">
        <w:rPr>
          <w:rStyle w:val="FootnoteReference"/>
        </w:rPr>
        <w:footnoteRef/>
      </w:r>
      <w:r w:rsidRPr="00ED6163">
        <w:t xml:space="preserve"> Windstream Comments at 3.</w:t>
      </w:r>
    </w:p>
  </w:footnote>
  <w:footnote w:id="212">
    <w:p w:rsidR="00252A4C" w:rsidRPr="00ED6163" w:rsidP="00D60B92" w14:paraId="6AF86DBF" w14:textId="77777777">
      <w:pPr>
        <w:pStyle w:val="FootnoteText"/>
      </w:pPr>
      <w:r w:rsidRPr="00ED6163">
        <w:rPr>
          <w:rStyle w:val="FootnoteReference"/>
        </w:rPr>
        <w:footnoteRef/>
      </w:r>
      <w:r w:rsidRPr="00ED6163">
        <w:t xml:space="preserve"> Windstream Comments at 3.  </w:t>
      </w:r>
    </w:p>
  </w:footnote>
  <w:footnote w:id="213">
    <w:p w:rsidR="00252A4C" w:rsidRPr="00ED6163" w:rsidP="00D60B92" w14:paraId="5797178B" w14:textId="77777777">
      <w:pPr>
        <w:pStyle w:val="FootnoteText"/>
      </w:pPr>
      <w:r w:rsidRPr="00ED6163">
        <w:rPr>
          <w:rStyle w:val="FootnoteReference"/>
        </w:rPr>
        <w:footnoteRef/>
      </w:r>
      <w:r w:rsidRPr="00ED6163">
        <w:t xml:space="preserve"> </w:t>
      </w:r>
      <w:r w:rsidRPr="00ED6163">
        <w:rPr>
          <w:i/>
        </w:rPr>
        <w:t>See Business Data Services in an Internet Protocol Environment et al.</w:t>
      </w:r>
      <w:r w:rsidRPr="00ED6163">
        <w:t>, WC Docket No. 16-143 et al</w:t>
      </w:r>
      <w:r w:rsidRPr="00ED6163">
        <w:t xml:space="preserve">., Report and Order, 32 FCC Rcd 3459, 3527-29, paras. 145-52 (2017); </w:t>
      </w:r>
      <w:r w:rsidRPr="00ED6163">
        <w:rPr>
          <w:i/>
        </w:rPr>
        <w:t>Regulation of Business Data Services for Rate-of-Return Local Exchange Carriers et al.</w:t>
      </w:r>
      <w:r w:rsidRPr="00ED6163">
        <w:t>, WC Docket No. 17-144, Report and Order, Second Further Notice of Proposed Rulemaking, and Further N</w:t>
      </w:r>
      <w:r w:rsidRPr="00ED6163">
        <w:t>otice of Proposed Rulemaking, 33 FCC Rcd 10403, 10439-40, paras. 103-04 (2018) (</w:t>
      </w:r>
      <w:r w:rsidRPr="00ED6163">
        <w:rPr>
          <w:i/>
        </w:rPr>
        <w:t>A-CAM Rate-of-Return BDS Order</w:t>
      </w:r>
      <w:r w:rsidRPr="00ED6163">
        <w:t>).</w:t>
      </w:r>
    </w:p>
  </w:footnote>
  <w:footnote w:id="214">
    <w:p w:rsidR="00252A4C" w:rsidRPr="00ED6163" w:rsidP="00D60B92" w14:paraId="5A6F23B5" w14:textId="77777777">
      <w:pPr>
        <w:pStyle w:val="FootnoteText"/>
      </w:pPr>
      <w:r w:rsidRPr="00ED6163">
        <w:rPr>
          <w:rStyle w:val="FootnoteReference"/>
        </w:rPr>
        <w:footnoteRef/>
      </w:r>
      <w:r w:rsidRPr="00ED6163">
        <w:t xml:space="preserve"> Windstream Comments at 3.</w:t>
      </w:r>
    </w:p>
  </w:footnote>
  <w:footnote w:id="215">
    <w:p w:rsidR="00252A4C" w:rsidRPr="00ED6163" w:rsidP="00D60B92" w14:paraId="74B9CC63" w14:textId="77777777">
      <w:pPr>
        <w:pStyle w:val="FootnoteText"/>
      </w:pPr>
      <w:r w:rsidRPr="00ED6163">
        <w:rPr>
          <w:rStyle w:val="FootnoteReference"/>
        </w:rPr>
        <w:footnoteRef/>
      </w:r>
      <w:r w:rsidRPr="00ED6163">
        <w:t xml:space="preserve"> </w:t>
      </w:r>
      <w:r w:rsidRPr="00ED6163">
        <w:rPr>
          <w:i/>
        </w:rPr>
        <w:t>A-CAM Rate-of-Return BDS Order</w:t>
      </w:r>
      <w:r w:rsidRPr="00ED6163">
        <w:t>, 33 FCC Rcd at 10436, paras. 90-91.</w:t>
      </w:r>
    </w:p>
  </w:footnote>
  <w:footnote w:id="216">
    <w:p w:rsidR="00252A4C" w:rsidRPr="00ED6163" w:rsidP="00D60B92" w14:paraId="16E2F8EA" w14:textId="77777777">
      <w:pPr>
        <w:pStyle w:val="FootnoteText"/>
        <w:rPr>
          <w:i/>
        </w:rPr>
      </w:pPr>
      <w:r w:rsidRPr="00ED6163">
        <w:rPr>
          <w:rStyle w:val="FootnoteReference"/>
        </w:rPr>
        <w:footnoteRef/>
      </w:r>
      <w:r w:rsidRPr="00ED6163">
        <w:t xml:space="preserve"> </w:t>
      </w:r>
      <w:r w:rsidRPr="00ED6163">
        <w:rPr>
          <w:i/>
        </w:rPr>
        <w:t>2017</w:t>
      </w:r>
      <w:r w:rsidRPr="00ED6163">
        <w:t xml:space="preserve"> </w:t>
      </w:r>
      <w:r w:rsidRPr="00ED6163">
        <w:rPr>
          <w:i/>
        </w:rPr>
        <w:t xml:space="preserve">Data Collection </w:t>
      </w:r>
      <w:bookmarkStart w:id="71" w:name="_Hlk11665826"/>
      <w:r w:rsidRPr="00ED6163">
        <w:rPr>
          <w:i/>
        </w:rPr>
        <w:t xml:space="preserve">Improvement </w:t>
      </w:r>
      <w:bookmarkEnd w:id="71"/>
      <w:r w:rsidRPr="00ED6163">
        <w:rPr>
          <w:i/>
        </w:rPr>
        <w:t>NPRM</w:t>
      </w:r>
      <w:r w:rsidRPr="00ED6163">
        <w:t>, 31 FC</w:t>
      </w:r>
      <w:r w:rsidRPr="00ED6163">
        <w:t xml:space="preserve">C Rcd at 6346, para. 50.  </w:t>
      </w:r>
      <w:r w:rsidRPr="00ED6163">
        <w:rPr>
          <w:i/>
        </w:rPr>
        <w:t xml:space="preserve"> </w:t>
      </w:r>
    </w:p>
  </w:footnote>
  <w:footnote w:id="217">
    <w:p w:rsidR="00252A4C" w:rsidRPr="00ED6163" w:rsidP="00D60B92" w14:paraId="1C73E1BB" w14:textId="77777777">
      <w:pPr>
        <w:pStyle w:val="FootnoteText"/>
      </w:pPr>
      <w:r w:rsidRPr="00ED6163">
        <w:rPr>
          <w:rStyle w:val="FootnoteReference"/>
        </w:rPr>
        <w:footnoteRef/>
      </w:r>
      <w:r w:rsidRPr="00ED6163">
        <w:t xml:space="preserve"> </w:t>
      </w:r>
      <w:r w:rsidRPr="00ED6163">
        <w:rPr>
          <w:i/>
        </w:rPr>
        <w:t xml:space="preserve">See id. </w:t>
      </w:r>
      <w:r w:rsidRPr="00ED6163">
        <w:t xml:space="preserve">at 6346, para. 50; </w:t>
      </w:r>
      <w:r w:rsidRPr="00ED6163">
        <w:rPr>
          <w:i/>
        </w:rPr>
        <w:t xml:space="preserve">see also </w:t>
      </w:r>
      <w:r w:rsidRPr="00ED6163">
        <w:rPr>
          <w:i/>
          <w:iCs/>
        </w:rPr>
        <w:t>Connect America Fund; ETC Annual Reports and Certifications; Developing a Unified Intercarrier Compensation Regime</w:t>
      </w:r>
      <w:r w:rsidRPr="00ED6163">
        <w:t>, Report and Order, Order and Order on Reconsideration, and Further Notice o</w:t>
      </w:r>
      <w:r w:rsidRPr="00ED6163">
        <w:t xml:space="preserve">f Proposed Rulemaking, 31 FCC Rcd 3087 (2016); </w:t>
      </w:r>
      <w:r w:rsidRPr="00ED6163">
        <w:rPr>
          <w:i/>
        </w:rPr>
        <w:t>Connect America Fund; Universal Service Reform – Mobility Fund; Connect America Fund – Alaska Plan</w:t>
      </w:r>
      <w:r w:rsidRPr="00ED6163">
        <w:t xml:space="preserve">, Report and Order and Further Notice of Proposed Rulemaking, 31 FCC Rcd 10139 (2016). </w:t>
      </w:r>
    </w:p>
  </w:footnote>
  <w:footnote w:id="218">
    <w:p w:rsidR="00252A4C" w:rsidRPr="00ED6163" w:rsidP="00D60B92" w14:paraId="24A789AB" w14:textId="77777777">
      <w:pPr>
        <w:pStyle w:val="FootnoteText"/>
        <w:rPr>
          <w:i/>
        </w:rPr>
      </w:pPr>
      <w:r w:rsidRPr="00ED6163">
        <w:rPr>
          <w:rStyle w:val="FootnoteReference"/>
        </w:rPr>
        <w:footnoteRef/>
      </w:r>
      <w:r w:rsidRPr="00ED6163">
        <w:t xml:space="preserve"> </w:t>
      </w:r>
      <w:r w:rsidRPr="00ED6163">
        <w:rPr>
          <w:rFonts w:eastAsia="TimesNewRoman"/>
          <w:i/>
        </w:rPr>
        <w:t xml:space="preserve">See </w:t>
      </w:r>
      <w:r w:rsidRPr="00ED6163">
        <w:rPr>
          <w:i/>
          <w:iCs/>
          <w:snapToGrid w:val="0"/>
          <w:kern w:val="28"/>
        </w:rPr>
        <w:t xml:space="preserve">Connect America </w:t>
      </w:r>
      <w:r w:rsidRPr="00ED6163">
        <w:rPr>
          <w:i/>
          <w:snapToGrid w:val="0"/>
          <w:kern w:val="28"/>
        </w:rPr>
        <w:t>F</w:t>
      </w:r>
      <w:r w:rsidRPr="00ED6163">
        <w:rPr>
          <w:i/>
          <w:snapToGrid w:val="0"/>
          <w:kern w:val="28"/>
        </w:rPr>
        <w:t>und</w:t>
      </w:r>
      <w:r w:rsidRPr="00ED6163">
        <w:rPr>
          <w:i/>
          <w:iCs/>
          <w:snapToGrid w:val="0"/>
          <w:kern w:val="28"/>
        </w:rPr>
        <w:t xml:space="preserve">; ETC Annual Reports and Certifications; Establishing Just and Reasonable Rates for Local Exchange Carriers; Developing a Unified Intercarrier Compensation Regime; </w:t>
      </w:r>
      <w:r w:rsidRPr="00ED6163">
        <w:t>WC</w:t>
      </w:r>
      <w:r w:rsidRPr="00ED6163">
        <w:rPr>
          <w:snapToGrid w:val="0"/>
          <w:kern w:val="28"/>
        </w:rPr>
        <w:t xml:space="preserve"> Docket Nos. 10-90, 14-58, and 07-135, CC Docket No. 01-92; Report and Order, Further N</w:t>
      </w:r>
      <w:r w:rsidRPr="00ED6163">
        <w:rPr>
          <w:snapToGrid w:val="0"/>
          <w:kern w:val="28"/>
        </w:rPr>
        <w:t>otice of Proposed Rulemaking, and Order on Reconsideration, 33 FCC Rcd 11893, 11937-38, para. 151 (2018) (</w:t>
      </w:r>
      <w:r w:rsidRPr="00ED6163">
        <w:rPr>
          <w:i/>
          <w:snapToGrid w:val="0"/>
          <w:kern w:val="28"/>
        </w:rPr>
        <w:t>December 2018 Rate-of-Return Reform Order</w:t>
      </w:r>
      <w:r w:rsidRPr="00ED6163">
        <w:rPr>
          <w:snapToGrid w:val="0"/>
          <w:kern w:val="28"/>
        </w:rPr>
        <w:t>).</w:t>
      </w:r>
    </w:p>
  </w:footnote>
  <w:footnote w:id="219">
    <w:p w:rsidR="00252A4C" w:rsidRPr="00ED6163" w:rsidP="00D60B92" w14:paraId="4A592A94" w14:textId="77777777">
      <w:pPr>
        <w:pStyle w:val="FootnoteText"/>
      </w:pPr>
      <w:r w:rsidRPr="00ED6163">
        <w:rPr>
          <w:rStyle w:val="FootnoteReference"/>
        </w:rPr>
        <w:footnoteRef/>
      </w:r>
      <w:r w:rsidRPr="00ED6163">
        <w:t xml:space="preserve"> We find that there is good cause for adopting these clarifying revisions, which make our rules easier to</w:t>
      </w:r>
      <w:r w:rsidRPr="00ED6163">
        <w:t xml:space="preserve"> understand without causing any substantive changes to the scope or application of our existing requirements.  </w:t>
      </w:r>
      <w:r w:rsidRPr="00ED6163">
        <w:rPr>
          <w:i/>
        </w:rPr>
        <w:t>See Util. Solid Waste Activities Grp. v. EPA</w:t>
      </w:r>
      <w:r w:rsidRPr="00ED6163">
        <w:t>, 236 F.3d 749, 755 (D.C. Cir. 2001) (stating that notice and comment is “unnecessary” when it involv</w:t>
      </w:r>
      <w:r w:rsidRPr="00ED6163">
        <w:t>es a “routine determination, insignificant in nature and impact, and inconsequential to the industry and to the public” (internal quotation marks omitted)).</w:t>
      </w:r>
    </w:p>
  </w:footnote>
  <w:footnote w:id="220">
    <w:p w:rsidR="00252A4C" w:rsidRPr="00ED6163" w:rsidP="00D60B92" w14:paraId="59C35837" w14:textId="77777777">
      <w:pPr>
        <w:pStyle w:val="FootnoteText"/>
      </w:pPr>
      <w:r w:rsidRPr="00ED6163">
        <w:rPr>
          <w:rStyle w:val="FootnoteReference"/>
        </w:rPr>
        <w:footnoteRef/>
      </w:r>
      <w:r w:rsidRPr="00ED6163">
        <w:t xml:space="preserve"> </w:t>
      </w:r>
      <w:r w:rsidRPr="00ED6163">
        <w:rPr>
          <w:i/>
          <w:iCs/>
        </w:rPr>
        <w:t xml:space="preserve">See </w:t>
      </w:r>
      <w:r w:rsidRPr="00ED6163">
        <w:rPr>
          <w:i/>
          <w:snapToGrid w:val="0"/>
        </w:rPr>
        <w:t>2000 Data Gathering Order</w:t>
      </w:r>
      <w:r w:rsidRPr="00ED6163">
        <w:rPr>
          <w:snapToGrid w:val="0"/>
        </w:rPr>
        <w:t>, 15 FCC Rcd at 7750, para. 66 (form gathers information about “broa</w:t>
      </w:r>
      <w:r w:rsidRPr="00ED6163">
        <w:rPr>
          <w:snapToGrid w:val="0"/>
        </w:rPr>
        <w:t>dband lines and wireless channels that deliver in excess of 200 Kbps to a subscriber environment over the respondent’s own facilities, or over unbundled network elements (UNEs), special access lines, and other leased lines and wireless channels that the re</w:t>
      </w:r>
      <w:r w:rsidRPr="00ED6163">
        <w:rPr>
          <w:snapToGrid w:val="0"/>
        </w:rPr>
        <w:t>spondent has obtained… and equipped to provide broadband service”).</w:t>
      </w:r>
    </w:p>
  </w:footnote>
  <w:footnote w:id="221">
    <w:p w:rsidR="00252A4C" w:rsidRPr="00ED6163" w:rsidP="00D60B92" w14:paraId="361C17C3" w14:textId="77777777">
      <w:pPr>
        <w:pStyle w:val="FootnoteText"/>
      </w:pPr>
      <w:r w:rsidRPr="00ED6163">
        <w:rPr>
          <w:rStyle w:val="FootnoteReference"/>
        </w:rPr>
        <w:footnoteRef/>
      </w:r>
      <w:r w:rsidRPr="00ED6163">
        <w:t xml:space="preserve"> </w:t>
      </w:r>
      <w:r w:rsidRPr="00ED6163">
        <w:rPr>
          <w:i/>
          <w:iCs/>
        </w:rPr>
        <w:t xml:space="preserve">See </w:t>
      </w:r>
      <w:r w:rsidRPr="00ED6163">
        <w:rPr>
          <w:i/>
          <w:snapToGrid w:val="0"/>
        </w:rPr>
        <w:t xml:space="preserve">FCC Form 477 Instructions </w:t>
      </w:r>
      <w:r w:rsidRPr="00ED6163">
        <w:rPr>
          <w:snapToGrid w:val="0"/>
        </w:rPr>
        <w:t>at 6 (defining “broadband connection” as a “</w:t>
      </w:r>
      <w:r w:rsidRPr="00ED6163">
        <w:t xml:space="preserve">wired line or wireless channel that terminates at an end-user location and enables the end user to </w:t>
      </w:r>
      <w:r w:rsidRPr="00ED6163">
        <w:t>receive information from and/or send information to the Internet at information transfer rates exceeding 200 kilobits per second (kbps) in at least one direction”).  We modify this text by adding “or mobile device” after “end user location” so that broadba</w:t>
      </w:r>
      <w:r w:rsidRPr="00ED6163">
        <w:t>nd connections include data transmission channels to and from end users’ mobile devices, which are not limited to a single “end user location.”</w:t>
      </w:r>
    </w:p>
  </w:footnote>
  <w:footnote w:id="222">
    <w:p w:rsidR="00252A4C" w:rsidRPr="00ED6163" w:rsidP="00D60B92" w14:paraId="6EC86F40" w14:textId="77777777">
      <w:pPr>
        <w:pStyle w:val="FootnoteText"/>
      </w:pPr>
      <w:r w:rsidRPr="00ED6163">
        <w:rPr>
          <w:rStyle w:val="FootnoteReference"/>
        </w:rPr>
        <w:footnoteRef/>
      </w:r>
      <w:r w:rsidRPr="00ED6163">
        <w:t xml:space="preserve"> </w:t>
      </w:r>
      <w:r w:rsidRPr="00ED6163">
        <w:rPr>
          <w:i/>
          <w:iCs/>
        </w:rPr>
        <w:t xml:space="preserve">See </w:t>
      </w:r>
      <w:r w:rsidRPr="00ED6163">
        <w:rPr>
          <w:i/>
          <w:snapToGrid w:val="0"/>
        </w:rPr>
        <w:t>2000 Data Gathering Order</w:t>
      </w:r>
      <w:r w:rsidRPr="00ED6163">
        <w:rPr>
          <w:snapToGrid w:val="0"/>
        </w:rPr>
        <w:t>, 15 FCC Rcd at 7736, para. 32 (“</w:t>
      </w:r>
      <w:r w:rsidRPr="00ED6163">
        <w:t>In addition to… providers of local telephone ser</w:t>
      </w:r>
      <w:r w:rsidRPr="00ED6163">
        <w:t xml:space="preserve">vices, we require facilities-based providers </w:t>
      </w:r>
      <w:r w:rsidRPr="00ED6163">
        <w:rPr>
          <w:snapToGrid w:val="0"/>
        </w:rPr>
        <w:t>of mobile telephony services” to submit data).</w:t>
      </w:r>
    </w:p>
  </w:footnote>
  <w:footnote w:id="223">
    <w:p w:rsidR="00252A4C" w:rsidRPr="00ED6163" w:rsidP="00D60B92" w14:paraId="1A60DB2B" w14:textId="77777777">
      <w:pPr>
        <w:pStyle w:val="FootnoteText"/>
      </w:pPr>
      <w:r w:rsidRPr="00ED6163">
        <w:rPr>
          <w:rStyle w:val="FootnoteReference"/>
        </w:rPr>
        <w:footnoteRef/>
      </w:r>
      <w:r w:rsidRPr="00ED6163">
        <w:t xml:space="preserve"> </w:t>
      </w:r>
      <w:r w:rsidRPr="00ED6163">
        <w:rPr>
          <w:i/>
        </w:rPr>
        <w:t xml:space="preserve">See </w:t>
      </w:r>
      <w:r w:rsidRPr="00ED6163">
        <w:t>preexisting</w:t>
      </w:r>
      <w:r w:rsidRPr="00ED6163">
        <w:rPr>
          <w:i/>
        </w:rPr>
        <w:t xml:space="preserve"> </w:t>
      </w:r>
      <w:r w:rsidRPr="00ED6163">
        <w:t>47 CFR § 1.7001(a)(1) (defining “facilities-based providers” exclusively in context of broadband), preexisting section 43.11(a) (listing categorie</w:t>
      </w:r>
      <w:r w:rsidRPr="00ED6163">
        <w:t>s of voice service providers required to file but omitting the qualifier “facilities-based” before “commercial mobile radio service (CMRS) provider”).</w:t>
      </w:r>
    </w:p>
  </w:footnote>
  <w:footnote w:id="224">
    <w:p w:rsidR="00252A4C" w:rsidRPr="00ED6163" w:rsidP="00D60B92" w14:paraId="10C4D046" w14:textId="77777777">
      <w:pPr>
        <w:pStyle w:val="FootnoteText"/>
      </w:pPr>
      <w:r w:rsidRPr="00ED6163">
        <w:rPr>
          <w:rStyle w:val="FootnoteReference"/>
        </w:rPr>
        <w:footnoteRef/>
      </w:r>
      <w:r w:rsidRPr="00ED6163">
        <w:t xml:space="preserve"> The new version of section 1.7001(a)(2) defines “facilities-based provider” in a manner that applies to</w:t>
      </w:r>
      <w:r w:rsidRPr="00ED6163">
        <w:t xml:space="preserve"> providers of both mobile voice telephony and broadband:  as an entity that provides service over “facilities that the entity owns or obtained the right to use from other entities in forms such as dark fiber, satellite transponder capacity, Unbundled Netwo</w:t>
      </w:r>
      <w:r w:rsidRPr="00ED6163">
        <w:t>rk Elements (UNEs), and other leased lines (replacing the separate definition of “own facilities” in preexisting section 1.7001(a)(3)), as well as wireless spectrum for which the entity holds a license, spectrum it has obtained the right to use from anothe</w:t>
      </w:r>
      <w:r w:rsidRPr="00ED6163">
        <w:t xml:space="preserve">r licensee, or unlicensed  spectrum.  </w:t>
      </w:r>
    </w:p>
  </w:footnote>
  <w:footnote w:id="225">
    <w:p w:rsidR="00252A4C" w:rsidRPr="00ED6163" w:rsidP="00D60B92" w14:paraId="6976C420" w14:textId="77777777">
      <w:pPr>
        <w:pStyle w:val="FootnoteText"/>
      </w:pPr>
      <w:r w:rsidRPr="00ED6163">
        <w:rPr>
          <w:rStyle w:val="FootnoteReference"/>
        </w:rPr>
        <w:footnoteRef/>
      </w:r>
      <w:r w:rsidRPr="00ED6163">
        <w:t xml:space="preserve"> The only substantive difference is that paragraph (a) of preexisting section 43.11(a) identifies categories of voice service providers required to file while paragraphs (a) and (b) of section 1.7001 establish defini</w:t>
      </w:r>
      <w:r w:rsidRPr="00ED6163">
        <w:t xml:space="preserve">tions and identify broadband providers required to file.  All other text in the two rule sections is identical (paragraphs (b)-(e) in preexisting section 43.11 are the same as paragraphs (c)-(f) in section 1.7001, respectively) and therefore superfluous.  </w:t>
      </w:r>
      <w:r w:rsidRPr="00ED6163">
        <w:t>Thus, we are moving the list of local voice communications service providers required to file from section 43.11(a) into new section 1.7001(b)(2), (3), and (4) making clear in the revised section 1.7001(b) that both “facilities-based providers of broadband</w:t>
      </w:r>
      <w:r w:rsidRPr="00ED6163">
        <w:t xml:space="preserve"> connections” (paragraph (b)(1)) and “facilities-based providers of mobile telephony” (paragraph (b)(3)) are required to file; and deleting the rest of section 43.11.  We are also modifying section 1.7000 and the caption of Part 1, Subpart V, to establish </w:t>
      </w:r>
      <w:r w:rsidRPr="00ED6163">
        <w:t>that the purpose of the now-consolidated rules is to collect data on local telephone competition as well as broadband deployment.</w:t>
      </w:r>
    </w:p>
  </w:footnote>
  <w:footnote w:id="226">
    <w:p w:rsidR="00252A4C" w:rsidRPr="00ED6163" w:rsidP="00D60B92" w14:paraId="0C4EF065" w14:textId="77777777">
      <w:pPr>
        <w:pStyle w:val="FootnoteText"/>
      </w:pPr>
      <w:r w:rsidRPr="00ED6163">
        <w:rPr>
          <w:rStyle w:val="FootnoteReference"/>
        </w:rPr>
        <w:footnoteRef/>
      </w:r>
      <w:r w:rsidRPr="00ED6163">
        <w:t xml:space="preserve"> </w:t>
      </w:r>
      <w:r w:rsidRPr="00ED6163">
        <w:rPr>
          <w:i/>
          <w:iCs/>
        </w:rPr>
        <w:t xml:space="preserve">See, e.g., </w:t>
      </w:r>
      <w:r w:rsidRPr="00ED6163">
        <w:t>existing section 1.7001(a)(1) (defining “facilities-based providers” to include those that provide service over t</w:t>
      </w:r>
      <w:r w:rsidRPr="00ED6163">
        <w:t>heir “own facilities” or “wireless channels that the entity obtains…”); existing section 1.7001(a)(3)</w:t>
      </w:r>
      <w:r>
        <w:t xml:space="preserve"> </w:t>
      </w:r>
      <w:r w:rsidRPr="00ED6163">
        <w:t>(defining “own facilities” to include “wireless channels the entity actually owns”).  Entities do not “own” wireless channels and cannot “obtain” or posse</w:t>
      </w:r>
      <w:r w:rsidRPr="00ED6163">
        <w:t xml:space="preserve">ss them.  </w:t>
      </w:r>
      <w:r w:rsidRPr="00ED6163">
        <w:rPr>
          <w:i/>
          <w:iCs/>
        </w:rPr>
        <w:t xml:space="preserve">See </w:t>
      </w:r>
      <w:r w:rsidRPr="00ED6163">
        <w:t xml:space="preserve">47 U.S.C. § 301 (purpose of the Act is to “maintain the control of the United States over all the channels of radio transmission; and to provide for the use of such channels, </w:t>
      </w:r>
      <w:r w:rsidRPr="00ED6163">
        <w:rPr>
          <w:i/>
          <w:iCs/>
        </w:rPr>
        <w:t>but not the ownership thereof</w:t>
      </w:r>
      <w:r w:rsidRPr="00ED6163">
        <w:t>, for limited periods of time, under l</w:t>
      </w:r>
      <w:r w:rsidRPr="00ED6163">
        <w:t>icenses granted by Federal authority”) (emphasis added).</w:t>
      </w:r>
    </w:p>
  </w:footnote>
  <w:footnote w:id="227">
    <w:p w:rsidR="00252A4C" w:rsidRPr="00ED6163" w:rsidP="00D60B92" w14:paraId="4B691454" w14:textId="77777777">
      <w:pPr>
        <w:pStyle w:val="FootnoteText"/>
      </w:pPr>
      <w:r w:rsidRPr="00ED6163">
        <w:rPr>
          <w:rStyle w:val="FootnoteReference"/>
        </w:rPr>
        <w:footnoteRef/>
      </w:r>
      <w:r w:rsidRPr="00ED6163">
        <w:t xml:space="preserve"> </w:t>
      </w:r>
      <w:r w:rsidRPr="00ED6163">
        <w:rPr>
          <w:i/>
          <w:iCs/>
        </w:rPr>
        <w:t xml:space="preserve">See </w:t>
      </w:r>
      <w:r w:rsidRPr="00ED6163">
        <w:t xml:space="preserve">Appendix A, new section 1.7001(a)(2)(iv) &amp; (v); </w:t>
      </w:r>
      <w:r w:rsidRPr="00ED6163">
        <w:rPr>
          <w:i/>
          <w:iCs/>
        </w:rPr>
        <w:t xml:space="preserve">cf. FCC Form 477 Instructions </w:t>
      </w:r>
      <w:r w:rsidRPr="00ED6163">
        <w:t>at 5 (“An entity is a facilities-based provider if any of the following conditions are met:… (3) it provisions/equi</w:t>
      </w:r>
      <w:r w:rsidRPr="00ED6163">
        <w:t>ps a broadband wireless channel to the end-user premises over licensed or unlicensed spectrum; or (4) it provides terrestrial mobile wireless service using its own network facilities and spectrum for which it holds a license, manages, or has obtained the r</w:t>
      </w:r>
      <w:r w:rsidRPr="00ED6163">
        <w:t>ight to use via a spectrum leasing arrangement.”).</w:t>
      </w:r>
      <w:r w:rsidRPr="00ED6163">
        <w:rPr>
          <w:i/>
          <w:iCs/>
        </w:rPr>
        <w:t xml:space="preserve"> </w:t>
      </w:r>
      <w:r w:rsidRPr="00ED6163">
        <w:t xml:space="preserve"> We will now require fixed wireless providers to indicate on the new Form 477, whether they operate over unlicensed spectrum. </w:t>
      </w:r>
    </w:p>
  </w:footnote>
  <w:footnote w:id="228">
    <w:p w:rsidR="00252A4C" w:rsidRPr="00ED6163" w:rsidP="00D60B92" w14:paraId="193DB8DA" w14:textId="77777777">
      <w:pPr>
        <w:pStyle w:val="FootnoteText"/>
      </w:pPr>
      <w:r w:rsidRPr="00ED6163">
        <w:rPr>
          <w:rStyle w:val="FootnoteReference"/>
        </w:rPr>
        <w:footnoteRef/>
      </w:r>
      <w:r w:rsidRPr="00ED6163">
        <w:t xml:space="preserve"> The text in preexisting section 1.7001(b) preceding the phrase “facilities-b</w:t>
      </w:r>
      <w:r w:rsidRPr="00ED6163">
        <w:t>ased providers” (“All commercial and government-controlled entities, including but not limited to common carriers and their affiliates…, cable television companies, terrestrial fixed wireless providers, terrestrial mobile wireless providers, satellite prov</w:t>
      </w:r>
      <w:r w:rsidRPr="00ED6163">
        <w:t xml:space="preserve">iders, utilities, and others”) is superfluous because an entity’s filing obligations depend on the types of facilities it uses and the services it provides, not its identity or affiliation.  </w:t>
      </w:r>
      <w:r w:rsidRPr="00ED6163">
        <w:rPr>
          <w:i/>
          <w:iCs/>
        </w:rPr>
        <w:t>Cf.</w:t>
      </w:r>
      <w:r w:rsidRPr="00ED6163">
        <w:t xml:space="preserve"> </w:t>
      </w:r>
      <w:r w:rsidRPr="00ED6163">
        <w:rPr>
          <w:i/>
          <w:iCs/>
        </w:rPr>
        <w:t>2000 Data Gathering Order</w:t>
      </w:r>
      <w:r w:rsidRPr="00ED6163">
        <w:t>, 15 FCC Rcd at 7750, para. 64 (data</w:t>
      </w:r>
      <w:r w:rsidRPr="00ED6163">
        <w:t xml:space="preserve"> to be collected regarding “service to consumers[,] irrespective of technology deployed in the [provider’s] network”).  We also delete preexisting section 1.7001(a)(3) because it defines a term (“One-way broadband lines or wireless channels”) that is not u</w:t>
      </w:r>
      <w:r w:rsidRPr="00ED6163">
        <w:t>sed elsewhere in the subpart.</w:t>
      </w:r>
    </w:p>
  </w:footnote>
  <w:footnote w:id="229">
    <w:p w:rsidR="00252A4C" w:rsidRPr="00ED6163" w:rsidP="00D60B92" w14:paraId="6FE950F8" w14:textId="77777777">
      <w:pPr>
        <w:pStyle w:val="FootnoteText"/>
      </w:pPr>
      <w:r w:rsidRPr="00ED6163">
        <w:rPr>
          <w:rStyle w:val="FootnoteReference"/>
        </w:rPr>
        <w:footnoteRef/>
      </w:r>
      <w:r w:rsidRPr="00ED6163">
        <w:t xml:space="preserve"> </w:t>
      </w:r>
      <w:r w:rsidRPr="00ED6163">
        <w:rPr>
          <w:i/>
        </w:rPr>
        <w:t>2013 Form 477 Order</w:t>
      </w:r>
      <w:r w:rsidRPr="00ED6163">
        <w:t xml:space="preserve">, 28 FCC Rcd at 9909, para. 43.  No amendments to our rules are necessary to implement this change or the other modified reporting requirements adopted in this </w:t>
      </w:r>
      <w:r w:rsidRPr="00947E6A">
        <w:rPr>
          <w:i/>
        </w:rPr>
        <w:t xml:space="preserve">Report </w:t>
      </w:r>
      <w:r w:rsidRPr="00ED6163">
        <w:rPr>
          <w:i/>
        </w:rPr>
        <w:t>and</w:t>
      </w:r>
      <w:r w:rsidRPr="00947E6A">
        <w:rPr>
          <w:i/>
        </w:rPr>
        <w:t xml:space="preserve"> Order</w:t>
      </w:r>
      <w:r w:rsidRPr="00ED6163">
        <w:t>; they will be implemented vi</w:t>
      </w:r>
      <w:r w:rsidRPr="00ED6163">
        <w:t xml:space="preserve">a revisions to the Form 477 Instructions and the form itself.  </w:t>
      </w:r>
      <w:bookmarkStart w:id="74" w:name="_Hlk14677523"/>
      <w:r w:rsidRPr="00ED6163">
        <w:t>We affirm the authority delegated to IB, WCB, WTB, and OEA to update the technology codes in the future, which will address Verizon’s concerns that codes may become outdated as technology evolv</w:t>
      </w:r>
      <w:r w:rsidRPr="00ED6163">
        <w:t>es.</w:t>
      </w:r>
      <w:bookmarkEnd w:id="74"/>
      <w:r w:rsidRPr="00ED6163">
        <w:t xml:space="preserve">  </w:t>
      </w:r>
      <w:r w:rsidRPr="00ED6163">
        <w:rPr>
          <w:i/>
        </w:rPr>
        <w:t xml:space="preserve">See </w:t>
      </w:r>
      <w:r w:rsidRPr="00ED6163">
        <w:t>Verizon Comments at 6.  We adopt a new rule section 1.7003, which also clarifies and affirms IB, WCB, WTB, and OEA’s authority to “update the specific content of data to be submitted on FCC Form 477 as necessary to reflect changes over time in tra</w:t>
      </w:r>
      <w:r w:rsidRPr="00ED6163">
        <w:t xml:space="preserve">nsmission technologies, spectrum usage, Geographical Information Systems (GIS) and other data storage and processing functionalities, and other related matters.”  This new rule also clarifies and affirms IB, WCB, WTB, and OEA’s authority to “implement any </w:t>
      </w:r>
      <w:r w:rsidRPr="00ED6163">
        <w:t xml:space="preserve">technical improvements or other clarifications to the filing mechanism and forms.”  </w:t>
      </w:r>
      <w:r w:rsidRPr="00ED6163">
        <w:rPr>
          <w:i/>
          <w:iCs/>
        </w:rPr>
        <w:t xml:space="preserve">See infra </w:t>
      </w:r>
      <w:r w:rsidRPr="00ED6163">
        <w:t xml:space="preserve">Appendix A (revised rules). </w:t>
      </w:r>
    </w:p>
  </w:footnote>
  <w:footnote w:id="230">
    <w:p w:rsidR="00252A4C" w:rsidRPr="00ED6163" w:rsidP="00D60B92" w14:paraId="64D428C3" w14:textId="77777777">
      <w:pPr>
        <w:pStyle w:val="FootnoteText"/>
      </w:pPr>
      <w:r w:rsidRPr="00ED6163">
        <w:rPr>
          <w:rStyle w:val="FootnoteReference"/>
        </w:rPr>
        <w:footnoteRef/>
      </w:r>
      <w:r w:rsidRPr="00ED6163">
        <w:t xml:space="preserve"> In response to concerns raised by USTelecom, we make clear that while USAC will be in charge of establishing the online portals for</w:t>
      </w:r>
      <w:r w:rsidRPr="00ED6163">
        <w:t xml:space="preserve"> both the Digital Opportunity Data Collection and the corresponding crowdsourcing process, the relevant Commission Bureaus are charged with directing USAC on how to implement the new collections.  </w:t>
      </w:r>
      <w:r w:rsidRPr="00ED6163">
        <w:rPr>
          <w:i/>
        </w:rPr>
        <w:t xml:space="preserve">See </w:t>
      </w:r>
      <w:r w:rsidRPr="00ED6163">
        <w:t xml:space="preserve">USTelecom July 22, 2019 </w:t>
      </w:r>
      <w:r w:rsidRPr="00ED6163">
        <w:rPr>
          <w:i/>
        </w:rPr>
        <w:t>Ex Parte</w:t>
      </w:r>
      <w:r w:rsidRPr="00ED6163">
        <w:t xml:space="preserve"> Letter at 1-2.</w:t>
      </w:r>
    </w:p>
  </w:footnote>
  <w:footnote w:id="231">
    <w:p w:rsidR="00252A4C" w:rsidRPr="00947E6A" w:rsidP="00D60B92" w14:paraId="3A2CA59E" w14:textId="77777777">
      <w:pPr>
        <w:pStyle w:val="FootnoteText"/>
      </w:pPr>
      <w:r w:rsidRPr="00ED6163">
        <w:rPr>
          <w:rStyle w:val="FootnoteReference"/>
        </w:rPr>
        <w:footnoteRef/>
      </w:r>
      <w:r w:rsidRPr="00ED6163">
        <w:t xml:space="preserve"> </w:t>
      </w:r>
      <w:r w:rsidRPr="00ED6163">
        <w:rPr>
          <w:i/>
        </w:rPr>
        <w:t xml:space="preserve">See </w:t>
      </w:r>
      <w:r w:rsidRPr="00ED6163">
        <w:t>NTCA Apr. 30, 2019</w:t>
      </w:r>
      <w:r w:rsidRPr="00ED6163">
        <w:rPr>
          <w:i/>
        </w:rPr>
        <w:t xml:space="preserve"> Ex Parte </w:t>
      </w:r>
      <w:r w:rsidRPr="00ED6163">
        <w:t xml:space="preserve">Letter at 3 (“other than some transitional efforts, the relative ongoing burden of reporting availability via shapefiles as compared to the current census block-based approach should be reasonable”); NCTA Apr. 10, 2019 </w:t>
      </w:r>
      <w:r w:rsidRPr="00ED6163">
        <w:rPr>
          <w:i/>
        </w:rPr>
        <w:t>Ex Parte</w:t>
      </w:r>
      <w:r w:rsidRPr="00ED6163">
        <w:t xml:space="preserve"> </w:t>
      </w:r>
      <w:r w:rsidRPr="00ED6163">
        <w:t>Letter at 6 (“NCTA’s proposal to move to a broadband reporting regime based on shapefiles offers the promise of far more accurate data without undue time or expense”).</w:t>
      </w:r>
    </w:p>
  </w:footnote>
  <w:footnote w:id="232">
    <w:p w:rsidR="00252A4C" w:rsidRPr="00ED6163" w:rsidP="00D60B92" w14:paraId="5DDA8400" w14:textId="77777777">
      <w:pPr>
        <w:pStyle w:val="FootnoteText"/>
      </w:pPr>
      <w:r w:rsidRPr="00ED6163">
        <w:rPr>
          <w:rStyle w:val="FootnoteReference"/>
        </w:rPr>
        <w:footnoteRef/>
      </w:r>
      <w:r w:rsidRPr="00ED6163">
        <w:t xml:space="preserve"> Connected Nation July 25, 2019 </w:t>
      </w:r>
      <w:r w:rsidRPr="00ED6163">
        <w:rPr>
          <w:i/>
        </w:rPr>
        <w:t>Ex Parte</w:t>
      </w:r>
      <w:r w:rsidRPr="00ED6163">
        <w:t xml:space="preserve"> Letter at 1-2.</w:t>
      </w:r>
    </w:p>
  </w:footnote>
  <w:footnote w:id="233">
    <w:p w:rsidR="00252A4C" w:rsidRPr="00ED6163" w:rsidP="00D60B92" w14:paraId="2306D988" w14:textId="77777777">
      <w:pPr>
        <w:pStyle w:val="FootnoteText"/>
      </w:pPr>
      <w:r w:rsidRPr="00ED6163">
        <w:rPr>
          <w:rStyle w:val="FootnoteReference"/>
        </w:rPr>
        <w:footnoteRef/>
      </w:r>
      <w:r w:rsidRPr="00ED6163">
        <w:t xml:space="preserve"> </w:t>
      </w:r>
      <w:bookmarkStart w:id="135" w:name="_Hlk13575197"/>
      <w:r w:rsidRPr="00ED6163">
        <w:t>We intend for this section of</w:t>
      </w:r>
      <w:r w:rsidRPr="00ED6163">
        <w:t xml:space="preserve"> the </w:t>
      </w:r>
      <w:r w:rsidRPr="00ED6163">
        <w:rPr>
          <w:i/>
        </w:rPr>
        <w:t>Second Notice</w:t>
      </w:r>
      <w:r w:rsidRPr="00ED6163">
        <w:t xml:space="preserve"> to help develop a record on which OEA can issue the technical guidance we have directed them to issue above, and we clarify that they need not wait for further Commission action to do so.</w:t>
      </w:r>
      <w:bookmarkEnd w:id="135"/>
    </w:p>
  </w:footnote>
  <w:footnote w:id="234">
    <w:p w:rsidR="00252A4C" w:rsidRPr="00ED6163" w:rsidP="00D60B92" w14:paraId="58D3EE9A" w14:textId="77777777">
      <w:pPr>
        <w:pStyle w:val="FootnoteText"/>
      </w:pPr>
      <w:r w:rsidRPr="00ED6163">
        <w:rPr>
          <w:rStyle w:val="FootnoteReference"/>
        </w:rPr>
        <w:footnoteRef/>
      </w:r>
      <w:r w:rsidRPr="00ED6163">
        <w:t xml:space="preserve"> </w:t>
      </w:r>
      <w:r w:rsidRPr="00ED6163">
        <w:rPr>
          <w:i/>
        </w:rPr>
        <w:t>2017 Data Collection Improvement FNPRM</w:t>
      </w:r>
      <w:r w:rsidRPr="00ED6163">
        <w:t xml:space="preserve">, 32 FCC </w:t>
      </w:r>
      <w:r w:rsidRPr="00ED6163">
        <w:t>Rcd at 6333, paras. 12-13.</w:t>
      </w:r>
    </w:p>
  </w:footnote>
  <w:footnote w:id="235">
    <w:p w:rsidR="00252A4C" w:rsidRPr="00ED6163" w:rsidP="00D60B92" w14:paraId="55756CA0" w14:textId="77777777">
      <w:pPr>
        <w:pStyle w:val="FootnoteText"/>
      </w:pPr>
      <w:r w:rsidRPr="00ED6163">
        <w:rPr>
          <w:rStyle w:val="FootnoteReference"/>
        </w:rPr>
        <w:footnoteRef/>
      </w:r>
      <w:r w:rsidRPr="00ED6163">
        <w:t xml:space="preserve"> </w:t>
      </w:r>
      <w:r w:rsidRPr="00ED6163">
        <w:rPr>
          <w:i/>
        </w:rPr>
        <w:t>Connect America Fund, Universal Service Reform – Mobility Fund</w:t>
      </w:r>
      <w:r w:rsidRPr="00ED6163">
        <w:t>, WC Docket No. 10-90, WT Docket No. 10-208, Order on Reconsideration and Second Report and Order, 32 FCC Rcd 6282, 6298, para. 34 (2017) (</w:t>
      </w:r>
      <w:r w:rsidRPr="00ED6163">
        <w:rPr>
          <w:i/>
        </w:rPr>
        <w:t xml:space="preserve">Mobility Fund II </w:t>
      </w:r>
      <w:r w:rsidRPr="00ED6163">
        <w:rPr>
          <w:i/>
        </w:rPr>
        <w:t>Order on Reconsideration and Second Report and Order)</w:t>
      </w:r>
      <w:r w:rsidRPr="00ED6163">
        <w:t>.</w:t>
      </w:r>
    </w:p>
  </w:footnote>
  <w:footnote w:id="236">
    <w:p w:rsidR="00252A4C" w:rsidRPr="00ED6163" w:rsidP="00D60B92" w14:paraId="14D5186F" w14:textId="77777777">
      <w:pPr>
        <w:pStyle w:val="FootnoteText"/>
      </w:pPr>
      <w:r w:rsidRPr="00ED6163">
        <w:rPr>
          <w:rStyle w:val="FootnoteReference"/>
        </w:rPr>
        <w:footnoteRef/>
      </w:r>
      <w:r w:rsidRPr="00ED6163">
        <w:t xml:space="preserve"> </w:t>
      </w:r>
      <w:r w:rsidRPr="00ED6163">
        <w:rPr>
          <w:i/>
        </w:rPr>
        <w:t xml:space="preserve">See </w:t>
      </w:r>
      <w:r w:rsidRPr="00ED6163">
        <w:t xml:space="preserve">FCC, OET, Eighth Measuring Broadband America Fixed Broadband Report, at 8, </w:t>
      </w:r>
      <w:hyperlink r:id="rId33" w:history="1">
        <w:r w:rsidRPr="00ED6163">
          <w:rPr>
            <w:rStyle w:val="Hyperlink"/>
            <w:snapToGrid w:val="0"/>
          </w:rPr>
          <w:t>https://data.fcc.gov/download/measuring-broadband-america/2018/2018-Fixed-Measuring-Broadband-America-Report.pdf</w:t>
        </w:r>
      </w:hyperlink>
      <w:r w:rsidRPr="00ED6163">
        <w:t>.</w:t>
      </w:r>
    </w:p>
  </w:footnote>
  <w:footnote w:id="237">
    <w:p w:rsidR="00252A4C" w:rsidRPr="00ED6163" w:rsidP="00D60B92" w14:paraId="4E1719CA" w14:textId="77777777">
      <w:pPr>
        <w:pStyle w:val="FootnoteText"/>
      </w:pPr>
      <w:r w:rsidRPr="00ED6163">
        <w:rPr>
          <w:rStyle w:val="FootnoteReference"/>
        </w:rPr>
        <w:footnoteRef/>
      </w:r>
      <w:r w:rsidRPr="00ED6163">
        <w:t xml:space="preserve"> </w:t>
      </w:r>
      <w:r w:rsidRPr="00ED6163">
        <w:rPr>
          <w:i/>
        </w:rPr>
        <w:t xml:space="preserve">Connect America Fund Phase II Auction Scheduled for July 24, 2018, Notice and Filing Requirements and Other Procedures for Auction </w:t>
      </w:r>
      <w:r w:rsidRPr="00ED6163">
        <w:rPr>
          <w:i/>
        </w:rPr>
        <w:t>903</w:t>
      </w:r>
      <w:r w:rsidRPr="00ED6163">
        <w:t xml:space="preserve">, AU Docket No. 17-182, WC Docket No. 10-90, Public Notice 33 FCC Rcd 1428 (2018). </w:t>
      </w:r>
    </w:p>
  </w:footnote>
  <w:footnote w:id="238">
    <w:p w:rsidR="00252A4C" w:rsidRPr="00ED6163" w:rsidP="00D60B92" w14:paraId="67452E73" w14:textId="77777777">
      <w:pPr>
        <w:pStyle w:val="FootnoteText"/>
      </w:pPr>
      <w:r w:rsidRPr="00ED6163">
        <w:rPr>
          <w:rStyle w:val="FootnoteReference"/>
        </w:rPr>
        <w:footnoteRef/>
      </w:r>
      <w:r w:rsidRPr="00ED6163">
        <w:t xml:space="preserve"> </w:t>
      </w:r>
      <w:r>
        <w:rPr>
          <w:i/>
        </w:rPr>
        <w:t xml:space="preserve">See, e.g., </w:t>
      </w:r>
      <w:r w:rsidRPr="00ED6163">
        <w:t xml:space="preserve">OTI July 24, 2019 </w:t>
      </w:r>
      <w:r w:rsidRPr="00ED6163">
        <w:rPr>
          <w:i/>
        </w:rPr>
        <w:t>Ex Parte</w:t>
      </w:r>
      <w:r w:rsidRPr="00ED6163">
        <w:t xml:space="preserve"> Letter at 2-7.</w:t>
      </w:r>
    </w:p>
  </w:footnote>
  <w:footnote w:id="239">
    <w:p w:rsidR="00252A4C" w:rsidRPr="00ED6163" w:rsidP="00D60B92" w14:paraId="6413EA56" w14:textId="77777777">
      <w:pPr>
        <w:pStyle w:val="FootnoteText"/>
      </w:pPr>
      <w:r w:rsidRPr="00ED6163">
        <w:rPr>
          <w:rStyle w:val="FootnoteReference"/>
        </w:rPr>
        <w:footnoteRef/>
      </w:r>
      <w:r w:rsidRPr="00ED6163">
        <w:t xml:space="preserve"> ACA July 24, 2019 </w:t>
      </w:r>
      <w:r w:rsidRPr="00ED6163">
        <w:rPr>
          <w:i/>
        </w:rPr>
        <w:t>Ex Parte</w:t>
      </w:r>
      <w:r w:rsidRPr="00ED6163">
        <w:t xml:space="preserve"> Letter at 7.</w:t>
      </w:r>
    </w:p>
  </w:footnote>
  <w:footnote w:id="240">
    <w:p w:rsidR="00252A4C" w:rsidRPr="00ED6163" w:rsidP="00D60B92" w14:paraId="6B11C90B" w14:textId="77777777">
      <w:pPr>
        <w:pStyle w:val="FootnoteText"/>
      </w:pPr>
      <w:r w:rsidRPr="00ED6163">
        <w:rPr>
          <w:rStyle w:val="FootnoteReference"/>
        </w:rPr>
        <w:footnoteRef/>
      </w:r>
      <w:r w:rsidRPr="00ED6163">
        <w:t xml:space="preserve"> </w:t>
      </w:r>
      <w:r w:rsidRPr="00ED6163">
        <w:rPr>
          <w:i/>
        </w:rPr>
        <w:t xml:space="preserve">2019 Broadband Deployment Report </w:t>
      </w:r>
      <w:r w:rsidRPr="00ED6163">
        <w:t>at para. 28 &amp; n.97.</w:t>
      </w:r>
    </w:p>
  </w:footnote>
  <w:footnote w:id="241">
    <w:p w:rsidR="00252A4C" w:rsidRPr="00ED6163" w:rsidP="00D60B92" w14:paraId="245AA91A" w14:textId="77777777">
      <w:pPr>
        <w:pStyle w:val="FootnoteText"/>
      </w:pPr>
      <w:r w:rsidRPr="00ED6163">
        <w:rPr>
          <w:rStyle w:val="FootnoteReference"/>
        </w:rPr>
        <w:footnoteRef/>
      </w:r>
      <w:r w:rsidRPr="00ED6163">
        <w:t xml:space="preserve"> </w:t>
      </w:r>
      <w:r w:rsidRPr="00ED6163">
        <w:rPr>
          <w:i/>
        </w:rPr>
        <w:t>Id.</w:t>
      </w:r>
      <w:r w:rsidRPr="00ED6163">
        <w:t xml:space="preserve"> at para. 28</w:t>
      </w:r>
      <w:r w:rsidRPr="00ED6163">
        <w:t xml:space="preserve"> &amp; n.98; </w:t>
      </w:r>
      <w:r w:rsidRPr="00ED6163">
        <w:rPr>
          <w:i/>
        </w:rPr>
        <w:t>see also Inquiry Concerning the Deployment of Advanced Telecommunications Capability to All Americans in a Reasonable and Timely Fashion</w:t>
      </w:r>
      <w:r w:rsidRPr="00ED6163">
        <w:t>, GN Docket No. 17-199, 2018 Broadband Deployment Report, 33 FCC Rcd 1660, 1681 at para. 51, n.148 (2018) (</w:t>
      </w:r>
      <w:r w:rsidRPr="00ED6163">
        <w:rPr>
          <w:i/>
        </w:rPr>
        <w:t>2018</w:t>
      </w:r>
      <w:r w:rsidRPr="00ED6163">
        <w:rPr>
          <w:i/>
        </w:rPr>
        <w:t xml:space="preserve"> Broadband Deployment Report</w:t>
      </w:r>
      <w:r w:rsidRPr="00ED6163">
        <w:t xml:space="preserve">).  Indeed, the Commission has presented satellite data separately from other fixed services in its last two annual Broadband Deployment Reports.  </w:t>
      </w:r>
      <w:r w:rsidRPr="00ED6163">
        <w:rPr>
          <w:i/>
        </w:rPr>
        <w:t>See, e.g.</w:t>
      </w:r>
      <w:r w:rsidRPr="00ED6163">
        <w:t xml:space="preserve">, </w:t>
      </w:r>
      <w:r w:rsidRPr="00ED6163">
        <w:rPr>
          <w:i/>
        </w:rPr>
        <w:t>2019 Broadband Deployment Report</w:t>
      </w:r>
      <w:r w:rsidRPr="00ED6163">
        <w:t xml:space="preserve"> at paras. 28, 34, n.98, Appx. 9; </w:t>
      </w:r>
      <w:r w:rsidRPr="00ED6163">
        <w:rPr>
          <w:i/>
        </w:rPr>
        <w:t>2018</w:t>
      </w:r>
      <w:r w:rsidRPr="00ED6163">
        <w:rPr>
          <w:i/>
        </w:rPr>
        <w:t xml:space="preserve"> Broadband Deployment Report</w:t>
      </w:r>
      <w:r w:rsidRPr="00ED6163">
        <w:t>, 33 FCC Rcd at 1681, 1684-86, paras. 51, 54, 56, n.148.</w:t>
      </w:r>
    </w:p>
  </w:footnote>
  <w:footnote w:id="242">
    <w:p w:rsidR="00252A4C" w:rsidRPr="00ED6163" w:rsidP="00D60B92" w14:paraId="451618E5" w14:textId="77777777">
      <w:pPr>
        <w:pStyle w:val="FootnoteText"/>
      </w:pPr>
      <w:r w:rsidRPr="00ED6163">
        <w:rPr>
          <w:rStyle w:val="FootnoteReference"/>
        </w:rPr>
        <w:footnoteRef/>
      </w:r>
      <w:r w:rsidRPr="00ED6163">
        <w:t xml:space="preserve"> </w:t>
      </w:r>
      <w:r w:rsidRPr="00ED6163">
        <w:rPr>
          <w:i/>
        </w:rPr>
        <w:t>See</w:t>
      </w:r>
      <w:r w:rsidRPr="00ED6163">
        <w:t xml:space="preserve"> Hughes Networks Systems, LLC Comments at 3 (“Geostationary orbit (‘GSO’) satellites provide wide-area coverage that do not merely cross multiple census blocks, but r</w:t>
      </w:r>
      <w:r w:rsidRPr="00ED6163">
        <w:t xml:space="preserve">ather provide coverage of up to one-third of the earth’s surface from a given orbital position.”); Viasat July 16, 2018 </w:t>
      </w:r>
      <w:r w:rsidRPr="00ED6163">
        <w:rPr>
          <w:i/>
        </w:rPr>
        <w:t xml:space="preserve">Ex Parte </w:t>
      </w:r>
      <w:r w:rsidRPr="00ED6163">
        <w:t xml:space="preserve">Letter at 2.  </w:t>
      </w:r>
    </w:p>
  </w:footnote>
  <w:footnote w:id="243">
    <w:p w:rsidR="00252A4C" w:rsidRPr="00ED6163" w:rsidP="00D60B92" w14:paraId="7BC5E9D8" w14:textId="77777777">
      <w:pPr>
        <w:pStyle w:val="FootnoteText"/>
      </w:pPr>
      <w:r w:rsidRPr="00ED6163">
        <w:rPr>
          <w:rStyle w:val="FootnoteReference"/>
        </w:rPr>
        <w:footnoteRef/>
      </w:r>
      <w:r w:rsidRPr="00ED6163">
        <w:t xml:space="preserve"> We recognize that certain information for satellite providers may involve issues of confidentiality.  Viasat J</w:t>
      </w:r>
      <w:r w:rsidRPr="00ED6163">
        <w:t xml:space="preserve">uly 16, 2018 </w:t>
      </w:r>
      <w:r w:rsidRPr="00ED6163">
        <w:rPr>
          <w:i/>
        </w:rPr>
        <w:t>Ex Parte</w:t>
      </w:r>
      <w:r w:rsidRPr="00ED6163">
        <w:t xml:space="preserve"> Letter at 3 (stating “information that may be of interest to the Commission—</w:t>
      </w:r>
      <w:r w:rsidRPr="00ED6163">
        <w:rPr>
          <w:i/>
          <w:iCs/>
        </w:rPr>
        <w:t xml:space="preserve">e.g., </w:t>
      </w:r>
      <w:r w:rsidRPr="00ED6163">
        <w:t xml:space="preserve">relating to satellite network beam coverage, capacity, provisioning rates, and related technologies—is highly proprietary” and “operators could not </w:t>
      </w:r>
      <w:r w:rsidRPr="00ED6163">
        <w:t>reasonably be required to submit such information if the Commission could not ensure that it would be treated as confidential and exempt from public disclosure”).  Could the Commission assess satellite broadband coverage, so long as it does not disclose da</w:t>
      </w:r>
      <w:r w:rsidRPr="00ED6163">
        <w:t>ta in a way that reveals confidential commercial information?  Would the publication of nationwide, rather than location specific, data address confidentiality concerns?</w:t>
      </w:r>
    </w:p>
  </w:footnote>
  <w:footnote w:id="244">
    <w:p w:rsidR="00252A4C" w:rsidRPr="00ED6163" w:rsidP="00D60B92" w14:paraId="72A90FCF" w14:textId="77777777">
      <w:pPr>
        <w:pStyle w:val="FootnoteText"/>
      </w:pPr>
      <w:r w:rsidRPr="00ED6163">
        <w:rPr>
          <w:rStyle w:val="FootnoteReference"/>
        </w:rPr>
        <w:footnoteRef/>
      </w:r>
      <w:r w:rsidRPr="00ED6163">
        <w:t xml:space="preserve"> Viasat notes that it does not determine in advance whether a given location is likel</w:t>
      </w:r>
      <w:r w:rsidRPr="00ED6163">
        <w:t xml:space="preserve">y to experience “line-of-sight” issues because these issues are extremely rare.  Viasat July 16, 2018 </w:t>
      </w:r>
      <w:r w:rsidRPr="00ED6163">
        <w:rPr>
          <w:i/>
        </w:rPr>
        <w:t xml:space="preserve">Ex Parte </w:t>
      </w:r>
      <w:r w:rsidRPr="00ED6163">
        <w:t xml:space="preserve">Letter at 3. </w:t>
      </w:r>
    </w:p>
  </w:footnote>
  <w:footnote w:id="245">
    <w:p w:rsidR="00252A4C" w:rsidRPr="00ED6163" w:rsidP="00D60B92" w14:paraId="5AD05A47" w14:textId="77777777">
      <w:pPr>
        <w:pStyle w:val="FootnoteText"/>
      </w:pPr>
      <w:r w:rsidRPr="00ED6163">
        <w:rPr>
          <w:rStyle w:val="FootnoteReference"/>
        </w:rPr>
        <w:footnoteRef/>
      </w:r>
      <w:r w:rsidRPr="00ED6163">
        <w:t xml:space="preserve"> </w:t>
      </w:r>
      <w:r w:rsidRPr="00ED6163">
        <w:rPr>
          <w:i/>
        </w:rPr>
        <w:t>See, e.g.</w:t>
      </w:r>
      <w:r w:rsidRPr="00ED6163">
        <w:t xml:space="preserve">, </w:t>
      </w:r>
      <w:r w:rsidRPr="00ED6163">
        <w:rPr>
          <w:i/>
          <w:iCs/>
        </w:rPr>
        <w:t>WorldVu Satellites Limited; Petition for a Declaratory Ruling Granting Access to the U.S. Market for the OneWeb NGSO F</w:t>
      </w:r>
      <w:r w:rsidRPr="00ED6163">
        <w:rPr>
          <w:i/>
          <w:iCs/>
        </w:rPr>
        <w:t>SS System</w:t>
      </w:r>
      <w:r w:rsidRPr="00ED6163">
        <w:t xml:space="preserve">, Order and Declaratory Ruling, 32 FCC Rcd 5366 (2017); </w:t>
      </w:r>
      <w:r w:rsidRPr="00ED6163">
        <w:rPr>
          <w:i/>
          <w:iCs/>
        </w:rPr>
        <w:t>Telesat Canada; Petition for Declaratory Ruling to Grant Access to the U.S. Market for Telesat’s NGSO Constellation</w:t>
      </w:r>
      <w:r w:rsidRPr="00ED6163">
        <w:t xml:space="preserve">, Order and Declaratory Ruling, 32 FCC Rcd 9663 (2017); </w:t>
      </w:r>
      <w:r w:rsidRPr="00ED6163">
        <w:rPr>
          <w:i/>
          <w:iCs/>
        </w:rPr>
        <w:t>Space Exploration Ho</w:t>
      </w:r>
      <w:r w:rsidRPr="00ED6163">
        <w:rPr>
          <w:i/>
          <w:iCs/>
        </w:rPr>
        <w:t>ldings, LLC; Application For Approval for Orbital Deployment and Operating Authority for the SpaceX NGSO Satellite System; Application For Approval For Orbital Deployment And Operating Authority for the SpaceX NGSO Satellite System Supplement</w:t>
      </w:r>
      <w:r w:rsidRPr="00ED6163">
        <w:t>, Memorandum O</w:t>
      </w:r>
      <w:r w:rsidRPr="00ED6163">
        <w:t xml:space="preserve">pinion, Order and Authorization, </w:t>
      </w:r>
      <w:r w:rsidRPr="00ED6163">
        <w:rPr>
          <w:shd w:val="clear" w:color="auto" w:fill="FFFFFF"/>
        </w:rPr>
        <w:t>33 FCC Rcd 3391 (2018).</w:t>
      </w:r>
    </w:p>
  </w:footnote>
  <w:footnote w:id="246">
    <w:p w:rsidR="00252A4C" w:rsidRPr="00ED6163" w:rsidP="00D60B92" w14:paraId="06244D28" w14:textId="77777777">
      <w:pPr>
        <w:pStyle w:val="FootnoteText"/>
      </w:pPr>
      <w:r w:rsidRPr="00ED6163">
        <w:rPr>
          <w:rStyle w:val="FootnoteReference"/>
        </w:rPr>
        <w:footnoteRef/>
      </w:r>
      <w:r w:rsidRPr="00ED6163">
        <w:t xml:space="preserve"> </w:t>
      </w:r>
      <w:r w:rsidRPr="00ED6163">
        <w:rPr>
          <w:i/>
        </w:rPr>
        <w:t>See</w:t>
      </w:r>
      <w:r w:rsidRPr="00ED6163">
        <w:t xml:space="preserve"> FCC, Consumer Complaint Center, </w:t>
      </w:r>
      <w:hyperlink r:id="rId34" w:history="1">
        <w:r w:rsidRPr="00ED6163">
          <w:rPr>
            <w:rStyle w:val="Hyperlink"/>
            <w:snapToGrid w:val="0"/>
          </w:rPr>
          <w:t>https://consumercomplaints.fcc.gov/hc/en-us</w:t>
        </w:r>
      </w:hyperlink>
      <w:r w:rsidRPr="00ED6163">
        <w:t>.</w:t>
      </w:r>
    </w:p>
  </w:footnote>
  <w:footnote w:id="247">
    <w:p w:rsidR="00252A4C" w:rsidRPr="00ED6163" w:rsidP="00D60B92" w14:paraId="39B0B892" w14:textId="77777777">
      <w:pPr>
        <w:pStyle w:val="FootnoteText"/>
      </w:pPr>
      <w:r w:rsidRPr="00ED6163">
        <w:rPr>
          <w:rStyle w:val="FootnoteReference"/>
        </w:rPr>
        <w:footnoteRef/>
      </w:r>
      <w:r w:rsidRPr="00ED6163">
        <w:t xml:space="preserve"> ACA July 24, 2019 Ex Parte Letter at 6-7 (advocating t</w:t>
      </w:r>
      <w:r w:rsidRPr="00ED6163">
        <w:t>hat “unless there is a critical mass of submissions that the Commission determines is sufficient to indicate a material and immediate concern, which requires immediate resolution to prevent harm, a smaller provider should be able to account for this additi</w:t>
      </w:r>
      <w:r w:rsidRPr="00ED6163">
        <w:t>onal information the next time it updates its filing”).</w:t>
      </w:r>
    </w:p>
  </w:footnote>
  <w:footnote w:id="248">
    <w:p w:rsidR="00252A4C" w:rsidRPr="00ED6163" w:rsidP="00D60B92" w14:paraId="4BA585FD" w14:textId="77777777">
      <w:pPr>
        <w:pStyle w:val="FootnoteText"/>
      </w:pPr>
      <w:r w:rsidRPr="00ED6163">
        <w:rPr>
          <w:rStyle w:val="FootnoteReference"/>
        </w:rPr>
        <w:footnoteRef/>
      </w:r>
      <w:r w:rsidRPr="00ED6163">
        <w:t xml:space="preserve"> Connected Nation July 25, 2019 </w:t>
      </w:r>
      <w:r w:rsidRPr="00ED6163">
        <w:rPr>
          <w:i/>
        </w:rPr>
        <w:t>Ex Parte</w:t>
      </w:r>
      <w:r w:rsidRPr="00ED6163">
        <w:t xml:space="preserve"> Letter at 2.</w:t>
      </w:r>
    </w:p>
  </w:footnote>
  <w:footnote w:id="249">
    <w:p w:rsidR="00252A4C" w:rsidRPr="00ED6163" w:rsidP="00D60B92" w14:paraId="281229A8" w14:textId="77777777">
      <w:pPr>
        <w:pStyle w:val="FootnoteText"/>
      </w:pPr>
      <w:r w:rsidRPr="00ED6163">
        <w:rPr>
          <w:rStyle w:val="FootnoteReference"/>
        </w:rPr>
        <w:footnoteRef/>
      </w:r>
      <w:r w:rsidRPr="00ED6163">
        <w:t xml:space="preserve"> For example, NCTA argues that online speed test data may not accurately represent the performance or availability of the service provided and t</w:t>
      </w:r>
      <w:r w:rsidRPr="00ED6163">
        <w:t xml:space="preserve">herefore should be used to inform future filings by providers only where it proves to be accurate.  NCTA July 18, 2019 </w:t>
      </w:r>
      <w:r w:rsidRPr="00ED6163">
        <w:rPr>
          <w:i/>
        </w:rPr>
        <w:t>Ex Parte</w:t>
      </w:r>
      <w:r w:rsidRPr="00ED6163">
        <w:t xml:space="preserve"> Letter at 1.</w:t>
      </w:r>
    </w:p>
  </w:footnote>
  <w:footnote w:id="250">
    <w:p w:rsidR="00252A4C" w:rsidRPr="00ED6163" w:rsidP="00D60B92" w14:paraId="5BD4D757" w14:textId="77777777">
      <w:pPr>
        <w:pStyle w:val="FootnoteText"/>
      </w:pPr>
      <w:r w:rsidRPr="00ED6163">
        <w:rPr>
          <w:rStyle w:val="FootnoteReference"/>
        </w:rPr>
        <w:footnoteRef/>
      </w:r>
      <w:r w:rsidRPr="00ED6163">
        <w:t xml:space="preserve"> </w:t>
      </w:r>
      <w:r w:rsidRPr="00ED6163">
        <w:rPr>
          <w:i/>
        </w:rPr>
        <w:t xml:space="preserve">See </w:t>
      </w:r>
      <w:r w:rsidRPr="00ED6163">
        <w:rPr>
          <w:i/>
          <w:shd w:val="clear" w:color="auto" w:fill="FFFFFF"/>
        </w:rPr>
        <w:t xml:space="preserve">Report on Broadband Deployment in Indian Country, Pursuant to the Repack Airwaves Yielding Better Access for </w:t>
      </w:r>
      <w:r w:rsidRPr="00ED6163">
        <w:rPr>
          <w:i/>
          <w:shd w:val="clear" w:color="auto" w:fill="FFFFFF"/>
        </w:rPr>
        <w:t xml:space="preserve">Users of Modern Services Act of 2018 </w:t>
      </w:r>
      <w:r w:rsidRPr="00ED6163">
        <w:rPr>
          <w:shd w:val="clear" w:color="auto" w:fill="FFFFFF"/>
        </w:rPr>
        <w:t xml:space="preserve">(CGB/WCB/WTB rel. May 1, 2019), </w:t>
      </w:r>
      <w:r w:rsidRPr="00ED6163">
        <w:rPr>
          <w:i/>
          <w:shd w:val="clear" w:color="auto" w:fill="FFFFFF"/>
        </w:rPr>
        <w:t xml:space="preserve">available at </w:t>
      </w:r>
      <w:r w:rsidRPr="00ED6163">
        <w:rPr>
          <w:shd w:val="clear" w:color="auto" w:fill="FFFFFF"/>
        </w:rPr>
        <w:t xml:space="preserve"> </w:t>
      </w:r>
      <w:hyperlink r:id="rId35" w:history="1">
        <w:r w:rsidRPr="00ED6163">
          <w:rPr>
            <w:rStyle w:val="Hyperlink"/>
          </w:rPr>
          <w:t>https://docs.fcc.gov/public/attachments/DOC-357269A1.pdf</w:t>
        </w:r>
      </w:hyperlink>
      <w:r w:rsidRPr="00ED6163">
        <w:t xml:space="preserve"> (</w:t>
      </w:r>
      <w:r w:rsidRPr="00ED6163">
        <w:rPr>
          <w:i/>
        </w:rPr>
        <w:t>Tribal Broadband Report</w:t>
      </w:r>
      <w:r w:rsidRPr="00ED6163">
        <w:t xml:space="preserve">).  </w:t>
      </w:r>
      <w:r w:rsidRPr="00ED6163">
        <w:rPr>
          <w:i/>
        </w:rPr>
        <w:t xml:space="preserve">See also </w:t>
      </w:r>
      <w:r w:rsidRPr="00ED6163">
        <w:rPr>
          <w:i/>
          <w:snapToGrid w:val="0"/>
        </w:rPr>
        <w:t>Consol</w:t>
      </w:r>
      <w:r w:rsidRPr="00ED6163">
        <w:rPr>
          <w:i/>
          <w:snapToGrid w:val="0"/>
        </w:rPr>
        <w:t>idated Appropriations Act, 2018</w:t>
      </w:r>
      <w:r w:rsidRPr="00ED6163">
        <w:rPr>
          <w:snapToGrid w:val="0"/>
        </w:rPr>
        <w:t>, Pub. L. No. 115-141, Div. P</w:t>
      </w:r>
      <w:r w:rsidRPr="00ED6163">
        <w:t>—</w:t>
      </w:r>
      <w:r w:rsidRPr="00ED6163">
        <w:rPr>
          <w:snapToGrid w:val="0"/>
        </w:rPr>
        <w:t>RAY BAUM’S Act of 2018, § 508(a)(1), 132 Stat. 348, 1095-96 (2018) (RAY BAUM’S Act of 2018)</w:t>
      </w:r>
      <w:r w:rsidRPr="00ED6163">
        <w:t>.</w:t>
      </w:r>
    </w:p>
  </w:footnote>
  <w:footnote w:id="251">
    <w:p w:rsidR="00252A4C" w:rsidRPr="00ED6163" w:rsidP="00D60B92" w14:paraId="0F55FF1F" w14:textId="77777777">
      <w:pPr>
        <w:pStyle w:val="FootnoteText"/>
      </w:pPr>
      <w:r w:rsidRPr="00ED6163">
        <w:rPr>
          <w:rStyle w:val="FootnoteReference"/>
        </w:rPr>
        <w:footnoteRef/>
      </w:r>
      <w:r w:rsidRPr="00ED6163">
        <w:t xml:space="preserve"> </w:t>
      </w:r>
      <w:r w:rsidRPr="00ED6163">
        <w:rPr>
          <w:rStyle w:val="Emphasis"/>
        </w:rPr>
        <w:t>See Federal-State Joint Board on Universal Service, Promoting Deployment and Subscribership in Unser</w:t>
      </w:r>
      <w:r w:rsidRPr="00ED6163">
        <w:rPr>
          <w:rStyle w:val="Emphasis"/>
        </w:rPr>
        <w:t>ved and Underserved Areas, Including Tribal and Insular Areas, Petitions for Designation as an Eligible Telecommunications Carrier and for Related Waivers to Provide Universal Service</w:t>
      </w:r>
      <w:r w:rsidRPr="00ED6163">
        <w:t xml:space="preserve">, Twelfth Report and Order, 15 FCC Rcd 12208, 12220, para. 20 (2000); </w:t>
      </w:r>
      <w:r w:rsidRPr="00ED6163">
        <w:rPr>
          <w:i/>
          <w:iCs/>
          <w:color w:val="3D3D3D"/>
        </w:rPr>
        <w:t>Connect America Fund et al.</w:t>
      </w:r>
      <w:r w:rsidRPr="00ED6163">
        <w:rPr>
          <w:color w:val="3D3D3D"/>
        </w:rPr>
        <w:t xml:space="preserve">, WC Docket No. 10-90 et al., Report and </w:t>
      </w:r>
      <w:r w:rsidRPr="00ED6163">
        <w:rPr>
          <w:bCs/>
          <w:color w:val="3D3D3D"/>
        </w:rPr>
        <w:t>Order</w:t>
      </w:r>
      <w:r w:rsidRPr="00ED6163">
        <w:rPr>
          <w:color w:val="3D3D3D"/>
        </w:rPr>
        <w:t xml:space="preserve"> and Further Notice of Proposed Rulemaking, </w:t>
      </w:r>
      <w:hyperlink r:id="rId36" w:history="1">
        <w:r w:rsidRPr="00ED6163">
          <w:rPr>
            <w:bCs/>
            <w:color w:val="3D3D3D"/>
          </w:rPr>
          <w:t>26</w:t>
        </w:r>
        <w:r w:rsidRPr="00ED6163">
          <w:rPr>
            <w:color w:val="0E568C"/>
          </w:rPr>
          <w:t xml:space="preserve"> </w:t>
        </w:r>
        <w:r w:rsidRPr="00ED6163">
          <w:rPr>
            <w:bCs/>
            <w:color w:val="3D3D3D"/>
          </w:rPr>
          <w:t>FCC</w:t>
        </w:r>
        <w:r w:rsidRPr="00ED6163">
          <w:rPr>
            <w:color w:val="0E568C"/>
          </w:rPr>
          <w:t xml:space="preserve"> </w:t>
        </w:r>
        <w:r w:rsidRPr="00ED6163">
          <w:rPr>
            <w:bCs/>
            <w:color w:val="3D3D3D"/>
          </w:rPr>
          <w:t>Rcd</w:t>
        </w:r>
        <w:r w:rsidRPr="00ED6163">
          <w:rPr>
            <w:color w:val="0E568C"/>
          </w:rPr>
          <w:t xml:space="preserve"> 17663, 17818-19, para. 479 (2011)</w:t>
        </w:r>
      </w:hyperlink>
      <w:r w:rsidRPr="00ED6163">
        <w:rPr>
          <w:color w:val="3D3D3D"/>
        </w:rPr>
        <w:t>.</w:t>
      </w:r>
      <w:r w:rsidRPr="00ED6163">
        <w:t xml:space="preserve"> </w:t>
      </w:r>
    </w:p>
  </w:footnote>
  <w:footnote w:id="252">
    <w:p w:rsidR="00252A4C" w:rsidRPr="00ED6163" w:rsidP="00D60B92" w14:paraId="71290BEB" w14:textId="77777777">
      <w:pPr>
        <w:pStyle w:val="FootnoteText"/>
      </w:pPr>
      <w:r w:rsidRPr="00ED6163">
        <w:rPr>
          <w:rStyle w:val="FootnoteReference"/>
        </w:rPr>
        <w:footnoteRef/>
      </w:r>
      <w:r w:rsidRPr="00ED6163">
        <w:t xml:space="preserve"> </w:t>
      </w:r>
      <w:r w:rsidRPr="00ED6163">
        <w:rPr>
          <w:i/>
        </w:rPr>
        <w:t xml:space="preserve">See </w:t>
      </w:r>
      <w:r w:rsidRPr="00ED6163">
        <w:t>NCTA July 18, 2019 Ex Parte Letter at 2 (“NCTA encourages the Commission to consider ways to</w:t>
      </w:r>
      <w:r w:rsidRPr="00ED6163">
        <w:t xml:space="preserve"> minimize the burden on broadband providers by, for example, having providers respond to feedback in batches.”).</w:t>
      </w:r>
    </w:p>
  </w:footnote>
  <w:footnote w:id="253">
    <w:p w:rsidR="00252A4C" w:rsidRPr="00ED6163" w:rsidP="00D60B92" w14:paraId="4EBB3766" w14:textId="77777777">
      <w:pPr>
        <w:pStyle w:val="FootnoteText"/>
      </w:pPr>
      <w:r w:rsidRPr="00ED6163">
        <w:rPr>
          <w:rStyle w:val="FootnoteReference"/>
        </w:rPr>
        <w:footnoteRef/>
      </w:r>
      <w:r w:rsidRPr="00ED6163">
        <w:t xml:space="preserve"> NCTA Apr. 10, 2019 </w:t>
      </w:r>
      <w:r w:rsidRPr="00ED6163">
        <w:rPr>
          <w:i/>
        </w:rPr>
        <w:t xml:space="preserve">Ex Parte </w:t>
      </w:r>
      <w:r w:rsidRPr="00ED6163">
        <w:t>Letter at 4.</w:t>
      </w:r>
    </w:p>
  </w:footnote>
  <w:footnote w:id="254">
    <w:p w:rsidR="00252A4C" w:rsidRPr="00ED6163" w:rsidP="00D60B92" w14:paraId="7F4915CC" w14:textId="77777777">
      <w:pPr>
        <w:pStyle w:val="FootnoteText"/>
      </w:pPr>
      <w:r w:rsidRPr="00ED6163">
        <w:rPr>
          <w:rStyle w:val="FootnoteReference"/>
        </w:rPr>
        <w:footnoteRef/>
      </w:r>
      <w:r w:rsidRPr="00ED6163">
        <w:t xml:space="preserve"> We note that in the Connect America Fund Phase II challenge process, there were 180,000 census blo</w:t>
      </w:r>
      <w:r w:rsidRPr="00ED6163">
        <w:t xml:space="preserve">cks where there was disagreement. </w:t>
      </w:r>
      <w:r w:rsidRPr="00ED6163">
        <w:rPr>
          <w:i/>
        </w:rPr>
        <w:t>Connect America Fund, Connect America Phase II Challenge Process</w:t>
      </w:r>
      <w:r w:rsidRPr="00ED6163">
        <w:t xml:space="preserve">, WC Docket Nos. 10-90, 14-93, Order, 30 FCC Rcd 2718, 2718, para. 2 (2015), </w:t>
      </w:r>
      <w:hyperlink r:id="rId37" w:history="1">
        <w:r w:rsidRPr="00ED6163">
          <w:rPr>
            <w:rStyle w:val="Hyperlink"/>
          </w:rPr>
          <w:t>https://ecfsapi.fcc.</w:t>
        </w:r>
        <w:r w:rsidRPr="00ED6163">
          <w:rPr>
            <w:rStyle w:val="Hyperlink"/>
          </w:rPr>
          <w:t>gov/file/60001041943.pdf</w:t>
        </w:r>
      </w:hyperlink>
      <w:r w:rsidRPr="00ED6163">
        <w:rPr>
          <w:rStyle w:val="Hyperlink"/>
        </w:rPr>
        <w:t>.</w:t>
      </w:r>
    </w:p>
  </w:footnote>
  <w:footnote w:id="255">
    <w:p w:rsidR="00252A4C" w:rsidRPr="00ED6163" w:rsidP="00D60B92" w14:paraId="31D639D5" w14:textId="77777777">
      <w:pPr>
        <w:pStyle w:val="FootnoteText"/>
      </w:pPr>
      <w:r w:rsidRPr="00ED6163">
        <w:rPr>
          <w:rStyle w:val="FootnoteReference"/>
        </w:rPr>
        <w:footnoteRef/>
      </w:r>
      <w:r w:rsidRPr="00ED6163">
        <w:t xml:space="preserve"> NTCA July 23, 2019 </w:t>
      </w:r>
      <w:r w:rsidRPr="00ED6163">
        <w:rPr>
          <w:i/>
        </w:rPr>
        <w:t>Ex Parte</w:t>
      </w:r>
      <w:r w:rsidRPr="00ED6163">
        <w:t xml:space="preserve"> Letter at 2 (noting that “individual reports could contain mistaken readings based upon anything from human error to aged devices or poor choices for location testing (or even testing on the wrong net</w:t>
      </w:r>
      <w:r w:rsidRPr="00ED6163">
        <w:t>work in the case of WiFi or cellular signals) . . . [and] attempting to reply to each such report could overwhelm providers – especially small businesses – without offering a corresponding benefit in terms of improved maps”).</w:t>
      </w:r>
    </w:p>
  </w:footnote>
  <w:footnote w:id="256">
    <w:p w:rsidR="00252A4C" w:rsidRPr="00ED6163" w:rsidP="00D60B92" w14:paraId="02756AA3" w14:textId="77777777">
      <w:pPr>
        <w:pStyle w:val="FootnoteText"/>
      </w:pPr>
      <w:r w:rsidRPr="00ED6163">
        <w:rPr>
          <w:rStyle w:val="FootnoteReference"/>
        </w:rPr>
        <w:footnoteRef/>
      </w:r>
      <w:r w:rsidRPr="00ED6163">
        <w:t xml:space="preserve"> </w:t>
      </w:r>
      <w:r w:rsidRPr="00ED6163">
        <w:rPr>
          <w:i/>
        </w:rPr>
        <w:t>Id</w:t>
      </w:r>
      <w:r w:rsidRPr="00ED6163">
        <w:t>.</w:t>
      </w:r>
    </w:p>
  </w:footnote>
  <w:footnote w:id="257">
    <w:p w:rsidR="00252A4C" w:rsidRPr="00947E6A" w:rsidP="00D60B92" w14:paraId="6D88A2EA" w14:textId="77777777">
      <w:pPr>
        <w:pStyle w:val="FootnoteText"/>
      </w:pPr>
      <w:r w:rsidRPr="00ED6163">
        <w:rPr>
          <w:rStyle w:val="FootnoteReference"/>
        </w:rPr>
        <w:footnoteRef/>
      </w:r>
      <w:r w:rsidRPr="00ED6163">
        <w:t xml:space="preserve"> </w:t>
      </w:r>
      <w:r w:rsidRPr="00ED6163">
        <w:rPr>
          <w:i/>
        </w:rPr>
        <w:t xml:space="preserve">See generally </w:t>
      </w:r>
      <w:r w:rsidRPr="00ED6163">
        <w:rPr>
          <w:i/>
          <w:iCs/>
        </w:rPr>
        <w:t>Competit</w:t>
      </w:r>
      <w:r w:rsidRPr="00ED6163">
        <w:rPr>
          <w:i/>
          <w:iCs/>
        </w:rPr>
        <w:t>ive Broadband Access to Multiple Tenant Environments</w:t>
      </w:r>
      <w:r w:rsidRPr="00ED6163">
        <w:t xml:space="preserve">, GN Docket No. 17-142, Notice of Inquiry, 32 FCC Rcd 5383, 5387, para. 8 (2017); </w:t>
      </w:r>
      <w:r w:rsidRPr="00ED6163">
        <w:rPr>
          <w:i/>
          <w:iCs/>
        </w:rPr>
        <w:t>Improving Competitive Broadband Access to Multiple Tenant Environments</w:t>
      </w:r>
      <w:r w:rsidRPr="00ED6163">
        <w:t xml:space="preserve">, GN Docket No. 17-142, MB Docket No. 17-91, Notice </w:t>
      </w:r>
      <w:r w:rsidRPr="00ED6163">
        <w:t>of Proposed Rulemaking and Declaratory Ruling, </w:t>
      </w:r>
      <w:r w:rsidRPr="00ED6163">
        <w:rPr>
          <w:bCs/>
        </w:rPr>
        <w:t>FCC 19-65, p</w:t>
      </w:r>
      <w:r w:rsidRPr="00ED6163">
        <w:t>aras. 21-22, 24-29, 36-37 (rel. July 12, 2019).</w:t>
      </w:r>
    </w:p>
  </w:footnote>
  <w:footnote w:id="258">
    <w:p w:rsidR="00252A4C" w:rsidRPr="00ED6163" w:rsidP="00D60B92" w14:paraId="2DDED197" w14:textId="77777777">
      <w:pPr>
        <w:pStyle w:val="FootnoteText"/>
      </w:pPr>
      <w:r w:rsidRPr="00ED6163">
        <w:rPr>
          <w:rStyle w:val="FootnoteReference"/>
        </w:rPr>
        <w:footnoteRef/>
      </w:r>
      <w:r w:rsidRPr="00ED6163">
        <w:t xml:space="preserve"> </w:t>
      </w:r>
      <w:r w:rsidRPr="00ED6163">
        <w:rPr>
          <w:i/>
        </w:rPr>
        <w:t xml:space="preserve">See </w:t>
      </w:r>
      <w:r w:rsidRPr="00ED6163">
        <w:t xml:space="preserve">BMC Apr. 12, 2019 </w:t>
      </w:r>
      <w:r w:rsidRPr="00ED6163">
        <w:rPr>
          <w:i/>
        </w:rPr>
        <w:t>Ex Parte</w:t>
      </w:r>
      <w:r w:rsidRPr="00ED6163">
        <w:t xml:space="preserve"> Letter at 2-4; USTelecom Mar. 21, 2019 </w:t>
      </w:r>
      <w:r w:rsidRPr="00ED6163">
        <w:rPr>
          <w:i/>
        </w:rPr>
        <w:t>Ex Parte</w:t>
      </w:r>
      <w:r w:rsidRPr="00ED6163">
        <w:t xml:space="preserve"> Letter at 1; NTCA Apr. 30, 2019 </w:t>
      </w:r>
      <w:r w:rsidRPr="00ED6163">
        <w:rPr>
          <w:i/>
        </w:rPr>
        <w:t>Ex Parte</w:t>
      </w:r>
      <w:r w:rsidRPr="00ED6163">
        <w:t xml:space="preserve"> Letter at 4.  </w:t>
      </w:r>
    </w:p>
  </w:footnote>
  <w:footnote w:id="259">
    <w:p w:rsidR="00252A4C" w:rsidRPr="00ED6163" w:rsidP="00D60B92" w14:paraId="581B4B85" w14:textId="77777777">
      <w:pPr>
        <w:pStyle w:val="FootnoteText"/>
      </w:pPr>
      <w:r w:rsidRPr="00ED6163">
        <w:rPr>
          <w:rStyle w:val="FootnoteReference"/>
        </w:rPr>
        <w:footnoteRef/>
      </w:r>
      <w:r w:rsidRPr="00ED6163">
        <w:t xml:space="preserve"> USTelecom Mar. 21, 2019 </w:t>
      </w:r>
      <w:r w:rsidRPr="00ED6163">
        <w:rPr>
          <w:i/>
        </w:rPr>
        <w:t>Ex Parte</w:t>
      </w:r>
      <w:r w:rsidRPr="00ED6163">
        <w:t xml:space="preserve"> Letter at 2.</w:t>
      </w:r>
    </w:p>
  </w:footnote>
  <w:footnote w:id="260">
    <w:p w:rsidR="00252A4C" w:rsidRPr="00ED6163" w:rsidP="00D60B92" w14:paraId="2A2D19F7" w14:textId="77777777">
      <w:pPr>
        <w:pStyle w:val="FootnoteText"/>
      </w:pPr>
      <w:r w:rsidRPr="00ED6163">
        <w:rPr>
          <w:rStyle w:val="FootnoteReference"/>
        </w:rPr>
        <w:footnoteRef/>
      </w:r>
      <w:r w:rsidRPr="00ED6163">
        <w:t xml:space="preserve"> </w:t>
      </w:r>
      <w:r w:rsidRPr="00ED6163">
        <w:rPr>
          <w:i/>
        </w:rPr>
        <w:t>Id.</w:t>
      </w:r>
      <w:r w:rsidRPr="00ED6163">
        <w:t xml:space="preserve"> at 2.</w:t>
      </w:r>
    </w:p>
  </w:footnote>
  <w:footnote w:id="261">
    <w:p w:rsidR="00252A4C" w:rsidRPr="00ED6163" w:rsidP="00D60B92" w14:paraId="1F49DABF" w14:textId="77777777">
      <w:pPr>
        <w:pStyle w:val="FootnoteText"/>
      </w:pPr>
      <w:r w:rsidRPr="00ED6163">
        <w:rPr>
          <w:rStyle w:val="FootnoteReference"/>
        </w:rPr>
        <w:footnoteRef/>
      </w:r>
      <w:r w:rsidRPr="00ED6163">
        <w:t xml:space="preserve"> Alexicon July 18, 2019 </w:t>
      </w:r>
      <w:r w:rsidRPr="00ED6163">
        <w:rPr>
          <w:i/>
        </w:rPr>
        <w:t>Ex Parte</w:t>
      </w:r>
      <w:r w:rsidRPr="00ED6163">
        <w:t xml:space="preserve"> Letter at Attach. at 14.  </w:t>
      </w:r>
    </w:p>
  </w:footnote>
  <w:footnote w:id="262">
    <w:p w:rsidR="00252A4C" w:rsidRPr="00ED6163" w:rsidP="00D60B92" w14:paraId="6F5985D5" w14:textId="77777777">
      <w:pPr>
        <w:pStyle w:val="FootnoteText"/>
      </w:pPr>
      <w:r w:rsidRPr="00ED6163">
        <w:rPr>
          <w:rStyle w:val="FootnoteReference"/>
        </w:rPr>
        <w:footnoteRef/>
      </w:r>
      <w:r w:rsidRPr="00ED6163">
        <w:t xml:space="preserve"> </w:t>
      </w:r>
      <w:r w:rsidRPr="00ED6163">
        <w:rPr>
          <w:i/>
        </w:rPr>
        <w:t xml:space="preserve">See, e.g., </w:t>
      </w:r>
      <w:r w:rsidRPr="00ED6163">
        <w:t>47 CFR § 68.105(b).</w:t>
      </w:r>
    </w:p>
  </w:footnote>
  <w:footnote w:id="263">
    <w:p w:rsidR="00252A4C" w:rsidRPr="00ED6163" w:rsidP="00D60B92" w14:paraId="58704246" w14:textId="77777777">
      <w:pPr>
        <w:pStyle w:val="FootnoteText"/>
      </w:pPr>
      <w:r w:rsidRPr="00ED6163">
        <w:rPr>
          <w:rStyle w:val="FootnoteReference"/>
        </w:rPr>
        <w:footnoteRef/>
      </w:r>
      <w:r w:rsidRPr="00ED6163">
        <w:t xml:space="preserve"> BMC May 28, 2019 Ex Parte Letter at 3-4 (“</w:t>
      </w:r>
      <w:r w:rsidRPr="00ED6163">
        <w:rPr>
          <w:rFonts w:eastAsia="Calibri"/>
        </w:rPr>
        <w:t>the [Broadband Serviceable Location Fabric</w:t>
      </w:r>
      <w:r w:rsidRPr="00ED6163">
        <w:rPr>
          <w:rFonts w:eastAsia="Calibri"/>
        </w:rPr>
        <w:t>] methodology utilizes multiple algorithms to automatically process satellite imagery of building structures combined with parcel and land attribute data, address data, and other sources to identify and geocode structures that are broadband serviceable loc</w:t>
      </w:r>
      <w:r w:rsidRPr="00ED6163">
        <w:rPr>
          <w:rFonts w:eastAsia="Calibri"/>
        </w:rPr>
        <w:t>ations”).</w:t>
      </w:r>
    </w:p>
  </w:footnote>
  <w:footnote w:id="264">
    <w:p w:rsidR="00252A4C" w:rsidRPr="00ED6163" w:rsidP="00D60B92" w14:paraId="65AB680C" w14:textId="77777777">
      <w:pPr>
        <w:pStyle w:val="FootnoteText"/>
      </w:pPr>
      <w:r w:rsidRPr="00ED6163">
        <w:rPr>
          <w:rStyle w:val="FootnoteReference"/>
        </w:rPr>
        <w:footnoteRef/>
      </w:r>
      <w:r w:rsidRPr="00ED6163">
        <w:t xml:space="preserve"> </w:t>
      </w:r>
      <w:r w:rsidRPr="00ED6163">
        <w:rPr>
          <w:i/>
        </w:rPr>
        <w:t xml:space="preserve">See </w:t>
      </w:r>
      <w:r w:rsidRPr="00ED6163">
        <w:t xml:space="preserve">U.S. Census Bureau, </w:t>
      </w:r>
      <w:r w:rsidRPr="00ED6163">
        <w:rPr>
          <w:i/>
        </w:rPr>
        <w:t>Definitions and Explanations</w:t>
      </w:r>
      <w:r w:rsidRPr="00ED6163">
        <w:t xml:space="preserve">, </w:t>
      </w:r>
      <w:hyperlink r:id="rId38" w:history="1">
        <w:r w:rsidRPr="00ED6163">
          <w:rPr>
            <w:rStyle w:val="Hyperlink"/>
          </w:rPr>
          <w:t>https://www.census.gov/housing/hvs/definitions.pdf</w:t>
        </w:r>
      </w:hyperlink>
      <w:r w:rsidRPr="00ED6163">
        <w:t xml:space="preserve">, (lasted visited Jul. 9, 2019) (“A housing unit is a house, an </w:t>
      </w:r>
      <w:r w:rsidRPr="00ED6163">
        <w:t>apartment, a group of rooms, or a single room occupied or intended for occupancy as separate living quarters.”).</w:t>
      </w:r>
    </w:p>
  </w:footnote>
  <w:footnote w:id="265">
    <w:p w:rsidR="00252A4C" w:rsidRPr="00ED6163" w:rsidP="00D60B92" w14:paraId="7BC36E6B" w14:textId="77777777">
      <w:pPr>
        <w:pStyle w:val="FootnoteText"/>
      </w:pPr>
      <w:r w:rsidRPr="00ED6163">
        <w:rPr>
          <w:rStyle w:val="FootnoteReference"/>
        </w:rPr>
        <w:footnoteRef/>
      </w:r>
      <w:r w:rsidRPr="00ED6163">
        <w:t xml:space="preserve"> </w:t>
      </w:r>
      <w:r w:rsidRPr="00ED6163">
        <w:rPr>
          <w:i/>
        </w:rPr>
        <w:t xml:space="preserve">See </w:t>
      </w:r>
      <w:r w:rsidRPr="00ED6163">
        <w:t xml:space="preserve">U.S. Census Bureau, </w:t>
      </w:r>
      <w:r w:rsidRPr="00ED6163">
        <w:rPr>
          <w:i/>
        </w:rPr>
        <w:t>Economic Census</w:t>
      </w:r>
      <w:r w:rsidRPr="00ED6163">
        <w:t xml:space="preserve">, </w:t>
      </w:r>
      <w:hyperlink r:id="rId39" w:history="1">
        <w:r w:rsidRPr="00ED6163">
          <w:rPr>
            <w:rStyle w:val="Hyperlink"/>
          </w:rPr>
          <w:t>https://www.census.gov/ec17faqs#pa</w:t>
        </w:r>
        <w:r w:rsidRPr="00ED6163">
          <w:rPr>
            <w:rStyle w:val="Hyperlink"/>
          </w:rPr>
          <w:t>r_textimage_0</w:t>
        </w:r>
      </w:hyperlink>
      <w:r w:rsidRPr="00ED6163">
        <w:t xml:space="preserve"> (last visited Jul. 9, 2019) (the Economic Census provides information on business locations, the workforce, and trillions of dollars of sales by product and service type every five years for years ending in ‘2’ and ‘7.’).</w:t>
      </w:r>
    </w:p>
  </w:footnote>
  <w:footnote w:id="266">
    <w:p w:rsidR="00252A4C" w:rsidRPr="00ED6163" w:rsidP="00D60B92" w14:paraId="13700BD0" w14:textId="77777777">
      <w:pPr>
        <w:pStyle w:val="FootnoteText"/>
      </w:pPr>
      <w:r w:rsidRPr="00ED6163">
        <w:rPr>
          <w:rStyle w:val="FootnoteReference"/>
        </w:rPr>
        <w:footnoteRef/>
      </w:r>
      <w:r w:rsidRPr="00ED6163">
        <w:t xml:space="preserve"> </w:t>
      </w:r>
      <w:r w:rsidRPr="00ED6163">
        <w:rPr>
          <w:i/>
        </w:rPr>
        <w:t xml:space="preserve">See, e.g., </w:t>
      </w:r>
      <w:r w:rsidRPr="00ED6163">
        <w:t>U.S. Ce</w:t>
      </w:r>
      <w:r w:rsidRPr="00ED6163">
        <w:t xml:space="preserve">nsus Bureau, </w:t>
      </w:r>
      <w:r w:rsidRPr="00947E6A">
        <w:rPr>
          <w:i/>
        </w:rPr>
        <w:t>National State, and County Housing Unit Totals: 2010-2018</w:t>
      </w:r>
      <w:r w:rsidRPr="00ED6163">
        <w:t xml:space="preserve">, </w:t>
      </w:r>
      <w:hyperlink r:id="rId40" w:history="1">
        <w:r w:rsidRPr="00ED6163">
          <w:t>https://www.census.gov/data/tables/time-series/demo/popest/2010s-total-housing</w:t>
        </w:r>
        <w:r w:rsidRPr="00ED6163">
          <w:t>-units.html</w:t>
        </w:r>
      </w:hyperlink>
      <w:r w:rsidRPr="00ED6163">
        <w:t xml:space="preserve"> (last visited Jul. 9, 2019).</w:t>
      </w:r>
    </w:p>
  </w:footnote>
  <w:footnote w:id="267">
    <w:p w:rsidR="00252A4C" w:rsidRPr="00ED6163" w:rsidP="00D60B92" w14:paraId="4C81F7AA" w14:textId="77777777">
      <w:pPr>
        <w:pStyle w:val="FootnoteText"/>
        <w:rPr>
          <w:highlight w:val="yellow"/>
        </w:rPr>
      </w:pPr>
      <w:r w:rsidRPr="00ED6163">
        <w:rPr>
          <w:rStyle w:val="FootnoteReference"/>
        </w:rPr>
        <w:footnoteRef/>
      </w:r>
      <w:r w:rsidRPr="00ED6163">
        <w:t xml:space="preserve"> </w:t>
      </w:r>
      <w:r w:rsidRPr="00ED6163">
        <w:rPr>
          <w:i/>
        </w:rPr>
        <w:t>See, e.g.</w:t>
      </w:r>
      <w:r w:rsidRPr="00ED6163">
        <w:t xml:space="preserve">, U.S. Department of Transportation, </w:t>
      </w:r>
      <w:r w:rsidRPr="00ED6163">
        <w:rPr>
          <w:i/>
        </w:rPr>
        <w:t>National Address Database</w:t>
      </w:r>
      <w:r w:rsidRPr="00ED6163">
        <w:t xml:space="preserve">, </w:t>
      </w:r>
      <w:hyperlink r:id="rId41" w:history="1">
        <w:r w:rsidRPr="00ED6163">
          <w:rPr>
            <w:rStyle w:val="Hyperlink"/>
          </w:rPr>
          <w:t>https://www.transportation.gov/gis/</w:t>
        </w:r>
        <w:r w:rsidRPr="00ED6163">
          <w:rPr>
            <w:rStyle w:val="Hyperlink"/>
          </w:rPr>
          <w:t>national-address-database/national-address-database-0</w:t>
        </w:r>
      </w:hyperlink>
      <w:r w:rsidRPr="00ED6163">
        <w:t xml:space="preserve"> (last visited Jul. 9, 2019); </w:t>
      </w:r>
      <w:r w:rsidRPr="00ED6163">
        <w:rPr>
          <w:i/>
        </w:rPr>
        <w:t xml:space="preserve">Open Addresses, </w:t>
      </w:r>
      <w:hyperlink r:id="rId42" w:history="1">
        <w:r w:rsidRPr="00ED6163">
          <w:rPr>
            <w:rStyle w:val="Hyperlink"/>
          </w:rPr>
          <w:t>https://openaddresses.io/</w:t>
        </w:r>
      </w:hyperlink>
      <w:r w:rsidRPr="00ED6163">
        <w:t xml:space="preserve"> (last visited Jul. 9, 2019).</w:t>
      </w:r>
    </w:p>
  </w:footnote>
  <w:footnote w:id="268">
    <w:p w:rsidR="00252A4C" w:rsidRPr="00ED6163" w:rsidP="00D60B92" w14:paraId="31070B14" w14:textId="77777777">
      <w:pPr>
        <w:pStyle w:val="FootnoteText"/>
      </w:pPr>
      <w:r w:rsidRPr="00ED6163">
        <w:rPr>
          <w:rStyle w:val="FootnoteReference"/>
        </w:rPr>
        <w:footnoteRef/>
      </w:r>
      <w:r w:rsidRPr="00ED6163">
        <w:t xml:space="preserve"> </w:t>
      </w:r>
      <w:r w:rsidRPr="00ED6163">
        <w:rPr>
          <w:i/>
        </w:rPr>
        <w:t xml:space="preserve">See </w:t>
      </w:r>
      <w:r w:rsidRPr="00ED6163">
        <w:rPr>
          <w:snapToGrid w:val="0"/>
        </w:rPr>
        <w:t xml:space="preserve">Letter from James W. Stegeman, </w:t>
      </w:r>
      <w:r w:rsidRPr="00ED6163">
        <w:rPr>
          <w:snapToGrid w:val="0"/>
        </w:rPr>
        <w:t>President/CEO, CostQuest Associates, to Marlene H. Dortch, Secretary, FCC, WC Docket No. 11-10, Attach. at 15-16 (filed Nov. 16, 2018) (describing “Managed Visual Review … a process of using various managed human resources… to visually inspect, and/or revi</w:t>
      </w:r>
      <w:r w:rsidRPr="00ED6163">
        <w:rPr>
          <w:snapToGrid w:val="0"/>
        </w:rPr>
        <w:t>ew specified data.”).</w:t>
      </w:r>
    </w:p>
  </w:footnote>
  <w:footnote w:id="269">
    <w:p w:rsidR="00252A4C" w:rsidRPr="00ED6163" w:rsidP="00D60B92" w14:paraId="7640BB54" w14:textId="77777777">
      <w:pPr>
        <w:pStyle w:val="FootnoteText"/>
        <w:rPr>
          <w:color w:val="333333"/>
          <w:lang w:val="en"/>
        </w:rPr>
      </w:pPr>
      <w:r w:rsidRPr="00ED6163">
        <w:rPr>
          <w:rStyle w:val="FootnoteReference"/>
        </w:rPr>
        <w:footnoteRef/>
      </w:r>
      <w:r w:rsidRPr="00ED6163">
        <w:t xml:space="preserve"> </w:t>
      </w:r>
      <w:r w:rsidRPr="00ED6163">
        <w:rPr>
          <w:lang w:val="en"/>
        </w:rPr>
        <w:t>Geocoding is the process of transforming a description of a location—such as a pair of coordinates, an address, or a name of a place—to a location on the earth's surface.</w:t>
      </w:r>
      <w:r w:rsidRPr="00ED6163">
        <w:t xml:space="preserve">  </w:t>
      </w:r>
      <w:r w:rsidRPr="00ED6163">
        <w:rPr>
          <w:color w:val="333333"/>
          <w:lang w:val="en"/>
        </w:rPr>
        <w:t>Geocoding is typically implemented through geocoder software</w:t>
      </w:r>
      <w:r w:rsidRPr="00ED6163">
        <w:rPr>
          <w:color w:val="333333"/>
          <w:lang w:val="en"/>
        </w:rPr>
        <w:t xml:space="preserve"> that performs the task of taking a location or address as an input and searching for it within a GIS.  Geocoding then interpolates the position of the location or address in formal geographical coordinates (including the longitude and latitude of the sear</w:t>
      </w:r>
      <w:r w:rsidRPr="00ED6163">
        <w:rPr>
          <w:color w:val="333333"/>
          <w:lang w:val="en"/>
        </w:rPr>
        <w:t xml:space="preserve">ched location or address).  </w:t>
      </w:r>
      <w:r w:rsidRPr="00ED6163">
        <w:rPr>
          <w:i/>
          <w:color w:val="333333"/>
          <w:lang w:val="en"/>
        </w:rPr>
        <w:t xml:space="preserve">See </w:t>
      </w:r>
      <w:r w:rsidRPr="00ED6163">
        <w:rPr>
          <w:color w:val="333333"/>
          <w:lang w:val="en"/>
        </w:rPr>
        <w:t xml:space="preserve">Techopedia, </w:t>
      </w:r>
      <w:r w:rsidRPr="00947E6A">
        <w:rPr>
          <w:i/>
          <w:color w:val="333333"/>
          <w:lang w:val="en"/>
        </w:rPr>
        <w:t>Geocoding</w:t>
      </w:r>
      <w:r w:rsidRPr="00ED6163">
        <w:rPr>
          <w:color w:val="333333"/>
          <w:lang w:val="en"/>
        </w:rPr>
        <w:t xml:space="preserve"> (last visited June 19, 2019), </w:t>
      </w:r>
      <w:hyperlink r:id="rId43" w:history="1">
        <w:r w:rsidRPr="00ED6163">
          <w:rPr>
            <w:rStyle w:val="Hyperlink"/>
            <w:lang w:val="en"/>
          </w:rPr>
          <w:t>https://www.techopedia.com/definition/12809/geocoding</w:t>
        </w:r>
      </w:hyperlink>
      <w:r w:rsidRPr="00ED6163">
        <w:rPr>
          <w:color w:val="333333"/>
          <w:lang w:val="en"/>
        </w:rPr>
        <w:t>.</w:t>
      </w:r>
    </w:p>
  </w:footnote>
  <w:footnote w:id="270">
    <w:p w:rsidR="00252A4C" w:rsidRPr="00ED6163" w:rsidP="00D60B92" w14:paraId="2C5F8725" w14:textId="77777777">
      <w:pPr>
        <w:pStyle w:val="FootnoteText"/>
      </w:pPr>
      <w:r w:rsidRPr="00ED6163">
        <w:rPr>
          <w:rStyle w:val="FootnoteReference"/>
        </w:rPr>
        <w:footnoteRef/>
      </w:r>
      <w:r w:rsidRPr="00ED6163">
        <w:t xml:space="preserve"> BMC May 28, 2019 </w:t>
      </w:r>
      <w:r w:rsidRPr="00ED6163">
        <w:rPr>
          <w:i/>
        </w:rPr>
        <w:t>Ex Parte</w:t>
      </w:r>
      <w:r w:rsidRPr="00ED6163">
        <w:t xml:space="preserve"> Letter at 3.</w:t>
      </w:r>
    </w:p>
  </w:footnote>
  <w:footnote w:id="271">
    <w:p w:rsidR="00252A4C" w:rsidRPr="00ED6163" w:rsidP="00D60B92" w14:paraId="67D05335" w14:textId="77777777">
      <w:pPr>
        <w:pStyle w:val="FootnoteText"/>
      </w:pPr>
      <w:r w:rsidRPr="00ED6163">
        <w:rPr>
          <w:rStyle w:val="FootnoteReference"/>
        </w:rPr>
        <w:footnoteRef/>
      </w:r>
      <w:r w:rsidRPr="00ED6163">
        <w:t xml:space="preserve"> Such</w:t>
      </w:r>
      <w:r w:rsidRPr="00ED6163">
        <w:t xml:space="preserve"> variations for “street” alone could include Street, STREET, ST, STR, ST., Str., str, and other variations all representing the same thing.</w:t>
      </w:r>
    </w:p>
  </w:footnote>
  <w:footnote w:id="272">
    <w:p w:rsidR="00252A4C" w:rsidRPr="00ED6163" w:rsidP="00D60B92" w14:paraId="3E14FE02" w14:textId="77777777">
      <w:pPr>
        <w:pStyle w:val="FootnoteText"/>
      </w:pPr>
      <w:r w:rsidRPr="00ED6163">
        <w:rPr>
          <w:rStyle w:val="FootnoteReference"/>
        </w:rPr>
        <w:footnoteRef/>
      </w:r>
      <w:r w:rsidRPr="00ED6163">
        <w:t xml:space="preserve"> USTelecom July 22, 2019 </w:t>
      </w:r>
      <w:r w:rsidRPr="00ED6163">
        <w:rPr>
          <w:i/>
        </w:rPr>
        <w:t>Ex Parte</w:t>
      </w:r>
      <w:r w:rsidRPr="00ED6163">
        <w:t xml:space="preserve"> Letter at 2; </w:t>
      </w:r>
      <w:r w:rsidRPr="00ED6163">
        <w:rPr>
          <w:i/>
        </w:rPr>
        <w:t xml:space="preserve">see also </w:t>
      </w:r>
      <w:r w:rsidRPr="00ED6163">
        <w:t xml:space="preserve">ITTA July 24, 2019 </w:t>
      </w:r>
      <w:r w:rsidRPr="00ED6163">
        <w:rPr>
          <w:i/>
        </w:rPr>
        <w:t>Ex Parte</w:t>
      </w:r>
      <w:r w:rsidRPr="00ED6163">
        <w:t xml:space="preserve"> Letter at 2; Connected Nation J</w:t>
      </w:r>
      <w:r w:rsidRPr="00ED6163">
        <w:t xml:space="preserve">uly 25, 2019 </w:t>
      </w:r>
      <w:r w:rsidRPr="00ED6163">
        <w:rPr>
          <w:i/>
        </w:rPr>
        <w:t>Ex Parte</w:t>
      </w:r>
      <w:r w:rsidRPr="00ED6163">
        <w:t xml:space="preserve"> Letter at 2.</w:t>
      </w:r>
    </w:p>
  </w:footnote>
  <w:footnote w:id="273">
    <w:p w:rsidR="00252A4C" w:rsidRPr="00ED6163" w:rsidP="00D60B92" w14:paraId="46615FD4" w14:textId="77777777">
      <w:pPr>
        <w:pStyle w:val="FootnoteText"/>
      </w:pPr>
      <w:r w:rsidRPr="00ED6163">
        <w:rPr>
          <w:rStyle w:val="FootnoteReference"/>
        </w:rPr>
        <w:footnoteRef/>
      </w:r>
      <w:r w:rsidRPr="00ED6163">
        <w:t xml:space="preserve"> </w:t>
      </w:r>
      <w:r w:rsidRPr="00ED6163">
        <w:rPr>
          <w:i/>
        </w:rPr>
        <w:t xml:space="preserve">See </w:t>
      </w:r>
      <w:r w:rsidRPr="00ED6163">
        <w:t xml:space="preserve">ACA July 24, 2019 </w:t>
      </w:r>
      <w:r w:rsidRPr="00ED6163">
        <w:rPr>
          <w:i/>
        </w:rPr>
        <w:t>Ex Parte</w:t>
      </w:r>
      <w:r w:rsidRPr="00ED6163">
        <w:t xml:space="preserve"> Letter at 7.</w:t>
      </w:r>
    </w:p>
  </w:footnote>
  <w:footnote w:id="274">
    <w:p w:rsidR="00252A4C" w:rsidRPr="00ED6163" w:rsidP="00D60B92" w14:paraId="20A61E56" w14:textId="77777777">
      <w:pPr>
        <w:pStyle w:val="FootnoteText"/>
      </w:pPr>
      <w:r w:rsidRPr="00ED6163">
        <w:rPr>
          <w:rStyle w:val="FootnoteReference"/>
        </w:rPr>
        <w:footnoteRef/>
      </w:r>
      <w:r w:rsidRPr="00ED6163">
        <w:t xml:space="preserve"> </w:t>
      </w:r>
      <w:r w:rsidRPr="00ED6163">
        <w:rPr>
          <w:i/>
        </w:rPr>
        <w:t>Id</w:t>
      </w:r>
      <w:r w:rsidRPr="00ED6163">
        <w:t>.</w:t>
      </w:r>
    </w:p>
  </w:footnote>
  <w:footnote w:id="275">
    <w:p w:rsidR="00252A4C" w:rsidRPr="00ED6163" w:rsidP="00D60B92" w14:paraId="1FE68650" w14:textId="77777777">
      <w:pPr>
        <w:pStyle w:val="FootnoteText"/>
      </w:pPr>
      <w:r w:rsidRPr="00ED6163">
        <w:rPr>
          <w:rStyle w:val="FootnoteReference"/>
        </w:rPr>
        <w:footnoteRef/>
      </w:r>
      <w:r w:rsidRPr="00ED6163">
        <w:t xml:space="preserve"> USTelecom Mar. 21, 2019 </w:t>
      </w:r>
      <w:r w:rsidRPr="00ED6163">
        <w:rPr>
          <w:i/>
        </w:rPr>
        <w:t>Ex Parte</w:t>
      </w:r>
      <w:r w:rsidRPr="00ED6163">
        <w:t xml:space="preserve"> Letter at 4 (estimating that “the cost to implement the initial nationwide [Broadband Serviceable Location Fabric] is approximately $1</w:t>
      </w:r>
      <w:r w:rsidRPr="00ED6163">
        <w:t>0 million”).</w:t>
      </w:r>
    </w:p>
  </w:footnote>
  <w:footnote w:id="276">
    <w:p w:rsidR="00252A4C" w:rsidP="00D60B92" w14:paraId="69BB5FF6" w14:textId="77777777">
      <w:pPr>
        <w:pStyle w:val="FootnoteText"/>
      </w:pPr>
      <w:r>
        <w:rPr>
          <w:rStyle w:val="FootnoteReference"/>
        </w:rPr>
        <w:footnoteRef/>
      </w:r>
      <w:r>
        <w:t xml:space="preserve"> The Commission, however, recognizes that providers have the experience and capabilities to optimize network performance and coverage with some certainty. </w:t>
      </w:r>
    </w:p>
  </w:footnote>
  <w:footnote w:id="277">
    <w:p w:rsidR="00252A4C" w:rsidRPr="00ED6163" w:rsidP="00D60B92" w14:paraId="545D4359" w14:textId="77777777">
      <w:pPr>
        <w:pStyle w:val="FootnoteText"/>
      </w:pPr>
      <w:r w:rsidRPr="00ED6163">
        <w:rPr>
          <w:rStyle w:val="FootnoteReference"/>
        </w:rPr>
        <w:footnoteRef/>
      </w:r>
      <w:r w:rsidRPr="00ED6163">
        <w:t xml:space="preserve"> </w:t>
      </w:r>
      <w:r w:rsidRPr="00ED6163">
        <w:rPr>
          <w:i/>
        </w:rPr>
        <w:t>2017 Data Collection Improvement FNPRM</w:t>
      </w:r>
      <w:r w:rsidRPr="00ED6163">
        <w:t>, 32 FCC Rcd at 6333, para. 12.</w:t>
      </w:r>
    </w:p>
  </w:footnote>
  <w:footnote w:id="278">
    <w:p w:rsidR="00252A4C" w:rsidRPr="00ED6163" w:rsidP="00D60B92" w14:paraId="18ED8527" w14:textId="77777777">
      <w:pPr>
        <w:pStyle w:val="FootnoteText"/>
      </w:pPr>
      <w:r w:rsidRPr="00ED6163">
        <w:rPr>
          <w:rStyle w:val="FootnoteReference"/>
        </w:rPr>
        <w:footnoteRef/>
      </w:r>
      <w:r w:rsidRPr="00ED6163">
        <w:t xml:space="preserve"> </w:t>
      </w:r>
      <w:r w:rsidRPr="00ED6163">
        <w:rPr>
          <w:i/>
        </w:rPr>
        <w:t>Id.</w:t>
      </w:r>
    </w:p>
  </w:footnote>
  <w:footnote w:id="279">
    <w:p w:rsidR="00252A4C" w:rsidRPr="00ED6163" w:rsidP="00D60B92" w14:paraId="6B19D825" w14:textId="77777777">
      <w:pPr>
        <w:pStyle w:val="FootnoteText"/>
      </w:pPr>
      <w:r w:rsidRPr="00ED6163">
        <w:rPr>
          <w:rStyle w:val="FootnoteReference"/>
        </w:rPr>
        <w:footnoteRef/>
      </w:r>
      <w:r w:rsidRPr="00ED6163">
        <w:t xml:space="preserve"> </w:t>
      </w:r>
      <w:r w:rsidRPr="00ED6163">
        <w:rPr>
          <w:i/>
        </w:rPr>
        <w:t>Id.</w:t>
      </w:r>
    </w:p>
  </w:footnote>
  <w:footnote w:id="280">
    <w:p w:rsidR="00252A4C" w:rsidRPr="00ED6163" w:rsidP="00D60B92" w14:paraId="5985FF5F" w14:textId="77777777">
      <w:pPr>
        <w:pStyle w:val="FootnoteText"/>
      </w:pPr>
      <w:r w:rsidRPr="00ED6163">
        <w:rPr>
          <w:rStyle w:val="FootnoteReference"/>
        </w:rPr>
        <w:footnoteRef/>
      </w:r>
      <w:r w:rsidRPr="00ED6163">
        <w:t xml:space="preserve"> </w:t>
      </w:r>
      <w:r w:rsidRPr="00ED6163">
        <w:rPr>
          <w:i/>
        </w:rPr>
        <w:t>Id.</w:t>
      </w:r>
      <w:r w:rsidRPr="00ED6163">
        <w:t xml:space="preserve"> at 6333, para. 13.</w:t>
      </w:r>
    </w:p>
  </w:footnote>
  <w:footnote w:id="281">
    <w:p w:rsidR="00252A4C" w:rsidRPr="00ED6163" w:rsidP="00D60B92" w14:paraId="04A2CA23" w14:textId="77777777">
      <w:pPr>
        <w:pStyle w:val="FootnoteText"/>
      </w:pPr>
      <w:r w:rsidRPr="00ED6163">
        <w:rPr>
          <w:rStyle w:val="FootnoteReference"/>
        </w:rPr>
        <w:footnoteRef/>
      </w:r>
      <w:r w:rsidRPr="00ED6163">
        <w:t xml:space="preserve"> AT&amp;T Comments at 5.</w:t>
      </w:r>
    </w:p>
  </w:footnote>
  <w:footnote w:id="282">
    <w:p w:rsidR="00252A4C" w:rsidRPr="00ED6163" w:rsidP="00D60B92" w14:paraId="74316665" w14:textId="77777777">
      <w:pPr>
        <w:pStyle w:val="FootnoteText"/>
      </w:pPr>
      <w:r w:rsidRPr="00ED6163">
        <w:rPr>
          <w:rStyle w:val="FootnoteReference"/>
        </w:rPr>
        <w:footnoteRef/>
      </w:r>
      <w:r w:rsidRPr="00ED6163">
        <w:t xml:space="preserve"> </w:t>
      </w:r>
      <w:r w:rsidRPr="00ED6163">
        <w:rPr>
          <w:i/>
        </w:rPr>
        <w:t>Id</w:t>
      </w:r>
      <w:r w:rsidRPr="00ED6163">
        <w:t>. at 5-6.</w:t>
      </w:r>
    </w:p>
  </w:footnote>
  <w:footnote w:id="283">
    <w:p w:rsidR="00252A4C" w:rsidRPr="00ED6163" w:rsidP="00D60B92" w14:paraId="26322E0C" w14:textId="77777777">
      <w:pPr>
        <w:pStyle w:val="FootnoteText"/>
      </w:pPr>
      <w:r w:rsidRPr="00ED6163">
        <w:rPr>
          <w:rStyle w:val="FootnoteReference"/>
        </w:rPr>
        <w:footnoteRef/>
      </w:r>
      <w:r w:rsidRPr="00ED6163">
        <w:t xml:space="preserve"> City of New York Reply at 1.</w:t>
      </w:r>
    </w:p>
  </w:footnote>
  <w:footnote w:id="284">
    <w:p w:rsidR="00252A4C" w:rsidRPr="00ED6163" w:rsidP="00D60B92" w14:paraId="6E1D57DA" w14:textId="77777777">
      <w:pPr>
        <w:pStyle w:val="FootnoteText"/>
      </w:pPr>
      <w:r w:rsidRPr="00ED6163">
        <w:rPr>
          <w:rStyle w:val="FootnoteReference"/>
        </w:rPr>
        <w:footnoteRef/>
      </w:r>
      <w:r w:rsidRPr="00ED6163">
        <w:t xml:space="preserve"> Deere &amp; Co. Reply at 2.</w:t>
      </w:r>
    </w:p>
  </w:footnote>
  <w:footnote w:id="285">
    <w:p w:rsidR="00252A4C" w:rsidRPr="00ED6163" w:rsidP="00D60B92" w14:paraId="76C029B2" w14:textId="77777777">
      <w:pPr>
        <w:pStyle w:val="FootnoteText"/>
      </w:pPr>
      <w:r w:rsidRPr="00ED6163">
        <w:rPr>
          <w:rStyle w:val="FootnoteReference"/>
        </w:rPr>
        <w:footnoteRef/>
      </w:r>
      <w:r w:rsidRPr="00ED6163">
        <w:t xml:space="preserve"> </w:t>
      </w:r>
      <w:r w:rsidRPr="00ED6163">
        <w:rPr>
          <w:i/>
        </w:rPr>
        <w:t>See, e.g.</w:t>
      </w:r>
      <w:r w:rsidRPr="00ED6163">
        <w:t>, RWA Comments at 3.</w:t>
      </w:r>
    </w:p>
  </w:footnote>
  <w:footnote w:id="286">
    <w:p w:rsidR="00252A4C" w:rsidRPr="00ED6163" w:rsidP="00D60B92" w14:paraId="450C9A42" w14:textId="77777777">
      <w:pPr>
        <w:pStyle w:val="FootnoteText"/>
      </w:pPr>
      <w:r w:rsidRPr="00ED6163">
        <w:rPr>
          <w:rStyle w:val="FootnoteReference"/>
        </w:rPr>
        <w:footnoteRef/>
      </w:r>
      <w:r w:rsidRPr="00ED6163">
        <w:rPr>
          <w:i/>
        </w:rPr>
        <w:t xml:space="preserve"> Mobility Fund II Order on Reconsideration and Second Report and Order, </w:t>
      </w:r>
      <w:r w:rsidRPr="00ED6163">
        <w:t>32 FCC Rcd at 6296, para. 28.</w:t>
      </w:r>
    </w:p>
  </w:footnote>
  <w:footnote w:id="287">
    <w:p w:rsidR="00252A4C" w:rsidRPr="00ED6163" w:rsidP="00D60B92" w14:paraId="0F86B4EA" w14:textId="77777777">
      <w:pPr>
        <w:pStyle w:val="FootnoteText"/>
      </w:pPr>
      <w:r w:rsidRPr="00ED6163">
        <w:rPr>
          <w:rStyle w:val="FootnoteReference"/>
        </w:rPr>
        <w:footnoteRef/>
      </w:r>
      <w:r w:rsidRPr="00ED6163">
        <w:t xml:space="preserve"> </w:t>
      </w:r>
      <w:r w:rsidRPr="00ED6163">
        <w:rPr>
          <w:i/>
          <w:iCs/>
        </w:rPr>
        <w:t>Se</w:t>
      </w:r>
      <w:r w:rsidRPr="00ED6163">
        <w:rPr>
          <w:i/>
          <w:iCs/>
        </w:rPr>
        <w:t>e</w:t>
      </w:r>
      <w:r w:rsidRPr="00ED6163">
        <w:t xml:space="preserve"> Comments and Petition for Reconsideration of CTIA, WC Docket No. 10-90, WT Docket No. 10-208 (Apr. 26, 2017).</w:t>
      </w:r>
    </w:p>
  </w:footnote>
  <w:footnote w:id="288">
    <w:p w:rsidR="00252A4C" w:rsidRPr="00ED6163" w:rsidP="00D60B92" w14:paraId="3DD72DCE" w14:textId="77777777">
      <w:pPr>
        <w:pStyle w:val="FootnoteText"/>
      </w:pPr>
      <w:r w:rsidRPr="00ED6163">
        <w:rPr>
          <w:rStyle w:val="FootnoteReference"/>
        </w:rPr>
        <w:footnoteRef/>
      </w:r>
      <w:r w:rsidRPr="00ED6163">
        <w:t xml:space="preserve"> News Release, FCC, FCC Launches Investigation Into Potential Violations of Mobility Fund Phase II Mapping Rules (Dec. 7, 2018), </w:t>
      </w:r>
      <w:hyperlink r:id="rId1" w:history="1">
        <w:r w:rsidRPr="00ED6163">
          <w:rPr>
            <w:rStyle w:val="Hyperlink"/>
          </w:rPr>
          <w:t>https://docs.fcc.gov/public/attachments/DOC-355447A1.pdf</w:t>
        </w:r>
      </w:hyperlink>
      <w:r w:rsidRPr="00ED6163">
        <w:t>.</w:t>
      </w:r>
    </w:p>
  </w:footnote>
  <w:footnote w:id="289">
    <w:p w:rsidR="00252A4C" w:rsidRPr="00ED6163" w:rsidP="00D60B92" w14:paraId="0305058A" w14:textId="77777777">
      <w:pPr>
        <w:pStyle w:val="FootnoteText"/>
      </w:pPr>
      <w:r w:rsidRPr="00ED6163">
        <w:rPr>
          <w:rStyle w:val="FootnoteReference"/>
        </w:rPr>
        <w:footnoteRef/>
      </w:r>
      <w:r w:rsidRPr="00ED6163">
        <w:t xml:space="preserve"> Ofcom, </w:t>
      </w:r>
      <w:r w:rsidRPr="00ED6163">
        <w:rPr>
          <w:i/>
        </w:rPr>
        <w:t>Consultation:</w:t>
      </w:r>
      <w:r w:rsidRPr="00ED6163">
        <w:t xml:space="preserve"> </w:t>
      </w:r>
      <w:r w:rsidRPr="00ED6163">
        <w:rPr>
          <w:i/>
        </w:rPr>
        <w:t>Coverage obligations in the 700 MHz and 3.6-3.8 GHz spectrum award - Ofcom’s approach to verifying compliance</w:t>
      </w:r>
      <w:r w:rsidRPr="00ED6163">
        <w:t xml:space="preserve"> (Jan. </w:t>
      </w:r>
      <w:r w:rsidRPr="00ED6163">
        <w:t xml:space="preserve">31, 2019), </w:t>
      </w:r>
      <w:hyperlink r:id="rId44" w:history="1">
        <w:r w:rsidRPr="00ED6163">
          <w:rPr>
            <w:rStyle w:val="Hyperlink"/>
          </w:rPr>
          <w:t>https://www.ofcom.org.uk/consultations-and-statements/category-2/coverage-obligations-in-the-700-</w:t>
        </w:r>
        <w:r w:rsidRPr="00ED6163">
          <w:rPr>
            <w:rStyle w:val="Hyperlink"/>
          </w:rPr>
          <w:t>mhz-and-3.6-3.8-ghz-spectrum-award</w:t>
        </w:r>
      </w:hyperlink>
      <w:r w:rsidRPr="00ED6163">
        <w:rPr>
          <w:rStyle w:val="Hyperlink"/>
        </w:rPr>
        <w:t>.</w:t>
      </w:r>
    </w:p>
  </w:footnote>
  <w:footnote w:id="290">
    <w:p w:rsidR="00252A4C" w:rsidRPr="00ED6163" w:rsidP="00D60B92" w14:paraId="72B24078" w14:textId="77777777">
      <w:pPr>
        <w:pStyle w:val="FootnoteText"/>
      </w:pPr>
      <w:r w:rsidRPr="00ED6163">
        <w:rPr>
          <w:rStyle w:val="FootnoteReference"/>
        </w:rPr>
        <w:footnoteRef/>
      </w:r>
      <w:r w:rsidRPr="00ED6163">
        <w:t xml:space="preserve"> Raster datasets “represent geographic features by dividing the world into discrete square or rectangular cells laid out in a grid.  Each cell has a value that is used to represent some characteristic of that location.”</w:t>
      </w:r>
      <w:r w:rsidRPr="00ED6163">
        <w:t xml:space="preserve">  Raster data “are commonly used for representing and managing imagery, digital elevation models,” or “as a way to represent point, line, and polygon features.”  ArcGIS Help, </w:t>
      </w:r>
      <w:r w:rsidRPr="00ED6163">
        <w:rPr>
          <w:i/>
          <w:iCs/>
        </w:rPr>
        <w:t>Raster Basics</w:t>
      </w:r>
      <w:r w:rsidRPr="00ED6163">
        <w:t xml:space="preserve">, </w:t>
      </w:r>
      <w:hyperlink r:id="rId45" w:history="1">
        <w:r w:rsidRPr="00ED6163">
          <w:rPr>
            <w:rStyle w:val="Hyperlink"/>
          </w:rPr>
          <w:t>http://desktop.arcgis.com/en/arcmap/10.3/manage-data/geodatabases/raster-basics.htm</w:t>
        </w:r>
      </w:hyperlink>
      <w:r w:rsidRPr="00ED6163">
        <w:t xml:space="preserve"> (last visited June 18, 2019).  Rasters can “represent all geographic information (features, images, and surfaces),” and are “a universal d</w:t>
      </w:r>
      <w:r w:rsidRPr="00ED6163">
        <w:t xml:space="preserve">ata type for holding imagery in GIS.”  </w:t>
      </w:r>
      <w:r w:rsidRPr="00ED6163">
        <w:rPr>
          <w:i/>
        </w:rPr>
        <w:t>Id</w:t>
      </w:r>
      <w:r w:rsidRPr="00ED6163">
        <w:t xml:space="preserve">.; </w:t>
      </w:r>
      <w:r w:rsidRPr="00ED6163">
        <w:rPr>
          <w:i/>
        </w:rPr>
        <w:t>2017 Data Collection Improvement FNPRM</w:t>
      </w:r>
      <w:r w:rsidRPr="00ED6163">
        <w:t>, 32 FCC Rcd at 6333, para. 11, n. 20.</w:t>
      </w:r>
    </w:p>
  </w:footnote>
  <w:footnote w:id="291">
    <w:p w:rsidR="00252A4C" w:rsidRPr="00ED6163" w:rsidP="00D60B92" w14:paraId="3B60246C" w14:textId="77777777">
      <w:pPr>
        <w:pStyle w:val="FootnoteText"/>
      </w:pPr>
      <w:r w:rsidRPr="00ED6163">
        <w:rPr>
          <w:rStyle w:val="FootnoteReference"/>
        </w:rPr>
        <w:footnoteRef/>
      </w:r>
      <w:r w:rsidRPr="00ED6163">
        <w:t xml:space="preserve"> Vector data represents the world using points, lines, and polygons.  Vector data files are useful for storing data that has discrete </w:t>
      </w:r>
      <w:r w:rsidRPr="00ED6163">
        <w:t>boundaries, such as country borders, land parcels, and streets.  Raster data represents the world as a surface divided into a regular grid of cells.  Rasters are useful for storing data that varies continuously, as in an aerial photograph, a satellite imag</w:t>
      </w:r>
      <w:r w:rsidRPr="00ED6163">
        <w:t xml:space="preserve">e, a surface of chemical concentrations, or an elevation surface.  </w:t>
      </w:r>
      <w:r w:rsidRPr="00ED6163">
        <w:rPr>
          <w:i/>
        </w:rPr>
        <w:t>See</w:t>
      </w:r>
      <w:r w:rsidRPr="00ED6163">
        <w:t xml:space="preserve"> GIS Geography, </w:t>
      </w:r>
      <w:r w:rsidRPr="00947E6A">
        <w:rPr>
          <w:i/>
        </w:rPr>
        <w:t>“Vector vs. Raster: What’s the Difference Between GIS Spatial Data Types?”</w:t>
      </w:r>
      <w:r w:rsidRPr="00ED6163">
        <w:t xml:space="preserve"> </w:t>
      </w:r>
      <w:hyperlink r:id="rId46" w:history="1">
        <w:r w:rsidRPr="00ED6163">
          <w:rPr>
            <w:rStyle w:val="Hyperlink"/>
          </w:rPr>
          <w:t>https://gisgeography.com/spatial-data-types-vector-raster/</w:t>
        </w:r>
      </w:hyperlink>
      <w:r w:rsidRPr="00ED6163">
        <w:t xml:space="preserve">  (last visited June 19, 2019); PitneyBowes, </w:t>
      </w:r>
      <w:r w:rsidRPr="00947E6A">
        <w:rPr>
          <w:i/>
        </w:rPr>
        <w:t>“Raster and Vector Data, What’s the Difference?”</w:t>
      </w:r>
      <w:r w:rsidRPr="00ED6163">
        <w:t xml:space="preserve"> </w:t>
      </w:r>
      <w:hyperlink r:id="rId47" w:history="1">
        <w:r w:rsidRPr="00ED6163">
          <w:rPr>
            <w:rStyle w:val="Hyperlink"/>
          </w:rPr>
          <w:t>http://support.pitneybowes.com/SearchArticles/VFP05_KnowledgeWithSidebarHowTo?id=kA180000000Cu9DCAS&amp;popup=false;&amp;lang=en_US</w:t>
        </w:r>
      </w:hyperlink>
      <w:r w:rsidRPr="00ED6163">
        <w:t xml:space="preserve"> (last visited June 19, </w:t>
      </w:r>
      <w:r w:rsidRPr="00ED6163">
        <w:t>2019).</w:t>
      </w:r>
    </w:p>
  </w:footnote>
  <w:footnote w:id="292">
    <w:p w:rsidR="00252A4C" w:rsidRPr="00ED6163" w:rsidP="00D60B92" w14:paraId="72621222" w14:textId="77777777">
      <w:pPr>
        <w:pStyle w:val="FootnoteText"/>
      </w:pPr>
      <w:r w:rsidRPr="00ED6163">
        <w:rPr>
          <w:rStyle w:val="FootnoteReference"/>
        </w:rPr>
        <w:footnoteRef/>
      </w:r>
      <w:r w:rsidRPr="00ED6163">
        <w:t xml:space="preserve"> </w:t>
      </w:r>
      <w:r w:rsidRPr="00ED6163">
        <w:rPr>
          <w:i/>
        </w:rPr>
        <w:t>2017 Data Collection Improvement FNPRM</w:t>
      </w:r>
      <w:r w:rsidRPr="00ED6163">
        <w:t>, 32 FCC Rcd at 6333, para. 11, n. 20.</w:t>
      </w:r>
    </w:p>
  </w:footnote>
  <w:footnote w:id="293">
    <w:p w:rsidR="00252A4C" w:rsidRPr="00ED6163" w:rsidP="00D60B92" w14:paraId="375E8675" w14:textId="77777777">
      <w:pPr>
        <w:pStyle w:val="FootnoteText"/>
      </w:pPr>
      <w:r w:rsidRPr="00ED6163">
        <w:rPr>
          <w:rStyle w:val="FootnoteReference"/>
        </w:rPr>
        <w:footnoteRef/>
      </w:r>
      <w:r w:rsidRPr="00ED6163">
        <w:t xml:space="preserve"> AT&amp;T Comments at 6, City of New York Reply at 3.</w:t>
      </w:r>
    </w:p>
  </w:footnote>
  <w:footnote w:id="294">
    <w:p w:rsidR="00252A4C" w:rsidRPr="00ED6163" w:rsidP="00D60B92" w14:paraId="405903C1" w14:textId="77777777">
      <w:pPr>
        <w:pStyle w:val="FootnoteText"/>
      </w:pPr>
      <w:r w:rsidRPr="00ED6163">
        <w:rPr>
          <w:rStyle w:val="FootnoteReference"/>
        </w:rPr>
        <w:footnoteRef/>
      </w:r>
      <w:r w:rsidRPr="00ED6163">
        <w:t xml:space="preserve"> Oversight of the Federal Communications Commission: Hearing Before the S. Comm. On Commerce, Science, and Transportation, 114th Cong. (2018) (expressing bipartisan concern about the accuracy of MF-II coverage maps); Letter from the Kansas Congressional De</w:t>
      </w:r>
      <w:r w:rsidRPr="00ED6163">
        <w:t>legation to Ajit Pai, Chairman, FCC at 1 (May 6, 2019) (urging standardized validation of broadband availability); Letter from the Illinois Congressional Delegation to Ajit Pai, Chairman, FCC at 1 (June 17, 2019) (asserting that broadband maps are inaccura</w:t>
      </w:r>
      <w:r w:rsidRPr="00ED6163">
        <w:t xml:space="preserve">te and urging the Commission to develop “a process to validate or authenticate the information produced by service providers”); RF Engineering Coalition MF-II </w:t>
      </w:r>
      <w:r w:rsidRPr="00ED6163">
        <w:rPr>
          <w:i/>
          <w:iCs/>
        </w:rPr>
        <w:t xml:space="preserve">Ex Parte </w:t>
      </w:r>
      <w:r w:rsidRPr="00ED6163">
        <w:t>Letter; Competitive Carriers Association Reply, WC Docket No. 10-90, WT Docket No. 10-20</w:t>
      </w:r>
      <w:r w:rsidRPr="00ED6163">
        <w:t>8, at 6 (filed May 11, 2017).</w:t>
      </w:r>
    </w:p>
  </w:footnote>
  <w:footnote w:id="295">
    <w:p w:rsidR="00252A4C" w:rsidRPr="00ED6163" w:rsidP="00D60B92" w14:paraId="31F1E75E" w14:textId="77777777">
      <w:pPr>
        <w:pStyle w:val="FootnoteText"/>
      </w:pPr>
      <w:r w:rsidRPr="00ED6163">
        <w:rPr>
          <w:rStyle w:val="FootnoteReference"/>
        </w:rPr>
        <w:footnoteRef/>
      </w:r>
      <w:r w:rsidRPr="00ED6163">
        <w:t xml:space="preserve"> </w:t>
      </w:r>
      <w:r w:rsidRPr="00ED6163">
        <w:rPr>
          <w:i/>
          <w:iCs/>
        </w:rPr>
        <w:t>See, e.g.</w:t>
      </w:r>
      <w:r w:rsidRPr="00ED6163">
        <w:t xml:space="preserve">, </w:t>
      </w:r>
      <w:r w:rsidRPr="00ED6163">
        <w:rPr>
          <w:i/>
        </w:rPr>
        <w:t>2017 Data Collection Improvement FNPRM</w:t>
      </w:r>
      <w:r w:rsidRPr="00ED6163">
        <w:t>, 32 FCC Rcd at 6332, para. 10.</w:t>
      </w:r>
    </w:p>
  </w:footnote>
  <w:footnote w:id="296">
    <w:p w:rsidR="00252A4C" w:rsidRPr="00ED6163" w:rsidP="00D60B92" w14:paraId="2845DC57" w14:textId="77777777">
      <w:pPr>
        <w:pStyle w:val="FootnoteText"/>
      </w:pPr>
      <w:r w:rsidRPr="00ED6163">
        <w:rPr>
          <w:rStyle w:val="FootnoteReference"/>
        </w:rPr>
        <w:footnoteRef/>
      </w:r>
      <w:r w:rsidRPr="00ED6163">
        <w:t xml:space="preserve"> Under our proposal, IB, WCB, WTB, or OEA </w:t>
      </w:r>
      <w:r>
        <w:t>could</w:t>
      </w:r>
      <w:r w:rsidRPr="00ED6163">
        <w:t xml:space="preserve"> issue such a request.  </w:t>
      </w:r>
    </w:p>
  </w:footnote>
  <w:footnote w:id="297">
    <w:p w:rsidR="00252A4C" w:rsidRPr="00ED6163" w:rsidP="00D60B92" w14:paraId="1B22AB42" w14:textId="77777777">
      <w:pPr>
        <w:pStyle w:val="FootnoteText"/>
      </w:pPr>
      <w:r w:rsidRPr="00ED6163">
        <w:rPr>
          <w:rStyle w:val="FootnoteReference"/>
        </w:rPr>
        <w:footnoteRef/>
      </w:r>
      <w:r w:rsidRPr="00ED6163">
        <w:t xml:space="preserve"> </w:t>
      </w:r>
      <w:r w:rsidRPr="00ED6163">
        <w:rPr>
          <w:i/>
        </w:rPr>
        <w:t>See, e.g.</w:t>
      </w:r>
      <w:r w:rsidRPr="00ED6163">
        <w:t>, CTIA Comments at 13-14; Verizon Comments at 15-17.</w:t>
      </w:r>
    </w:p>
  </w:footnote>
  <w:footnote w:id="298">
    <w:p w:rsidR="00252A4C" w:rsidRPr="00ED6163" w:rsidP="00D60B92" w14:paraId="1C10B88E" w14:textId="77777777">
      <w:pPr>
        <w:pStyle w:val="FootnoteText"/>
      </w:pPr>
      <w:r w:rsidRPr="00ED6163">
        <w:rPr>
          <w:rStyle w:val="FootnoteReference"/>
        </w:rPr>
        <w:footnoteRef/>
      </w:r>
      <w:r w:rsidRPr="00ED6163">
        <w:t xml:space="preserve"> </w:t>
      </w:r>
      <w:r w:rsidRPr="00ED6163">
        <w:rPr>
          <w:i/>
        </w:rPr>
        <w:t>2017</w:t>
      </w:r>
      <w:r w:rsidRPr="00ED6163">
        <w:rPr>
          <w:i/>
        </w:rPr>
        <w:t xml:space="preserve"> Data Collection Improvement FNPRM</w:t>
      </w:r>
      <w:r w:rsidRPr="00ED6163">
        <w:t>, 32 FCC Rcd at 6333, para. 14.</w:t>
      </w:r>
    </w:p>
  </w:footnote>
  <w:footnote w:id="299">
    <w:p w:rsidR="00252A4C" w:rsidRPr="00ED6163" w:rsidP="00D60B92" w14:paraId="4884CE31" w14:textId="77777777">
      <w:pPr>
        <w:pStyle w:val="FootnoteText"/>
      </w:pPr>
      <w:r w:rsidRPr="00ED6163">
        <w:rPr>
          <w:rStyle w:val="FootnoteReference"/>
        </w:rPr>
        <w:footnoteRef/>
      </w:r>
      <w:r w:rsidRPr="00ED6163">
        <w:t xml:space="preserve"> </w:t>
      </w:r>
      <w:r w:rsidRPr="00ED6163">
        <w:rPr>
          <w:i/>
        </w:rPr>
        <w:t>Id.</w:t>
      </w:r>
    </w:p>
  </w:footnote>
  <w:footnote w:id="300">
    <w:p w:rsidR="00252A4C" w:rsidRPr="00ED6163" w:rsidP="00D60B92" w14:paraId="29E706E4" w14:textId="77777777">
      <w:pPr>
        <w:pStyle w:val="FootnoteText"/>
      </w:pPr>
      <w:r w:rsidRPr="00ED6163">
        <w:rPr>
          <w:rStyle w:val="FootnoteReference"/>
        </w:rPr>
        <w:footnoteRef/>
      </w:r>
      <w:r w:rsidRPr="00ED6163">
        <w:t xml:space="preserve"> </w:t>
      </w:r>
      <w:r w:rsidRPr="00ED6163">
        <w:rPr>
          <w:i/>
        </w:rPr>
        <w:t>Id.</w:t>
      </w:r>
    </w:p>
  </w:footnote>
  <w:footnote w:id="301">
    <w:p w:rsidR="00252A4C" w:rsidRPr="00ED6163" w:rsidP="00D60B92" w14:paraId="1F00318C" w14:textId="77777777">
      <w:pPr>
        <w:pStyle w:val="FootnoteText"/>
      </w:pPr>
      <w:r w:rsidRPr="00ED6163">
        <w:rPr>
          <w:rStyle w:val="FootnoteReference"/>
        </w:rPr>
        <w:footnoteRef/>
      </w:r>
      <w:r w:rsidRPr="00ED6163">
        <w:t xml:space="preserve"> </w:t>
      </w:r>
      <w:r w:rsidRPr="00ED6163">
        <w:rPr>
          <w:i/>
        </w:rPr>
        <w:t>Id</w:t>
      </w:r>
      <w:r w:rsidRPr="00ED6163">
        <w:t>.</w:t>
      </w:r>
    </w:p>
  </w:footnote>
  <w:footnote w:id="302">
    <w:p w:rsidR="00252A4C" w:rsidRPr="00ED6163" w:rsidP="00D60B92" w14:paraId="65797DBB" w14:textId="77777777">
      <w:pPr>
        <w:pStyle w:val="FootnoteText"/>
      </w:pPr>
      <w:r w:rsidRPr="00ED6163">
        <w:rPr>
          <w:rStyle w:val="FootnoteReference"/>
        </w:rPr>
        <w:footnoteRef/>
      </w:r>
      <w:r w:rsidRPr="00ED6163">
        <w:t xml:space="preserve"> </w:t>
      </w:r>
      <w:r w:rsidRPr="00ED6163">
        <w:rPr>
          <w:i/>
        </w:rPr>
        <w:t>See, e.g.</w:t>
      </w:r>
      <w:r w:rsidRPr="00ED6163">
        <w:t>, City of New York Reply at 3, Connected Nation Comments at 11.</w:t>
      </w:r>
    </w:p>
  </w:footnote>
  <w:footnote w:id="303">
    <w:p w:rsidR="00252A4C" w:rsidRPr="00ED6163" w:rsidP="00D60B92" w14:paraId="00D95FC8" w14:textId="77777777">
      <w:pPr>
        <w:pStyle w:val="FootnoteText"/>
      </w:pPr>
      <w:r w:rsidRPr="00ED6163">
        <w:rPr>
          <w:rStyle w:val="FootnoteReference"/>
        </w:rPr>
        <w:footnoteRef/>
      </w:r>
      <w:r w:rsidRPr="00ED6163">
        <w:t xml:space="preserve"> </w:t>
      </w:r>
      <w:r w:rsidRPr="00ED6163">
        <w:rPr>
          <w:i/>
        </w:rPr>
        <w:t>See, e.g.</w:t>
      </w:r>
      <w:r w:rsidRPr="00ED6163">
        <w:t>, AT&amp;T Comments at 8, T-Mobile Comments at 2-3, 10-12.</w:t>
      </w:r>
    </w:p>
  </w:footnote>
  <w:footnote w:id="304">
    <w:p w:rsidR="00252A4C" w:rsidRPr="00ED6163" w:rsidP="00D60B92" w14:paraId="2E3C1DE6" w14:textId="77777777">
      <w:pPr>
        <w:pStyle w:val="FootnoteText"/>
      </w:pPr>
      <w:r w:rsidRPr="00ED6163">
        <w:rPr>
          <w:rStyle w:val="FootnoteReference"/>
        </w:rPr>
        <w:footnoteRef/>
      </w:r>
      <w:r w:rsidRPr="00ED6163">
        <w:t xml:space="preserve"> </w:t>
      </w:r>
      <w:r w:rsidRPr="00ED6163">
        <w:rPr>
          <w:i/>
        </w:rPr>
        <w:t>See, e.g.</w:t>
      </w:r>
      <w:r w:rsidRPr="00ED6163">
        <w:t xml:space="preserve">, T-Mobile Comments </w:t>
      </w:r>
      <w:r w:rsidRPr="00ED6163">
        <w:t>at 2-3, 11 Verizon Comments at 5-6.</w:t>
      </w:r>
    </w:p>
  </w:footnote>
  <w:footnote w:id="305">
    <w:p w:rsidR="00252A4C" w:rsidRPr="00ED6163" w:rsidP="00D60B92" w14:paraId="5353DAC5" w14:textId="77777777">
      <w:pPr>
        <w:pStyle w:val="FootnoteText"/>
      </w:pPr>
      <w:r w:rsidRPr="00ED6163">
        <w:rPr>
          <w:rStyle w:val="FootnoteReference"/>
        </w:rPr>
        <w:footnoteRef/>
      </w:r>
      <w:r w:rsidRPr="00ED6163">
        <w:t xml:space="preserve"> A variety of third-party entities perform speed tests for providers.  </w:t>
      </w:r>
      <w:r w:rsidRPr="00ED6163">
        <w:rPr>
          <w:i/>
        </w:rPr>
        <w:t>See, e.g.,</w:t>
      </w:r>
      <w:r w:rsidRPr="00ED6163">
        <w:t xml:space="preserve"> Nielson, Network Performance, </w:t>
      </w:r>
      <w:r w:rsidRPr="00947E6A">
        <w:rPr>
          <w:i/>
        </w:rPr>
        <w:t>Measuring the Mobile Consumer</w:t>
      </w:r>
      <w:r w:rsidRPr="00ED6163">
        <w:t xml:space="preserve">, </w:t>
      </w:r>
      <w:hyperlink r:id="rId48" w:history="1">
        <w:r w:rsidRPr="00ED6163">
          <w:rPr>
            <w:rStyle w:val="Hyperlink"/>
          </w:rPr>
          <w:t>https://www.nielsen.com/us/en/solutions/capabilities/nielsen-mobile-performance/</w:t>
        </w:r>
      </w:hyperlink>
      <w:r w:rsidRPr="00ED6163">
        <w:t xml:space="preserve"> </w:t>
      </w:r>
      <w:hyperlink w:history="1"/>
      <w:r w:rsidRPr="00ED6163">
        <w:t xml:space="preserve">(last visited June 10, 2019); Mosaik, </w:t>
      </w:r>
      <w:r w:rsidRPr="00947E6A">
        <w:rPr>
          <w:i/>
        </w:rPr>
        <w:t>Network QoE</w:t>
      </w:r>
      <w:r w:rsidRPr="00ED6163">
        <w:t xml:space="preserve">, </w:t>
      </w:r>
      <w:hyperlink r:id="rId49" w:history="1">
        <w:r w:rsidRPr="00ED6163">
          <w:rPr>
            <w:rStyle w:val="Hyperlink"/>
          </w:rPr>
          <w:t>https://www.mosaik.com/network-experience-solutions/network-qoe/</w:t>
        </w:r>
      </w:hyperlink>
      <w:r w:rsidRPr="00ED6163">
        <w:t xml:space="preserve"> (last visited June 10, 2019).  </w:t>
      </w:r>
    </w:p>
  </w:footnote>
  <w:footnote w:id="306">
    <w:p w:rsidR="00252A4C" w:rsidRPr="00ED6163" w:rsidP="00D60B92" w14:paraId="52FC9138" w14:textId="77777777">
      <w:pPr>
        <w:pStyle w:val="FootnoteText"/>
        <w:rPr>
          <w:i/>
          <w:iCs/>
        </w:rPr>
      </w:pPr>
      <w:r w:rsidRPr="00ED6163">
        <w:rPr>
          <w:rStyle w:val="FootnoteReference"/>
        </w:rPr>
        <w:footnoteRef/>
      </w:r>
      <w:r w:rsidRPr="00ED6163">
        <w:rPr>
          <w:i/>
        </w:rPr>
        <w:t>See, e.g.</w:t>
      </w:r>
      <w:r w:rsidRPr="00ED6163">
        <w:t xml:space="preserve">, </w:t>
      </w:r>
      <w:r w:rsidRPr="00ED6163">
        <w:rPr>
          <w:i/>
        </w:rPr>
        <w:t>Communications Marketplace Report</w:t>
      </w:r>
      <w:r w:rsidRPr="00ED6163">
        <w:t xml:space="preserve">, 33 FCC Rcd at 12579, para. 25; </w:t>
      </w:r>
      <w:r w:rsidRPr="00ED6163">
        <w:rPr>
          <w:i/>
          <w:iCs/>
        </w:rPr>
        <w:t>Twentieth CM</w:t>
      </w:r>
      <w:r w:rsidRPr="00ED6163">
        <w:rPr>
          <w:i/>
          <w:iCs/>
        </w:rPr>
        <w:t>RS Competition Report</w:t>
      </w:r>
      <w:r w:rsidRPr="00ED6163">
        <w:rPr>
          <w:i/>
        </w:rPr>
        <w:t xml:space="preserve">, </w:t>
      </w:r>
      <w:r w:rsidRPr="00ED6163">
        <w:t>32 FCC Rcd at 9034-37, paras. 90-92</w:t>
      </w:r>
      <w:r w:rsidRPr="00ED6163">
        <w:rPr>
          <w:i/>
        </w:rPr>
        <w:t>; 2019 Broadband Deployment Report</w:t>
      </w:r>
      <w:r w:rsidRPr="00ED6163">
        <w:t>, FCC 19-44, * 6-7, paras. 16-17.</w:t>
      </w:r>
    </w:p>
  </w:footnote>
  <w:footnote w:id="307">
    <w:p w:rsidR="00252A4C" w:rsidRPr="00ED6163" w:rsidP="00D60B92" w14:paraId="3E5BE4D0" w14:textId="77777777">
      <w:pPr>
        <w:pStyle w:val="FootnoteText"/>
      </w:pPr>
      <w:r w:rsidRPr="00ED6163">
        <w:rPr>
          <w:rStyle w:val="FootnoteReference"/>
        </w:rPr>
        <w:footnoteRef/>
      </w:r>
      <w:r w:rsidRPr="00ED6163">
        <w:t xml:space="preserve"> </w:t>
      </w:r>
      <w:r w:rsidRPr="00ED6163">
        <w:rPr>
          <w:i/>
        </w:rPr>
        <w:t>2019 Broadband Deployment Report</w:t>
      </w:r>
      <w:r w:rsidRPr="00ED6163">
        <w:t>, FCC 19-44, * 6-7, paras. 16-17.</w:t>
      </w:r>
      <w:r w:rsidRPr="00ED6163">
        <w:rPr>
          <w:color w:val="000000"/>
        </w:rPr>
        <w:t xml:space="preserve">  </w:t>
      </w:r>
      <w:r w:rsidRPr="00ED6163">
        <w:t>Ookla gathers crowdsourced mobile speed data through its Spee</w:t>
      </w:r>
      <w:r w:rsidRPr="00ED6163">
        <w:t xml:space="preserve">dtest mobile app. Speedtest, </w:t>
      </w:r>
      <w:r w:rsidRPr="00ED6163">
        <w:rPr>
          <w:i/>
        </w:rPr>
        <w:t>Speedtest Apps for Mobile</w:t>
      </w:r>
      <w:r w:rsidRPr="00ED6163">
        <w:t xml:space="preserve">, </w:t>
      </w:r>
      <w:hyperlink r:id="rId50" w:history="1">
        <w:r w:rsidRPr="00ED6163">
          <w:rPr>
            <w:rStyle w:val="Hyperlink"/>
          </w:rPr>
          <w:t>http://www.speedtest.net/mobile/</w:t>
        </w:r>
      </w:hyperlink>
      <w:r w:rsidRPr="00ED6163">
        <w:t xml:space="preserve"> (last visited June 10, 2019).  This app is available free of charge to smartphone users and is designed to test the pe</w:t>
      </w:r>
      <w:r w:rsidRPr="00ED6163">
        <w:t xml:space="preserve">rformance of mobile cellular connections.  Once the app is downloaded, with access to wireless service, users can measure the speed of their wireless connection whenever and wherever they choose.  </w:t>
      </w:r>
    </w:p>
  </w:footnote>
  <w:footnote w:id="308">
    <w:p w:rsidR="00252A4C" w:rsidRPr="00ED6163" w:rsidP="00D60B92" w14:paraId="6665E6BD" w14:textId="77777777">
      <w:pPr>
        <w:pStyle w:val="FootnoteText"/>
      </w:pPr>
      <w:r w:rsidRPr="00ED6163">
        <w:rPr>
          <w:rStyle w:val="FootnoteReference"/>
        </w:rPr>
        <w:footnoteRef/>
      </w:r>
      <w:r w:rsidRPr="00ED6163">
        <w:t xml:space="preserve"> For example, while the Commission’s Measuring Mobile Bro</w:t>
      </w:r>
      <w:r w:rsidRPr="00ED6163">
        <w:t xml:space="preserve">adband speed test app is available for iOS phones, iOS devices do not have automated testing capability and can only execute the speed test manually.  In addition, Ookla uses manual consumer-initiated testing, as opposed to background testing, which means </w:t>
      </w:r>
      <w:r w:rsidRPr="00ED6163">
        <w:t xml:space="preserve">that the majority of Ookla speed tests run by consumers are done so when they experience connectivity or speed issues, and network performance is less than optimal.  </w:t>
      </w:r>
      <w:r w:rsidRPr="00ED6163">
        <w:rPr>
          <w:i/>
        </w:rPr>
        <w:t xml:space="preserve">See </w:t>
      </w:r>
      <w:r w:rsidRPr="00ED6163">
        <w:t xml:space="preserve">Speedtest, </w:t>
      </w:r>
      <w:r w:rsidRPr="00ED6163">
        <w:rPr>
          <w:i/>
        </w:rPr>
        <w:t>How Ookla Ensures Accurate, Reliable Data</w:t>
      </w:r>
      <w:r w:rsidRPr="00ED6163">
        <w:t xml:space="preserve">, </w:t>
      </w:r>
      <w:hyperlink r:id="rId51" w:history="1">
        <w:r w:rsidRPr="00ED6163">
          <w:rPr>
            <w:rStyle w:val="Hyperlink"/>
          </w:rPr>
          <w:t>https://www.speedtest.net/insights/blog/testing-methods-sampling/</w:t>
        </w:r>
      </w:hyperlink>
      <w:r w:rsidRPr="00ED6163">
        <w:t xml:space="preserve"> (last visited June 10, 2019). </w:t>
      </w:r>
    </w:p>
  </w:footnote>
  <w:footnote w:id="309">
    <w:p w:rsidR="00252A4C" w:rsidRPr="00ED6163" w:rsidP="00D60B92" w14:paraId="6E51BF11" w14:textId="77777777">
      <w:pPr>
        <w:pStyle w:val="FootnoteText"/>
      </w:pPr>
      <w:r w:rsidRPr="00ED6163">
        <w:rPr>
          <w:rStyle w:val="FootnoteReference"/>
        </w:rPr>
        <w:footnoteRef/>
      </w:r>
      <w:r w:rsidRPr="00ED6163">
        <w:t xml:space="preserve"> Speed measurements are performed through a variety of apps.  As noted above, Ookla’s Speedtest Mobile App i</w:t>
      </w:r>
      <w:r w:rsidRPr="00ED6163">
        <w:t xml:space="preserve">s available free of charge to Android and iOS users and measures the performance of mobile cellular connections.  Speedtest, </w:t>
      </w:r>
      <w:r w:rsidRPr="00ED6163">
        <w:rPr>
          <w:i/>
        </w:rPr>
        <w:t>Speedtest Apps for Mobile</w:t>
      </w:r>
      <w:r w:rsidRPr="00ED6163">
        <w:t xml:space="preserve">, </w:t>
      </w:r>
      <w:hyperlink r:id="rId50" w:history="1">
        <w:r w:rsidRPr="00ED6163">
          <w:rPr>
            <w:rStyle w:val="Hyperlink"/>
          </w:rPr>
          <w:t>http://www.speedtest.net/mobile/</w:t>
        </w:r>
      </w:hyperlink>
      <w:r w:rsidRPr="00ED6163">
        <w:t xml:space="preserve"> (last visited June 10,</w:t>
      </w:r>
      <w:r w:rsidRPr="00ED6163">
        <w:t xml:space="preserve"> 2019).  OpenSignal’s mobile speed test app is available free of charge to Android and iOS users and is designed to collect data about download speeds, upload speeds, and responsiveness, OpenSignal, </w:t>
      </w:r>
      <w:r w:rsidRPr="00ED6163">
        <w:rPr>
          <w:i/>
        </w:rPr>
        <w:t>Help us measure mobile network experience from the source</w:t>
      </w:r>
      <w:r w:rsidRPr="00ED6163">
        <w:rPr>
          <w:i/>
        </w:rPr>
        <w:t xml:space="preserve"> that matters most – actual users</w:t>
      </w:r>
      <w:r w:rsidRPr="00ED6163">
        <w:t xml:space="preserve">, </w:t>
      </w:r>
      <w:hyperlink r:id="rId52" w:history="1">
        <w:r w:rsidRPr="00ED6163">
          <w:rPr>
            <w:rStyle w:val="Hyperlink"/>
          </w:rPr>
          <w:t>https://www.opensignal.com/apps</w:t>
        </w:r>
      </w:hyperlink>
      <w:r w:rsidRPr="00ED6163">
        <w:t xml:space="preserve"> (last visited June 10, 2019). </w:t>
      </w:r>
    </w:p>
  </w:footnote>
  <w:footnote w:id="310">
    <w:p w:rsidR="00252A4C" w:rsidRPr="00ED6163" w:rsidP="00D60B92" w14:paraId="511BEA48" w14:textId="77777777">
      <w:pPr>
        <w:pStyle w:val="FootnoteText"/>
      </w:pPr>
      <w:r w:rsidRPr="00ED6163">
        <w:rPr>
          <w:rStyle w:val="FootnoteReference"/>
        </w:rPr>
        <w:footnoteRef/>
      </w:r>
      <w:r w:rsidRPr="00ED6163">
        <w:t xml:space="preserve"> The Commission’s Measuring Mobile Broadband speed test app is available for both Android and iOS phones and </w:t>
      </w:r>
      <w:r w:rsidRPr="00ED6163">
        <w:t xml:space="preserve">measures mobile broadband performance for categories including download speed, upload speed, latency and packet loss.  The application also records several other passive metrics such as signal strength of the connection, and device manufacturer and model. </w:t>
      </w:r>
      <w:r w:rsidRPr="00ED6163">
        <w:t xml:space="preserve"> The Commission did not report speed metrics based on the FCC speed test app in the Communications Marketplace Report due to anomalies in the underlying data.  </w:t>
      </w:r>
      <w:r w:rsidRPr="00ED6163">
        <w:rPr>
          <w:i/>
        </w:rPr>
        <w:t>See</w:t>
      </w:r>
      <w:r w:rsidRPr="00ED6163">
        <w:t xml:space="preserve"> </w:t>
      </w:r>
      <w:r w:rsidRPr="00ED6163">
        <w:rPr>
          <w:i/>
        </w:rPr>
        <w:t>Communications Marketplace Report</w:t>
      </w:r>
      <w:r w:rsidRPr="00ED6163">
        <w:t>, 33 FCC Rcd at 12579, para. 25, n. 86.</w:t>
      </w:r>
    </w:p>
  </w:footnote>
  <w:footnote w:id="311">
    <w:p w:rsidR="00252A4C" w:rsidRPr="00ED6163" w:rsidP="00D60B92" w14:paraId="36F7B6C8" w14:textId="77777777">
      <w:pPr>
        <w:pStyle w:val="FootnoteText"/>
      </w:pPr>
      <w:r w:rsidRPr="00ED6163">
        <w:rPr>
          <w:rStyle w:val="FootnoteReference"/>
        </w:rPr>
        <w:footnoteRef/>
      </w:r>
      <w:r w:rsidRPr="00ED6163">
        <w:rPr>
          <w:i/>
        </w:rPr>
        <w:t xml:space="preserve"> See</w:t>
      </w:r>
      <w:r w:rsidRPr="00ED6163">
        <w:t xml:space="preserve"> </w:t>
      </w:r>
      <w:r w:rsidRPr="00ED6163">
        <w:rPr>
          <w:i/>
        </w:rPr>
        <w:t>Communications Marketplace Report</w:t>
      </w:r>
      <w:r w:rsidRPr="00ED6163">
        <w:t xml:space="preserve">, 33 FCC Rcd at 12582, para. 28.  In the </w:t>
      </w:r>
      <w:r w:rsidRPr="00ED6163">
        <w:rPr>
          <w:i/>
        </w:rPr>
        <w:t>Communications Marketplace Report</w:t>
      </w:r>
      <w:r w:rsidRPr="00ED6163">
        <w:t>, the Commission presented mobile wireless indices from RootMetrics.  RootMetrics performs drive tests and stationary tests in specific locations, us</w:t>
      </w:r>
      <w:r w:rsidRPr="00ED6163">
        <w:t>ing the leading Android-based smartphone for each network. RootScores are scaled from 0 to 100.</w:t>
      </w:r>
      <w:r w:rsidRPr="00ED6163">
        <w:rPr>
          <w:i/>
          <w:iCs/>
        </w:rPr>
        <w:t xml:space="preserve"> See </w:t>
      </w:r>
      <w:r w:rsidRPr="00ED6163">
        <w:rPr>
          <w:iCs/>
        </w:rPr>
        <w:t>RootMetrics, Methodology</w:t>
      </w:r>
      <w:r w:rsidRPr="00ED6163">
        <w:rPr>
          <w:i/>
          <w:iCs/>
        </w:rPr>
        <w:t xml:space="preserve">, </w:t>
      </w:r>
      <w:hyperlink r:id="rId53" w:history="1">
        <w:r w:rsidRPr="00ED6163">
          <w:rPr>
            <w:rStyle w:val="Hyperlink"/>
            <w:iCs/>
          </w:rPr>
          <w:t>http://rootmetrics.com/en-US/methodology</w:t>
        </w:r>
      </w:hyperlink>
      <w:r w:rsidRPr="00ED6163">
        <w:rPr>
          <w:iCs/>
        </w:rPr>
        <w:t xml:space="preserve">.  </w:t>
      </w:r>
    </w:p>
  </w:footnote>
  <w:footnote w:id="312">
    <w:p w:rsidR="00252A4C" w:rsidRPr="00ED6163" w:rsidP="00D60B92" w14:paraId="582BDC57" w14:textId="77777777">
      <w:pPr>
        <w:pStyle w:val="FootnoteText"/>
      </w:pPr>
      <w:r w:rsidRPr="00ED6163">
        <w:rPr>
          <w:rStyle w:val="FootnoteReference"/>
        </w:rPr>
        <w:footnoteRef/>
      </w:r>
      <w:r w:rsidRPr="00ED6163">
        <w:t xml:space="preserve"> Drive tests refer to tests </w:t>
      </w:r>
      <w:r w:rsidRPr="00ED6163">
        <w:t xml:space="preserve">analyzing network coverage for mobile services in a given area, i.e., measurements taken from vehicles traveling on roads in the area.  </w:t>
      </w:r>
      <w:r w:rsidRPr="00ED6163">
        <w:rPr>
          <w:i/>
        </w:rPr>
        <w:t xml:space="preserve">See </w:t>
      </w:r>
      <w:r w:rsidRPr="00ED6163">
        <w:rPr>
          <w:i/>
          <w:iCs/>
        </w:rPr>
        <w:t>Universal Service Reform – Mobility Fund</w:t>
      </w:r>
      <w:r w:rsidRPr="00ED6163">
        <w:rPr>
          <w:i/>
        </w:rPr>
        <w:t>,</w:t>
      </w:r>
      <w:r w:rsidRPr="00ED6163">
        <w:t xml:space="preserve"> Notice of Proposed Rulemaking, 25 FCC Rcd 14,716, 14,729 para. 40 (2010). </w:t>
      </w:r>
      <w:r w:rsidRPr="00ED6163">
        <w:t xml:space="preserve"> For example, the Commission required recipients of Mobility Fund I support “to demonstrate that they have deployed a network that covers the relevant area and meets their public interest obligations with data from drive tests.” </w:t>
      </w:r>
      <w:r w:rsidRPr="00ED6163">
        <w:rPr>
          <w:i/>
          <w:iCs/>
        </w:rPr>
        <w:t>Connect America Fund et al.</w:t>
      </w:r>
      <w:r w:rsidRPr="00ED6163">
        <w:t xml:space="preserve">, Report and Order and Further Notice of Proposed Rulemaking, 26 FCC Rcd 17663, 17793, para. 370 (2011). </w:t>
      </w:r>
    </w:p>
  </w:footnote>
  <w:footnote w:id="313">
    <w:p w:rsidR="00252A4C" w:rsidRPr="00ED6163" w:rsidP="00D60B92" w14:paraId="25B0CC99" w14:textId="77777777">
      <w:pPr>
        <w:pStyle w:val="FootnoteText"/>
      </w:pPr>
      <w:r w:rsidRPr="00ED6163">
        <w:rPr>
          <w:rStyle w:val="FootnoteReference"/>
        </w:rPr>
        <w:footnoteRef/>
      </w:r>
      <w:r w:rsidRPr="00ED6163">
        <w:t xml:space="preserve"> CPUC Comments at 6.</w:t>
      </w:r>
    </w:p>
  </w:footnote>
  <w:footnote w:id="314">
    <w:p w:rsidR="00252A4C" w:rsidRPr="00ED6163" w:rsidP="00D60B92" w14:paraId="0AA5DF01" w14:textId="77777777">
      <w:pPr>
        <w:pStyle w:val="FootnoteText"/>
      </w:pPr>
      <w:r w:rsidRPr="00ED6163">
        <w:rPr>
          <w:rStyle w:val="FootnoteReference"/>
        </w:rPr>
        <w:footnoteRef/>
      </w:r>
      <w:r w:rsidRPr="00ED6163">
        <w:t xml:space="preserve"> </w:t>
      </w:r>
      <w:r w:rsidRPr="00ED6163">
        <w:rPr>
          <w:i/>
        </w:rPr>
        <w:t>Id</w:t>
      </w:r>
      <w:r w:rsidRPr="00ED6163">
        <w:t>.</w:t>
      </w:r>
    </w:p>
  </w:footnote>
  <w:footnote w:id="315">
    <w:p w:rsidR="00252A4C" w:rsidRPr="00ED6163" w:rsidP="00D60B92" w14:paraId="1868DF8A" w14:textId="77777777">
      <w:pPr>
        <w:pStyle w:val="FootnoteText"/>
      </w:pPr>
      <w:r w:rsidRPr="00ED6163">
        <w:rPr>
          <w:rStyle w:val="FootnoteReference"/>
        </w:rPr>
        <w:footnoteRef/>
      </w:r>
      <w:r w:rsidRPr="00ED6163">
        <w:t xml:space="preserve"> </w:t>
      </w:r>
      <w:r w:rsidRPr="00ED6163">
        <w:rPr>
          <w:i/>
        </w:rPr>
        <w:t>Id</w:t>
      </w:r>
      <w:r w:rsidRPr="00ED6163">
        <w:t>. at 6-7.</w:t>
      </w:r>
    </w:p>
  </w:footnote>
  <w:footnote w:id="316">
    <w:p w:rsidR="00252A4C" w:rsidRPr="00ED6163" w:rsidP="00D60B92" w14:paraId="0A547120" w14:textId="77777777">
      <w:pPr>
        <w:pStyle w:val="FootnoteText"/>
      </w:pPr>
      <w:r w:rsidRPr="00ED6163">
        <w:rPr>
          <w:rStyle w:val="FootnoteReference"/>
        </w:rPr>
        <w:footnoteRef/>
      </w:r>
      <w:r w:rsidRPr="00ED6163">
        <w:t xml:space="preserve"> </w:t>
      </w:r>
      <w:r w:rsidRPr="00ED6163">
        <w:rPr>
          <w:i/>
        </w:rPr>
        <w:t xml:space="preserve">See </w:t>
      </w:r>
      <w:r w:rsidRPr="00ED6163">
        <w:t>Letter from Victor Gaither, Vice President, High Cost, Universal Service Administrative Company, to Ma</w:t>
      </w:r>
      <w:r w:rsidRPr="00ED6163">
        <w:t>rlene H. Dortch, Secretary, FCC, WC Docket No. 11-10, Attach. at 3 (filed July 9, 2019) (USAC presentation).</w:t>
      </w:r>
    </w:p>
  </w:footnote>
  <w:footnote w:id="317">
    <w:p w:rsidR="00252A4C" w:rsidRPr="00ED6163" w:rsidP="00D60B92" w14:paraId="648490BF" w14:textId="77777777">
      <w:pPr>
        <w:pStyle w:val="FootnoteText"/>
      </w:pPr>
      <w:r w:rsidRPr="00ED6163">
        <w:rPr>
          <w:rStyle w:val="FootnoteReference"/>
        </w:rPr>
        <w:footnoteRef/>
      </w:r>
      <w:r w:rsidRPr="00ED6163">
        <w:t xml:space="preserve"> Martha Degrasse, </w:t>
      </w:r>
      <w:r w:rsidRPr="00947E6A">
        <w:rPr>
          <w:i/>
        </w:rPr>
        <w:t>AT&amp;T Outlines Plans for Drone Use</w:t>
      </w:r>
      <w:r w:rsidRPr="00ED6163">
        <w:t xml:space="preserve">, (September 6, 2017), </w:t>
      </w:r>
      <w:hyperlink r:id="rId54" w:history="1">
        <w:r w:rsidRPr="00ED6163">
          <w:rPr>
            <w:rStyle w:val="Hyperlink"/>
          </w:rPr>
          <w:t>https://enterpriseiotinsights.com/20170906/news/AT%26T-drones-tag4</w:t>
        </w:r>
      </w:hyperlink>
      <w:r w:rsidRPr="00ED6163">
        <w:t xml:space="preserve"> (noting that drones can map radio frequency antenna patterns and look for signal interference) (last visited June 10, 2019); </w:t>
      </w:r>
      <w:r w:rsidRPr="00ED6163">
        <w:rPr>
          <w:i/>
        </w:rPr>
        <w:t>see also</w:t>
      </w:r>
      <w:r w:rsidRPr="00ED6163">
        <w:t xml:space="preserve"> Miriam McNabb, </w:t>
      </w:r>
      <w:r w:rsidRPr="00ED6163">
        <w:rPr>
          <w:i/>
        </w:rPr>
        <w:t>What Exactly Can Drone Geospa</w:t>
      </w:r>
      <w:r w:rsidRPr="00ED6163">
        <w:rPr>
          <w:i/>
        </w:rPr>
        <w:t>tial Data Do? Disaster Response to Hurricane Michael Provides a Demonstrations</w:t>
      </w:r>
      <w:r w:rsidRPr="00ED6163">
        <w:t xml:space="preserve">, (Nov. 6, 2018), </w:t>
      </w:r>
      <w:hyperlink r:id="rId55" w:history="1">
        <w:r w:rsidRPr="00ED6163">
          <w:rPr>
            <w:rStyle w:val="Hyperlink"/>
          </w:rPr>
          <w:t>http</w:t>
        </w:r>
        <w:r w:rsidRPr="00ED6163">
          <w:rPr>
            <w:rStyle w:val="Hyperlink"/>
          </w:rPr>
          <w:t>s://dronelife.com/2018/11/06/what-exactly-can-drone-geospatial-data-do-disaster-response-to-hurricane-michael-provides-a-demonstration/</w:t>
        </w:r>
      </w:hyperlink>
      <w:r w:rsidRPr="00ED6163">
        <w:t xml:space="preserve"> (discussing use of drones to produce highly precise 3D model of Mexico Beach, FL, after Hurricane Michael) (last visited</w:t>
      </w:r>
      <w:r w:rsidRPr="00ED6163">
        <w:t xml:space="preserve"> June 11, 2019).</w:t>
      </w:r>
    </w:p>
  </w:footnote>
  <w:footnote w:id="318">
    <w:p w:rsidR="00252A4C" w:rsidRPr="00ED6163" w:rsidP="00D60B92" w14:paraId="4CB1CB19" w14:textId="77777777">
      <w:pPr>
        <w:pStyle w:val="FootnoteText"/>
      </w:pPr>
      <w:r w:rsidRPr="00ED6163">
        <w:rPr>
          <w:rStyle w:val="FootnoteReference"/>
        </w:rPr>
        <w:footnoteRef/>
      </w:r>
      <w:r w:rsidRPr="00ED6163">
        <w:t xml:space="preserve"> </w:t>
      </w:r>
      <w:r w:rsidRPr="00ED6163">
        <w:rPr>
          <w:i/>
        </w:rPr>
        <w:t>See</w:t>
      </w:r>
      <w:r w:rsidRPr="00947E6A">
        <w:rPr>
          <w:i/>
        </w:rPr>
        <w:t xml:space="preserve"> </w:t>
      </w:r>
      <w:r w:rsidRPr="00ED6163">
        <w:t xml:space="preserve">USAC presentation at 8; </w:t>
      </w:r>
      <w:r w:rsidRPr="00ED6163">
        <w:rPr>
          <w:i/>
          <w:iCs/>
        </w:rPr>
        <w:t>supra</w:t>
      </w:r>
      <w:r w:rsidRPr="00ED6163">
        <w:t xml:space="preserve"> para. 109. </w:t>
      </w:r>
    </w:p>
  </w:footnote>
  <w:footnote w:id="319">
    <w:p w:rsidR="00252A4C" w:rsidRPr="00ED6163" w:rsidP="00D60B92" w14:paraId="5BC96482" w14:textId="77777777">
      <w:pPr>
        <w:pStyle w:val="FootnoteText"/>
      </w:pPr>
      <w:r w:rsidRPr="00ED6163">
        <w:rPr>
          <w:rStyle w:val="FootnoteReference"/>
        </w:rPr>
        <w:footnoteRef/>
      </w:r>
      <w:r w:rsidRPr="00ED6163">
        <w:t xml:space="preserve"> </w:t>
      </w:r>
      <w:r w:rsidRPr="00ED6163">
        <w:rPr>
          <w:i/>
        </w:rPr>
        <w:t>Id</w:t>
      </w:r>
      <w:r w:rsidRPr="00ED6163">
        <w:t xml:space="preserve">.; </w:t>
      </w:r>
      <w:r w:rsidRPr="00ED6163">
        <w:rPr>
          <w:i/>
        </w:rPr>
        <w:t>see</w:t>
      </w:r>
      <w:r w:rsidRPr="00ED6163">
        <w:t xml:space="preserve"> Luke Dormehl, </w:t>
      </w:r>
      <w:r w:rsidRPr="00ED6163">
        <w:rPr>
          <w:i/>
        </w:rPr>
        <w:t>7 Drones That Can Stay Airborne for Hours – and the Tech That Makes It Possible</w:t>
      </w:r>
      <w:r w:rsidRPr="00ED6163">
        <w:t xml:space="preserve">, (Oct. 9, 2018), </w:t>
      </w:r>
      <w:hyperlink r:id="rId56" w:history="1">
        <w:r w:rsidRPr="00ED6163">
          <w:rPr>
            <w:rStyle w:val="Hyperlink"/>
          </w:rPr>
          <w:t>https://www.digitaltrends.com/cool-tech/drones-with-super-long-flight-times/</w:t>
        </w:r>
      </w:hyperlink>
      <w:r w:rsidRPr="00ED6163">
        <w:t xml:space="preserve"> (</w:t>
      </w:r>
      <w:r w:rsidRPr="00ED6163">
        <w:rPr>
          <w:rFonts w:eastAsia="Calibri"/>
        </w:rPr>
        <w:t>noting that the average drone can fly for 30 minutes, but that newer battery or gas pow</w:t>
      </w:r>
      <w:r w:rsidRPr="00ED6163">
        <w:rPr>
          <w:rFonts w:eastAsia="Calibri"/>
        </w:rPr>
        <w:t>ered drone models are extending flight times</w:t>
      </w:r>
      <w:r w:rsidRPr="00ED6163">
        <w:t>) (last visited June 6, 2019)</w:t>
      </w:r>
      <w:r w:rsidRPr="00ED6163">
        <w:rPr>
          <w:rFonts w:eastAsia="Calibri"/>
        </w:rPr>
        <w:t>.</w:t>
      </w:r>
    </w:p>
  </w:footnote>
  <w:footnote w:id="320">
    <w:p w:rsidR="00252A4C" w:rsidRPr="00ED6163" w:rsidP="00D60B92" w14:paraId="5821B4AE" w14:textId="77777777">
      <w:pPr>
        <w:pStyle w:val="FootnoteText"/>
      </w:pPr>
      <w:r w:rsidRPr="00ED6163">
        <w:rPr>
          <w:rStyle w:val="FootnoteReference"/>
        </w:rPr>
        <w:footnoteRef/>
      </w:r>
      <w:r w:rsidRPr="00ED6163">
        <w:t xml:space="preserve"> USAC presentation at 8 (noting that drone testing may be more expensive than drive testing to survey a specific area)</w:t>
      </w:r>
    </w:p>
  </w:footnote>
  <w:footnote w:id="321">
    <w:p w:rsidR="00252A4C" w:rsidRPr="00ED6163" w:rsidP="00D60B92" w14:paraId="201D4ECE" w14:textId="77777777">
      <w:pPr>
        <w:pStyle w:val="FootnoteText"/>
      </w:pPr>
      <w:r w:rsidRPr="00ED6163">
        <w:rPr>
          <w:rStyle w:val="FootnoteReference"/>
        </w:rPr>
        <w:footnoteRef/>
      </w:r>
      <w:r w:rsidRPr="00ED6163">
        <w:t xml:space="preserve"> The USAC request for proposal can be found here: </w:t>
      </w:r>
      <w:hyperlink r:id="rId57" w:history="1">
        <w:r w:rsidRPr="00ED6163">
          <w:rPr>
            <w:rStyle w:val="Hyperlink"/>
          </w:rPr>
          <w:t>https://webcache.googleusercontent.com/search?q=cache:h5ChdsOj7b</w:t>
        </w:r>
        <w:r w:rsidRPr="00ED6163">
          <w:rPr>
            <w:rStyle w:val="Hyperlink"/>
          </w:rPr>
          <w:t>YJ:https://www.usac.org/_res/documents/about/pdf/rfp/RFP-Puerto-Rico-USVI-Mobile-Assessment.pdf+&amp;cd=1&amp;hl=en&amp;ct=clnk&amp;gl=us</w:t>
        </w:r>
      </w:hyperlink>
      <w:r w:rsidRPr="00ED6163">
        <w:t xml:space="preserve">; </w:t>
      </w:r>
      <w:r w:rsidRPr="00ED6163">
        <w:rPr>
          <w:i/>
          <w:iCs/>
        </w:rPr>
        <w:t>see also</w:t>
      </w:r>
      <w:r w:rsidRPr="00ED6163">
        <w:t xml:space="preserve"> USAC presentation at 8.  USAC is still evaluating the results of these tests.  While USAC performed drive tests in Puerto Ri</w:t>
      </w:r>
      <w:r w:rsidRPr="00ED6163">
        <w:t xml:space="preserve">co and the US Virgin Islands, it performed drone tests only in Puerto Rico. </w:t>
      </w:r>
      <w:r w:rsidRPr="00ED6163">
        <w:rPr>
          <w:i/>
        </w:rPr>
        <w:t>See</w:t>
      </w:r>
      <w:r w:rsidRPr="00ED6163">
        <w:t xml:space="preserve"> USAC presentation at 3,</w:t>
      </w:r>
      <w:r w:rsidR="00410009">
        <w:t xml:space="preserve"> </w:t>
      </w:r>
      <w:r w:rsidRPr="00ED6163">
        <w:t xml:space="preserve">8.   </w:t>
      </w:r>
    </w:p>
  </w:footnote>
  <w:footnote w:id="322">
    <w:p w:rsidR="00252A4C" w:rsidRPr="00ED6163" w:rsidP="00D60B92" w14:paraId="1F64F547" w14:textId="77777777">
      <w:pPr>
        <w:pStyle w:val="FootnoteText"/>
      </w:pPr>
      <w:r w:rsidRPr="00ED6163">
        <w:rPr>
          <w:rStyle w:val="FootnoteReference"/>
        </w:rPr>
        <w:footnoteRef/>
      </w:r>
      <w:r w:rsidRPr="00ED6163">
        <w:t xml:space="preserve"> </w:t>
      </w:r>
      <w:r w:rsidRPr="00ED6163">
        <w:rPr>
          <w:i/>
        </w:rPr>
        <w:t>Id</w:t>
      </w:r>
      <w:r w:rsidRPr="00ED6163">
        <w:t xml:space="preserve">. at 3; </w:t>
      </w:r>
      <w:r w:rsidRPr="00ED6163">
        <w:rPr>
          <w:i/>
        </w:rPr>
        <w:t>see also</w:t>
      </w:r>
      <w:r w:rsidRPr="00ED6163">
        <w:t xml:space="preserve"> </w:t>
      </w:r>
      <w:r w:rsidRPr="00ED6163">
        <w:rPr>
          <w:i/>
        </w:rPr>
        <w:t>Qualcomm Technologies Releases LTE Drone Trial Results</w:t>
      </w:r>
      <w:r w:rsidRPr="00ED6163">
        <w:t xml:space="preserve">, (May 3, 2017), </w:t>
      </w:r>
      <w:hyperlink r:id="rId58" w:history="1">
        <w:r w:rsidRPr="00ED6163">
          <w:rPr>
            <w:rStyle w:val="Hyperlink"/>
          </w:rPr>
          <w:t>https://www.qualcomm.com/news/onq/2017/05/03/qualcomm-technologies-releases-lte-drone-trial-results</w:t>
        </w:r>
      </w:hyperlink>
      <w:r w:rsidRPr="00ED6163">
        <w:rPr>
          <w:rStyle w:val="Hyperlink"/>
        </w:rPr>
        <w:t xml:space="preserve"> </w:t>
      </w:r>
      <w:r w:rsidRPr="00ED6163">
        <w:rPr>
          <w:rStyle w:val="Hyperlink"/>
          <w:color w:val="auto"/>
          <w:u w:val="none"/>
        </w:rPr>
        <w:t xml:space="preserve">(noting drone and drive tests may produce </w:t>
      </w:r>
      <w:r w:rsidRPr="00ED6163">
        <w:rPr>
          <w:rStyle w:val="Hyperlink"/>
          <w:color w:val="auto"/>
          <w:u w:val="none"/>
        </w:rPr>
        <w:t>different results at a given distance from a cell site due to various factors) (last visited June 6, 2019)</w:t>
      </w:r>
      <w:r w:rsidRPr="00ED6163">
        <w:rPr>
          <w:rStyle w:val="Hyperlink"/>
          <w:u w:val="none"/>
        </w:rPr>
        <w:t xml:space="preserve">; </w:t>
      </w:r>
      <w:r w:rsidRPr="00ED6163">
        <w:rPr>
          <w:rStyle w:val="Hyperlink"/>
          <w:color w:val="auto"/>
          <w:u w:val="none"/>
        </w:rPr>
        <w:t xml:space="preserve">Ericsson, </w:t>
      </w:r>
      <w:r w:rsidRPr="00ED6163">
        <w:rPr>
          <w:rStyle w:val="Hyperlink"/>
          <w:i/>
          <w:color w:val="auto"/>
          <w:u w:val="none"/>
        </w:rPr>
        <w:t>Drones and Networks: Mobility Support</w:t>
      </w:r>
      <w:r w:rsidRPr="00ED6163">
        <w:rPr>
          <w:rStyle w:val="Hyperlink"/>
          <w:color w:val="auto"/>
          <w:u w:val="none"/>
        </w:rPr>
        <w:t>, (last visited June 11, 2019),</w:t>
      </w:r>
      <w:r w:rsidRPr="00ED6163">
        <w:rPr>
          <w:rStyle w:val="Hyperlink"/>
          <w:color w:val="auto"/>
        </w:rPr>
        <w:t xml:space="preserve"> </w:t>
      </w:r>
      <w:hyperlink r:id="rId59" w:history="1">
        <w:r w:rsidRPr="00ED6163">
          <w:rPr>
            <w:color w:val="0000FF"/>
            <w:u w:val="single"/>
          </w:rPr>
          <w:t>https://www.ericsson.com/en/blog/2019/1/drones-and-networks-mobility-support</w:t>
        </w:r>
      </w:hyperlink>
      <w:r w:rsidRPr="00ED6163">
        <w:rPr>
          <w:rStyle w:val="Hyperlink"/>
          <w:u w:val="none"/>
        </w:rPr>
        <w:t xml:space="preserve"> </w:t>
      </w:r>
      <w:r w:rsidRPr="00ED6163">
        <w:rPr>
          <w:rStyle w:val="Hyperlink"/>
          <w:color w:val="auto"/>
          <w:u w:val="none"/>
        </w:rPr>
        <w:t>(“</w:t>
      </w:r>
      <w:r w:rsidRPr="00ED6163">
        <w:rPr>
          <w:shd w:val="clear" w:color="auto" w:fill="FAFAFA"/>
        </w:rPr>
        <w:t>Since the signal propagation in the sky is close to free-space propagation, the signal strength becomes stronger due to the reduced path loss….[However],</w:t>
      </w:r>
      <w:r w:rsidRPr="00ED6163">
        <w:rPr>
          <w:shd w:val="clear" w:color="auto" w:fill="FAFAFA"/>
        </w:rPr>
        <w:t xml:space="preserve"> the increased likelihood of line-of-sight paths to many non-serving cells increases the interference for the drone.”).</w:t>
      </w:r>
      <w:r w:rsidRPr="00ED6163">
        <w:rPr>
          <w:rFonts w:eastAsia="Calibri"/>
        </w:rPr>
        <w:t xml:space="preserve">  </w:t>
      </w:r>
      <w:r w:rsidRPr="00ED6163">
        <w:rPr>
          <w:shd w:val="clear" w:color="auto" w:fill="FAFAFA"/>
        </w:rPr>
        <w:t xml:space="preserve">Given these variabilities, it may be appropriate to use different testing parameters for drone and drive tests to reflect the </w:t>
      </w:r>
      <w:r w:rsidRPr="00ED6163">
        <w:rPr>
          <w:shd w:val="clear" w:color="auto" w:fill="FAFAFA"/>
        </w:rPr>
        <w:t>real-world experience of a user on the ground and to be able to fully compare results.  For example, a signal strength of five measured by a drone in the air could mean that a user at a point on the ground directly below the drone would experience a signal</w:t>
      </w:r>
      <w:r w:rsidRPr="00ED6163">
        <w:rPr>
          <w:shd w:val="clear" w:color="auto" w:fill="FAFAFA"/>
        </w:rPr>
        <w:t xml:space="preserve"> strength closer to 10, depending on the conditions.</w:t>
      </w:r>
    </w:p>
  </w:footnote>
  <w:footnote w:id="323">
    <w:p w:rsidR="00252A4C" w:rsidRPr="00ED6163" w:rsidP="00D60B92" w14:paraId="7F22605C" w14:textId="77777777">
      <w:pPr>
        <w:pStyle w:val="FootnoteText"/>
      </w:pPr>
      <w:r w:rsidRPr="00ED6163">
        <w:rPr>
          <w:rStyle w:val="FootnoteReference"/>
        </w:rPr>
        <w:footnoteRef/>
      </w:r>
      <w:r w:rsidRPr="00ED6163">
        <w:t xml:space="preserve"> Based on U.S. Census Bureau roadway data, drive-testable roads run through or near approximately two-thirds of the U.S., leaving a significant portion of the country reliant on data collection methods </w:t>
      </w:r>
      <w:r w:rsidRPr="00ED6163">
        <w:t>other than drive testing. WTB calculated that 66.59% of this area is “drive-testable” using roadway data from the U.S. Census Bureau overlaid with a uniform one kilometer by one-kilometer grid.  The total area of each uniform grid cell was categorized as “</w:t>
      </w:r>
      <w:r w:rsidRPr="00ED6163">
        <w:t>drive testable” where there exists any road classified by the census data as a primary, secondary, or local road (MAF/TIGER Feature Class Codes S1100, S1200, or S1400, respectively).  While it may be possible to drive test additional types of roadways (i.e</w:t>
      </w:r>
      <w:r w:rsidRPr="00ED6163">
        <w:t xml:space="preserve">., vehicular trails or private roads), doing so may be potentially difficult or cost-prohibitive.  As a result, WTB excluded these other classes of roadways from its analysis.  </w:t>
      </w:r>
    </w:p>
  </w:footnote>
  <w:footnote w:id="324">
    <w:p w:rsidR="00252A4C" w:rsidRPr="00ED6163" w:rsidP="00D60B92" w14:paraId="64D792C5" w14:textId="77777777">
      <w:pPr>
        <w:pStyle w:val="FootnoteText"/>
      </w:pPr>
      <w:r w:rsidRPr="00ED6163">
        <w:rPr>
          <w:rStyle w:val="FootnoteReference"/>
        </w:rPr>
        <w:footnoteRef/>
      </w:r>
      <w:r w:rsidRPr="00ED6163">
        <w:t xml:space="preserve"> Recent advances are leading to faster and larger drones with sophisticated a</w:t>
      </w:r>
      <w:r w:rsidRPr="00ED6163">
        <w:t xml:space="preserve">rtificial intelligence.  For example, some drones now have the ability to swarm and “talk” with each other and fly greater distances for longer periods of time, all without direct human control.  Pierce Lancaster, </w:t>
      </w:r>
      <w:r w:rsidRPr="00ED6163">
        <w:rPr>
          <w:i/>
        </w:rPr>
        <w:t>Top 5 Latest Technology Drones</w:t>
      </w:r>
      <w:r w:rsidRPr="00ED6163">
        <w:t>, (June 3, 2</w:t>
      </w:r>
      <w:r w:rsidRPr="00ED6163">
        <w:t xml:space="preserve">019), </w:t>
      </w:r>
      <w:hyperlink r:id="rId60" w:history="1">
        <w:r w:rsidRPr="00ED6163">
          <w:rPr>
            <w:rStyle w:val="Hyperlink"/>
          </w:rPr>
          <w:t>https://thewiredshopper.com/top-5-latest-technology-drone/</w:t>
        </w:r>
      </w:hyperlink>
      <w:r w:rsidRPr="00ED6163">
        <w:t xml:space="preserve"> (last visited June 6, 2019) (explaining that military drones will be faster); Emily Begley, </w:t>
      </w:r>
      <w:r w:rsidRPr="00ED6163">
        <w:rPr>
          <w:i/>
        </w:rPr>
        <w:t>UC Develops New Breed of</w:t>
      </w:r>
      <w:r w:rsidRPr="00ED6163">
        <w:rPr>
          <w:i/>
        </w:rPr>
        <w:t xml:space="preserve"> Drones</w:t>
      </w:r>
      <w:r w:rsidRPr="00ED6163">
        <w:t xml:space="preserve">, (June 3, 2014), </w:t>
      </w:r>
      <w:hyperlink r:id="rId61" w:history="1">
        <w:r w:rsidRPr="00ED6163">
          <w:rPr>
            <w:rStyle w:val="Hyperlink"/>
          </w:rPr>
          <w:t>https://www.soapboxmedia.com/features/06031-uc-drone-technology.aspx</w:t>
        </w:r>
      </w:hyperlink>
      <w:r w:rsidRPr="00ED6163">
        <w:t xml:space="preserve"> (last visited June 6, 2019) (describing drones that are larger and can carry </w:t>
      </w:r>
      <w:r w:rsidRPr="00ED6163">
        <w:t xml:space="preserve">up to ten pounds and can be operated with computers, cellphones and other devices); Colin Snow, </w:t>
      </w:r>
      <w:r w:rsidRPr="00ED6163">
        <w:rPr>
          <w:i/>
        </w:rPr>
        <w:t>Seven Trends That Will Shape the Commercial Drone Industry in 2019</w:t>
      </w:r>
      <w:r w:rsidRPr="00ED6163">
        <w:t xml:space="preserve">, (Jan. 7, 2019), </w:t>
      </w:r>
      <w:hyperlink r:id="rId62" w:anchor="705b524f7494" w:history="1">
        <w:r w:rsidRPr="00ED6163">
          <w:rPr>
            <w:rStyle w:val="Hyperlink"/>
          </w:rPr>
          <w:t>https://www.forbes.com/sites/colinsnow/2019/01/07/seven-trends-that-will-shape-the-commercial-drone-industry-in-2019/#705b524f7494</w:t>
        </w:r>
      </w:hyperlink>
      <w:r w:rsidRPr="00ED6163">
        <w:t xml:space="preserve"> (last visited June 6, 2019) (describing new devel</w:t>
      </w:r>
      <w:r w:rsidRPr="00ED6163">
        <w:t xml:space="preserve">opments in drones with AI capabilities); Ivan Tolchinsky, </w:t>
      </w:r>
      <w:r w:rsidRPr="00ED6163">
        <w:rPr>
          <w:i/>
        </w:rPr>
        <w:t>4 Ways the Drone Scene Will Change in 2018</w:t>
      </w:r>
      <w:r w:rsidRPr="00ED6163">
        <w:t xml:space="preserve">, (Feb. 4, 2018), </w:t>
      </w:r>
      <w:hyperlink r:id="rId63" w:history="1">
        <w:r w:rsidRPr="00ED6163">
          <w:rPr>
            <w:rStyle w:val="Hyperlink"/>
          </w:rPr>
          <w:t>https://thenextweb.com/contributors/20</w:t>
        </w:r>
        <w:r w:rsidRPr="00ED6163">
          <w:rPr>
            <w:rStyle w:val="Hyperlink"/>
          </w:rPr>
          <w:t>18/02/04/4-ways-drone-scene-will-change-2018/</w:t>
        </w:r>
      </w:hyperlink>
      <w:r w:rsidRPr="00ED6163">
        <w:t xml:space="preserve"> (last visited June 6, 2019) (describing mesh networks that enable drones to exchange data and streamline activity; describing drones that will perform their tasks working together “like insects in a colony”); L</w:t>
      </w:r>
      <w:r w:rsidRPr="00ED6163">
        <w:t xml:space="preserve">uke Dormehl, </w:t>
      </w:r>
      <w:r w:rsidRPr="00ED6163">
        <w:rPr>
          <w:i/>
        </w:rPr>
        <w:t>7 Drones That Can Stay Airborne for Hours – and the Tech That Makes It Possible</w:t>
      </w:r>
      <w:r w:rsidRPr="00ED6163">
        <w:t xml:space="preserve">, (Oct. 9, 2018), </w:t>
      </w:r>
      <w:hyperlink r:id="rId56" w:history="1">
        <w:r w:rsidRPr="00ED6163">
          <w:rPr>
            <w:rStyle w:val="Hyperlink"/>
          </w:rPr>
          <w:t>https://www.digitaltrends.com/cool-tech/drones-with-s</w:t>
        </w:r>
        <w:r w:rsidRPr="00ED6163">
          <w:rPr>
            <w:rStyle w:val="Hyperlink"/>
          </w:rPr>
          <w:t>uper-long-flight-times/</w:t>
        </w:r>
      </w:hyperlink>
      <w:r w:rsidRPr="00ED6163">
        <w:t xml:space="preserve"> (last visited June 6, 2019) (describing drones with enhanced battery life that allows them to fly longer and cover greater distances).</w:t>
      </w:r>
    </w:p>
  </w:footnote>
  <w:footnote w:id="325">
    <w:p w:rsidR="00252A4C" w:rsidRPr="00ED6163" w:rsidP="00D60B92" w14:paraId="3D267864" w14:textId="77777777">
      <w:pPr>
        <w:pStyle w:val="FootnoteText"/>
      </w:pPr>
      <w:r w:rsidRPr="00ED6163">
        <w:rPr>
          <w:rStyle w:val="FootnoteReference"/>
        </w:rPr>
        <w:footnoteRef/>
      </w:r>
      <w:r w:rsidRPr="00ED6163">
        <w:t xml:space="preserve"> FCC, </w:t>
      </w:r>
      <w:r w:rsidRPr="00ED6163">
        <w:rPr>
          <w:i/>
        </w:rPr>
        <w:t>Mobile Deployment Form 477 Data</w:t>
      </w:r>
      <w:r w:rsidRPr="00ED6163">
        <w:t xml:space="preserve">,  </w:t>
      </w:r>
      <w:hyperlink r:id="rId64" w:history="1">
        <w:r w:rsidRPr="00ED6163">
          <w:rPr>
            <w:rStyle w:val="Hyperlink"/>
          </w:rPr>
          <w:t>https://www.fcc.gov/mobile-deployment-form-477-data</w:t>
        </w:r>
      </w:hyperlink>
      <w:r w:rsidRPr="00ED6163">
        <w:t xml:space="preserve"> (last visited June 13, 2019)</w:t>
      </w:r>
      <w:r w:rsidRPr="00ED6163">
        <w:rPr>
          <w:rFonts w:eastAsia="Calibri"/>
          <w:color w:val="010101"/>
        </w:rPr>
        <w:t xml:space="preserve">.  The Commission uses both the centroid and actual data methodologies.  The centroid methodology </w:t>
      </w:r>
      <w:r w:rsidRPr="00ED6163">
        <w:t xml:space="preserve">overlays geographic polygons showing wireless coverage onto a map </w:t>
      </w:r>
      <w:r w:rsidRPr="00ED6163">
        <w:t>of census blocks.  The centroid method codes a census block as “covered” if the calculated center point (the “centroid”) of the census block is within the coverage polygon. If a centroid is covered, then all the population and land area in the correspondin</w:t>
      </w:r>
      <w:r w:rsidRPr="00ED6163">
        <w:t>g census block is also coded as covered.  The actual data methodology analyzes reported coverage at a sub-block level for each of the 11 million blocks in the U.S.  Using this methodology, the Commission calculates the percentage of the block covered by ea</w:t>
      </w:r>
      <w:r w:rsidRPr="00ED6163">
        <w:t xml:space="preserve">ch technology.  </w:t>
      </w:r>
      <w:r w:rsidRPr="00ED6163">
        <w:rPr>
          <w:i/>
        </w:rPr>
        <w:t>See FCC Releases Data on Mobile Broadband Deployment as of December 31, 2015 Collected Through FCC Form 477</w:t>
      </w:r>
      <w:r w:rsidRPr="00ED6163">
        <w:t>, WC Docket No. 11-10, Public Notice, 31 FCC Rcd 10886, 10890-91 (2016).</w:t>
      </w:r>
    </w:p>
  </w:footnote>
  <w:footnote w:id="326">
    <w:p w:rsidR="00252A4C" w:rsidRPr="00ED6163" w:rsidP="00D60B92" w14:paraId="07E57297" w14:textId="77777777">
      <w:pPr>
        <w:pStyle w:val="FootnoteText"/>
      </w:pPr>
      <w:r w:rsidRPr="00ED6163">
        <w:rPr>
          <w:rStyle w:val="FootnoteReference"/>
        </w:rPr>
        <w:footnoteRef/>
      </w:r>
      <w:r w:rsidRPr="00ED6163">
        <w:t xml:space="preserve"> FCC, </w:t>
      </w:r>
      <w:r w:rsidRPr="00ED6163">
        <w:rPr>
          <w:i/>
          <w:iCs/>
        </w:rPr>
        <w:t>LTE Coverage by Number of Providers—YE 2017</w:t>
      </w:r>
      <w:r w:rsidRPr="00ED6163">
        <w:t xml:space="preserve">, </w:t>
      </w:r>
      <w:hyperlink r:id="rId65" w:history="1">
        <w:r w:rsidRPr="00ED6163">
          <w:rPr>
            <w:rStyle w:val="Hyperlink"/>
          </w:rPr>
          <w:t>https://www.fcc.gov/reports-research/maps/lte-coverage-number-providers-ye-2017</w:t>
        </w:r>
      </w:hyperlink>
      <w:r w:rsidRPr="00ED6163">
        <w:t xml:space="preserve">  (last visited June 10, 2019); FCC, </w:t>
      </w:r>
      <w:r w:rsidRPr="00ED6163">
        <w:rPr>
          <w:i/>
        </w:rPr>
        <w:t>Nationwide Mobile Wireless Coverage-YE 2017</w:t>
      </w:r>
      <w:r w:rsidRPr="00ED6163">
        <w:t xml:space="preserve">, </w:t>
      </w:r>
      <w:hyperlink r:id="rId66" w:history="1">
        <w:r w:rsidRPr="00ED6163">
          <w:rPr>
            <w:rStyle w:val="Hyperlink"/>
          </w:rPr>
          <w:t>https://www.fcc.gov/reports-research/maps/nationwide-mobile-wireless-coverage-ye-2017/</w:t>
        </w:r>
      </w:hyperlink>
      <w:r w:rsidRPr="00ED6163">
        <w:t xml:space="preserve"> (last visited June 10, 2019).</w:t>
      </w:r>
    </w:p>
  </w:footnote>
  <w:footnote w:id="327">
    <w:p w:rsidR="00252A4C" w:rsidRPr="004779A2" w:rsidP="00D60B92" w14:paraId="0869D1AB" w14:textId="77777777">
      <w:pPr>
        <w:pStyle w:val="FootnoteText"/>
      </w:pPr>
    </w:p>
  </w:footnote>
  <w:footnote w:id="328">
    <w:p w:rsidR="00252A4C" w:rsidRPr="00ED6163" w:rsidP="00D60B92" w14:paraId="5E9D332F" w14:textId="77777777">
      <w:pPr>
        <w:pStyle w:val="FootnoteText"/>
      </w:pPr>
      <w:r w:rsidRPr="00ED6163">
        <w:rPr>
          <w:rStyle w:val="FootnoteReference"/>
        </w:rPr>
        <w:footnoteRef/>
      </w:r>
      <w:r w:rsidRPr="00ED6163">
        <w:t xml:space="preserve"> CTIA July 24, 2019 </w:t>
      </w:r>
      <w:r w:rsidRPr="00ED6163">
        <w:rPr>
          <w:i/>
        </w:rPr>
        <w:t>Ex Parte</w:t>
      </w:r>
      <w:r w:rsidRPr="00ED6163">
        <w:t xml:space="preserve"> Letter, at 2 (expressing concern over applying the place of primary use methodology to prepaid customer and reseller subscriber data).  </w:t>
      </w:r>
    </w:p>
  </w:footnote>
  <w:footnote w:id="329">
    <w:p w:rsidR="00252A4C" w:rsidRPr="00ED6163" w:rsidP="00D60B92" w14:paraId="4FC17667" w14:textId="77777777">
      <w:pPr>
        <w:pStyle w:val="FootnoteText"/>
      </w:pPr>
      <w:r w:rsidRPr="00ED6163">
        <w:rPr>
          <w:rStyle w:val="FootnoteReference"/>
        </w:rPr>
        <w:footnoteRef/>
      </w:r>
      <w:r w:rsidRPr="00ED6163">
        <w:t xml:space="preserve"> 4 U.S.C. § 124(8).</w:t>
      </w:r>
    </w:p>
  </w:footnote>
  <w:footnote w:id="330">
    <w:p w:rsidR="00252A4C" w:rsidRPr="00ED6163" w:rsidP="00D60B92" w14:paraId="4BE82F93" w14:textId="77777777">
      <w:pPr>
        <w:pStyle w:val="FootnoteText"/>
      </w:pPr>
      <w:r w:rsidRPr="00ED6163">
        <w:rPr>
          <w:rStyle w:val="FootnoteReference"/>
        </w:rPr>
        <w:footnoteRef/>
      </w:r>
      <w:r w:rsidRPr="00ED6163">
        <w:t xml:space="preserve"> 4 U.S.C. § 116(c)(1).</w:t>
      </w:r>
    </w:p>
  </w:footnote>
  <w:footnote w:id="331">
    <w:p w:rsidR="00252A4C" w:rsidRPr="00ED6163" w:rsidP="00D60B92" w14:paraId="2575F24C" w14:textId="77777777">
      <w:pPr>
        <w:pStyle w:val="FootnoteText"/>
      </w:pPr>
      <w:r w:rsidRPr="00ED6163">
        <w:rPr>
          <w:rStyle w:val="FootnoteReference"/>
        </w:rPr>
        <w:footnoteRef/>
      </w:r>
      <w:r w:rsidRPr="00ED6163">
        <w:t xml:space="preserve"> CTIA July 24, 2019 </w:t>
      </w:r>
      <w:r w:rsidRPr="00ED6163">
        <w:rPr>
          <w:i/>
        </w:rPr>
        <w:t>Ex Parte</w:t>
      </w:r>
      <w:r w:rsidRPr="00ED6163">
        <w:t xml:space="preserve"> Letter at 2.</w:t>
      </w:r>
    </w:p>
  </w:footnote>
  <w:footnote w:id="332">
    <w:p w:rsidR="00252A4C" w:rsidRPr="00ED6163" w:rsidP="00D60B92" w14:paraId="38DD038F" w14:textId="77777777">
      <w:pPr>
        <w:pStyle w:val="FootnoteText"/>
      </w:pPr>
      <w:r w:rsidRPr="00ED6163">
        <w:rPr>
          <w:rStyle w:val="FootnoteReference"/>
        </w:rPr>
        <w:footnoteRef/>
      </w:r>
      <w:r w:rsidRPr="00ED6163">
        <w:t xml:space="preserve"> 47 CFR. §§ 1.1200 </w:t>
      </w:r>
      <w:r w:rsidRPr="00ED6163">
        <w:rPr>
          <w:i/>
          <w:iCs/>
        </w:rPr>
        <w:t>et seq.</w:t>
      </w:r>
    </w:p>
  </w:footnote>
  <w:footnote w:id="333">
    <w:p w:rsidR="00252A4C" w:rsidRPr="00ED6163" w:rsidP="00D60B92" w14:paraId="11DE5666" w14:textId="77777777">
      <w:pPr>
        <w:pStyle w:val="FootnoteText"/>
      </w:pPr>
      <w:r w:rsidRPr="00ED6163">
        <w:rPr>
          <w:rStyle w:val="FootnoteReference"/>
        </w:rPr>
        <w:footnoteRef/>
      </w:r>
      <w:r w:rsidRPr="00ED6163">
        <w:t xml:space="preserve"> </w:t>
      </w:r>
      <w:r w:rsidRPr="00ED6163">
        <w:rPr>
          <w:i/>
        </w:rPr>
        <w:t>See</w:t>
      </w:r>
      <w:r w:rsidRPr="00ED6163">
        <w:t xml:space="preserve"> 5 U.S.C. §§ 601–612.  The RFA has been amended by the Small Business Regulatory Enforcement Fairness Act of 1996 (SBREFA), Pub. L. No. 104-121, Title II, 110 Stat. 857 (1996).</w:t>
      </w:r>
    </w:p>
  </w:footnote>
  <w:footnote w:id="334">
    <w:p w:rsidR="00252A4C" w:rsidRPr="00ED6163" w:rsidP="00D60B92" w14:paraId="19A54B8B" w14:textId="77777777">
      <w:pPr>
        <w:pStyle w:val="FootnoteText"/>
      </w:pPr>
      <w:r w:rsidRPr="00ED6163">
        <w:rPr>
          <w:rStyle w:val="FootnoteReference"/>
        </w:rPr>
        <w:footnoteRef/>
      </w:r>
      <w:r w:rsidRPr="00ED6163">
        <w:t xml:space="preserve"> 5 U.S.C. § 605(b).</w:t>
      </w:r>
    </w:p>
  </w:footnote>
  <w:footnote w:id="335">
    <w:p w:rsidR="00252A4C" w:rsidRPr="00ED6163" w:rsidP="00D60B92" w14:paraId="754FC7B8" w14:textId="77777777">
      <w:pPr>
        <w:pStyle w:val="FootnoteText"/>
      </w:pPr>
      <w:r w:rsidRPr="00ED6163">
        <w:rPr>
          <w:rStyle w:val="FootnoteReference"/>
        </w:rPr>
        <w:footnoteRef/>
      </w:r>
      <w:r w:rsidRPr="00ED6163">
        <w:t xml:space="preserve"> </w:t>
      </w:r>
      <w:r w:rsidRPr="00ED6163">
        <w:rPr>
          <w:i/>
        </w:rPr>
        <w:t>See</w:t>
      </w:r>
      <w:r w:rsidRPr="00ED6163">
        <w:t xml:space="preserve"> 5 U.S.C. § 603.</w:t>
      </w:r>
    </w:p>
  </w:footnote>
  <w:footnote w:id="336">
    <w:p w:rsidR="00252A4C" w:rsidRPr="00ED6163" w:rsidP="00D60B92" w14:paraId="10ADCED7" w14:textId="77777777">
      <w:pPr>
        <w:pStyle w:val="FootnoteText"/>
      </w:pPr>
      <w:r w:rsidRPr="00ED6163">
        <w:rPr>
          <w:rStyle w:val="FootnoteReference"/>
        </w:rPr>
        <w:footnoteRef/>
      </w:r>
      <w:r w:rsidRPr="00ED6163">
        <w:t xml:space="preserve"> </w:t>
      </w:r>
      <w:r w:rsidRPr="00ED6163">
        <w:rPr>
          <w:i/>
        </w:rPr>
        <w:t>See</w:t>
      </w:r>
      <w:r w:rsidRPr="00ED6163">
        <w:t xml:space="preserve"> 5 U.S.C. § 603(a).</w:t>
      </w:r>
    </w:p>
  </w:footnote>
  <w:footnote w:id="337">
    <w:p w:rsidR="00252A4C" w:rsidRPr="00ED6163" w:rsidP="00D60B92" w14:paraId="76E4BE48" w14:textId="77777777">
      <w:pPr>
        <w:pStyle w:val="FootnoteText"/>
      </w:pPr>
      <w:r w:rsidRPr="00ED6163">
        <w:rPr>
          <w:rStyle w:val="FootnoteReference"/>
        </w:rPr>
        <w:footnoteRef/>
      </w:r>
      <w:r w:rsidRPr="00ED6163">
        <w:t xml:space="preserve"> </w:t>
      </w:r>
      <w:r w:rsidRPr="00ED6163">
        <w:rPr>
          <w:i/>
          <w:iCs/>
        </w:rPr>
        <w:t>See</w:t>
      </w:r>
      <w:r w:rsidRPr="00ED6163">
        <w:t xml:space="preserve"> 44</w:t>
      </w:r>
      <w:r w:rsidRPr="00ED6163">
        <w:t> U.S.C. § 3506(c)(4).</w:t>
      </w:r>
    </w:p>
  </w:footnote>
  <w:footnote w:id="338">
    <w:p w:rsidR="00252A4C" w:rsidRPr="00ED6163" w:rsidP="00D60B92" w14:paraId="4064C87E" w14:textId="77777777">
      <w:pPr>
        <w:pStyle w:val="FootnoteText"/>
      </w:pPr>
      <w:r w:rsidRPr="00ED6163">
        <w:rPr>
          <w:rStyle w:val="FootnoteReference"/>
        </w:rPr>
        <w:footnoteRef/>
      </w:r>
      <w:r w:rsidRPr="00ED6163">
        <w:t xml:space="preserve"> </w:t>
      </w:r>
      <w:r w:rsidRPr="00ED6163">
        <w:rPr>
          <w:i/>
        </w:rPr>
        <w:t>See Electronic Filing of Documents in Rulemaking Proceedings</w:t>
      </w:r>
      <w:r w:rsidRPr="00ED6163">
        <w:t>, 63 FR 24121 (1998).</w:t>
      </w:r>
    </w:p>
  </w:footnote>
  <w:footnote w:id="339">
    <w:p w:rsidR="000B7690" w:rsidRPr="00ED6163" w:rsidP="000B7690" w14:paraId="756C58D2" w14:textId="77777777">
      <w:pPr>
        <w:pStyle w:val="FootnoteText"/>
      </w:pPr>
      <w:r w:rsidRPr="00ED6163">
        <w:rPr>
          <w:rStyle w:val="FootnoteReference"/>
          <w:rFonts w:eastAsia="Calibri"/>
          <w:color w:val="000000"/>
        </w:rPr>
        <w:footnoteRef/>
      </w:r>
      <w:r w:rsidRPr="00ED6163">
        <w:t xml:space="preserve"> </w:t>
      </w:r>
      <w:r w:rsidRPr="00ED6163">
        <w:rPr>
          <w:i/>
        </w:rPr>
        <w:t xml:space="preserve">See </w:t>
      </w:r>
      <w:r w:rsidRPr="00ED6163">
        <w:t>5 U.S.C. § 604.</w:t>
      </w:r>
    </w:p>
  </w:footnote>
  <w:footnote w:id="340">
    <w:p w:rsidR="00252A4C" w:rsidRPr="00ED6163" w:rsidP="00D60B92" w14:paraId="58986254" w14:textId="77777777">
      <w:pPr>
        <w:pStyle w:val="FootnoteText"/>
      </w:pPr>
      <w:r w:rsidRPr="00ED6163">
        <w:rPr>
          <w:rStyle w:val="FootnoteReference"/>
        </w:rPr>
        <w:footnoteRef/>
      </w:r>
      <w:r w:rsidRPr="00ED6163">
        <w:t xml:space="preserve"> </w:t>
      </w:r>
      <w:r w:rsidRPr="00ED6163">
        <w:rPr>
          <w:i/>
        </w:rPr>
        <w:t xml:space="preserve">See </w:t>
      </w:r>
      <w:r w:rsidRPr="00ED6163">
        <w:t xml:space="preserve">NTCA Apr. 30, 2019 </w:t>
      </w:r>
      <w:r w:rsidRPr="00ED6163">
        <w:rPr>
          <w:i/>
        </w:rPr>
        <w:t>Ex Parte</w:t>
      </w:r>
      <w:r w:rsidRPr="00ED6163">
        <w:t xml:space="preserve"> Letter at 1.</w:t>
      </w:r>
    </w:p>
  </w:footnote>
  <w:footnote w:id="341">
    <w:p w:rsidR="00252A4C" w:rsidRPr="00ED6163" w:rsidP="00D60B92" w14:paraId="69011C09" w14:textId="77777777">
      <w:pPr>
        <w:pStyle w:val="FootnoteText"/>
      </w:pPr>
      <w:r w:rsidRPr="00ED6163">
        <w:rPr>
          <w:rStyle w:val="FootnoteReference"/>
        </w:rPr>
        <w:footnoteRef/>
      </w:r>
      <w:r w:rsidRPr="00ED6163">
        <w:t xml:space="preserve"> GIS files are useful for storing geographical data, such as the locations of bu</w:t>
      </w:r>
      <w:r w:rsidRPr="00ED6163">
        <w:t>ildings, homes, and streets.  GIS files often use a vector data format, meaning that the geographic data is stored in vector coordinates, the output of which can display on a map (as a polygon).  A GIS file also can store attribute information, which is ke</w:t>
      </w:r>
      <w:r w:rsidRPr="00ED6163">
        <w:t>pt in a database table that associates with features on a map. An attribute table lists the vector coordinates for each feature, but it can also be used to store other information about a feature, such as the names of streets or the population of census bl</w:t>
      </w:r>
      <w:r w:rsidRPr="00ED6163">
        <w:t>ocks.</w:t>
      </w:r>
      <w:r w:rsidRPr="00ED6163">
        <w:rPr>
          <w:rStyle w:val="CommentReference"/>
          <w:sz w:val="20"/>
          <w:szCs w:val="20"/>
        </w:rPr>
        <w:t xml:space="preserve"> </w:t>
      </w:r>
      <w:r w:rsidRPr="00ED6163">
        <w:rPr>
          <w:i/>
        </w:rPr>
        <w:t xml:space="preserve"> See </w:t>
      </w:r>
      <w:r w:rsidRPr="00ED6163">
        <w:t xml:space="preserve">wiseGEEK, </w:t>
      </w:r>
      <w:r w:rsidRPr="00ED6163">
        <w:rPr>
          <w:i/>
        </w:rPr>
        <w:t>What is a GIS Shapefile?</w:t>
      </w:r>
      <w:r w:rsidRPr="00ED6163">
        <w:t xml:space="preserve">, </w:t>
      </w:r>
      <w:hyperlink r:id="rId67" w:history="1">
        <w:r w:rsidRPr="00ED6163">
          <w:rPr>
            <w:rStyle w:val="Hyperlink"/>
          </w:rPr>
          <w:t>https://www.wisegeek.com/what-is-a-gis-shapefile.htm</w:t>
        </w:r>
      </w:hyperlink>
      <w:r w:rsidRPr="00ED6163">
        <w:rPr>
          <w:rStyle w:val="Hyperlink"/>
        </w:rPr>
        <w:t>.</w:t>
      </w:r>
    </w:p>
  </w:footnote>
  <w:footnote w:id="342">
    <w:p w:rsidR="00252A4C" w:rsidRPr="00ED6163" w:rsidP="00D60B92" w14:paraId="6A9D7835" w14:textId="77777777">
      <w:pPr>
        <w:pStyle w:val="FootnoteText"/>
      </w:pPr>
      <w:r w:rsidRPr="00ED6163">
        <w:rPr>
          <w:rStyle w:val="FootnoteReference"/>
        </w:rPr>
        <w:footnoteRef/>
      </w:r>
      <w:r w:rsidRPr="00ED6163">
        <w:t xml:space="preserve"> WISPA Comments at 18-19.</w:t>
      </w:r>
    </w:p>
  </w:footnote>
  <w:footnote w:id="343">
    <w:p w:rsidR="00252A4C" w:rsidRPr="00ED6163" w:rsidP="00D60B92" w14:paraId="36197B85" w14:textId="77777777">
      <w:pPr>
        <w:pStyle w:val="FootnoteText"/>
      </w:pPr>
      <w:r w:rsidRPr="00ED6163">
        <w:rPr>
          <w:rStyle w:val="FootnoteReference"/>
        </w:rPr>
        <w:footnoteRef/>
      </w:r>
      <w:r w:rsidRPr="00ED6163">
        <w:t xml:space="preserve"> 5 U.S.C. § 603(b)(3).</w:t>
      </w:r>
    </w:p>
  </w:footnote>
  <w:footnote w:id="344">
    <w:p w:rsidR="00252A4C" w:rsidRPr="00ED6163" w:rsidP="00D60B92" w14:paraId="0AA4773C" w14:textId="77777777">
      <w:pPr>
        <w:pStyle w:val="FootnoteText"/>
      </w:pPr>
      <w:r w:rsidRPr="00ED6163">
        <w:rPr>
          <w:rStyle w:val="FootnoteReference"/>
        </w:rPr>
        <w:footnoteRef/>
      </w:r>
      <w:r w:rsidRPr="00ED6163">
        <w:t xml:space="preserve"> WISPA Comments at 19-20 (“Significantly, through the current version of FCC Form 477, Terrestrial Fixed Wireless providers – a category that includes WISPs that use unlicensed spectrum – the Commission has ready access to information on the number of enti</w:t>
      </w:r>
      <w:r w:rsidRPr="00ED6163">
        <w:t xml:space="preserve">ties using wireless technology to provide broadband services.  The Commission also has access to the National Broadband Map, which includes a fixed wireless layer.”). </w:t>
      </w:r>
    </w:p>
  </w:footnote>
  <w:footnote w:id="345">
    <w:p w:rsidR="00252A4C" w:rsidRPr="00ED6163" w:rsidP="00D60B92" w14:paraId="627EEB12" w14:textId="77777777">
      <w:pPr>
        <w:pStyle w:val="FootnoteText"/>
      </w:pPr>
      <w:r w:rsidRPr="00ED6163">
        <w:rPr>
          <w:rStyle w:val="FootnoteReference"/>
          <w:rFonts w:eastAsia="Calibri"/>
        </w:rPr>
        <w:footnoteRef/>
      </w:r>
      <w:r w:rsidRPr="00ED6163">
        <w:t xml:space="preserve"> 5 U.S.C. § 604(a)(3).</w:t>
      </w:r>
    </w:p>
  </w:footnote>
  <w:footnote w:id="346">
    <w:p w:rsidR="00252A4C" w:rsidRPr="00ED6163" w:rsidP="00D60B92" w14:paraId="3A0D0D2C" w14:textId="77777777">
      <w:pPr>
        <w:pStyle w:val="FootnoteText"/>
      </w:pPr>
      <w:r w:rsidRPr="00ED6163">
        <w:rPr>
          <w:rStyle w:val="FootnoteReference"/>
          <w:rFonts w:eastAsia="Calibri"/>
        </w:rPr>
        <w:footnoteRef/>
      </w:r>
      <w:r w:rsidRPr="00ED6163">
        <w:t xml:space="preserve"> 5 U.S.C. § 604(a)(4).</w:t>
      </w:r>
    </w:p>
  </w:footnote>
  <w:footnote w:id="347">
    <w:p w:rsidR="00252A4C" w:rsidRPr="00ED6163" w:rsidP="00D60B92" w14:paraId="21BF1F96" w14:textId="77777777">
      <w:pPr>
        <w:pStyle w:val="FootnoteText"/>
      </w:pPr>
      <w:r w:rsidRPr="00ED6163">
        <w:rPr>
          <w:rStyle w:val="FootnoteReference"/>
          <w:rFonts w:eastAsia="Calibri"/>
        </w:rPr>
        <w:footnoteRef/>
      </w:r>
      <w:r w:rsidRPr="00ED6163">
        <w:t xml:space="preserve"> 5 U.S.C. § 601(6).</w:t>
      </w:r>
    </w:p>
  </w:footnote>
  <w:footnote w:id="348">
    <w:p w:rsidR="00252A4C" w:rsidRPr="00ED6163" w:rsidP="00D60B92" w14:paraId="3C2B85B9" w14:textId="77777777">
      <w:pPr>
        <w:pStyle w:val="FootnoteText"/>
      </w:pPr>
      <w:r w:rsidRPr="00ED6163">
        <w:rPr>
          <w:rStyle w:val="FootnoteReference"/>
          <w:rFonts w:eastAsia="Calibri"/>
        </w:rPr>
        <w:footnoteRef/>
      </w:r>
      <w:r w:rsidRPr="00ED6163">
        <w:t xml:space="preserve"> 5 U.S.C. § 601(3)</w:t>
      </w:r>
      <w:r w:rsidRPr="00ED6163">
        <w:t xml:space="preserve"> (incorporating by reference the definition of “small-business concern” in the Small Business Act, 15 U.S.C. § 632).  Pursuant to 5 U.S.C. § 601(3), the statutory definition of a small business applies “unless an agency, after consultation with the Office </w:t>
      </w:r>
      <w:r w:rsidRPr="00ED6163">
        <w:t>of Advocacy of the Small Business Administration and after opportunity for public comment, establishes one or more definitions of such term which are appropriate to the activities of the agency and publishes such definition(s) in the Federal Register.”</w:t>
      </w:r>
    </w:p>
  </w:footnote>
  <w:footnote w:id="349">
    <w:p w:rsidR="00252A4C" w:rsidRPr="00ED6163" w:rsidP="00D60B92" w14:paraId="6CB5E7F1" w14:textId="77777777">
      <w:pPr>
        <w:pStyle w:val="FootnoteText"/>
      </w:pPr>
      <w:r w:rsidRPr="00ED6163">
        <w:rPr>
          <w:rStyle w:val="FootnoteReference"/>
          <w:rFonts w:eastAsia="Calibri"/>
        </w:rPr>
        <w:footnoteRef/>
      </w:r>
      <w:r w:rsidRPr="00ED6163">
        <w:t xml:space="preserve"> 1</w:t>
      </w:r>
      <w:r w:rsidRPr="00ED6163">
        <w:t>5 U.S.C. § 632.</w:t>
      </w:r>
    </w:p>
  </w:footnote>
  <w:footnote w:id="350">
    <w:p w:rsidR="00252A4C" w:rsidRPr="00ED6163" w:rsidP="00D60B92" w14:paraId="198FEB4F" w14:textId="77777777">
      <w:pPr>
        <w:pStyle w:val="FootnoteText"/>
      </w:pPr>
      <w:r w:rsidRPr="00ED6163">
        <w:rPr>
          <w:rStyle w:val="FootnoteReference"/>
        </w:rPr>
        <w:footnoteRef/>
      </w:r>
      <w:r w:rsidRPr="00ED6163">
        <w:t xml:space="preserve"> </w:t>
      </w:r>
      <w:r w:rsidRPr="00ED6163">
        <w:rPr>
          <w:i/>
        </w:rPr>
        <w:t>See</w:t>
      </w:r>
      <w:r w:rsidRPr="00ED6163">
        <w:t xml:space="preserve"> 5 U.S.C. § 601(3)-(6).</w:t>
      </w:r>
    </w:p>
  </w:footnote>
  <w:footnote w:id="351">
    <w:p w:rsidR="00252A4C" w:rsidRPr="00ED6163" w:rsidP="00D60B92" w14:paraId="4142F8C3" w14:textId="77777777">
      <w:pPr>
        <w:pStyle w:val="FootnoteText"/>
      </w:pPr>
      <w:r w:rsidRPr="00ED6163">
        <w:rPr>
          <w:rStyle w:val="FootnoteReference"/>
        </w:rPr>
        <w:footnoteRef/>
      </w:r>
      <w:r w:rsidRPr="00ED6163">
        <w:t xml:space="preserve"> </w:t>
      </w:r>
      <w:r w:rsidRPr="00ED6163">
        <w:rPr>
          <w:i/>
        </w:rPr>
        <w:t>See</w:t>
      </w:r>
      <w:r w:rsidRPr="00ED6163">
        <w:t xml:space="preserve"> </w:t>
      </w:r>
      <w:bookmarkStart w:id="376" w:name="_Hlk11766434"/>
      <w:r w:rsidRPr="00ED6163">
        <w:t xml:space="preserve">SBA, Office of Advocacy, </w:t>
      </w:r>
      <w:r w:rsidRPr="00947E6A">
        <w:rPr>
          <w:i/>
        </w:rPr>
        <w:t>Frequently Asked Questions, Question 1 – What is a small business</w:t>
      </w:r>
      <w:r w:rsidRPr="00ED6163">
        <w:rPr>
          <w:i/>
        </w:rPr>
        <w:t>?,</w:t>
      </w:r>
      <w:r w:rsidRPr="00ED6163">
        <w:t xml:space="preserve"> </w:t>
      </w:r>
      <w:bookmarkStart w:id="377" w:name="_Hlk11766401"/>
      <w:hyperlink r:id="rId68" w:history="1">
        <w:r w:rsidRPr="00ED6163">
          <w:rPr>
            <w:rStyle w:val="Hyperlink"/>
          </w:rPr>
          <w:t>https://www.sba.gov/sites/default/files/advocacy/SB-FAQ-2016_WEB.pdf</w:t>
        </w:r>
      </w:hyperlink>
      <w:bookmarkEnd w:id="377"/>
      <w:r w:rsidRPr="00ED6163">
        <w:t xml:space="preserve"> (June 2016).</w:t>
      </w:r>
      <w:bookmarkEnd w:id="376"/>
    </w:p>
  </w:footnote>
  <w:footnote w:id="352">
    <w:p w:rsidR="00252A4C" w:rsidRPr="00ED6163" w:rsidP="00D60B92" w14:paraId="414E1A1F" w14:textId="77777777">
      <w:pPr>
        <w:pStyle w:val="FootnoteText"/>
      </w:pPr>
      <w:r w:rsidRPr="00ED6163">
        <w:rPr>
          <w:rStyle w:val="FootnoteReference"/>
        </w:rPr>
        <w:footnoteRef/>
      </w:r>
      <w:r w:rsidRPr="00ED6163">
        <w:t xml:space="preserve"> </w:t>
      </w:r>
      <w:r w:rsidRPr="00ED6163">
        <w:rPr>
          <w:i/>
        </w:rPr>
        <w:t>See</w:t>
      </w:r>
      <w:r w:rsidRPr="00ED6163">
        <w:t xml:space="preserve"> SBA, Office of Advocacy, </w:t>
      </w:r>
      <w:r w:rsidRPr="00947E6A">
        <w:rPr>
          <w:i/>
        </w:rPr>
        <w:t>Frequently Asked Questions, Question 2- How many small busin</w:t>
      </w:r>
      <w:r w:rsidRPr="00947E6A">
        <w:rPr>
          <w:i/>
        </w:rPr>
        <w:t>esses are there in the U.S</w:t>
      </w:r>
      <w:r w:rsidRPr="00ED6163">
        <w:rPr>
          <w:i/>
        </w:rPr>
        <w:t>.?,</w:t>
      </w:r>
      <w:r w:rsidRPr="00ED6163">
        <w:t xml:space="preserve"> </w:t>
      </w:r>
      <w:hyperlink r:id="rId68" w:history="1">
        <w:r w:rsidRPr="00ED6163">
          <w:rPr>
            <w:rStyle w:val="Hyperlink"/>
          </w:rPr>
          <w:t>https://www.sba.gov/sites/default/files/advocacy/SB-FAQ-2016_WEB.pdf</w:t>
        </w:r>
      </w:hyperlink>
      <w:r w:rsidRPr="00ED6163">
        <w:t xml:space="preserve"> (June 2016).</w:t>
      </w:r>
    </w:p>
  </w:footnote>
  <w:footnote w:id="353">
    <w:p w:rsidR="00252A4C" w:rsidRPr="00ED6163" w:rsidP="00D60B92" w14:paraId="6C4CE376" w14:textId="77777777">
      <w:pPr>
        <w:pStyle w:val="FootnoteText"/>
      </w:pPr>
      <w:r w:rsidRPr="00ED6163">
        <w:rPr>
          <w:rStyle w:val="FootnoteReference"/>
        </w:rPr>
        <w:footnoteRef/>
      </w:r>
      <w:r w:rsidRPr="00ED6163">
        <w:t xml:space="preserve"> </w:t>
      </w:r>
      <w:r w:rsidRPr="00ED6163">
        <w:rPr>
          <w:spacing w:val="-2"/>
        </w:rPr>
        <w:t>5 U.S.C.</w:t>
      </w:r>
      <w:r w:rsidRPr="00ED6163">
        <w:t xml:space="preserve"> § 601(4).</w:t>
      </w:r>
    </w:p>
  </w:footnote>
  <w:footnote w:id="354">
    <w:p w:rsidR="00252A4C" w:rsidRPr="00ED6163" w:rsidP="00D60B92" w14:paraId="5CBF1BA7" w14:textId="77777777">
      <w:pPr>
        <w:pStyle w:val="FootnoteText"/>
      </w:pPr>
      <w:r w:rsidRPr="00ED6163">
        <w:rPr>
          <w:rStyle w:val="FootnoteReference"/>
          <w:rFonts w:eastAsia="Calibri"/>
        </w:rPr>
        <w:footnoteRef/>
      </w:r>
      <w:r w:rsidRPr="00ED6163">
        <w:rPr>
          <w:color w:val="000000"/>
        </w:rPr>
        <w:t xml:space="preserve"> Data from the Urban Institute, Natio</w:t>
      </w:r>
      <w:r w:rsidRPr="00ED6163">
        <w:rPr>
          <w:color w:val="000000"/>
        </w:rPr>
        <w:t xml:space="preserve">nal Center for Charitable Statistics (NCCS) reporting on nonprofit organizations registered with the IRS was used to estimate the number of small organizations.  Reports generated using the NCCS online database indicated that as of August 2016 there were </w:t>
      </w:r>
      <w:r w:rsidRPr="00ED6163">
        <w:t>3</w:t>
      </w:r>
      <w:r w:rsidRPr="00ED6163">
        <w:t>56,494</w:t>
      </w:r>
      <w:r w:rsidRPr="00ED6163">
        <w:rPr>
          <w:color w:val="000000"/>
        </w:rPr>
        <w:t xml:space="preserve"> registered nonprofits with total revenues of less than $100,000.  Of this number, 326,897 entities filed tax returns with 65,113 registered nonprofits reporting total revenues of $50,000 or less on the IRS Form 990-N for Small Exempt Organizations a</w:t>
      </w:r>
      <w:r w:rsidRPr="00ED6163">
        <w:rPr>
          <w:color w:val="000000"/>
        </w:rPr>
        <w:t xml:space="preserve">nd 261,784 nonprofits reporting total revenues of $100,000 or less on some other version of the IRS Form 990 within 24 months of the August 2016 data release date. </w:t>
      </w:r>
      <w:r w:rsidRPr="00ED6163">
        <w:rPr>
          <w:i/>
          <w:color w:val="000000"/>
        </w:rPr>
        <w:t xml:space="preserve"> See</w:t>
      </w:r>
      <w:r w:rsidRPr="00ED6163">
        <w:rPr>
          <w:color w:val="000000"/>
        </w:rPr>
        <w:t xml:space="preserve"> </w:t>
      </w:r>
      <w:hyperlink r:id="rId69" w:history="1">
        <w:r w:rsidRPr="00ED6163">
          <w:rPr>
            <w:rStyle w:val="Hyperlink"/>
          </w:rPr>
          <w:t>http:</w:t>
        </w:r>
        <w:r w:rsidRPr="00ED6163">
          <w:rPr>
            <w:rStyle w:val="Hyperlink"/>
          </w:rPr>
          <w:t>//nccs.urban.org/sites/all/nccs-archive/html//tablewiz/tw.php</w:t>
        </w:r>
      </w:hyperlink>
      <w:r w:rsidRPr="00ED6163">
        <w:rPr>
          <w:color w:val="000000"/>
        </w:rPr>
        <w:t xml:space="preserve"> where the report showing this data can be generated by selecting the following data fields: Report: “The Number and Finances of All Registered 501(c) Nonprofits”; Show: “Registered Nonprofits”; </w:t>
      </w:r>
      <w:r w:rsidRPr="00ED6163">
        <w:rPr>
          <w:color w:val="000000"/>
        </w:rPr>
        <w:t>By: “Total Revenue Level (years 1995, Aug to 2016, Aug)”; and For: “2016, Aug” then selecting “Show Results”.</w:t>
      </w:r>
    </w:p>
  </w:footnote>
  <w:footnote w:id="355">
    <w:p w:rsidR="00252A4C" w:rsidRPr="00ED6163" w:rsidP="00D60B92" w14:paraId="2A94C430" w14:textId="77777777">
      <w:pPr>
        <w:pStyle w:val="FootnoteText"/>
      </w:pPr>
      <w:r w:rsidRPr="00ED6163">
        <w:rPr>
          <w:rStyle w:val="FootnoteReference"/>
          <w:spacing w:val="-2"/>
        </w:rPr>
        <w:footnoteRef/>
      </w:r>
      <w:r w:rsidRPr="00ED6163">
        <w:t xml:space="preserve"> 5 U.S.C. § 601(5).</w:t>
      </w:r>
    </w:p>
  </w:footnote>
  <w:footnote w:id="356">
    <w:p w:rsidR="00252A4C" w:rsidRPr="00ED6163" w:rsidP="00D60B92" w14:paraId="28373C35" w14:textId="77777777">
      <w:pPr>
        <w:pStyle w:val="FootnoteText"/>
      </w:pPr>
      <w:r w:rsidRPr="00ED6163">
        <w:rPr>
          <w:rStyle w:val="FootnoteReference"/>
          <w:spacing w:val="-2"/>
        </w:rPr>
        <w:footnoteRef/>
      </w:r>
      <w:r w:rsidRPr="00ED6163">
        <w:t xml:space="preserve"> U.S. Census Bureau, </w:t>
      </w:r>
      <w:r w:rsidRPr="00947E6A">
        <w:rPr>
          <w:i/>
        </w:rPr>
        <w:t>Statistical Abstract of the United States: 2012</w:t>
      </w:r>
      <w:r w:rsidRPr="00ED6163">
        <w:t xml:space="preserve">, at 267, Table 428 (2011), </w:t>
      </w:r>
      <w:hyperlink r:id="rId70" w:history="1">
        <w:r w:rsidRPr="00ED6163">
          <w:rPr>
            <w:rStyle w:val="Hyperlink"/>
          </w:rPr>
          <w:t>http://www2.census.gov/library/publications/2011/compendia/statab/131ed/2012-statab.pdf</w:t>
        </w:r>
      </w:hyperlink>
      <w:r w:rsidRPr="00ED6163">
        <w:t xml:space="preserve"> (citing data from 2007). </w:t>
      </w:r>
    </w:p>
  </w:footnote>
  <w:footnote w:id="357">
    <w:p w:rsidR="00252A4C" w:rsidRPr="00ED6163" w:rsidP="00D60B92" w14:paraId="6A0D7DC4" w14:textId="77777777">
      <w:pPr>
        <w:pStyle w:val="FootnoteText"/>
      </w:pPr>
      <w:r w:rsidRPr="00ED6163">
        <w:rPr>
          <w:rStyle w:val="FootnoteReference"/>
        </w:rPr>
        <w:footnoteRef/>
      </w:r>
      <w:r w:rsidRPr="00ED6163">
        <w:t xml:space="preserve"> The 2012 U.S. Census Bureau data for s</w:t>
      </w:r>
      <w:r w:rsidRPr="00ED6163">
        <w:t>mall governmental organizations are not presented based on the size of the population in each organization.  There were 89,476 local governmental organizations in the Census Bureau data for 2012, which is based on 2007 data.  As a basis of estimating how m</w:t>
      </w:r>
      <w:r w:rsidRPr="00ED6163">
        <w:t xml:space="preserve">any of these 89,476 local government organizations were small, we note that there were a total of 715 cities and towns (incorporated places and minor civil divisions) with populations over 50,000 in 2011.  </w:t>
      </w:r>
      <w:r w:rsidRPr="00ED6163">
        <w:rPr>
          <w:i/>
        </w:rPr>
        <w:t xml:space="preserve">See </w:t>
      </w:r>
      <w:r w:rsidRPr="00ED6163">
        <w:t xml:space="preserve">U.S. Census Bureau, </w:t>
      </w:r>
      <w:r w:rsidRPr="00947E6A">
        <w:rPr>
          <w:i/>
        </w:rPr>
        <w:t>City and Town Totals Vinta</w:t>
      </w:r>
      <w:r w:rsidRPr="00947E6A">
        <w:rPr>
          <w:i/>
        </w:rPr>
        <w:t>ge: 2011</w:t>
      </w:r>
      <w:r w:rsidRPr="00ED6163">
        <w:t xml:space="preserve">, </w:t>
      </w:r>
      <w:hyperlink r:id="rId71" w:history="1">
        <w:r w:rsidRPr="00ED6163">
          <w:rPr>
            <w:rStyle w:val="Hyperlink"/>
          </w:rPr>
          <w:t>https://www.census.gov/data/tables/time-series/demo/popest/2010s-total-cities-and-towns.html</w:t>
        </w:r>
      </w:hyperlink>
      <w:r w:rsidRPr="00ED6163">
        <w:t>.  If we subtract the 715 cities and towns th</w:t>
      </w:r>
      <w:r w:rsidRPr="00ED6163">
        <w:t xml:space="preserve">at meet or exceed the 50,000-population threshold, we conclude that approximately 88,761 are small.  </w:t>
      </w:r>
    </w:p>
  </w:footnote>
  <w:footnote w:id="358">
    <w:p w:rsidR="00252A4C" w:rsidRPr="00ED6163" w:rsidP="00D60B92" w14:paraId="229EB11B" w14:textId="77777777">
      <w:pPr>
        <w:pStyle w:val="FootnoteText"/>
      </w:pPr>
      <w:r w:rsidRPr="00ED6163">
        <w:rPr>
          <w:rStyle w:val="FootnoteReference"/>
        </w:rPr>
        <w:footnoteRef/>
      </w:r>
      <w:r w:rsidRPr="00ED6163">
        <w:t xml:space="preserve"> </w:t>
      </w:r>
      <w:r w:rsidRPr="00ED6163">
        <w:rPr>
          <w:i/>
        </w:rPr>
        <w:t>See</w:t>
      </w:r>
      <w:r w:rsidRPr="00ED6163">
        <w:t xml:space="preserve"> 13 CFR § 121.201.  The Wired Telecommunications Carrier category formerly used the NAICS code of 517110.  As of 2017, the U.S. Census Bureau definit</w:t>
      </w:r>
      <w:r w:rsidRPr="00ED6163">
        <w:t xml:space="preserve">ion shows the NAICS code as 517311 for Wired Telecommunications Carriers.  </w:t>
      </w:r>
      <w:r w:rsidRPr="00ED6163">
        <w:rPr>
          <w:i/>
        </w:rPr>
        <w:t>See</w:t>
      </w:r>
      <w:r w:rsidRPr="00ED6163">
        <w:t xml:space="preserve">, U.S. Census Bureau, </w:t>
      </w:r>
      <w:r w:rsidRPr="00ED6163">
        <w:rPr>
          <w:i/>
        </w:rPr>
        <w:t>2017 NAICS Definition</w:t>
      </w:r>
      <w:r w:rsidRPr="00ED6163">
        <w:t xml:space="preserve">, </w:t>
      </w:r>
      <w:hyperlink r:id="rId72" w:history="1">
        <w:r w:rsidRPr="00ED6163">
          <w:rPr>
            <w:rStyle w:val="Hyperlink"/>
          </w:rPr>
          <w:t>https://www.census.gov/cgi-bin/sssd/naics/</w:t>
        </w:r>
        <w:r w:rsidRPr="00ED6163">
          <w:rPr>
            <w:rStyle w:val="Hyperlink"/>
          </w:rPr>
          <w:t>naicsrch?code=517311&amp;search=2017</w:t>
        </w:r>
      </w:hyperlink>
      <w:r w:rsidRPr="00ED6163">
        <w:t xml:space="preserve">. </w:t>
      </w:r>
    </w:p>
  </w:footnote>
  <w:footnote w:id="359">
    <w:p w:rsidR="00252A4C" w:rsidRPr="00ED6163" w:rsidP="00D60B92" w14:paraId="3CFD17AD" w14:textId="77777777">
      <w:pPr>
        <w:pStyle w:val="FootnoteText"/>
      </w:pPr>
      <w:r w:rsidRPr="00ED6163">
        <w:rPr>
          <w:rStyle w:val="FootnoteReference"/>
        </w:rPr>
        <w:footnoteRef/>
      </w:r>
      <w:r w:rsidRPr="00ED6163">
        <w:t xml:space="preserve"> </w:t>
      </w:r>
      <w:r w:rsidRPr="00ED6163">
        <w:rPr>
          <w:i/>
        </w:rPr>
        <w:t>Id</w:t>
      </w:r>
      <w:r w:rsidRPr="00ED6163">
        <w:t>.</w:t>
      </w:r>
    </w:p>
  </w:footnote>
  <w:footnote w:id="360">
    <w:p w:rsidR="00252A4C" w:rsidRPr="00ED6163" w:rsidP="00D60B92" w14:paraId="54820A88" w14:textId="77777777">
      <w:pPr>
        <w:pStyle w:val="FootnoteText"/>
      </w:pPr>
      <w:r w:rsidRPr="00ED6163">
        <w:rPr>
          <w:rStyle w:val="FootnoteReference"/>
        </w:rPr>
        <w:footnoteRef/>
      </w:r>
      <w:r w:rsidRPr="00ED6163">
        <w:t xml:space="preserve"> </w:t>
      </w:r>
      <w:r w:rsidRPr="00ED6163">
        <w:rPr>
          <w:i/>
        </w:rPr>
        <w:t>Id</w:t>
      </w:r>
      <w:r w:rsidRPr="00ED6163">
        <w:t>.</w:t>
      </w:r>
    </w:p>
  </w:footnote>
  <w:footnote w:id="361">
    <w:p w:rsidR="00252A4C" w:rsidRPr="00ED6163" w:rsidP="00D60B92" w14:paraId="1BDAF693" w14:textId="77777777">
      <w:pPr>
        <w:pStyle w:val="FootnoteText"/>
      </w:pPr>
      <w:r w:rsidRPr="00ED6163">
        <w:rPr>
          <w:rStyle w:val="FootnoteReference"/>
        </w:rPr>
        <w:footnoteRef/>
      </w:r>
      <w:r w:rsidRPr="00ED6163">
        <w:t xml:space="preserve"> U.S. Census Bureau, </w:t>
      </w:r>
      <w:r w:rsidRPr="00ED6163">
        <w:rPr>
          <w:i/>
        </w:rPr>
        <w:t>Estab &amp; Firm Size: Employment Size of Firms for the U.S. 2012</w:t>
      </w:r>
      <w:r w:rsidRPr="00ED6163">
        <w:t xml:space="preserve">, </w:t>
      </w:r>
      <w:hyperlink r:id="rId73" w:history="1">
        <w:r w:rsidRPr="00ED6163">
          <w:rPr>
            <w:rStyle w:val="Hyperlink"/>
          </w:rPr>
          <w:t>https://factfinder.census.gov/faces/tableservices/jsf/pages/productview.xhtml?pid=ECN_2012_US_22SSSZ2&amp;prodType=table</w:t>
        </w:r>
      </w:hyperlink>
      <w:r w:rsidRPr="00ED6163">
        <w:t xml:space="preserve">. </w:t>
      </w:r>
    </w:p>
  </w:footnote>
  <w:footnote w:id="362">
    <w:p w:rsidR="00252A4C" w:rsidRPr="00ED6163" w:rsidP="00D60B92" w14:paraId="3A321FD9" w14:textId="77777777">
      <w:pPr>
        <w:pStyle w:val="FootnoteText"/>
      </w:pPr>
      <w:r w:rsidRPr="00ED6163">
        <w:rPr>
          <w:rStyle w:val="FootnoteReference"/>
        </w:rPr>
        <w:footnoteRef/>
      </w:r>
      <w:r w:rsidRPr="00ED6163">
        <w:t xml:space="preserve"> 13 CFR § 121.201; NAICS Code 517919.</w:t>
      </w:r>
    </w:p>
  </w:footnote>
  <w:footnote w:id="363">
    <w:p w:rsidR="00252A4C" w:rsidRPr="00ED6163" w:rsidP="00D60B92" w14:paraId="2FFC9562" w14:textId="77777777">
      <w:pPr>
        <w:pStyle w:val="FootnoteText"/>
      </w:pPr>
      <w:r w:rsidRPr="00ED6163">
        <w:rPr>
          <w:rStyle w:val="FootnoteReference"/>
        </w:rPr>
        <w:footnoteRef/>
      </w:r>
      <w:r w:rsidRPr="00ED6163">
        <w:t xml:space="preserve"> U.S. Census Bureau, </w:t>
      </w:r>
      <w:r w:rsidRPr="00ED6163">
        <w:rPr>
          <w:i/>
        </w:rPr>
        <w:t>Estab &amp; Firm Size: Receipts Size of Firms for the U.S. 2012</w:t>
      </w:r>
      <w:r w:rsidRPr="00ED6163">
        <w:t xml:space="preserve">, </w:t>
      </w:r>
      <w:hyperlink r:id="rId74" w:history="1">
        <w:r w:rsidRPr="00ED6163">
          <w:rPr>
            <w:rStyle w:val="Hyperlink"/>
          </w:rPr>
          <w:t>https://factfinder.census.gov/faces/tableservices/jsf/pages/productview.xhtml?src=bkmk</w:t>
        </w:r>
      </w:hyperlink>
      <w:r w:rsidRPr="00ED6163">
        <w:t>.</w:t>
      </w:r>
    </w:p>
  </w:footnote>
  <w:footnote w:id="364">
    <w:p w:rsidR="00252A4C" w:rsidRPr="00ED6163" w:rsidP="00D60B92" w14:paraId="07FBAA5F" w14:textId="77777777">
      <w:pPr>
        <w:pStyle w:val="FootnoteText"/>
      </w:pPr>
      <w:r w:rsidRPr="00ED6163">
        <w:rPr>
          <w:rStyle w:val="FootnoteReference"/>
        </w:rPr>
        <w:footnoteRef/>
      </w:r>
      <w:r w:rsidRPr="00ED6163">
        <w:t xml:space="preserve"> </w:t>
      </w:r>
      <w:r w:rsidRPr="00ED6163">
        <w:rPr>
          <w:i/>
        </w:rPr>
        <w:t>See</w:t>
      </w:r>
      <w:r w:rsidRPr="00ED6163">
        <w:t xml:space="preserve"> </w:t>
      </w:r>
      <w:r w:rsidRPr="00ED6163">
        <w:rPr>
          <w:color w:val="000000"/>
        </w:rPr>
        <w:t xml:space="preserve">13 CFR § 121.201.  </w:t>
      </w:r>
      <w:r w:rsidRPr="00ED6163">
        <w:t xml:space="preserve">The Wired Telecommunications Carrier category formerly used the NAICS code of 517110.  As of 2017, the U.S. Census Bureau definition shows the NAICS code as 517311 for Wired Telecommunications Carriers.  </w:t>
      </w:r>
      <w:r w:rsidRPr="00ED6163">
        <w:rPr>
          <w:i/>
        </w:rPr>
        <w:t>See</w:t>
      </w:r>
      <w:r w:rsidRPr="00ED6163">
        <w:t xml:space="preserve"> U.S. Census Bureau, </w:t>
      </w:r>
      <w:r w:rsidRPr="00ED6163">
        <w:rPr>
          <w:i/>
        </w:rPr>
        <w:t>2017 NAICS Definition</w:t>
      </w:r>
      <w:r w:rsidRPr="00ED6163">
        <w:t xml:space="preserve">, </w:t>
      </w:r>
      <w:hyperlink r:id="rId72" w:history="1">
        <w:r w:rsidRPr="00ED6163">
          <w:rPr>
            <w:rStyle w:val="Hyperlink"/>
          </w:rPr>
          <w:t>https://www.census.gov/cgi-bin/sssd/naics/naicsrch?code=517311&amp;search=2017</w:t>
        </w:r>
      </w:hyperlink>
      <w:r w:rsidRPr="00ED6163">
        <w:t xml:space="preserve">. </w:t>
      </w:r>
    </w:p>
  </w:footnote>
  <w:footnote w:id="365">
    <w:p w:rsidR="00252A4C" w:rsidRPr="00ED6163" w:rsidP="00D60B92" w14:paraId="5CC3A2DA" w14:textId="77777777">
      <w:pPr>
        <w:pStyle w:val="FootnoteText"/>
      </w:pPr>
      <w:r w:rsidRPr="00ED6163">
        <w:rPr>
          <w:rStyle w:val="FootnoteReference"/>
        </w:rPr>
        <w:footnoteRef/>
      </w:r>
      <w:r w:rsidRPr="00ED6163">
        <w:t xml:space="preserve"> </w:t>
      </w:r>
      <w:r w:rsidRPr="00ED6163">
        <w:rPr>
          <w:i/>
        </w:rPr>
        <w:t>See</w:t>
      </w:r>
      <w:r w:rsidRPr="00ED6163">
        <w:t xml:space="preserve"> 13 CFR </w:t>
      </w:r>
      <w:r w:rsidRPr="00ED6163">
        <w:rPr>
          <w:rStyle w:val="Footnote"/>
        </w:rPr>
        <w:t>§</w:t>
      </w:r>
      <w:r w:rsidRPr="00ED6163">
        <w:t xml:space="preserve"> 120.201, NAICS Code 517110.</w:t>
      </w:r>
    </w:p>
  </w:footnote>
  <w:footnote w:id="366">
    <w:p w:rsidR="00252A4C" w:rsidRPr="00ED6163" w:rsidP="00D60B92" w14:paraId="584B62B4" w14:textId="77777777">
      <w:pPr>
        <w:pStyle w:val="FootnoteText"/>
        <w:rPr>
          <w:i/>
        </w:rPr>
      </w:pPr>
      <w:r w:rsidRPr="00ED6163">
        <w:rPr>
          <w:rStyle w:val="FootnoteReference"/>
        </w:rPr>
        <w:footnoteRef/>
      </w:r>
      <w:r w:rsidRPr="00ED6163">
        <w:t xml:space="preserve"> </w:t>
      </w:r>
      <w:r w:rsidRPr="00ED6163">
        <w:rPr>
          <w:i/>
        </w:rPr>
        <w:t>See</w:t>
      </w:r>
      <w:r w:rsidRPr="00ED6163">
        <w:t xml:space="preserve"> U.S. Census Bureau, </w:t>
      </w:r>
      <w:r w:rsidRPr="00ED6163">
        <w:rPr>
          <w:bCs/>
          <w:i/>
        </w:rPr>
        <w:t>2012</w:t>
      </w:r>
      <w:r w:rsidRPr="00ED6163">
        <w:rPr>
          <w:i/>
        </w:rPr>
        <w:t xml:space="preserve"> Economic Census</w:t>
      </w:r>
      <w:r w:rsidRPr="00ED6163">
        <w:rPr>
          <w:bCs/>
          <w:i/>
        </w:rPr>
        <w:t xml:space="preserve"> of </w:t>
      </w:r>
      <w:r w:rsidRPr="00ED6163">
        <w:rPr>
          <w:bCs/>
          <w:i/>
        </w:rPr>
        <w:t>the United States,</w:t>
      </w:r>
      <w:r w:rsidRPr="00ED6163">
        <w:t xml:space="preserve"> Table No. EC1251SSSZ5, </w:t>
      </w:r>
      <w:r w:rsidRPr="00ED6163">
        <w:rPr>
          <w:i/>
          <w:iCs/>
        </w:rPr>
        <w:t>Information: Subject Series - Estab &amp; Firm Size: Employment Size of Firms: 2012</w:t>
      </w:r>
      <w:r w:rsidRPr="00ED6163">
        <w:t xml:space="preserve"> (517110 Wired Telecommunications Carriers). </w:t>
      </w:r>
      <w:hyperlink r:id="rId75" w:history="1">
        <w:r w:rsidRPr="00ED6163">
          <w:rPr>
            <w:rStyle w:val="Hyperlink"/>
          </w:rPr>
          <w:t>https://factfinder.census.gov/bkmk/table/1.0/en/ECN/2012_US/51SSSZ5//naics~517110</w:t>
        </w:r>
      </w:hyperlink>
      <w:r w:rsidRPr="00ED6163">
        <w:t>.</w:t>
      </w:r>
    </w:p>
  </w:footnote>
  <w:footnote w:id="367">
    <w:p w:rsidR="00252A4C" w:rsidRPr="00ED6163" w:rsidP="00D60B92" w14:paraId="5F16879A" w14:textId="77777777">
      <w:pPr>
        <w:pStyle w:val="FootnoteText"/>
      </w:pPr>
      <w:r w:rsidRPr="00ED6163">
        <w:rPr>
          <w:rStyle w:val="FootnoteReference"/>
        </w:rPr>
        <w:footnoteRef/>
      </w:r>
      <w:r w:rsidRPr="00ED6163">
        <w:t xml:space="preserve"> </w:t>
      </w:r>
      <w:r w:rsidRPr="00ED6163">
        <w:rPr>
          <w:i/>
        </w:rPr>
        <w:t>Id</w:t>
      </w:r>
      <w:r w:rsidRPr="00ED6163">
        <w:t>.</w:t>
      </w:r>
    </w:p>
  </w:footnote>
  <w:footnote w:id="368">
    <w:p w:rsidR="00252A4C" w:rsidRPr="00ED6163" w:rsidP="00D60B92" w14:paraId="7E5D1494" w14:textId="77777777">
      <w:pPr>
        <w:pStyle w:val="FootnoteText"/>
      </w:pPr>
      <w:r w:rsidRPr="00ED6163">
        <w:rPr>
          <w:rStyle w:val="FootnoteReference"/>
        </w:rPr>
        <w:footnoteRef/>
      </w:r>
      <w:r w:rsidRPr="00ED6163">
        <w:t xml:space="preserve"> </w:t>
      </w:r>
      <w:r w:rsidRPr="00ED6163">
        <w:rPr>
          <w:i/>
        </w:rPr>
        <w:t>See</w:t>
      </w:r>
      <w:r w:rsidRPr="00ED6163">
        <w:t xml:space="preserve"> </w:t>
      </w:r>
      <w:r w:rsidRPr="00ED6163">
        <w:rPr>
          <w:color w:val="000000"/>
        </w:rPr>
        <w:t xml:space="preserve">13 CFR § 121.201. </w:t>
      </w:r>
      <w:r w:rsidRPr="00ED6163">
        <w:t>The Wired Telecommunications Carrier category formerly used the NAICS code of 517110.  As of 2017, the U.S. Census Bureau definition sho</w:t>
      </w:r>
      <w:r w:rsidRPr="00ED6163">
        <w:t xml:space="preserve">ws the NAICS code as 517311 for Wired Telecommunications Carriers.  </w:t>
      </w:r>
      <w:r w:rsidRPr="00ED6163">
        <w:rPr>
          <w:i/>
        </w:rPr>
        <w:t>See</w:t>
      </w:r>
      <w:r w:rsidRPr="00ED6163">
        <w:t xml:space="preserve">, U.S. Census Bureau, </w:t>
      </w:r>
      <w:r w:rsidRPr="00ED6163">
        <w:rPr>
          <w:i/>
        </w:rPr>
        <w:t>2017 NAICS Definition,</w:t>
      </w:r>
      <w:r w:rsidRPr="00ED6163">
        <w:t xml:space="preserve"> </w:t>
      </w:r>
      <w:hyperlink r:id="rId72" w:history="1">
        <w:r w:rsidRPr="00ED6163">
          <w:rPr>
            <w:rStyle w:val="Hyperlink"/>
          </w:rPr>
          <w:t>https://www.census.gov/cgi-bin/sssd/naics/naicsrc</w:t>
        </w:r>
        <w:r w:rsidRPr="00ED6163">
          <w:rPr>
            <w:rStyle w:val="Hyperlink"/>
          </w:rPr>
          <w:t>h?code=517311&amp;search=2017</w:t>
        </w:r>
      </w:hyperlink>
      <w:r w:rsidRPr="00ED6163">
        <w:t xml:space="preserve">. </w:t>
      </w:r>
    </w:p>
  </w:footnote>
  <w:footnote w:id="369">
    <w:p w:rsidR="00252A4C" w:rsidRPr="00ED6163" w:rsidP="00D60B92" w14:paraId="53EB78B6" w14:textId="77777777">
      <w:pPr>
        <w:pStyle w:val="FootnoteText"/>
      </w:pPr>
      <w:r w:rsidRPr="00ED6163">
        <w:rPr>
          <w:rStyle w:val="FootnoteReference"/>
        </w:rPr>
        <w:footnoteRef/>
      </w:r>
      <w:r w:rsidRPr="00ED6163">
        <w:rPr>
          <w:i/>
        </w:rPr>
        <w:t xml:space="preserve"> Id</w:t>
      </w:r>
      <w:r w:rsidRPr="00ED6163">
        <w:t xml:space="preserve">. </w:t>
      </w:r>
    </w:p>
  </w:footnote>
  <w:footnote w:id="370">
    <w:p w:rsidR="00252A4C" w:rsidRPr="00ED6163" w:rsidP="00D60B92" w14:paraId="0B82BD34" w14:textId="77777777">
      <w:pPr>
        <w:pStyle w:val="FootnoteText"/>
      </w:pPr>
      <w:r w:rsidRPr="00ED6163">
        <w:rPr>
          <w:rStyle w:val="FootnoteReference"/>
        </w:rPr>
        <w:footnoteRef/>
      </w:r>
      <w:r w:rsidRPr="00ED6163">
        <w:t xml:space="preserve"> </w:t>
      </w:r>
      <w:r w:rsidRPr="00ED6163">
        <w:rPr>
          <w:i/>
        </w:rPr>
        <w:t>See</w:t>
      </w:r>
      <w:r w:rsidRPr="00ED6163">
        <w:t xml:space="preserve"> U.S. Census Bureau, </w:t>
      </w:r>
      <w:r w:rsidRPr="00ED6163">
        <w:rPr>
          <w:bCs/>
          <w:i/>
        </w:rPr>
        <w:t>2012</w:t>
      </w:r>
      <w:r w:rsidRPr="00ED6163">
        <w:rPr>
          <w:i/>
        </w:rPr>
        <w:t xml:space="preserve"> Economic Census</w:t>
      </w:r>
      <w:r w:rsidRPr="00ED6163">
        <w:rPr>
          <w:bCs/>
          <w:i/>
        </w:rPr>
        <w:t xml:space="preserve"> of the United States,</w:t>
      </w:r>
      <w:r w:rsidRPr="00ED6163">
        <w:t xml:space="preserve"> Table No. EC1251SSSZ5, </w:t>
      </w:r>
      <w:r w:rsidRPr="00ED6163">
        <w:rPr>
          <w:i/>
          <w:iCs/>
        </w:rPr>
        <w:t>Information: Subject Series - Estab &amp; Firm Size: Employment Size of Firms: 2012</w:t>
      </w:r>
      <w:r w:rsidRPr="00ED6163">
        <w:t xml:space="preserve"> (517110 Wired Telecommunications Carriers). </w:t>
      </w:r>
      <w:hyperlink r:id="rId75" w:history="1">
        <w:r w:rsidRPr="00ED6163">
          <w:rPr>
            <w:rStyle w:val="Hyperlink"/>
          </w:rPr>
          <w:t>https://factfinder.census.gov/bkmk/table/1.0/en/ECN/2012_US/51SSSZ5//naics~517110</w:t>
        </w:r>
      </w:hyperlink>
      <w:r w:rsidRPr="00ED6163">
        <w:rPr>
          <w:rStyle w:val="Hyperlink"/>
        </w:rPr>
        <w:t>.</w:t>
      </w:r>
    </w:p>
  </w:footnote>
  <w:footnote w:id="371">
    <w:p w:rsidR="00252A4C" w:rsidRPr="00ED6163" w:rsidP="00D60B92" w14:paraId="31A13AA0" w14:textId="77777777">
      <w:pPr>
        <w:pStyle w:val="FootnoteText"/>
      </w:pPr>
      <w:r w:rsidRPr="00ED6163">
        <w:rPr>
          <w:rStyle w:val="FootnoteReference"/>
        </w:rPr>
        <w:footnoteRef/>
      </w:r>
      <w:r w:rsidRPr="00ED6163">
        <w:rPr>
          <w:i/>
        </w:rPr>
        <w:t xml:space="preserve"> Id</w:t>
      </w:r>
      <w:r w:rsidRPr="00ED6163">
        <w:t>.</w:t>
      </w:r>
    </w:p>
  </w:footnote>
  <w:footnote w:id="372">
    <w:p w:rsidR="00252A4C" w:rsidRPr="00ED6163" w:rsidP="00D60B92" w14:paraId="1152D196" w14:textId="77777777">
      <w:pPr>
        <w:pStyle w:val="FootnoteText"/>
      </w:pPr>
      <w:r w:rsidRPr="00ED6163">
        <w:rPr>
          <w:rStyle w:val="FootnoteReference"/>
        </w:rPr>
        <w:footnoteRef/>
      </w:r>
      <w:r w:rsidRPr="00ED6163">
        <w:t xml:space="preserve"> </w:t>
      </w:r>
      <w:r w:rsidRPr="00ED6163">
        <w:rPr>
          <w:i/>
        </w:rPr>
        <w:t>See</w:t>
      </w:r>
      <w:r w:rsidRPr="00ED6163">
        <w:t xml:space="preserve"> </w:t>
      </w:r>
      <w:r w:rsidRPr="00ED6163">
        <w:rPr>
          <w:color w:val="000000"/>
        </w:rPr>
        <w:t xml:space="preserve">13 CFR § 121.201. </w:t>
      </w:r>
      <w:r w:rsidRPr="00ED6163">
        <w:t xml:space="preserve">The Wired Telecommunications Carrier category formerly used the NAICS Code of 517110. As of 2017 the U.S. Census Bureau definition shows the NAICS Code as 517311 for Wired Telecommunications Carriers.  </w:t>
      </w:r>
      <w:r w:rsidRPr="00ED6163">
        <w:rPr>
          <w:i/>
        </w:rPr>
        <w:t>See</w:t>
      </w:r>
      <w:r w:rsidRPr="00ED6163">
        <w:t xml:space="preserve"> </w:t>
      </w:r>
      <w:hyperlink r:id="rId72" w:history="1">
        <w:r w:rsidRPr="00ED6163">
          <w:rPr>
            <w:rStyle w:val="Hyperlink"/>
          </w:rPr>
          <w:t>https://www.census.gov/cgi-bin/sssd/naics/naicsrch?code=517311&amp;search=2017</w:t>
        </w:r>
      </w:hyperlink>
      <w:r w:rsidRPr="00ED6163">
        <w:rPr>
          <w:rStyle w:val="Hyperlink"/>
        </w:rPr>
        <w:t>.</w:t>
      </w:r>
    </w:p>
  </w:footnote>
  <w:footnote w:id="373">
    <w:p w:rsidR="00252A4C" w:rsidRPr="00ED6163" w:rsidP="00D60B92" w14:paraId="313F2995" w14:textId="77777777">
      <w:pPr>
        <w:pStyle w:val="FootnoteText"/>
      </w:pPr>
      <w:r w:rsidRPr="00ED6163">
        <w:rPr>
          <w:rStyle w:val="FootnoteReference"/>
        </w:rPr>
        <w:footnoteRef/>
      </w:r>
      <w:r w:rsidRPr="00ED6163">
        <w:t xml:space="preserve"> </w:t>
      </w:r>
      <w:r w:rsidRPr="00ED6163">
        <w:rPr>
          <w:i/>
        </w:rPr>
        <w:t>Id.</w:t>
      </w:r>
      <w:r w:rsidRPr="00ED6163">
        <w:t xml:space="preserve"> </w:t>
      </w:r>
    </w:p>
  </w:footnote>
  <w:footnote w:id="374">
    <w:p w:rsidR="00252A4C" w:rsidRPr="00ED6163" w:rsidP="00D60B92" w14:paraId="5F2AF48C" w14:textId="77777777">
      <w:pPr>
        <w:pStyle w:val="FootnoteText"/>
      </w:pPr>
      <w:r w:rsidRPr="00ED6163">
        <w:rPr>
          <w:rStyle w:val="FootnoteReference"/>
        </w:rPr>
        <w:footnoteRef/>
      </w:r>
      <w:r w:rsidRPr="00ED6163">
        <w:t xml:space="preserve"> U.S. Census Bureau</w:t>
      </w:r>
      <w:r w:rsidRPr="00ED6163">
        <w:rPr>
          <w:i/>
        </w:rPr>
        <w:t>,</w:t>
      </w:r>
      <w:r w:rsidRPr="00ED6163">
        <w:t xml:space="preserve"> </w:t>
      </w:r>
      <w:r w:rsidRPr="00ED6163">
        <w:rPr>
          <w:bCs/>
          <w:i/>
        </w:rPr>
        <w:t>2012</w:t>
      </w:r>
      <w:r w:rsidRPr="00ED6163">
        <w:rPr>
          <w:i/>
        </w:rPr>
        <w:t xml:space="preserve"> Economic Census</w:t>
      </w:r>
      <w:r w:rsidRPr="00ED6163">
        <w:rPr>
          <w:bCs/>
          <w:i/>
        </w:rPr>
        <w:t xml:space="preserve"> of the United States,</w:t>
      </w:r>
      <w:r w:rsidRPr="00ED6163">
        <w:t xml:space="preserve"> Table No. EC1251SSSZ5, </w:t>
      </w:r>
      <w:r w:rsidRPr="00ED6163">
        <w:rPr>
          <w:i/>
          <w:iCs/>
        </w:rPr>
        <w:t>Information: Subject Series - Estab &amp; Firm S</w:t>
      </w:r>
      <w:r w:rsidRPr="00ED6163">
        <w:rPr>
          <w:i/>
          <w:iCs/>
        </w:rPr>
        <w:t>ize: Employment Size of Firms: 2012</w:t>
      </w:r>
      <w:r w:rsidRPr="00ED6163">
        <w:t xml:space="preserve"> (517110 Wired Telecommunications Carriers). </w:t>
      </w:r>
      <w:hyperlink r:id="rId75" w:history="1">
        <w:r w:rsidRPr="00ED6163">
          <w:rPr>
            <w:rStyle w:val="Hyperlink"/>
          </w:rPr>
          <w:t>https://factfinder.census.gov/bkmk/table/1.0/en/ECN/2012_US/51SSSZ5//naics~5171</w:t>
        </w:r>
        <w:r w:rsidRPr="00ED6163">
          <w:rPr>
            <w:rStyle w:val="Hyperlink"/>
          </w:rPr>
          <w:t>10</w:t>
        </w:r>
      </w:hyperlink>
      <w:r w:rsidRPr="00ED6163">
        <w:rPr>
          <w:rStyle w:val="Hyperlink"/>
        </w:rPr>
        <w:t>.</w:t>
      </w:r>
    </w:p>
  </w:footnote>
  <w:footnote w:id="375">
    <w:p w:rsidR="00252A4C" w:rsidRPr="00ED6163" w:rsidP="00D60B92" w14:paraId="0DF47A46" w14:textId="77777777">
      <w:pPr>
        <w:pStyle w:val="FootnoteText"/>
      </w:pPr>
      <w:r w:rsidRPr="00ED6163">
        <w:rPr>
          <w:rStyle w:val="FootnoteReference"/>
        </w:rPr>
        <w:footnoteRef/>
      </w:r>
      <w:r w:rsidRPr="00ED6163">
        <w:t xml:space="preserve"> </w:t>
      </w:r>
      <w:r w:rsidRPr="00ED6163">
        <w:rPr>
          <w:i/>
        </w:rPr>
        <w:t>Id</w:t>
      </w:r>
      <w:r w:rsidRPr="00ED6163">
        <w:t>.</w:t>
      </w:r>
    </w:p>
  </w:footnote>
  <w:footnote w:id="376">
    <w:p w:rsidR="00252A4C" w:rsidRPr="00ED6163" w:rsidP="00D60B92" w14:paraId="770399FB" w14:textId="77777777">
      <w:pPr>
        <w:pStyle w:val="FootnoteText"/>
      </w:pPr>
      <w:r w:rsidRPr="00ED6163">
        <w:rPr>
          <w:rStyle w:val="FootnoteReference"/>
        </w:rPr>
        <w:footnoteRef/>
      </w:r>
      <w:r w:rsidRPr="00ED6163">
        <w:t xml:space="preserve"> </w:t>
      </w:r>
      <w:r w:rsidRPr="00ED6163">
        <w:rPr>
          <w:i/>
        </w:rPr>
        <w:t xml:space="preserve">See </w:t>
      </w:r>
      <w:r w:rsidRPr="00ED6163">
        <w:t>Federal Communications Commission, Wireline Competition Bureau, Industry Analysis and Technology Division, Trends in Telephone Service at Table 5.3 (Sept. 2010) (</w:t>
      </w:r>
      <w:r w:rsidRPr="00ED6163">
        <w:rPr>
          <w:i/>
        </w:rPr>
        <w:t>Trends in Telephone Service</w:t>
      </w:r>
      <w:r w:rsidRPr="00ED6163">
        <w:t>).</w:t>
      </w:r>
    </w:p>
  </w:footnote>
  <w:footnote w:id="377">
    <w:p w:rsidR="00252A4C" w:rsidRPr="00ED6163" w:rsidP="00D60B92" w14:paraId="6037281E" w14:textId="77777777">
      <w:pPr>
        <w:pStyle w:val="FootnoteText"/>
      </w:pPr>
      <w:r w:rsidRPr="00ED6163">
        <w:rPr>
          <w:rStyle w:val="FootnoteReference"/>
        </w:rPr>
        <w:footnoteRef/>
      </w:r>
      <w:r w:rsidRPr="00ED6163">
        <w:t xml:space="preserve"> </w:t>
      </w:r>
      <w:r w:rsidRPr="00ED6163">
        <w:rPr>
          <w:i/>
        </w:rPr>
        <w:t>Id</w:t>
      </w:r>
      <w:r w:rsidRPr="00ED6163">
        <w:t>.</w:t>
      </w:r>
    </w:p>
  </w:footnote>
  <w:footnote w:id="378">
    <w:p w:rsidR="00252A4C" w:rsidRPr="00ED6163" w:rsidP="00D60B92" w14:paraId="3F0B0381" w14:textId="77777777">
      <w:pPr>
        <w:pStyle w:val="FootnoteText"/>
      </w:pPr>
      <w:r w:rsidRPr="00ED6163">
        <w:rPr>
          <w:rStyle w:val="FootnoteReference"/>
        </w:rPr>
        <w:footnoteRef/>
      </w:r>
      <w:r w:rsidRPr="00ED6163">
        <w:rPr>
          <w:rStyle w:val="FootnoteTextChar4"/>
        </w:rPr>
        <w:t xml:space="preserve"> </w:t>
      </w:r>
      <w:r w:rsidRPr="00ED6163">
        <w:rPr>
          <w:i/>
        </w:rPr>
        <w:t>See</w:t>
      </w:r>
      <w:r w:rsidRPr="004779A2">
        <w:rPr>
          <w:i/>
        </w:rPr>
        <w:t>,</w:t>
      </w:r>
      <w:r w:rsidRPr="00ED6163">
        <w:t xml:space="preserve"> </w:t>
      </w:r>
      <w:r w:rsidRPr="00ED6163">
        <w:rPr>
          <w:color w:val="000000"/>
        </w:rPr>
        <w:t xml:space="preserve">13 CFR § 121.201. </w:t>
      </w:r>
      <w:r w:rsidRPr="00ED6163">
        <w:t>The Wired Telecom</w:t>
      </w:r>
      <w:r w:rsidRPr="00ED6163">
        <w:t xml:space="preserve">munications Carrier category formerly used the NAICS code of 517110. As of 2017 the U.S. Census Bureau definition shows the NAICS code as 517311 for Wired Telecommunications Carriers.  </w:t>
      </w:r>
      <w:r w:rsidRPr="00ED6163">
        <w:rPr>
          <w:i/>
        </w:rPr>
        <w:t>See</w:t>
      </w:r>
      <w:r w:rsidRPr="004779A2">
        <w:t>,</w:t>
      </w:r>
      <w:r w:rsidRPr="00ED6163">
        <w:t xml:space="preserve"> U.S. Census Bureau, </w:t>
      </w:r>
      <w:r w:rsidRPr="00ED6163">
        <w:rPr>
          <w:i/>
        </w:rPr>
        <w:t xml:space="preserve">2017 NAICS Definition, </w:t>
      </w:r>
      <w:r w:rsidRPr="00ED6163">
        <w:t xml:space="preserve"> </w:t>
      </w:r>
      <w:hyperlink r:id="rId72" w:history="1">
        <w:r w:rsidRPr="00ED6163">
          <w:rPr>
            <w:rStyle w:val="Hyperlink"/>
          </w:rPr>
          <w:t>https://www.census.gov/cgi-bin/sssd/naics/naicsrch?code=517311&amp;search=2017</w:t>
        </w:r>
      </w:hyperlink>
      <w:r w:rsidRPr="00ED6163">
        <w:t xml:space="preserve">. </w:t>
      </w:r>
    </w:p>
  </w:footnote>
  <w:footnote w:id="379">
    <w:p w:rsidR="00252A4C" w:rsidRPr="00ED6163" w:rsidP="00D60B92" w14:paraId="24924854" w14:textId="77777777">
      <w:pPr>
        <w:pStyle w:val="FootnoteText"/>
      </w:pPr>
      <w:r w:rsidRPr="00ED6163">
        <w:rPr>
          <w:rStyle w:val="FootnoteReference"/>
        </w:rPr>
        <w:footnoteRef/>
      </w:r>
      <w:r w:rsidRPr="00ED6163">
        <w:t xml:space="preserve"> U.S. Census Bureau</w:t>
      </w:r>
      <w:r w:rsidRPr="00ED6163">
        <w:rPr>
          <w:i/>
        </w:rPr>
        <w:t>,</w:t>
      </w:r>
      <w:r w:rsidRPr="00ED6163">
        <w:t xml:space="preserve"> </w:t>
      </w:r>
      <w:r w:rsidRPr="00ED6163">
        <w:rPr>
          <w:bCs/>
          <w:i/>
        </w:rPr>
        <w:t>2012</w:t>
      </w:r>
      <w:r w:rsidRPr="00ED6163">
        <w:rPr>
          <w:i/>
        </w:rPr>
        <w:t xml:space="preserve"> Economic Census</w:t>
      </w:r>
      <w:r w:rsidRPr="00ED6163">
        <w:rPr>
          <w:bCs/>
          <w:i/>
        </w:rPr>
        <w:t xml:space="preserve"> of the United States,</w:t>
      </w:r>
      <w:r w:rsidRPr="00ED6163">
        <w:t xml:space="preserve"> Table No. EC1251SSSZ5, </w:t>
      </w:r>
      <w:r w:rsidRPr="00ED6163">
        <w:rPr>
          <w:i/>
          <w:iCs/>
        </w:rPr>
        <w:t>Information: Subject Series - Estab &amp; Firm Size: Employment Size of Firms: 2012</w:t>
      </w:r>
      <w:r w:rsidRPr="00ED6163">
        <w:t xml:space="preserve"> (517110 Wired Telecommunications Carriers). </w:t>
      </w:r>
      <w:hyperlink r:id="rId75" w:history="1">
        <w:r w:rsidRPr="00ED6163">
          <w:rPr>
            <w:rStyle w:val="Hyperlink"/>
          </w:rPr>
          <w:t>https://fac</w:t>
        </w:r>
        <w:r w:rsidRPr="00ED6163">
          <w:rPr>
            <w:rStyle w:val="Hyperlink"/>
          </w:rPr>
          <w:t>tfinder.census.gov/bkmk/table/1.0/en/ECN/2012_US/51SSSZ5//naics~517110</w:t>
        </w:r>
      </w:hyperlink>
      <w:r>
        <w:rPr>
          <w:rStyle w:val="Hyperlink"/>
        </w:rPr>
        <w:t>.</w:t>
      </w:r>
    </w:p>
  </w:footnote>
  <w:footnote w:id="380">
    <w:p w:rsidR="00252A4C" w:rsidRPr="00ED6163" w:rsidP="00D60B92" w14:paraId="1AED778A" w14:textId="77777777">
      <w:pPr>
        <w:pStyle w:val="FootnoteText"/>
      </w:pPr>
      <w:r w:rsidRPr="00ED6163">
        <w:rPr>
          <w:rStyle w:val="FootnoteReference"/>
        </w:rPr>
        <w:footnoteRef/>
      </w:r>
      <w:r w:rsidRPr="00ED6163">
        <w:t xml:space="preserve"> </w:t>
      </w:r>
      <w:r w:rsidRPr="00ED6163">
        <w:rPr>
          <w:i/>
        </w:rPr>
        <w:t>Id</w:t>
      </w:r>
      <w:r w:rsidRPr="00ED6163">
        <w:t xml:space="preserve">. </w:t>
      </w:r>
    </w:p>
  </w:footnote>
  <w:footnote w:id="381">
    <w:p w:rsidR="00252A4C" w:rsidRPr="00ED6163" w:rsidP="00D60B92" w14:paraId="230FA561" w14:textId="77777777">
      <w:pPr>
        <w:pStyle w:val="FootnoteText"/>
      </w:pPr>
      <w:r w:rsidRPr="00ED6163">
        <w:rPr>
          <w:rStyle w:val="FootnoteReference"/>
        </w:rPr>
        <w:footnoteRef/>
      </w:r>
      <w:r w:rsidRPr="00ED6163">
        <w:t xml:space="preserve"> </w:t>
      </w:r>
      <w:r w:rsidRPr="00ED6163">
        <w:rPr>
          <w:i/>
        </w:rPr>
        <w:t>See Trends in Telephone Service</w:t>
      </w:r>
      <w:r w:rsidRPr="00ED6163">
        <w:t>, at tbl. 5.3.</w:t>
      </w:r>
    </w:p>
  </w:footnote>
  <w:footnote w:id="382">
    <w:p w:rsidR="00252A4C" w:rsidRPr="00ED6163" w:rsidP="00D60B92" w14:paraId="2A482F37" w14:textId="77777777">
      <w:pPr>
        <w:pStyle w:val="FootnoteText"/>
      </w:pPr>
      <w:r w:rsidRPr="00ED6163">
        <w:rPr>
          <w:rStyle w:val="FootnoteReference"/>
        </w:rPr>
        <w:footnoteRef/>
      </w:r>
      <w:r w:rsidRPr="00ED6163">
        <w:t xml:space="preserve"> </w:t>
      </w:r>
      <w:r w:rsidRPr="00ED6163">
        <w:rPr>
          <w:i/>
        </w:rPr>
        <w:t>See id</w:t>
      </w:r>
      <w:r w:rsidRPr="00947E6A">
        <w:rPr>
          <w:i/>
        </w:rPr>
        <w:t>.</w:t>
      </w:r>
    </w:p>
  </w:footnote>
  <w:footnote w:id="383">
    <w:p w:rsidR="00252A4C" w:rsidRPr="00ED6163" w:rsidP="00D60B92" w14:paraId="2E481491" w14:textId="77777777">
      <w:pPr>
        <w:pStyle w:val="FootnoteText"/>
      </w:pPr>
      <w:r w:rsidRPr="00ED6163">
        <w:rPr>
          <w:rStyle w:val="FootnoteReference"/>
        </w:rPr>
        <w:footnoteRef/>
      </w:r>
      <w:r w:rsidRPr="00ED6163">
        <w:t xml:space="preserve"> </w:t>
      </w:r>
      <w:r w:rsidRPr="00ED6163">
        <w:rPr>
          <w:i/>
        </w:rPr>
        <w:t>Id</w:t>
      </w:r>
      <w:r w:rsidRPr="00ED6163">
        <w:t>.</w:t>
      </w:r>
    </w:p>
  </w:footnote>
  <w:footnote w:id="384">
    <w:p w:rsidR="00252A4C" w:rsidRPr="00ED6163" w:rsidP="00D60B92" w14:paraId="1E49D260" w14:textId="77777777">
      <w:pPr>
        <w:pStyle w:val="FootnoteText"/>
      </w:pPr>
      <w:r w:rsidRPr="00ED6163">
        <w:rPr>
          <w:rStyle w:val="FootnoteReference"/>
        </w:rPr>
        <w:footnoteRef/>
      </w:r>
      <w:r w:rsidRPr="00ED6163">
        <w:t xml:space="preserve"> </w:t>
      </w:r>
      <w:r w:rsidRPr="00ED6163">
        <w:rPr>
          <w:i/>
        </w:rPr>
        <w:t>Id</w:t>
      </w:r>
      <w:r w:rsidRPr="00947E6A">
        <w:rPr>
          <w:i/>
        </w:rPr>
        <w:t>.</w:t>
      </w:r>
    </w:p>
  </w:footnote>
  <w:footnote w:id="385">
    <w:p w:rsidR="00252A4C" w:rsidRPr="00ED6163" w:rsidP="00D60B92" w14:paraId="11185C3C" w14:textId="77777777">
      <w:pPr>
        <w:pStyle w:val="FootnoteText"/>
      </w:pPr>
      <w:r w:rsidRPr="00ED6163">
        <w:rPr>
          <w:rStyle w:val="FootnoteReference"/>
        </w:rPr>
        <w:footnoteRef/>
      </w:r>
      <w:r w:rsidRPr="00ED6163">
        <w:t xml:space="preserve"> </w:t>
      </w:r>
      <w:r w:rsidRPr="00ED6163">
        <w:rPr>
          <w:i/>
        </w:rPr>
        <w:t>Id</w:t>
      </w:r>
      <w:r w:rsidRPr="00ED6163">
        <w:t>.</w:t>
      </w:r>
    </w:p>
  </w:footnote>
  <w:footnote w:id="386">
    <w:p w:rsidR="00252A4C" w:rsidRPr="00ED6163" w:rsidP="00D60B92" w14:paraId="6E97157A" w14:textId="77777777">
      <w:pPr>
        <w:pStyle w:val="FootnoteText"/>
      </w:pPr>
      <w:r w:rsidRPr="00ED6163">
        <w:rPr>
          <w:rStyle w:val="FootnoteReference"/>
        </w:rPr>
        <w:footnoteRef/>
      </w:r>
      <w:r w:rsidRPr="00ED6163">
        <w:t xml:space="preserve"> We have included small incumbent LECs in this present RFA analysis.  As noted above, a “small busin</w:t>
      </w:r>
      <w:r w:rsidRPr="00ED6163">
        <w:t xml:space="preserve">ess” under the RFA is one that, </w:t>
      </w:r>
      <w:r w:rsidRPr="00ED6163">
        <w:rPr>
          <w:i/>
          <w:iCs/>
        </w:rPr>
        <w:t>inter alia</w:t>
      </w:r>
      <w:r w:rsidRPr="00ED6163">
        <w:t>, meets the pertinent small business size standard (</w:t>
      </w:r>
      <w:r w:rsidRPr="00ED6163">
        <w:rPr>
          <w:iCs/>
        </w:rPr>
        <w:t>e.g.</w:t>
      </w:r>
      <w:r w:rsidRPr="00ED6163">
        <w:t>, a telephone communications business having 1,500 or fewer employees</w:t>
      </w:r>
      <w:r w:rsidRPr="004779A2">
        <w:t>),</w:t>
      </w:r>
      <w:r w:rsidRPr="00ED6163">
        <w:t xml:space="preserve"> and “is not dominant in its field of operation</w:t>
      </w:r>
      <w:r w:rsidRPr="004779A2">
        <w:t>.”</w:t>
      </w:r>
      <w:r>
        <w:t xml:space="preserve">  </w:t>
      </w:r>
      <w:r w:rsidRPr="00ED6163">
        <w:t>The SBA’s Office of Advocacy contend</w:t>
      </w:r>
      <w:r w:rsidRPr="00ED6163">
        <w:t>s that, for RFA purposes, small incumbent LECs are not dominant in their field of operation because any such dominance is not “national” in scope</w:t>
      </w:r>
      <w:r w:rsidRPr="004779A2">
        <w:t>.</w:t>
      </w:r>
      <w:r w:rsidRPr="00ED6163">
        <w:t xml:space="preserve">  We have therefore included small incumbent LECs in this RFA analysis, although we emphasize that this RFA ac</w:t>
      </w:r>
      <w:r w:rsidRPr="00ED6163">
        <w:t>tion has no effect on Commission analyses and determinations in other, non-RFA contexts.</w:t>
      </w:r>
    </w:p>
  </w:footnote>
  <w:footnote w:id="387">
    <w:p w:rsidR="00252A4C" w:rsidRPr="00ED6163" w:rsidP="00D60B92" w14:paraId="351FE58D" w14:textId="77777777">
      <w:pPr>
        <w:pStyle w:val="FootnoteText"/>
      </w:pPr>
      <w:r w:rsidRPr="00ED6163">
        <w:rPr>
          <w:rStyle w:val="FootnoteReference"/>
        </w:rPr>
        <w:footnoteRef/>
      </w:r>
      <w:r w:rsidRPr="00ED6163">
        <w:t xml:space="preserve"> </w:t>
      </w:r>
      <w:r w:rsidRPr="00ED6163">
        <w:rPr>
          <w:i/>
        </w:rPr>
        <w:t>See</w:t>
      </w:r>
      <w:r w:rsidRPr="004779A2">
        <w:rPr>
          <w:i/>
        </w:rPr>
        <w:t>,</w:t>
      </w:r>
      <w:r w:rsidRPr="00ED6163">
        <w:t xml:space="preserve"> </w:t>
      </w:r>
      <w:r w:rsidRPr="00ED6163">
        <w:rPr>
          <w:color w:val="000000"/>
        </w:rPr>
        <w:t xml:space="preserve">13 CFR § 121.201. </w:t>
      </w:r>
      <w:r w:rsidRPr="00ED6163">
        <w:t xml:space="preserve">The Wired Telecommunications Carrier category formerly used the NAICS code of 517110.  As of 2017 the U.S. Census Bureau definition shows the </w:t>
      </w:r>
      <w:r w:rsidRPr="00ED6163">
        <w:t xml:space="preserve">NAICS code as 517311 for Wired Telecommunications Carriers.  </w:t>
      </w:r>
      <w:r w:rsidRPr="00ED6163">
        <w:rPr>
          <w:i/>
        </w:rPr>
        <w:t>See</w:t>
      </w:r>
      <w:r w:rsidRPr="00ED6163">
        <w:t xml:space="preserve">, U.S. Census Bureau, </w:t>
      </w:r>
      <w:r w:rsidRPr="00ED6163">
        <w:rPr>
          <w:i/>
        </w:rPr>
        <w:t>2017 NAICS Definition</w:t>
      </w:r>
      <w:r w:rsidRPr="00ED6163">
        <w:t xml:space="preserve">, </w:t>
      </w:r>
      <w:hyperlink r:id="rId72" w:history="1">
        <w:r w:rsidRPr="00ED6163">
          <w:rPr>
            <w:rStyle w:val="Hyperlink"/>
          </w:rPr>
          <w:t>https://www.census.gov/cgi-bin/sssd/naics/naicsrch?code=517311&amp;search=2017</w:t>
        </w:r>
      </w:hyperlink>
      <w:r w:rsidRPr="00ED6163">
        <w:t xml:space="preserve">. </w:t>
      </w:r>
    </w:p>
  </w:footnote>
  <w:footnote w:id="388">
    <w:p w:rsidR="00252A4C" w:rsidRPr="00ED6163" w:rsidP="00D60B92" w14:paraId="23B6325C" w14:textId="77777777">
      <w:pPr>
        <w:pStyle w:val="FootnoteText"/>
        <w:rPr>
          <w:i/>
        </w:rPr>
      </w:pPr>
      <w:r w:rsidRPr="00ED6163">
        <w:rPr>
          <w:rStyle w:val="FootnoteReference"/>
        </w:rPr>
        <w:footnoteRef/>
      </w:r>
      <w:r w:rsidRPr="00ED6163">
        <w:t xml:space="preserve"> </w:t>
      </w:r>
      <w:r w:rsidRPr="00ED6163">
        <w:rPr>
          <w:i/>
        </w:rPr>
        <w:t>Id.</w:t>
      </w:r>
    </w:p>
  </w:footnote>
  <w:footnote w:id="389">
    <w:p w:rsidR="00252A4C" w:rsidRPr="00ED6163" w:rsidP="00D60B92" w14:paraId="1FB6A8A0" w14:textId="77777777">
      <w:pPr>
        <w:pStyle w:val="FootnoteText"/>
      </w:pPr>
      <w:r w:rsidRPr="00ED6163">
        <w:rPr>
          <w:rStyle w:val="FootnoteReference"/>
        </w:rPr>
        <w:footnoteRef/>
      </w:r>
      <w:r w:rsidRPr="00ED6163">
        <w:t xml:space="preserve"> </w:t>
      </w:r>
      <w:r w:rsidRPr="00ED6163">
        <w:rPr>
          <w:i/>
        </w:rPr>
        <w:t>See</w:t>
      </w:r>
      <w:r w:rsidRPr="00ED6163">
        <w:t xml:space="preserve"> U.S. Census Bureau, </w:t>
      </w:r>
      <w:r w:rsidRPr="00ED6163">
        <w:rPr>
          <w:bCs/>
          <w:i/>
        </w:rPr>
        <w:t>2012</w:t>
      </w:r>
      <w:r w:rsidRPr="00ED6163">
        <w:rPr>
          <w:i/>
        </w:rPr>
        <w:t xml:space="preserve"> Economic Census</w:t>
      </w:r>
      <w:r w:rsidRPr="00ED6163">
        <w:rPr>
          <w:bCs/>
          <w:i/>
        </w:rPr>
        <w:t xml:space="preserve"> of the United States,</w:t>
      </w:r>
      <w:r w:rsidRPr="00ED6163">
        <w:t xml:space="preserve"> Table No. EC125</w:t>
      </w:r>
      <w:r w:rsidRPr="00ED6163">
        <w:t xml:space="preserve">1SSSZ5, </w:t>
      </w:r>
      <w:r w:rsidRPr="00ED6163">
        <w:rPr>
          <w:i/>
          <w:iCs/>
        </w:rPr>
        <w:t>Information: Subject Series - Estab &amp; Firm Size: Employment Size of Firms: 2012</w:t>
      </w:r>
      <w:r w:rsidRPr="00ED6163">
        <w:t xml:space="preserve"> (517110 Wired Telecommunications Carriers). </w:t>
      </w:r>
      <w:hyperlink r:id="rId75" w:history="1">
        <w:r w:rsidRPr="00ED6163">
          <w:rPr>
            <w:rStyle w:val="Hyperlink"/>
          </w:rPr>
          <w:t>https://factfinder.census.g</w:t>
        </w:r>
        <w:r w:rsidRPr="00ED6163">
          <w:rPr>
            <w:rStyle w:val="Hyperlink"/>
          </w:rPr>
          <w:t>ov/bkmk/table/1.0/en/ECN/2012_US/51SSSZ5//naics~517110</w:t>
        </w:r>
      </w:hyperlink>
      <w:r w:rsidRPr="00ED6163">
        <w:rPr>
          <w:rStyle w:val="Hyperlink"/>
        </w:rPr>
        <w:t>.</w:t>
      </w:r>
    </w:p>
  </w:footnote>
  <w:footnote w:id="390">
    <w:p w:rsidR="00252A4C" w:rsidRPr="00ED6163" w:rsidP="00D60B92" w14:paraId="3D6FB441" w14:textId="77777777">
      <w:pPr>
        <w:pStyle w:val="FootnoteText"/>
      </w:pPr>
      <w:r w:rsidRPr="00ED6163">
        <w:rPr>
          <w:rStyle w:val="FootnoteReference"/>
        </w:rPr>
        <w:footnoteRef/>
      </w:r>
      <w:r w:rsidRPr="00ED6163">
        <w:t xml:space="preserve"> </w:t>
      </w:r>
      <w:r w:rsidRPr="00ED6163">
        <w:rPr>
          <w:i/>
        </w:rPr>
        <w:t>Id</w:t>
      </w:r>
      <w:r w:rsidRPr="00ED6163">
        <w:t>.</w:t>
      </w:r>
    </w:p>
  </w:footnote>
  <w:footnote w:id="391">
    <w:p w:rsidR="00252A4C" w:rsidRPr="00ED6163" w:rsidP="00D60B92" w14:paraId="0162E8F3" w14:textId="77777777">
      <w:pPr>
        <w:pStyle w:val="FootnoteText"/>
      </w:pPr>
      <w:r w:rsidRPr="00ED6163">
        <w:rPr>
          <w:rStyle w:val="FootnoteReference"/>
        </w:rPr>
        <w:footnoteRef/>
      </w:r>
      <w:r w:rsidRPr="00ED6163">
        <w:t xml:space="preserve"> </w:t>
      </w:r>
      <w:r w:rsidRPr="00ED6163">
        <w:rPr>
          <w:i/>
        </w:rPr>
        <w:t>See Trends in Telephone Service</w:t>
      </w:r>
      <w:r w:rsidRPr="00ED6163">
        <w:t>, at tbl. 5.3.</w:t>
      </w:r>
    </w:p>
  </w:footnote>
  <w:footnote w:id="392">
    <w:p w:rsidR="00252A4C" w:rsidRPr="00ED6163" w:rsidP="00D60B92" w14:paraId="4A8F62C1" w14:textId="77777777">
      <w:pPr>
        <w:pStyle w:val="FootnoteText"/>
      </w:pPr>
      <w:r w:rsidRPr="00ED6163">
        <w:rPr>
          <w:rStyle w:val="FootnoteReference"/>
        </w:rPr>
        <w:footnoteRef/>
      </w:r>
      <w:r w:rsidRPr="00ED6163">
        <w:t xml:space="preserve"> </w:t>
      </w:r>
      <w:r w:rsidRPr="00ED6163">
        <w:rPr>
          <w:i/>
        </w:rPr>
        <w:t>Id</w:t>
      </w:r>
      <w:r w:rsidRPr="00ED6163">
        <w:t>.</w:t>
      </w:r>
    </w:p>
  </w:footnote>
  <w:footnote w:id="393">
    <w:p w:rsidR="00252A4C" w:rsidRPr="00ED6163" w:rsidP="00D60B92" w14:paraId="79CC73F5" w14:textId="77777777">
      <w:pPr>
        <w:pStyle w:val="FootnoteText"/>
      </w:pPr>
      <w:r w:rsidRPr="00ED6163">
        <w:rPr>
          <w:rStyle w:val="FootnoteReference"/>
        </w:rPr>
        <w:footnoteRef/>
      </w:r>
      <w:r w:rsidRPr="00ED6163">
        <w:t xml:space="preserve"> </w:t>
      </w:r>
      <w:r w:rsidRPr="00ED6163">
        <w:rPr>
          <w:i/>
        </w:rPr>
        <w:t>See</w:t>
      </w:r>
      <w:r w:rsidRPr="00ED6163">
        <w:t xml:space="preserve"> </w:t>
      </w:r>
      <w:r w:rsidRPr="00ED6163">
        <w:rPr>
          <w:color w:val="000000"/>
        </w:rPr>
        <w:t xml:space="preserve">13 CFR § 121.201. </w:t>
      </w:r>
      <w:r w:rsidRPr="00ED6163">
        <w:t>The Wired Telecommunications Carrier category formerly used the NAICS Code of 517110. As of 2017, the U.S. Census Bu</w:t>
      </w:r>
      <w:r w:rsidRPr="00ED6163">
        <w:t xml:space="preserve">reau definition shows the NAICS Code as 517311 for Wired Telecommunications Carriers.  </w:t>
      </w:r>
      <w:r w:rsidRPr="00ED6163">
        <w:rPr>
          <w:i/>
        </w:rPr>
        <w:t>See</w:t>
      </w:r>
      <w:r w:rsidRPr="00ED6163">
        <w:t xml:space="preserve">, U.S. Census Bureau, </w:t>
      </w:r>
      <w:r w:rsidRPr="00ED6163">
        <w:rPr>
          <w:i/>
        </w:rPr>
        <w:t>2017 NAICS Definition</w:t>
      </w:r>
      <w:r w:rsidRPr="00ED6163">
        <w:t xml:space="preserve">, </w:t>
      </w:r>
      <w:hyperlink r:id="rId72" w:history="1">
        <w:r w:rsidRPr="00ED6163">
          <w:rPr>
            <w:rStyle w:val="Hyperlink"/>
          </w:rPr>
          <w:t>https://www.census.gov/cgi-bin</w:t>
        </w:r>
        <w:r w:rsidRPr="00ED6163">
          <w:rPr>
            <w:rStyle w:val="Hyperlink"/>
          </w:rPr>
          <w:t>/sssd/naics/naicsrch?code=517311&amp;search=2017</w:t>
        </w:r>
      </w:hyperlink>
      <w:r>
        <w:rPr>
          <w:rStyle w:val="Hyperlink"/>
        </w:rPr>
        <w:t>.</w:t>
      </w:r>
    </w:p>
  </w:footnote>
  <w:footnote w:id="394">
    <w:p w:rsidR="00252A4C" w:rsidRPr="00ED6163" w:rsidP="00D60B92" w14:paraId="33896E3F" w14:textId="77777777">
      <w:pPr>
        <w:pStyle w:val="FootnoteText"/>
      </w:pPr>
      <w:r w:rsidRPr="00ED6163">
        <w:rPr>
          <w:rStyle w:val="FootnoteReference"/>
        </w:rPr>
        <w:footnoteRef/>
      </w:r>
      <w:r w:rsidRPr="00ED6163">
        <w:t xml:space="preserve"> </w:t>
      </w:r>
      <w:r w:rsidRPr="00ED6163">
        <w:rPr>
          <w:i/>
        </w:rPr>
        <w:t>Id.</w:t>
      </w:r>
      <w:r w:rsidRPr="00ED6163">
        <w:t xml:space="preserve"> </w:t>
      </w:r>
    </w:p>
  </w:footnote>
  <w:footnote w:id="395">
    <w:p w:rsidR="00252A4C" w:rsidRPr="00ED6163" w:rsidP="00D60B92" w14:paraId="3A57449F" w14:textId="77777777">
      <w:pPr>
        <w:pStyle w:val="FootnoteText"/>
      </w:pPr>
      <w:r w:rsidRPr="00ED6163">
        <w:rPr>
          <w:rStyle w:val="FootnoteReference"/>
        </w:rPr>
        <w:footnoteRef/>
      </w:r>
      <w:r w:rsidRPr="00ED6163">
        <w:t xml:space="preserve"> </w:t>
      </w:r>
      <w:r w:rsidRPr="00ED6163">
        <w:rPr>
          <w:i/>
        </w:rPr>
        <w:t>See</w:t>
      </w:r>
      <w:r w:rsidRPr="00ED6163">
        <w:t xml:space="preserve"> U.S. Census Bureau, </w:t>
      </w:r>
      <w:r w:rsidRPr="00ED6163">
        <w:rPr>
          <w:bCs/>
          <w:i/>
        </w:rPr>
        <w:t>2012</w:t>
      </w:r>
      <w:r w:rsidRPr="00ED6163">
        <w:rPr>
          <w:i/>
        </w:rPr>
        <w:t xml:space="preserve"> Economic Census</w:t>
      </w:r>
      <w:r w:rsidRPr="00ED6163">
        <w:rPr>
          <w:bCs/>
          <w:i/>
        </w:rPr>
        <w:t xml:space="preserve"> of the United States,</w:t>
      </w:r>
      <w:r w:rsidRPr="00ED6163">
        <w:t xml:space="preserve"> Table No. EC1251SSSZ5, </w:t>
      </w:r>
      <w:r w:rsidRPr="00ED6163">
        <w:rPr>
          <w:i/>
          <w:iCs/>
        </w:rPr>
        <w:t>Information: Subject Series - Estab &amp; Firm Size: Employment Size of Firms: 2012</w:t>
      </w:r>
      <w:r w:rsidRPr="00ED6163">
        <w:t xml:space="preserve"> (517110 Wired Telecommunication</w:t>
      </w:r>
      <w:r w:rsidRPr="00ED6163">
        <w:t xml:space="preserve">s Carriers). </w:t>
      </w:r>
      <w:hyperlink r:id="rId75" w:history="1">
        <w:r w:rsidRPr="00ED6163">
          <w:rPr>
            <w:rStyle w:val="Hyperlink"/>
          </w:rPr>
          <w:t>https://factfinder.census.gov/bkmk/table/1.0/en/ECN/2012_US/51SSSZ5//naics~517110</w:t>
        </w:r>
      </w:hyperlink>
      <w:r>
        <w:rPr>
          <w:rStyle w:val="Hyperlink"/>
        </w:rPr>
        <w:t>.</w:t>
      </w:r>
    </w:p>
  </w:footnote>
  <w:footnote w:id="396">
    <w:p w:rsidR="00252A4C" w:rsidRPr="00ED6163" w:rsidP="00D60B92" w14:paraId="40F06A84" w14:textId="77777777">
      <w:pPr>
        <w:pStyle w:val="FootnoteText"/>
      </w:pPr>
      <w:r w:rsidRPr="00ED6163">
        <w:rPr>
          <w:rStyle w:val="FootnoteReference"/>
        </w:rPr>
        <w:footnoteRef/>
      </w:r>
      <w:r w:rsidRPr="00ED6163">
        <w:t xml:space="preserve"> </w:t>
      </w:r>
      <w:r w:rsidRPr="00ED6163">
        <w:rPr>
          <w:i/>
        </w:rPr>
        <w:t>Id.</w:t>
      </w:r>
    </w:p>
  </w:footnote>
  <w:footnote w:id="397">
    <w:p w:rsidR="00252A4C" w:rsidRPr="00ED6163" w:rsidP="00D60B92" w14:paraId="6233333A" w14:textId="77777777">
      <w:pPr>
        <w:pStyle w:val="FootnoteText"/>
      </w:pPr>
      <w:r w:rsidRPr="00ED6163">
        <w:rPr>
          <w:rStyle w:val="FootnoteReference"/>
        </w:rPr>
        <w:footnoteRef/>
      </w:r>
      <w:r w:rsidRPr="00ED6163">
        <w:t xml:space="preserve"> </w:t>
      </w:r>
      <w:r w:rsidRPr="00ED6163">
        <w:rPr>
          <w:i/>
        </w:rPr>
        <w:t>Trends in Telephone Service</w:t>
      </w:r>
      <w:r w:rsidRPr="00ED6163">
        <w:t xml:space="preserve">, tbl. 5.3. </w:t>
      </w:r>
    </w:p>
  </w:footnote>
  <w:footnote w:id="398">
    <w:p w:rsidR="00252A4C" w:rsidRPr="00ED6163" w:rsidP="00D60B92" w14:paraId="614119C6" w14:textId="77777777">
      <w:pPr>
        <w:pStyle w:val="FootnoteText"/>
      </w:pPr>
      <w:r w:rsidRPr="00ED6163">
        <w:rPr>
          <w:rStyle w:val="FootnoteReference"/>
        </w:rPr>
        <w:footnoteRef/>
      </w:r>
      <w:r w:rsidRPr="00ED6163">
        <w:t xml:space="preserve"> </w:t>
      </w:r>
      <w:r w:rsidRPr="00ED6163">
        <w:rPr>
          <w:i/>
        </w:rPr>
        <w:t xml:space="preserve">Id. </w:t>
      </w:r>
    </w:p>
  </w:footnote>
  <w:footnote w:id="399">
    <w:p w:rsidR="00252A4C" w:rsidRPr="00ED6163" w:rsidP="00D60B92" w14:paraId="1986BBBD" w14:textId="77777777">
      <w:pPr>
        <w:pStyle w:val="FootnoteText"/>
      </w:pPr>
      <w:r w:rsidRPr="00ED6163">
        <w:rPr>
          <w:rStyle w:val="FootnoteReference"/>
        </w:rPr>
        <w:footnoteRef/>
      </w:r>
      <w:r w:rsidRPr="00ED6163">
        <w:t xml:space="preserve"> </w:t>
      </w:r>
      <w:r w:rsidRPr="00ED6163">
        <w:rPr>
          <w:i/>
        </w:rPr>
        <w:t>See</w:t>
      </w:r>
      <w:r w:rsidRPr="00ED6163">
        <w:t xml:space="preserve"> </w:t>
      </w:r>
      <w:r w:rsidRPr="00ED6163">
        <w:rPr>
          <w:color w:val="000000"/>
        </w:rPr>
        <w:t xml:space="preserve">13 CFR § 121.201. </w:t>
      </w:r>
      <w:r w:rsidRPr="00ED6163">
        <w:t>The Wired Telecommunications Carrier category formerly used the NAICS Code of 517110.  As of 2</w:t>
      </w:r>
      <w:r w:rsidRPr="00ED6163">
        <w:t xml:space="preserve">017, the U.S. Census Bureau definition shows the NAICS Code as 517311 for Wired Telecommunications Carriers.  </w:t>
      </w:r>
      <w:r w:rsidRPr="00ED6163">
        <w:rPr>
          <w:i/>
        </w:rPr>
        <w:t>See</w:t>
      </w:r>
      <w:r w:rsidRPr="00ED6163">
        <w:t xml:space="preserve"> U.S. Census Bureau, </w:t>
      </w:r>
      <w:r w:rsidRPr="00ED6163">
        <w:rPr>
          <w:i/>
        </w:rPr>
        <w:t>2017 NAICS Definition</w:t>
      </w:r>
      <w:r w:rsidRPr="00ED6163">
        <w:t xml:space="preserve">, </w:t>
      </w:r>
      <w:hyperlink r:id="rId72" w:history="1">
        <w:r w:rsidRPr="00ED6163">
          <w:rPr>
            <w:rStyle w:val="Hyperlink"/>
          </w:rPr>
          <w:t>https://</w:t>
        </w:r>
        <w:r w:rsidRPr="00ED6163">
          <w:rPr>
            <w:rStyle w:val="Hyperlink"/>
          </w:rPr>
          <w:t>www.census.gov/cgi-bin/sssd/naics/naicsrch?code=517311&amp;search=2017</w:t>
        </w:r>
      </w:hyperlink>
      <w:r w:rsidRPr="00ED6163">
        <w:t xml:space="preserve">. </w:t>
      </w:r>
    </w:p>
  </w:footnote>
  <w:footnote w:id="400">
    <w:p w:rsidR="00252A4C" w:rsidRPr="00ED6163" w:rsidP="00D60B92" w14:paraId="60DD1055" w14:textId="77777777">
      <w:pPr>
        <w:pStyle w:val="FootnoteText"/>
      </w:pPr>
      <w:r w:rsidRPr="00ED6163">
        <w:rPr>
          <w:rStyle w:val="FootnoteReference"/>
        </w:rPr>
        <w:footnoteRef/>
      </w:r>
      <w:r w:rsidRPr="00ED6163">
        <w:t xml:space="preserve"> </w:t>
      </w:r>
      <w:r w:rsidRPr="00ED6163">
        <w:rPr>
          <w:i/>
        </w:rPr>
        <w:t>See</w:t>
      </w:r>
      <w:r w:rsidRPr="00ED6163">
        <w:t xml:space="preserve"> U.S. Census Bureau, </w:t>
      </w:r>
      <w:r w:rsidRPr="00ED6163">
        <w:rPr>
          <w:bCs/>
          <w:i/>
        </w:rPr>
        <w:t>2012</w:t>
      </w:r>
      <w:r w:rsidRPr="00ED6163">
        <w:rPr>
          <w:i/>
        </w:rPr>
        <w:t xml:space="preserve"> Economic Census</w:t>
      </w:r>
      <w:r w:rsidRPr="00ED6163">
        <w:rPr>
          <w:bCs/>
          <w:i/>
        </w:rPr>
        <w:t xml:space="preserve"> of the United States,</w:t>
      </w:r>
      <w:r w:rsidRPr="00ED6163">
        <w:t xml:space="preserve"> Table No. EC1251SSSZ5, </w:t>
      </w:r>
      <w:r w:rsidRPr="00ED6163">
        <w:rPr>
          <w:i/>
          <w:iCs/>
        </w:rPr>
        <w:t>Information: Subject Series - Estab &amp; Firm Size: Employment Size of Firms: 2012</w:t>
      </w:r>
      <w:r w:rsidRPr="00ED6163">
        <w:t xml:space="preserve"> (517110 Wired T</w:t>
      </w:r>
      <w:r w:rsidRPr="00ED6163">
        <w:t xml:space="preserve">elecommunications Carriers). </w:t>
      </w:r>
      <w:hyperlink r:id="rId75" w:history="1">
        <w:r w:rsidRPr="00ED6163">
          <w:rPr>
            <w:rStyle w:val="Hyperlink"/>
          </w:rPr>
          <w:t>https://factfinder.census.gov/bkmk/table/1.0/en/ECN/2012_US/51SSSZ5//naics~517110</w:t>
        </w:r>
      </w:hyperlink>
      <w:r>
        <w:rPr>
          <w:rStyle w:val="Hyperlink"/>
        </w:rPr>
        <w:t>.</w:t>
      </w:r>
    </w:p>
  </w:footnote>
  <w:footnote w:id="401">
    <w:p w:rsidR="00252A4C" w:rsidRPr="00ED6163" w:rsidP="00D60B92" w14:paraId="1BC88272" w14:textId="77777777">
      <w:pPr>
        <w:pStyle w:val="FootnoteText"/>
        <w:rPr>
          <w:i/>
        </w:rPr>
      </w:pPr>
      <w:r w:rsidRPr="00ED6163">
        <w:rPr>
          <w:rStyle w:val="FootnoteReference"/>
        </w:rPr>
        <w:footnoteRef/>
      </w:r>
      <w:r w:rsidRPr="00ED6163">
        <w:t xml:space="preserve"> </w:t>
      </w:r>
      <w:r w:rsidRPr="00ED6163">
        <w:rPr>
          <w:i/>
        </w:rPr>
        <w:t>Id.</w:t>
      </w:r>
    </w:p>
  </w:footnote>
  <w:footnote w:id="402">
    <w:p w:rsidR="00252A4C" w:rsidRPr="00ED6163" w:rsidP="00D60B92" w14:paraId="764102A9" w14:textId="77777777">
      <w:pPr>
        <w:pStyle w:val="FootnoteText"/>
      </w:pPr>
      <w:r w:rsidRPr="00ED6163">
        <w:rPr>
          <w:rStyle w:val="FootnoteReference"/>
        </w:rPr>
        <w:footnoteRef/>
      </w:r>
      <w:r w:rsidRPr="00ED6163">
        <w:t xml:space="preserve"> </w:t>
      </w:r>
      <w:r w:rsidRPr="00ED6163">
        <w:rPr>
          <w:i/>
        </w:rPr>
        <w:t>Trends in Telephone Service</w:t>
      </w:r>
      <w:r w:rsidRPr="00ED6163">
        <w:t>, at tbl. 5.</w:t>
      </w:r>
      <w:r w:rsidRPr="00ED6163">
        <w:t>3.</w:t>
      </w:r>
    </w:p>
  </w:footnote>
  <w:footnote w:id="403">
    <w:p w:rsidR="00252A4C" w:rsidRPr="00ED6163" w:rsidP="00D60B92" w14:paraId="371016E4" w14:textId="77777777">
      <w:pPr>
        <w:pStyle w:val="FootnoteText"/>
      </w:pPr>
      <w:r w:rsidRPr="00ED6163">
        <w:rPr>
          <w:rStyle w:val="FootnoteReference"/>
        </w:rPr>
        <w:footnoteRef/>
      </w:r>
      <w:r w:rsidRPr="00ED6163">
        <w:t xml:space="preserve"> </w:t>
      </w:r>
      <w:r w:rsidRPr="00ED6163">
        <w:rPr>
          <w:i/>
        </w:rPr>
        <w:t>Id</w:t>
      </w:r>
      <w:r w:rsidRPr="00ED6163">
        <w:t>.</w:t>
      </w:r>
    </w:p>
  </w:footnote>
  <w:footnote w:id="404">
    <w:p w:rsidR="00252A4C" w:rsidRPr="00ED6163" w:rsidP="00D60B92" w14:paraId="7F4AE84A" w14:textId="77777777">
      <w:pPr>
        <w:pStyle w:val="FootnoteText"/>
      </w:pPr>
      <w:r w:rsidRPr="00ED6163">
        <w:rPr>
          <w:rStyle w:val="FootnoteReference"/>
        </w:rPr>
        <w:footnoteRef/>
      </w:r>
      <w:r w:rsidRPr="00ED6163">
        <w:t xml:space="preserve"> U.S. Census Bureau, </w:t>
      </w:r>
      <w:r w:rsidRPr="00947E6A">
        <w:rPr>
          <w:i/>
        </w:rPr>
        <w:t>2012 NAICS Definitions, 517210 Wireless Telecommunications Carriers (Except Satellite</w:t>
      </w:r>
      <w:r w:rsidRPr="00ED6163">
        <w:rPr>
          <w:bCs/>
          <w:i/>
        </w:rPr>
        <w:t>)</w:t>
      </w:r>
      <w:r w:rsidRPr="00ED6163">
        <w:rPr>
          <w:bCs/>
        </w:rPr>
        <w:t xml:space="preserve">, </w:t>
      </w:r>
      <w:hyperlink r:id="rId76" w:history="1">
        <w:r w:rsidRPr="00ED6163">
          <w:rPr>
            <w:rStyle w:val="Hyperlink"/>
          </w:rPr>
          <w:t>https://factfinder.census.gov/faces/affhelp/jsf/pages/metadata.xhtml?lang=en&amp;type=</w:t>
        </w:r>
        <w:r w:rsidRPr="00ED6163">
          <w:rPr>
            <w:rStyle w:val="Hyperlink"/>
          </w:rPr>
          <w:br/>
          <w:t>ib&amp;id=ib.en./ECN.NAICS2012.517210</w:t>
        </w:r>
      </w:hyperlink>
      <w:r w:rsidRPr="00ED6163">
        <w:rPr>
          <w:rStyle w:val="Hyperlink"/>
        </w:rPr>
        <w:t>.</w:t>
      </w:r>
    </w:p>
  </w:footnote>
  <w:footnote w:id="405">
    <w:p w:rsidR="00252A4C" w:rsidRPr="00ED6163" w:rsidP="00D60B92" w14:paraId="77BE5950" w14:textId="77777777">
      <w:pPr>
        <w:pStyle w:val="FootnoteText"/>
      </w:pPr>
      <w:r w:rsidRPr="00ED6163">
        <w:rPr>
          <w:rStyle w:val="FootnoteReference"/>
        </w:rPr>
        <w:footnoteRef/>
      </w:r>
      <w:r w:rsidRPr="00ED6163">
        <w:rPr>
          <w:lang w:val="fr-FR"/>
        </w:rPr>
        <w:t xml:space="preserve"> 13 CFR § 121.201, NAICS code 517210.  </w:t>
      </w:r>
    </w:p>
  </w:footnote>
  <w:footnote w:id="406">
    <w:p w:rsidR="00252A4C" w:rsidRPr="00ED6163" w:rsidP="00D60B92" w14:paraId="5C754AC5" w14:textId="77777777">
      <w:pPr>
        <w:pStyle w:val="FootnoteText"/>
      </w:pPr>
      <w:r w:rsidRPr="00ED6163">
        <w:rPr>
          <w:rStyle w:val="FootnoteReference"/>
        </w:rPr>
        <w:footnoteRef/>
      </w:r>
      <w:r w:rsidRPr="00ED6163">
        <w:t xml:space="preserve">  U.S. Census Bureau, </w:t>
      </w:r>
      <w:r w:rsidRPr="00ED6163">
        <w:rPr>
          <w:bCs/>
          <w:i/>
        </w:rPr>
        <w:t>2012</w:t>
      </w:r>
      <w:r w:rsidRPr="00ED6163">
        <w:rPr>
          <w:i/>
        </w:rPr>
        <w:t xml:space="preserve"> Economic Census</w:t>
      </w:r>
      <w:r w:rsidRPr="00ED6163">
        <w:rPr>
          <w:bCs/>
          <w:i/>
        </w:rPr>
        <w:t xml:space="preserve"> of the United States</w:t>
      </w:r>
      <w:r w:rsidRPr="00ED6163">
        <w:t xml:space="preserve">, Table EC1251SSSZ5, </w:t>
      </w:r>
      <w:r w:rsidRPr="00947E6A">
        <w:rPr>
          <w:i/>
        </w:rPr>
        <w:t>Information:</w:t>
      </w:r>
      <w:r w:rsidRPr="00947E6A">
        <w:rPr>
          <w:i/>
        </w:rPr>
        <w:t xml:space="preserve"> Subject Series: Estab and Firm Size: Employment Size of Firms for the U.S.: 2012</w:t>
      </w:r>
      <w:r w:rsidRPr="00ED6163">
        <w:t xml:space="preserve">, NAICS Code 517210,  </w:t>
      </w:r>
      <w:hyperlink r:id="rId77" w:history="1">
        <w:r w:rsidRPr="00ED6163">
          <w:rPr>
            <w:rStyle w:val="Hyperlink"/>
          </w:rPr>
          <w:t>https://factfinder.census.gov/bkmk/table/1.0/en/ECN/201</w:t>
        </w:r>
        <w:r w:rsidRPr="00ED6163">
          <w:rPr>
            <w:rStyle w:val="Hyperlink"/>
          </w:rPr>
          <w:t>2_US/51SSSZ5//naics~517210</w:t>
        </w:r>
      </w:hyperlink>
      <w:r w:rsidRPr="00ED6163">
        <w:t>.</w:t>
      </w:r>
    </w:p>
  </w:footnote>
  <w:footnote w:id="407">
    <w:p w:rsidR="00252A4C" w:rsidRPr="00ED6163" w:rsidP="00D60B92" w14:paraId="1AC25963" w14:textId="77777777">
      <w:pPr>
        <w:pStyle w:val="FootnoteText"/>
      </w:pPr>
      <w:r w:rsidRPr="00ED6163">
        <w:rPr>
          <w:rStyle w:val="FootnoteReference"/>
        </w:rPr>
        <w:footnoteRef/>
      </w:r>
      <w:r w:rsidRPr="00ED6163">
        <w:t xml:space="preserve"> </w:t>
      </w:r>
      <w:r w:rsidRPr="00ED6163">
        <w:rPr>
          <w:i/>
        </w:rPr>
        <w:t>Id</w:t>
      </w:r>
      <w:r w:rsidRPr="00ED6163">
        <w:t>.  Available census data do not provide a more precise estimate of the number of firms that have employment of 1,500 or fewer employees; the largest category provided is for firms with “1000 employees or more.”</w:t>
      </w:r>
    </w:p>
  </w:footnote>
  <w:footnote w:id="408">
    <w:p w:rsidR="00252A4C" w:rsidRPr="00ED6163" w:rsidP="00D60B92" w14:paraId="2CEBDB12" w14:textId="77777777">
      <w:pPr>
        <w:pStyle w:val="FootnoteText"/>
        <w:rPr>
          <w:b/>
        </w:rPr>
      </w:pPr>
      <w:r w:rsidRPr="00ED6163">
        <w:rPr>
          <w:rStyle w:val="FootnoteReference"/>
        </w:rPr>
        <w:footnoteRef/>
      </w:r>
      <w:r w:rsidRPr="00ED6163">
        <w:t xml:space="preserve"> </w:t>
      </w:r>
      <w:r w:rsidRPr="00ED6163">
        <w:rPr>
          <w:i/>
          <w:color w:val="010101"/>
        </w:rPr>
        <w:t xml:space="preserve">See </w:t>
      </w:r>
      <w:r w:rsidRPr="00ED6163">
        <w:rPr>
          <w:color w:val="0101FF"/>
        </w:rPr>
        <w:t>http://wireless.fcc.gov/uls</w:t>
      </w:r>
      <w:r w:rsidRPr="00ED6163">
        <w:rPr>
          <w:color w:val="010101"/>
        </w:rPr>
        <w:t>.  For the purposes of this FRFA, consistent with Commission practice for wireless services, the Commission estimates the number of licensees based on the number of unique FCC Registration Numbers.</w:t>
      </w:r>
      <w:r w:rsidRPr="00ED6163">
        <w:t xml:space="preserve">  </w:t>
      </w:r>
    </w:p>
  </w:footnote>
  <w:footnote w:id="409">
    <w:p w:rsidR="00252A4C" w:rsidRPr="00ED6163" w:rsidP="00D60B92" w14:paraId="6F400C8A" w14:textId="77777777">
      <w:pPr>
        <w:pStyle w:val="FootnoteText"/>
      </w:pPr>
      <w:r w:rsidRPr="00ED6163">
        <w:rPr>
          <w:rStyle w:val="FootnoteReference"/>
        </w:rPr>
        <w:footnoteRef/>
      </w:r>
      <w:r w:rsidRPr="00ED6163">
        <w:t xml:space="preserve"> </w:t>
      </w:r>
      <w:r w:rsidRPr="00ED6163">
        <w:rPr>
          <w:i/>
        </w:rPr>
        <w:t>Trends in Telephone Service</w:t>
      </w:r>
      <w:r w:rsidRPr="00ED6163">
        <w:t xml:space="preserve"> at Table 5.3.</w:t>
      </w:r>
    </w:p>
  </w:footnote>
  <w:footnote w:id="410">
    <w:p w:rsidR="00252A4C" w:rsidRPr="00ED6163" w:rsidP="00D60B92" w14:paraId="072E0385" w14:textId="77777777">
      <w:pPr>
        <w:pStyle w:val="FootnoteText"/>
      </w:pPr>
      <w:r w:rsidRPr="00ED6163">
        <w:rPr>
          <w:rStyle w:val="FootnoteReference"/>
        </w:rPr>
        <w:footnoteRef/>
      </w:r>
      <w:r w:rsidRPr="00ED6163">
        <w:t xml:space="preserve"> </w:t>
      </w:r>
      <w:r w:rsidRPr="00ED6163">
        <w:rPr>
          <w:i/>
        </w:rPr>
        <w:t>Id</w:t>
      </w:r>
      <w:r w:rsidRPr="00ED6163">
        <w:t>.</w:t>
      </w:r>
    </w:p>
  </w:footnote>
  <w:footnote w:id="411">
    <w:p w:rsidR="00252A4C" w:rsidRPr="00ED6163" w:rsidP="00D60B92" w14:paraId="0B49C2B0" w14:textId="77777777">
      <w:pPr>
        <w:pStyle w:val="FootnoteText"/>
      </w:pPr>
      <w:r w:rsidRPr="00ED6163">
        <w:rPr>
          <w:rStyle w:val="FootnoteReference"/>
        </w:rPr>
        <w:footnoteRef/>
      </w:r>
      <w:r w:rsidRPr="00ED6163">
        <w:t xml:space="preserve"> </w:t>
      </w:r>
      <w:r w:rsidRPr="00ED6163">
        <w:rPr>
          <w:rStyle w:val="Footnote"/>
          <w:i/>
        </w:rPr>
        <w:t>Amendment of the Commission’s Rules to Establish Part 27</w:t>
      </w:r>
      <w:r w:rsidRPr="00ED6163">
        <w:rPr>
          <w:rStyle w:val="Footnote"/>
        </w:rPr>
        <w:t>,</w:t>
      </w:r>
      <w:r w:rsidRPr="00ED6163">
        <w:rPr>
          <w:rStyle w:val="Footnote"/>
          <w:i/>
        </w:rPr>
        <w:t xml:space="preserve"> the Wireless Communications Service (WCS)</w:t>
      </w:r>
      <w:r w:rsidRPr="00ED6163">
        <w:rPr>
          <w:rStyle w:val="Footnote"/>
        </w:rPr>
        <w:t>, GN Docket No. 96-228, Report and Order, 12 FCC Rcd 10785, 10879, para. 194 (1997).</w:t>
      </w:r>
    </w:p>
  </w:footnote>
  <w:footnote w:id="412">
    <w:p w:rsidR="00252A4C" w:rsidRPr="00ED6163" w:rsidP="00D60B92" w14:paraId="27BE8459" w14:textId="77777777">
      <w:pPr>
        <w:pStyle w:val="FootnoteText"/>
      </w:pPr>
      <w:r w:rsidRPr="00ED6163">
        <w:rPr>
          <w:rStyle w:val="FootnoteReference"/>
        </w:rPr>
        <w:footnoteRef/>
      </w:r>
      <w:r w:rsidRPr="00ED6163">
        <w:t xml:space="preserve"> </w:t>
      </w:r>
      <w:r w:rsidRPr="00ED6163">
        <w:rPr>
          <w:rStyle w:val="Footnote"/>
          <w:i/>
        </w:rPr>
        <w:t>See</w:t>
      </w:r>
      <w:r w:rsidRPr="00ED6163">
        <w:rPr>
          <w:rStyle w:val="Footnote"/>
        </w:rPr>
        <w:t xml:space="preserve"> Public Notice, FCC, Comment Sought on Small</w:t>
      </w:r>
      <w:r w:rsidRPr="00ED6163">
        <w:rPr>
          <w:rStyle w:val="Footnote"/>
        </w:rPr>
        <w:t xml:space="preserve"> Business Size Standards (Jan. 13, 1999), at Attach. A, </w:t>
      </w:r>
      <w:r w:rsidRPr="00ED6163">
        <w:t>Letter</w:t>
      </w:r>
      <w:r w:rsidRPr="00ED6163">
        <w:rPr>
          <w:rStyle w:val="Footnote"/>
        </w:rPr>
        <w:t xml:space="preserve"> from Aida Alvarez, Administrator, SBA, to Amy Zoslov, Chief, Auctions and Industry Analysis Division, Wireless Telecommunications Bureau, FCC (filed Dec. 2, 1998)</w:t>
      </w:r>
      <w:r w:rsidRPr="00ED6163">
        <w:rPr>
          <w:rStyle w:val="Footnote"/>
          <w:i/>
        </w:rPr>
        <w:t xml:space="preserve"> </w:t>
      </w:r>
      <w:r w:rsidRPr="00ED6163">
        <w:rPr>
          <w:rStyle w:val="Footnote"/>
        </w:rPr>
        <w:t>(</w:t>
      </w:r>
      <w:r w:rsidRPr="00ED6163">
        <w:rPr>
          <w:rStyle w:val="Footnote"/>
          <w:i/>
        </w:rPr>
        <w:t>Alvarez Letter 1998</w:t>
      </w:r>
      <w:r w:rsidRPr="00ED6163">
        <w:rPr>
          <w:rStyle w:val="Footnote"/>
        </w:rPr>
        <w:t>),</w:t>
      </w:r>
      <w:r w:rsidRPr="00ED6163">
        <w:t xml:space="preserve"> </w:t>
      </w:r>
      <w:hyperlink r:id="rId78" w:history="1">
        <w:r w:rsidRPr="00ED6163">
          <w:rPr>
            <w:rStyle w:val="Hyperlink"/>
          </w:rPr>
          <w:t>https://ecfsapi.fcc.gov/file/6006142119.pdf</w:t>
        </w:r>
      </w:hyperlink>
      <w:r w:rsidRPr="00ED6163">
        <w:rPr>
          <w:rStyle w:val="Footnote"/>
        </w:rPr>
        <w:t>.</w:t>
      </w:r>
    </w:p>
  </w:footnote>
  <w:footnote w:id="413">
    <w:p w:rsidR="00252A4C" w:rsidRPr="00947E6A" w:rsidP="00D60B92" w14:paraId="52E81CD4" w14:textId="77777777">
      <w:pPr>
        <w:pStyle w:val="FootnoteText"/>
      </w:pPr>
      <w:r w:rsidRPr="00ED6163">
        <w:rPr>
          <w:rStyle w:val="FootnoteReference"/>
        </w:rPr>
        <w:footnoteRef/>
      </w:r>
      <w:r w:rsidRPr="00947E6A">
        <w:t xml:space="preserve"> 47 CFR § 2.106; </w:t>
      </w:r>
      <w:r w:rsidRPr="00947E6A">
        <w:rPr>
          <w:i/>
        </w:rPr>
        <w:t>see generally</w:t>
      </w:r>
      <w:r w:rsidRPr="00947E6A">
        <w:t xml:space="preserve"> 47 CFR §§ 27.1-27.70.</w:t>
      </w:r>
    </w:p>
  </w:footnote>
  <w:footnote w:id="414">
    <w:p w:rsidR="00252A4C" w:rsidRPr="00ED6163" w:rsidP="00D60B92" w14:paraId="2DA6CA55" w14:textId="77777777">
      <w:pPr>
        <w:pStyle w:val="FootnoteText"/>
      </w:pPr>
      <w:r w:rsidRPr="00ED6163">
        <w:rPr>
          <w:rStyle w:val="Footnote"/>
          <w:vertAlign w:val="superscript"/>
        </w:rPr>
        <w:footnoteRef/>
      </w:r>
      <w:r w:rsidRPr="00ED6163">
        <w:t xml:space="preserve"> U.S. Census Bureau, </w:t>
      </w:r>
      <w:r w:rsidRPr="00947E6A">
        <w:rPr>
          <w:i/>
        </w:rPr>
        <w:t xml:space="preserve">2012 NAICS Definitions, </w:t>
      </w:r>
      <w:r w:rsidRPr="004779A2">
        <w:t>“</w:t>
      </w:r>
      <w:r w:rsidRPr="00947E6A">
        <w:rPr>
          <w:i/>
        </w:rPr>
        <w:t>517210 Wireless Telecommunications Carriers (Exce</w:t>
      </w:r>
      <w:r w:rsidRPr="00947E6A">
        <w:rPr>
          <w:i/>
        </w:rPr>
        <w:t>pt Satellite</w:t>
      </w:r>
      <w:r w:rsidRPr="004779A2">
        <w:rPr>
          <w:bCs/>
        </w:rPr>
        <w:t>),”</w:t>
      </w:r>
      <w:r w:rsidRPr="004779A2">
        <w:t xml:space="preserve"> </w:t>
      </w:r>
      <w:r w:rsidRPr="004779A2">
        <w:rPr>
          <w:i/>
        </w:rPr>
        <w:t>See</w:t>
      </w:r>
      <w:r w:rsidRPr="00ED6163">
        <w:rPr>
          <w:bCs/>
          <w:i/>
        </w:rPr>
        <w:t>)</w:t>
      </w:r>
      <w:r w:rsidRPr="00ED6163">
        <w:rPr>
          <w:bCs/>
        </w:rPr>
        <w:t>,</w:t>
      </w:r>
      <w:r w:rsidRPr="00ED6163">
        <w:t xml:space="preserve"> </w:t>
      </w:r>
      <w:hyperlink r:id="rId76" w:history="1">
        <w:r w:rsidRPr="00ED6163">
          <w:rPr>
            <w:rStyle w:val="Hyperlink"/>
          </w:rPr>
          <w:t>https://factfinder.census.gov/faces/affhelp/jsf/pages/metadata.xhtml?lang=en&amp;type=</w:t>
        </w:r>
        <w:r w:rsidRPr="00ED6163">
          <w:rPr>
            <w:rStyle w:val="Hyperlink"/>
          </w:rPr>
          <w:br/>
          <w:t>ib&amp;id=ib.en./ECN.NA</w:t>
        </w:r>
        <w:r w:rsidRPr="00ED6163">
          <w:rPr>
            <w:rStyle w:val="Hyperlink"/>
          </w:rPr>
          <w:t>ICS2012.517210</w:t>
        </w:r>
      </w:hyperlink>
      <w:r w:rsidRPr="00ED6163">
        <w:rPr>
          <w:rStyle w:val="Footnote"/>
        </w:rPr>
        <w:t>.</w:t>
      </w:r>
    </w:p>
  </w:footnote>
  <w:footnote w:id="415">
    <w:p w:rsidR="00252A4C" w:rsidRPr="00ED6163" w:rsidP="00D60B92" w14:paraId="72ACE622" w14:textId="77777777">
      <w:pPr>
        <w:pStyle w:val="FootnoteText"/>
      </w:pPr>
      <w:r w:rsidRPr="00ED6163">
        <w:rPr>
          <w:rStyle w:val="Footnote"/>
          <w:vertAlign w:val="superscript"/>
        </w:rPr>
        <w:footnoteRef/>
      </w:r>
      <w:r w:rsidRPr="00947E6A">
        <w:rPr>
          <w:rStyle w:val="Footnote"/>
          <w:vertAlign w:val="superscript"/>
        </w:rPr>
        <w:t xml:space="preserve"> </w:t>
      </w:r>
      <w:r w:rsidRPr="00ED6163">
        <w:rPr>
          <w:lang w:val="fr-FR"/>
        </w:rPr>
        <w:t>13 CFR § 121.201, NAICS Code 517210</w:t>
      </w:r>
      <w:r w:rsidRPr="00ED6163">
        <w:rPr>
          <w:rStyle w:val="Footnote"/>
        </w:rPr>
        <w:t>.</w:t>
      </w:r>
    </w:p>
  </w:footnote>
  <w:footnote w:id="416">
    <w:p w:rsidR="00252A4C" w:rsidRPr="00ED6163" w:rsidP="00D60B92" w14:paraId="6E059C96" w14:textId="77777777">
      <w:pPr>
        <w:pStyle w:val="FootnoteText"/>
      </w:pPr>
      <w:r w:rsidRPr="00ED6163">
        <w:rPr>
          <w:rStyle w:val="FootnoteReference"/>
        </w:rPr>
        <w:footnoteRef/>
      </w:r>
      <w:r w:rsidRPr="00ED6163">
        <w:t xml:space="preserve"> U.S. Census Bureau, </w:t>
      </w:r>
      <w:r w:rsidRPr="00ED6163">
        <w:rPr>
          <w:bCs/>
          <w:i/>
        </w:rPr>
        <w:t>2012</w:t>
      </w:r>
      <w:r w:rsidRPr="00ED6163">
        <w:rPr>
          <w:i/>
        </w:rPr>
        <w:t xml:space="preserve"> Economic Census</w:t>
      </w:r>
      <w:r w:rsidRPr="00ED6163">
        <w:rPr>
          <w:bCs/>
          <w:i/>
        </w:rPr>
        <w:t xml:space="preserve"> of the United States</w:t>
      </w:r>
      <w:r w:rsidRPr="00ED6163">
        <w:t xml:space="preserve">, Table EC1251SSSZ5, </w:t>
      </w:r>
      <w:r w:rsidRPr="00947E6A">
        <w:rPr>
          <w:i/>
        </w:rPr>
        <w:t>Information: Subject Series: Estab and Firm Size: Employment Size of Firms for the U.S.: 2012</w:t>
      </w:r>
      <w:r w:rsidRPr="00ED6163">
        <w:t>, NAICS Code 517210 (rel</w:t>
      </w:r>
      <w:r w:rsidRPr="00ED6163">
        <w:t xml:space="preserve">. Jan. 8, 2016).  </w:t>
      </w:r>
      <w:hyperlink r:id="rId77" w:history="1">
        <w:r w:rsidRPr="00ED6163">
          <w:rPr>
            <w:rStyle w:val="Hyperlink"/>
          </w:rPr>
          <w:t>https://factfinder.census.gov/bkmk/table/1.0/en/ECN/2012_US/51SSSZ5//naics~517210</w:t>
        </w:r>
      </w:hyperlink>
      <w:r w:rsidRPr="00ED6163">
        <w:rPr>
          <w:rStyle w:val="Hyperlink"/>
        </w:rPr>
        <w:t>.</w:t>
      </w:r>
    </w:p>
  </w:footnote>
  <w:footnote w:id="417">
    <w:p w:rsidR="00252A4C" w:rsidRPr="00ED6163" w:rsidP="00D60B92" w14:paraId="6855189B" w14:textId="77777777">
      <w:pPr>
        <w:pStyle w:val="FootnoteText"/>
      </w:pPr>
      <w:r w:rsidRPr="00ED6163">
        <w:rPr>
          <w:rStyle w:val="FootnoteReference"/>
        </w:rPr>
        <w:footnoteRef/>
      </w:r>
      <w:r w:rsidRPr="00ED6163">
        <w:t xml:space="preserve"> </w:t>
      </w:r>
      <w:r w:rsidRPr="00ED6163">
        <w:rPr>
          <w:i/>
        </w:rPr>
        <w:t>Id</w:t>
      </w:r>
      <w:r w:rsidRPr="00ED6163">
        <w:t>.  Available census data do not provide a more precis</w:t>
      </w:r>
      <w:r w:rsidRPr="00ED6163">
        <w:t>e estimate of the number of firms that have employment of 1,500 or fewer employees; the largest category provided is for firms with “1000 employees or more.”</w:t>
      </w:r>
    </w:p>
  </w:footnote>
  <w:footnote w:id="418">
    <w:p w:rsidR="00252A4C" w:rsidRPr="00ED6163" w:rsidP="00D60B92" w14:paraId="239DE4BA" w14:textId="77777777">
      <w:pPr>
        <w:pStyle w:val="FootnoteText"/>
      </w:pPr>
      <w:r w:rsidRPr="00ED6163">
        <w:rPr>
          <w:rStyle w:val="Footnote"/>
          <w:vertAlign w:val="superscript"/>
        </w:rPr>
        <w:footnoteRef/>
      </w:r>
      <w:r w:rsidRPr="00ED6163">
        <w:rPr>
          <w:rStyle w:val="Footnote"/>
        </w:rPr>
        <w:t xml:space="preserve"> </w:t>
      </w:r>
      <w:r w:rsidRPr="00ED6163">
        <w:rPr>
          <w:rStyle w:val="Footnote"/>
          <w:i/>
        </w:rPr>
        <w:t>Trends in Telephone Service</w:t>
      </w:r>
      <w:r w:rsidRPr="00ED6163">
        <w:rPr>
          <w:rStyle w:val="Footnote"/>
        </w:rPr>
        <w:t xml:space="preserve">, </w:t>
      </w:r>
      <w:r w:rsidRPr="00ED6163">
        <w:t>tbl</w:t>
      </w:r>
      <w:r w:rsidRPr="00ED6163">
        <w:rPr>
          <w:rStyle w:val="Footnote"/>
        </w:rPr>
        <w:t>. 5.3.</w:t>
      </w:r>
    </w:p>
  </w:footnote>
  <w:footnote w:id="419">
    <w:p w:rsidR="00252A4C" w:rsidRPr="00ED6163" w:rsidP="00D60B92" w14:paraId="7B5C750E" w14:textId="77777777">
      <w:pPr>
        <w:pStyle w:val="FootnoteText"/>
      </w:pPr>
      <w:r w:rsidRPr="00ED6163">
        <w:rPr>
          <w:rStyle w:val="Footnote"/>
          <w:vertAlign w:val="superscript"/>
        </w:rPr>
        <w:footnoteRef/>
      </w:r>
      <w:r w:rsidRPr="00ED6163">
        <w:rPr>
          <w:rStyle w:val="Footnote"/>
        </w:rPr>
        <w:t xml:space="preserve"> </w:t>
      </w:r>
      <w:r w:rsidRPr="00ED6163">
        <w:rPr>
          <w:rStyle w:val="Footnote"/>
          <w:i/>
        </w:rPr>
        <w:t>Id</w:t>
      </w:r>
      <w:r w:rsidRPr="00ED6163">
        <w:rPr>
          <w:rStyle w:val="Footnote"/>
        </w:rPr>
        <w:t>.</w:t>
      </w:r>
    </w:p>
  </w:footnote>
  <w:footnote w:id="420">
    <w:p w:rsidR="00252A4C" w:rsidRPr="00ED6163" w:rsidP="00D60B92" w14:paraId="250390D9" w14:textId="77777777">
      <w:pPr>
        <w:pStyle w:val="FootnoteText"/>
      </w:pPr>
      <w:r w:rsidRPr="00ED6163">
        <w:rPr>
          <w:rStyle w:val="Footnote"/>
          <w:vertAlign w:val="superscript"/>
        </w:rPr>
        <w:footnoteRef/>
      </w:r>
      <w:r w:rsidRPr="00ED6163">
        <w:rPr>
          <w:rStyle w:val="Footnote"/>
        </w:rPr>
        <w:t xml:space="preserve"> </w:t>
      </w:r>
      <w:r w:rsidRPr="00ED6163">
        <w:rPr>
          <w:rStyle w:val="Footnote"/>
          <w:i/>
        </w:rPr>
        <w:t>See</w:t>
      </w:r>
      <w:r w:rsidRPr="00ED6163">
        <w:rPr>
          <w:rStyle w:val="Footnote"/>
        </w:rPr>
        <w:t xml:space="preserve"> </w:t>
      </w:r>
      <w:r w:rsidRPr="00ED6163">
        <w:rPr>
          <w:rStyle w:val="Footnote"/>
          <w:i/>
        </w:rPr>
        <w:t xml:space="preserve">Amendment of Parts 20 and 24 of the </w:t>
      </w:r>
      <w:r w:rsidRPr="00ED6163">
        <w:rPr>
          <w:rStyle w:val="Footnote"/>
          <w:i/>
        </w:rPr>
        <w:t>Commission’s Rules – Broadband PCS Competitive Bidding and the Commercial Mobile Radio Service Spectrum Cap; Amendment of the Commission’s Cellular/PCS Cross-Ownership Rule</w:t>
      </w:r>
      <w:r w:rsidRPr="00ED6163">
        <w:rPr>
          <w:rStyle w:val="Footnote"/>
        </w:rPr>
        <w:t>, Report and Order, 11 FCC Rcd 7824, 7850-52, paras. 57-60 (1996) (</w:t>
      </w:r>
      <w:r w:rsidRPr="00ED6163">
        <w:rPr>
          <w:rStyle w:val="Footnote"/>
          <w:i/>
        </w:rPr>
        <w:t>PCS Report and Or</w:t>
      </w:r>
      <w:r w:rsidRPr="00ED6163">
        <w:rPr>
          <w:rStyle w:val="Footnote"/>
          <w:i/>
        </w:rPr>
        <w:t>der</w:t>
      </w:r>
      <w:r w:rsidRPr="00ED6163">
        <w:rPr>
          <w:rStyle w:val="Footnote"/>
        </w:rPr>
        <w:t xml:space="preserve">); </w:t>
      </w:r>
      <w:r w:rsidRPr="00ED6163">
        <w:rPr>
          <w:rStyle w:val="Footnote"/>
          <w:i/>
        </w:rPr>
        <w:t>see also</w:t>
      </w:r>
      <w:r w:rsidRPr="00ED6163">
        <w:rPr>
          <w:rStyle w:val="Footnote"/>
        </w:rPr>
        <w:t xml:space="preserve"> 47 CFR § 24.720(b).</w:t>
      </w:r>
    </w:p>
  </w:footnote>
  <w:footnote w:id="421">
    <w:p w:rsidR="00252A4C" w:rsidRPr="00ED6163" w:rsidP="00D60B92" w14:paraId="14D8AAED" w14:textId="77777777">
      <w:pPr>
        <w:pStyle w:val="FootnoteText"/>
      </w:pPr>
      <w:r w:rsidRPr="00ED6163">
        <w:rPr>
          <w:rStyle w:val="Footnote"/>
          <w:vertAlign w:val="superscript"/>
        </w:rPr>
        <w:footnoteRef/>
      </w:r>
      <w:r w:rsidRPr="00ED6163">
        <w:rPr>
          <w:rStyle w:val="Footnote"/>
        </w:rPr>
        <w:t xml:space="preserve"> </w:t>
      </w:r>
      <w:r w:rsidRPr="00ED6163">
        <w:rPr>
          <w:rStyle w:val="Footnote"/>
          <w:i/>
        </w:rPr>
        <w:t>See</w:t>
      </w:r>
      <w:r w:rsidRPr="00ED6163">
        <w:rPr>
          <w:rStyle w:val="Footnote"/>
        </w:rPr>
        <w:t xml:space="preserve"> </w:t>
      </w:r>
      <w:r w:rsidRPr="00ED6163">
        <w:rPr>
          <w:rStyle w:val="Footnote"/>
          <w:i/>
        </w:rPr>
        <w:t>PCS Report and Order</w:t>
      </w:r>
      <w:r w:rsidRPr="00ED6163">
        <w:rPr>
          <w:rStyle w:val="Footnote"/>
        </w:rPr>
        <w:t xml:space="preserve">, 11 </w:t>
      </w:r>
      <w:r w:rsidRPr="00ED6163">
        <w:t>FCC</w:t>
      </w:r>
      <w:r w:rsidRPr="00ED6163">
        <w:rPr>
          <w:rStyle w:val="Footnote"/>
        </w:rPr>
        <w:t xml:space="preserve"> Rcd at 7852, para. 60.</w:t>
      </w:r>
    </w:p>
  </w:footnote>
  <w:footnote w:id="422">
    <w:p w:rsidR="00252A4C" w:rsidRPr="00ED6163" w:rsidP="00D60B92" w14:paraId="5722149F" w14:textId="77777777">
      <w:pPr>
        <w:pStyle w:val="FootnoteText"/>
      </w:pPr>
      <w:r w:rsidRPr="00ED6163">
        <w:rPr>
          <w:rStyle w:val="Footnote"/>
          <w:vertAlign w:val="superscript"/>
        </w:rPr>
        <w:footnoteRef/>
      </w:r>
      <w:r w:rsidRPr="00ED6163">
        <w:rPr>
          <w:rStyle w:val="Footnote"/>
        </w:rPr>
        <w:t xml:space="preserve"> </w:t>
      </w:r>
      <w:r w:rsidRPr="00ED6163">
        <w:rPr>
          <w:rStyle w:val="Footnote"/>
          <w:i/>
        </w:rPr>
        <w:t>See</w:t>
      </w:r>
      <w:r w:rsidRPr="00ED6163">
        <w:rPr>
          <w:rStyle w:val="Footnote"/>
        </w:rPr>
        <w:t xml:space="preserve"> </w:t>
      </w:r>
      <w:r w:rsidRPr="00ED6163">
        <w:rPr>
          <w:rStyle w:val="Footnote"/>
          <w:i/>
        </w:rPr>
        <w:t>Alvarez Letter 1998</w:t>
      </w:r>
      <w:r w:rsidRPr="00ED6163">
        <w:rPr>
          <w:rStyle w:val="Footnote"/>
        </w:rPr>
        <w:t>.</w:t>
      </w:r>
    </w:p>
  </w:footnote>
  <w:footnote w:id="423">
    <w:p w:rsidR="00252A4C" w:rsidRPr="00ED6163" w:rsidP="00D60B92" w14:paraId="517DFF63" w14:textId="77777777">
      <w:pPr>
        <w:pStyle w:val="FootnoteText"/>
      </w:pPr>
      <w:r w:rsidRPr="00ED6163">
        <w:rPr>
          <w:rStyle w:val="Footnote"/>
          <w:vertAlign w:val="superscript"/>
        </w:rPr>
        <w:footnoteRef/>
      </w:r>
      <w:r w:rsidRPr="00ED6163">
        <w:t xml:space="preserve"> </w:t>
      </w:r>
      <w:r w:rsidRPr="00ED6163">
        <w:rPr>
          <w:i/>
          <w:iCs/>
        </w:rPr>
        <w:t>See</w:t>
      </w:r>
      <w:r w:rsidRPr="00ED6163">
        <w:t xml:space="preserve"> </w:t>
      </w:r>
      <w:r w:rsidRPr="00ED6163">
        <w:rPr>
          <w:i/>
          <w:iCs/>
        </w:rPr>
        <w:t>Broadband PCS</w:t>
      </w:r>
      <w:r w:rsidRPr="00ED6163">
        <w:rPr>
          <w:iCs/>
        </w:rPr>
        <w:t>,</w:t>
      </w:r>
      <w:r w:rsidRPr="00ED6163">
        <w:rPr>
          <w:i/>
          <w:iCs/>
        </w:rPr>
        <w:t xml:space="preserve"> D</w:t>
      </w:r>
      <w:r w:rsidRPr="00ED6163">
        <w:rPr>
          <w:iCs/>
        </w:rPr>
        <w:t>,</w:t>
      </w:r>
      <w:r w:rsidRPr="00ED6163">
        <w:rPr>
          <w:i/>
          <w:iCs/>
        </w:rPr>
        <w:t xml:space="preserve"> E and F Block Auction Closes</w:t>
      </w:r>
      <w:r w:rsidRPr="00ED6163">
        <w:t>, Public Notice, Doc. No. 89838 (rel. Jan. 14, 1997).</w:t>
      </w:r>
    </w:p>
  </w:footnote>
  <w:footnote w:id="424">
    <w:p w:rsidR="00252A4C" w:rsidRPr="00ED6163" w:rsidP="00D60B92" w14:paraId="69BB5AD2" w14:textId="77777777">
      <w:pPr>
        <w:pStyle w:val="FootnoteText"/>
      </w:pPr>
      <w:r w:rsidRPr="00ED6163">
        <w:rPr>
          <w:rStyle w:val="Footnote"/>
          <w:vertAlign w:val="superscript"/>
        </w:rPr>
        <w:footnoteRef/>
      </w:r>
      <w:r w:rsidRPr="00ED6163">
        <w:rPr>
          <w:rStyle w:val="Footnote"/>
        </w:rPr>
        <w:t xml:space="preserve"> </w:t>
      </w:r>
      <w:r w:rsidRPr="00ED6163">
        <w:rPr>
          <w:rStyle w:val="Footnote"/>
          <w:i/>
        </w:rPr>
        <w:t>See</w:t>
      </w:r>
      <w:r w:rsidRPr="00ED6163">
        <w:rPr>
          <w:rStyle w:val="Footnote"/>
        </w:rPr>
        <w:t xml:space="preserve"> </w:t>
      </w:r>
      <w:r w:rsidRPr="00ED6163">
        <w:rPr>
          <w:rStyle w:val="Footnote"/>
          <w:i/>
        </w:rPr>
        <w:t>C</w:t>
      </w:r>
      <w:r w:rsidRPr="00ED6163">
        <w:rPr>
          <w:rStyle w:val="Footnote"/>
        </w:rPr>
        <w:t>,</w:t>
      </w:r>
      <w:r w:rsidRPr="00ED6163">
        <w:rPr>
          <w:rStyle w:val="Footnote"/>
          <w:i/>
        </w:rPr>
        <w:t xml:space="preserve"> D</w:t>
      </w:r>
      <w:r w:rsidRPr="00ED6163">
        <w:rPr>
          <w:rStyle w:val="Footnote"/>
        </w:rPr>
        <w:t>,</w:t>
      </w:r>
      <w:r w:rsidRPr="00ED6163">
        <w:rPr>
          <w:rStyle w:val="Footnote"/>
          <w:i/>
        </w:rPr>
        <w:t xml:space="preserve"> E</w:t>
      </w:r>
      <w:r w:rsidRPr="00ED6163">
        <w:rPr>
          <w:rStyle w:val="Footnote"/>
        </w:rPr>
        <w:t>,</w:t>
      </w:r>
      <w:r w:rsidRPr="00ED6163">
        <w:rPr>
          <w:rStyle w:val="Footnote"/>
          <w:i/>
        </w:rPr>
        <w:t xml:space="preserve"> and F Block Bro</w:t>
      </w:r>
      <w:r w:rsidRPr="00ED6163">
        <w:rPr>
          <w:rStyle w:val="Footnote"/>
          <w:i/>
        </w:rPr>
        <w:t>adband PCS Auction Closes</w:t>
      </w:r>
      <w:r w:rsidRPr="00ED6163">
        <w:rPr>
          <w:rStyle w:val="Footnote"/>
        </w:rPr>
        <w:t xml:space="preserve">, Public Notice, 14 FCC Rcd 6688 (WTB 1999).  </w:t>
      </w:r>
      <w:r w:rsidRPr="00ED6163">
        <w:t xml:space="preserve">Before Auction No. 22, the Commission established a very small standard for the C Block to match the standard used for F Block.  </w:t>
      </w:r>
      <w:r w:rsidRPr="00ED6163">
        <w:rPr>
          <w:i/>
        </w:rPr>
        <w:t>See</w:t>
      </w:r>
      <w:r w:rsidRPr="00ED6163">
        <w:t xml:space="preserve"> </w:t>
      </w:r>
      <w:r w:rsidRPr="00ED6163">
        <w:rPr>
          <w:i/>
        </w:rPr>
        <w:t>Amendment of the Commission’s Rules Regarding Instal</w:t>
      </w:r>
      <w:r w:rsidRPr="00ED6163">
        <w:rPr>
          <w:i/>
        </w:rPr>
        <w:t>lment Payment Financing for Personal Communications Services (PCS) Licensees</w:t>
      </w:r>
      <w:r w:rsidRPr="00ED6163">
        <w:t>, Fourth Report and Order, 13 FCC Rcd 15743, 15768, para. 46 (1998).</w:t>
      </w:r>
    </w:p>
  </w:footnote>
  <w:footnote w:id="425">
    <w:p w:rsidR="00252A4C" w:rsidRPr="00ED6163" w:rsidP="00D60B92" w14:paraId="53980CAB" w14:textId="77777777">
      <w:pPr>
        <w:pStyle w:val="FootnoteText"/>
      </w:pPr>
      <w:r w:rsidRPr="00ED6163">
        <w:rPr>
          <w:rStyle w:val="Footnote"/>
          <w:vertAlign w:val="superscript"/>
        </w:rPr>
        <w:footnoteRef/>
      </w:r>
      <w:r w:rsidRPr="00ED6163">
        <w:rPr>
          <w:rStyle w:val="Footnote"/>
        </w:rPr>
        <w:t xml:space="preserve"> 47 </w:t>
      </w:r>
      <w:r w:rsidRPr="00ED6163">
        <w:t>CFR</w:t>
      </w:r>
      <w:r w:rsidRPr="00ED6163">
        <w:rPr>
          <w:rStyle w:val="Footnote"/>
        </w:rPr>
        <w:t xml:space="preserve"> § 90.814(b)(1).</w:t>
      </w:r>
    </w:p>
  </w:footnote>
  <w:footnote w:id="426">
    <w:p w:rsidR="00252A4C" w:rsidRPr="00ED6163" w:rsidP="00D60B92" w14:paraId="0B2AE8EC" w14:textId="77777777">
      <w:pPr>
        <w:pStyle w:val="FootnoteText"/>
      </w:pPr>
      <w:r w:rsidRPr="00ED6163">
        <w:rPr>
          <w:rStyle w:val="Footnote"/>
          <w:vertAlign w:val="superscript"/>
        </w:rPr>
        <w:footnoteRef/>
      </w:r>
      <w:r w:rsidRPr="00ED6163">
        <w:t xml:space="preserve"> </w:t>
      </w:r>
      <w:r w:rsidRPr="00ED6163">
        <w:rPr>
          <w:rStyle w:val="Footnote"/>
          <w:i/>
        </w:rPr>
        <w:t>Id</w:t>
      </w:r>
      <w:r w:rsidRPr="00ED6163">
        <w:rPr>
          <w:rStyle w:val="Footnote"/>
        </w:rPr>
        <w:t xml:space="preserve">. </w:t>
      </w:r>
    </w:p>
  </w:footnote>
  <w:footnote w:id="427">
    <w:p w:rsidR="00252A4C" w:rsidRPr="00ED6163" w:rsidP="00D60B92" w14:paraId="08364F53" w14:textId="77777777">
      <w:pPr>
        <w:pStyle w:val="FootnoteText"/>
      </w:pPr>
      <w:r w:rsidRPr="00ED6163">
        <w:rPr>
          <w:rStyle w:val="Footnote"/>
          <w:vertAlign w:val="superscript"/>
        </w:rPr>
        <w:footnoteRef/>
      </w:r>
      <w:r w:rsidRPr="00ED6163">
        <w:t xml:space="preserve"> </w:t>
      </w:r>
      <w:r w:rsidRPr="00ED6163">
        <w:rPr>
          <w:rStyle w:val="Footnote"/>
          <w:i/>
        </w:rPr>
        <w:t>See</w:t>
      </w:r>
      <w:r w:rsidRPr="00ED6163">
        <w:rPr>
          <w:rStyle w:val="Footnote"/>
        </w:rPr>
        <w:t xml:space="preserve"> </w:t>
      </w:r>
      <w:r w:rsidRPr="00ED6163">
        <w:t>Letter from Aida Alvarez, Administrator, SBA, to Thomas Sugrue, Chief, Wi</w:t>
      </w:r>
      <w:r w:rsidRPr="00ED6163">
        <w:t>reless Telecommunications Bureau, Federal Communications Commission (filed Aug. 10, 1999) (</w:t>
      </w:r>
      <w:r w:rsidRPr="00ED6163">
        <w:rPr>
          <w:i/>
        </w:rPr>
        <w:t>Alvarez Letter 1999</w:t>
      </w:r>
      <w:r w:rsidRPr="00ED6163">
        <w:t>)</w:t>
      </w:r>
      <w:r w:rsidRPr="00ED6163">
        <w:rPr>
          <w:rStyle w:val="Footnote"/>
        </w:rPr>
        <w:t>.</w:t>
      </w:r>
    </w:p>
  </w:footnote>
  <w:footnote w:id="428">
    <w:p w:rsidR="00252A4C" w:rsidRPr="00ED6163" w:rsidP="00D60B92" w14:paraId="268DCF5D" w14:textId="77777777">
      <w:pPr>
        <w:pStyle w:val="FootnoteText"/>
      </w:pPr>
      <w:r w:rsidRPr="00ED6163">
        <w:rPr>
          <w:rStyle w:val="Footnote"/>
          <w:vertAlign w:val="superscript"/>
        </w:rPr>
        <w:footnoteRef/>
      </w:r>
      <w:r w:rsidRPr="00ED6163">
        <w:rPr>
          <w:rStyle w:val="Footnote"/>
        </w:rPr>
        <w:t xml:space="preserve"> </w:t>
      </w:r>
      <w:r w:rsidRPr="00ED6163">
        <w:rPr>
          <w:rStyle w:val="Footnote"/>
          <w:i/>
        </w:rPr>
        <w:t>See</w:t>
      </w:r>
      <w:r w:rsidRPr="00ED6163">
        <w:rPr>
          <w:rStyle w:val="Footnote"/>
        </w:rPr>
        <w:t xml:space="preserve"> </w:t>
      </w:r>
      <w:r w:rsidRPr="00ED6163">
        <w:rPr>
          <w:rStyle w:val="Footnote"/>
          <w:i/>
        </w:rPr>
        <w:t xml:space="preserve">Correction to Public Notice DA 96-586, FCC Announces Winning Bidders in the Auction of 1020 Licenses to Provide 900 MHz SMR in Major </w:t>
      </w:r>
      <w:r w:rsidRPr="00ED6163">
        <w:rPr>
          <w:rStyle w:val="Footnote"/>
          <w:i/>
        </w:rPr>
        <w:t>Trading Areas</w:t>
      </w:r>
      <w:r w:rsidRPr="00ED6163">
        <w:rPr>
          <w:rStyle w:val="Footnote"/>
        </w:rPr>
        <w:t xml:space="preserve">, </w:t>
      </w:r>
      <w:r w:rsidRPr="00ED6163">
        <w:t>Public</w:t>
      </w:r>
      <w:r w:rsidRPr="00ED6163">
        <w:rPr>
          <w:rStyle w:val="Footnote"/>
        </w:rPr>
        <w:t xml:space="preserve"> Notice, 18 FCC Rcd 18367 (WTB 1996).</w:t>
      </w:r>
    </w:p>
  </w:footnote>
  <w:footnote w:id="429">
    <w:p w:rsidR="00252A4C" w:rsidRPr="00ED6163" w:rsidP="00D60B92" w14:paraId="2958DCB5" w14:textId="77777777">
      <w:pPr>
        <w:pStyle w:val="FootnoteText"/>
      </w:pPr>
      <w:r w:rsidRPr="00ED6163">
        <w:rPr>
          <w:rStyle w:val="Footnote"/>
          <w:vertAlign w:val="superscript"/>
        </w:rPr>
        <w:footnoteRef/>
      </w:r>
      <w:r w:rsidRPr="00ED6163">
        <w:rPr>
          <w:rStyle w:val="Footnote"/>
        </w:rPr>
        <w:t xml:space="preserve"> </w:t>
      </w:r>
      <w:r w:rsidRPr="00ED6163">
        <w:rPr>
          <w:rStyle w:val="Footnote"/>
          <w:i/>
        </w:rPr>
        <w:t>See</w:t>
      </w:r>
      <w:r w:rsidRPr="00ED6163">
        <w:rPr>
          <w:rStyle w:val="Footnote"/>
        </w:rPr>
        <w:t xml:space="preserve"> </w:t>
      </w:r>
      <w:r w:rsidRPr="00ED6163">
        <w:rPr>
          <w:rStyle w:val="Footnote"/>
          <w:i/>
        </w:rPr>
        <w:t>Multi-Radio Service Auction Closes</w:t>
      </w:r>
      <w:r w:rsidRPr="00ED6163">
        <w:rPr>
          <w:rStyle w:val="Footnote"/>
        </w:rPr>
        <w:t xml:space="preserve">, Public </w:t>
      </w:r>
      <w:r w:rsidRPr="00ED6163">
        <w:t>Notice</w:t>
      </w:r>
      <w:r w:rsidRPr="00ED6163">
        <w:rPr>
          <w:rStyle w:val="Footnote"/>
        </w:rPr>
        <w:t>, 17 FCC Rcd 1446 (WTB 2002).</w:t>
      </w:r>
    </w:p>
  </w:footnote>
  <w:footnote w:id="430">
    <w:p w:rsidR="00252A4C" w:rsidRPr="00ED6163" w:rsidP="00D60B92" w14:paraId="5117CEE4" w14:textId="77777777">
      <w:pPr>
        <w:pStyle w:val="FootnoteText"/>
      </w:pPr>
      <w:r w:rsidRPr="00ED6163">
        <w:rPr>
          <w:rStyle w:val="Footnote"/>
          <w:vertAlign w:val="superscript"/>
        </w:rPr>
        <w:footnoteRef/>
      </w:r>
      <w:r w:rsidRPr="00ED6163">
        <w:rPr>
          <w:rStyle w:val="Footnote"/>
        </w:rPr>
        <w:t xml:space="preserve"> </w:t>
      </w:r>
      <w:r w:rsidRPr="00ED6163">
        <w:rPr>
          <w:rStyle w:val="Footnote"/>
          <w:i/>
        </w:rPr>
        <w:t>See 800 MHz Specialized Mobile Radio (SMR) Service General Category (851–854 MHz) and Upper Band (861–865 MHz)</w:t>
      </w:r>
      <w:r w:rsidRPr="00ED6163">
        <w:rPr>
          <w:rStyle w:val="Footnote"/>
          <w:i/>
        </w:rPr>
        <w:t xml:space="preserve"> Auction Closes; Winning Bidders Announced</w:t>
      </w:r>
      <w:r w:rsidRPr="00ED6163">
        <w:rPr>
          <w:rStyle w:val="Footnote"/>
        </w:rPr>
        <w:t xml:space="preserve">, Public Notice, 15 </w:t>
      </w:r>
      <w:r w:rsidRPr="00ED6163">
        <w:t>FCC</w:t>
      </w:r>
      <w:r w:rsidRPr="00ED6163">
        <w:rPr>
          <w:rStyle w:val="Footnote"/>
        </w:rPr>
        <w:t xml:space="preserve"> Rcd 17162 (2000).</w:t>
      </w:r>
    </w:p>
  </w:footnote>
  <w:footnote w:id="431">
    <w:p w:rsidR="00252A4C" w:rsidRPr="00ED6163" w:rsidP="00D60B92" w14:paraId="1968D114" w14:textId="77777777">
      <w:pPr>
        <w:pStyle w:val="FootnoteText"/>
      </w:pPr>
      <w:r w:rsidRPr="00ED6163">
        <w:rPr>
          <w:rStyle w:val="Footnote"/>
          <w:vertAlign w:val="superscript"/>
        </w:rPr>
        <w:footnoteRef/>
      </w:r>
      <w:r w:rsidRPr="00ED6163">
        <w:rPr>
          <w:rStyle w:val="Footnote"/>
        </w:rPr>
        <w:t xml:space="preserve"> </w:t>
      </w:r>
      <w:r w:rsidRPr="00ED6163">
        <w:rPr>
          <w:rStyle w:val="Footnote"/>
          <w:i/>
        </w:rPr>
        <w:t>See</w:t>
      </w:r>
      <w:r w:rsidRPr="00ED6163">
        <w:rPr>
          <w:rStyle w:val="Footnote"/>
        </w:rPr>
        <w:t xml:space="preserve"> </w:t>
      </w:r>
      <w:r w:rsidRPr="00ED6163">
        <w:rPr>
          <w:rStyle w:val="Footnote"/>
          <w:i/>
        </w:rPr>
        <w:t>800 MHz SMR Service Lower 80 Channels Auction Closes; Winning Bidders Announced</w:t>
      </w:r>
      <w:r w:rsidRPr="00ED6163">
        <w:rPr>
          <w:rStyle w:val="Footnote"/>
        </w:rPr>
        <w:t xml:space="preserve">, Public Notice, 16 FCC Rcd </w:t>
      </w:r>
      <w:r w:rsidRPr="00ED6163">
        <w:t>1736</w:t>
      </w:r>
      <w:r w:rsidRPr="00ED6163">
        <w:rPr>
          <w:rStyle w:val="Footnote"/>
        </w:rPr>
        <w:t xml:space="preserve"> (2000).</w:t>
      </w:r>
    </w:p>
  </w:footnote>
  <w:footnote w:id="432">
    <w:p w:rsidR="00252A4C" w:rsidRPr="00ED6163" w:rsidP="00D60B92" w14:paraId="6529B458" w14:textId="77777777">
      <w:pPr>
        <w:pStyle w:val="FootnoteText"/>
      </w:pPr>
      <w:r w:rsidRPr="00ED6163">
        <w:rPr>
          <w:rStyle w:val="FootnoteReference"/>
        </w:rPr>
        <w:footnoteRef/>
      </w:r>
      <w:r w:rsidRPr="00ED6163">
        <w:t xml:space="preserve"> </w:t>
      </w:r>
      <w:r w:rsidRPr="00ED6163">
        <w:rPr>
          <w:i/>
        </w:rPr>
        <w:t>See generally</w:t>
      </w:r>
      <w:r w:rsidRPr="00ED6163">
        <w:t xml:space="preserve"> </w:t>
      </w:r>
      <w:r w:rsidRPr="00ED6163">
        <w:rPr>
          <w:rStyle w:val="Footnote"/>
        </w:rPr>
        <w:t xml:space="preserve">13 CFR § 121.201, </w:t>
      </w:r>
      <w:r w:rsidRPr="00ED6163">
        <w:t>NAICS</w:t>
      </w:r>
      <w:r w:rsidRPr="00ED6163">
        <w:rPr>
          <w:rStyle w:val="Footnote"/>
        </w:rPr>
        <w:t xml:space="preserve"> Code 5</w:t>
      </w:r>
      <w:r w:rsidRPr="00ED6163">
        <w:rPr>
          <w:rStyle w:val="Footnote"/>
        </w:rPr>
        <w:t>17210.</w:t>
      </w:r>
    </w:p>
  </w:footnote>
  <w:footnote w:id="433">
    <w:p w:rsidR="00252A4C" w:rsidRPr="00ED6163" w:rsidP="00D60B92" w14:paraId="0BF88A22" w14:textId="77777777">
      <w:pPr>
        <w:pStyle w:val="FootnoteText"/>
      </w:pPr>
      <w:r w:rsidRPr="00ED6163">
        <w:rPr>
          <w:vertAlign w:val="superscript"/>
        </w:rPr>
        <w:footnoteRef/>
      </w:r>
      <w:r w:rsidRPr="00ED6163">
        <w:t xml:space="preserve"> </w:t>
      </w:r>
      <w:r w:rsidRPr="00ED6163">
        <w:rPr>
          <w:i/>
        </w:rPr>
        <w:t>See</w:t>
      </w:r>
      <w:r w:rsidRPr="00ED6163">
        <w:t xml:space="preserve"> </w:t>
      </w:r>
      <w:r w:rsidRPr="00ED6163">
        <w:rPr>
          <w:i/>
        </w:rPr>
        <w:t>Reallocation and Service Rules for the 698</w:t>
      </w:r>
      <w:r w:rsidRPr="00ED6163">
        <w:rPr>
          <w:rStyle w:val="Footnote"/>
        </w:rPr>
        <w:t>–</w:t>
      </w:r>
      <w:r w:rsidRPr="00ED6163">
        <w:rPr>
          <w:i/>
        </w:rPr>
        <w:t>746 MHz Spectrum Band (Television Channels 52</w:t>
      </w:r>
      <w:r w:rsidRPr="00ED6163">
        <w:rPr>
          <w:rStyle w:val="Footnote"/>
        </w:rPr>
        <w:t>–</w:t>
      </w:r>
      <w:r w:rsidRPr="00ED6163">
        <w:rPr>
          <w:i/>
        </w:rPr>
        <w:t>59)</w:t>
      </w:r>
      <w:r w:rsidRPr="00ED6163">
        <w:t>, Report and Order, 17 FCC Rcd 1022 (2002) (</w:t>
      </w:r>
      <w:r w:rsidRPr="00ED6163">
        <w:rPr>
          <w:i/>
        </w:rPr>
        <w:t>Channels 52</w:t>
      </w:r>
      <w:r w:rsidRPr="00ED6163">
        <w:rPr>
          <w:rStyle w:val="Footnote"/>
        </w:rPr>
        <w:t>–</w:t>
      </w:r>
      <w:r w:rsidRPr="00ED6163">
        <w:rPr>
          <w:i/>
        </w:rPr>
        <w:t>59 Report and Order</w:t>
      </w:r>
      <w:r w:rsidRPr="00ED6163">
        <w:t>).</w:t>
      </w:r>
    </w:p>
  </w:footnote>
  <w:footnote w:id="434">
    <w:p w:rsidR="00252A4C" w:rsidRPr="00ED6163" w:rsidP="00D60B92" w14:paraId="58D7FEFC" w14:textId="77777777">
      <w:pPr>
        <w:pStyle w:val="FootnoteText"/>
      </w:pPr>
      <w:r w:rsidRPr="00ED6163">
        <w:rPr>
          <w:vertAlign w:val="superscript"/>
        </w:rPr>
        <w:footnoteRef/>
      </w:r>
      <w:r w:rsidRPr="00ED6163">
        <w:t xml:space="preserve"> </w:t>
      </w:r>
      <w:r w:rsidRPr="00ED6163">
        <w:rPr>
          <w:i/>
        </w:rPr>
        <w:t>See</w:t>
      </w:r>
      <w:r w:rsidRPr="00ED6163">
        <w:t xml:space="preserve"> </w:t>
      </w:r>
      <w:r w:rsidRPr="00ED6163">
        <w:rPr>
          <w:i/>
        </w:rPr>
        <w:t>id</w:t>
      </w:r>
      <w:r w:rsidRPr="00ED6163">
        <w:t>. at 1087</w:t>
      </w:r>
      <w:r w:rsidRPr="00ED6163">
        <w:rPr>
          <w:rStyle w:val="Footnote"/>
        </w:rPr>
        <w:t>-</w:t>
      </w:r>
      <w:r w:rsidRPr="00ED6163">
        <w:t>88, para. 172.</w:t>
      </w:r>
    </w:p>
  </w:footnote>
  <w:footnote w:id="435">
    <w:p w:rsidR="00252A4C" w:rsidRPr="00ED6163" w:rsidP="00D60B92" w14:paraId="715DF212" w14:textId="77777777">
      <w:pPr>
        <w:pStyle w:val="FootnoteText"/>
      </w:pPr>
      <w:r w:rsidRPr="00ED6163">
        <w:rPr>
          <w:vertAlign w:val="superscript"/>
        </w:rPr>
        <w:footnoteRef/>
      </w:r>
      <w:r w:rsidRPr="00ED6163">
        <w:t xml:space="preserve"> </w:t>
      </w:r>
      <w:r w:rsidRPr="00ED6163">
        <w:rPr>
          <w:i/>
        </w:rPr>
        <w:t>See</w:t>
      </w:r>
      <w:r w:rsidRPr="00ED6163">
        <w:t xml:space="preserve"> </w:t>
      </w:r>
      <w:r w:rsidRPr="00ED6163">
        <w:rPr>
          <w:i/>
        </w:rPr>
        <w:t>id</w:t>
      </w:r>
      <w:r w:rsidRPr="00ED6163">
        <w:t>.</w:t>
      </w:r>
    </w:p>
  </w:footnote>
  <w:footnote w:id="436">
    <w:p w:rsidR="00252A4C" w:rsidRPr="00ED6163" w:rsidP="00D60B92" w14:paraId="3C1C854A" w14:textId="77777777">
      <w:pPr>
        <w:pStyle w:val="FootnoteText"/>
      </w:pPr>
      <w:r w:rsidRPr="00ED6163">
        <w:rPr>
          <w:vertAlign w:val="superscript"/>
        </w:rPr>
        <w:footnoteRef/>
      </w:r>
      <w:r w:rsidRPr="00ED6163">
        <w:t xml:space="preserve"> </w:t>
      </w:r>
      <w:r w:rsidRPr="00ED6163">
        <w:rPr>
          <w:i/>
        </w:rPr>
        <w:t>See</w:t>
      </w:r>
      <w:r w:rsidRPr="00ED6163">
        <w:t xml:space="preserve"> </w:t>
      </w:r>
      <w:r w:rsidRPr="00ED6163">
        <w:rPr>
          <w:i/>
        </w:rPr>
        <w:t>id</w:t>
      </w:r>
      <w:r w:rsidRPr="00ED6163">
        <w:t>., at 1088, para. 173.</w:t>
      </w:r>
    </w:p>
  </w:footnote>
  <w:footnote w:id="437">
    <w:p w:rsidR="00252A4C" w:rsidRPr="00ED6163" w:rsidP="00D60B92" w14:paraId="2D323F53" w14:textId="77777777">
      <w:pPr>
        <w:pStyle w:val="FootnoteText"/>
      </w:pPr>
      <w:r w:rsidRPr="00ED6163">
        <w:rPr>
          <w:vertAlign w:val="superscript"/>
        </w:rPr>
        <w:footnoteRef/>
      </w:r>
      <w:r w:rsidRPr="00ED6163">
        <w:t xml:space="preserve"> </w:t>
      </w:r>
      <w:r w:rsidRPr="00ED6163">
        <w:rPr>
          <w:i/>
        </w:rPr>
        <w:t>See</w:t>
      </w:r>
      <w:r w:rsidRPr="00ED6163">
        <w:t xml:space="preserve"> </w:t>
      </w:r>
      <w:r w:rsidRPr="00ED6163">
        <w:rPr>
          <w:rStyle w:val="Footnote"/>
          <w:i/>
        </w:rPr>
        <w:t>Alvarez Letter 1999</w:t>
      </w:r>
      <w:r w:rsidRPr="00ED6163">
        <w:rPr>
          <w:rStyle w:val="Footnote"/>
        </w:rPr>
        <w:t>.</w:t>
      </w:r>
    </w:p>
  </w:footnote>
  <w:footnote w:id="438">
    <w:p w:rsidR="00252A4C" w:rsidRPr="00ED6163" w:rsidP="00D60B92" w14:paraId="7BB42C04" w14:textId="77777777">
      <w:pPr>
        <w:pStyle w:val="FootnoteText"/>
      </w:pPr>
      <w:r w:rsidRPr="00ED6163">
        <w:rPr>
          <w:vertAlign w:val="superscript"/>
        </w:rPr>
        <w:footnoteRef/>
      </w:r>
      <w:r w:rsidRPr="00ED6163">
        <w:t xml:space="preserve"> </w:t>
      </w:r>
      <w:r w:rsidRPr="00ED6163">
        <w:rPr>
          <w:i/>
        </w:rPr>
        <w:t>See</w:t>
      </w:r>
      <w:r w:rsidRPr="00ED6163">
        <w:t xml:space="preserve"> </w:t>
      </w:r>
      <w:r w:rsidRPr="00ED6163">
        <w:rPr>
          <w:i/>
        </w:rPr>
        <w:t>Lower 700 MHz Band Auction Closes</w:t>
      </w:r>
      <w:r w:rsidRPr="00ED6163">
        <w:t>, Public Notice, 17 FCC Rcd 17272 (WTB 2002).</w:t>
      </w:r>
    </w:p>
  </w:footnote>
  <w:footnote w:id="439">
    <w:p w:rsidR="00252A4C" w:rsidRPr="00ED6163" w:rsidP="00D60B92" w14:paraId="4A097FA0" w14:textId="77777777">
      <w:pPr>
        <w:pStyle w:val="FootnoteText"/>
      </w:pPr>
      <w:r w:rsidRPr="00ED6163">
        <w:rPr>
          <w:vertAlign w:val="superscript"/>
        </w:rPr>
        <w:footnoteRef/>
      </w:r>
      <w:r w:rsidRPr="00ED6163">
        <w:t xml:space="preserve"> </w:t>
      </w:r>
      <w:r w:rsidRPr="00ED6163">
        <w:rPr>
          <w:i/>
        </w:rPr>
        <w:t>See</w:t>
      </w:r>
      <w:r w:rsidRPr="00ED6163">
        <w:t xml:space="preserve"> </w:t>
      </w:r>
      <w:r w:rsidRPr="00ED6163">
        <w:rPr>
          <w:i/>
        </w:rPr>
        <w:t>id</w:t>
      </w:r>
      <w:r w:rsidRPr="00ED6163">
        <w:t>.</w:t>
      </w:r>
      <w:r w:rsidRPr="00ED6163">
        <w:rPr>
          <w:i/>
        </w:rPr>
        <w:t xml:space="preserve"> </w:t>
      </w:r>
    </w:p>
  </w:footnote>
  <w:footnote w:id="440">
    <w:p w:rsidR="00252A4C" w:rsidRPr="00ED6163" w:rsidP="00D60B92" w14:paraId="697205CC" w14:textId="77777777">
      <w:pPr>
        <w:pStyle w:val="FootnoteText"/>
      </w:pPr>
      <w:r w:rsidRPr="00ED6163">
        <w:rPr>
          <w:vertAlign w:val="superscript"/>
        </w:rPr>
        <w:footnoteRef/>
      </w:r>
      <w:r w:rsidRPr="00ED6163">
        <w:t xml:space="preserve"> </w:t>
      </w:r>
      <w:r w:rsidRPr="00ED6163">
        <w:rPr>
          <w:i/>
        </w:rPr>
        <w:t>See id</w:t>
      </w:r>
      <w:r w:rsidRPr="00ED6163">
        <w:t>.</w:t>
      </w:r>
    </w:p>
  </w:footnote>
  <w:footnote w:id="441">
    <w:p w:rsidR="00252A4C" w:rsidRPr="00ED6163" w:rsidP="00D60B92" w14:paraId="565559CB" w14:textId="77777777">
      <w:pPr>
        <w:pStyle w:val="FootnoteText"/>
      </w:pPr>
      <w:r w:rsidRPr="00ED6163">
        <w:rPr>
          <w:rStyle w:val="FootnoteReference"/>
        </w:rPr>
        <w:footnoteRef/>
      </w:r>
      <w:r w:rsidRPr="00ED6163">
        <w:t xml:space="preserve"> </w:t>
      </w:r>
      <w:r w:rsidRPr="00ED6163">
        <w:rPr>
          <w:i/>
          <w:iCs/>
        </w:rPr>
        <w:t>Service Rules for the 698</w:t>
      </w:r>
      <w:r w:rsidRPr="00ED6163">
        <w:t>–</w:t>
      </w:r>
      <w:r w:rsidRPr="00ED6163">
        <w:rPr>
          <w:i/>
          <w:iCs/>
        </w:rPr>
        <w:t>746</w:t>
      </w:r>
      <w:r w:rsidRPr="00ED6163">
        <w:rPr>
          <w:iCs/>
        </w:rPr>
        <w:t>,</w:t>
      </w:r>
      <w:r w:rsidRPr="00ED6163">
        <w:rPr>
          <w:i/>
          <w:iCs/>
        </w:rPr>
        <w:t xml:space="preserve"> 747</w:t>
      </w:r>
      <w:r w:rsidRPr="00ED6163">
        <w:t>–</w:t>
      </w:r>
      <w:r w:rsidRPr="00ED6163">
        <w:rPr>
          <w:i/>
          <w:iCs/>
        </w:rPr>
        <w:t>762 and 777</w:t>
      </w:r>
      <w:r w:rsidRPr="00ED6163">
        <w:t>–</w:t>
      </w:r>
      <w:r w:rsidRPr="00ED6163">
        <w:rPr>
          <w:i/>
          <w:iCs/>
        </w:rPr>
        <w:t xml:space="preserve">792 MHz Band; Revision of the Commission’s Rules to Ensure </w:t>
      </w:r>
      <w:r w:rsidRPr="00ED6163">
        <w:rPr>
          <w:i/>
          <w:iCs/>
        </w:rPr>
        <w:t>Compatibility with Enhanced 911 Emergency Calling Systems et al.</w:t>
      </w:r>
      <w:r w:rsidRPr="00ED6163">
        <w:t>, Second Report and Order, 22 FCC Rcd 15289, 15359 n. 434 (2007) (</w:t>
      </w:r>
      <w:r w:rsidRPr="00ED6163">
        <w:rPr>
          <w:i/>
          <w:iCs/>
        </w:rPr>
        <w:t>700 MHz Second Report and Order</w:t>
      </w:r>
      <w:r w:rsidRPr="00ED6163">
        <w:t>).</w:t>
      </w:r>
    </w:p>
  </w:footnote>
  <w:footnote w:id="442">
    <w:p w:rsidR="00252A4C" w:rsidRPr="00ED6163" w:rsidP="00D60B92" w14:paraId="2362B629" w14:textId="77777777">
      <w:pPr>
        <w:pStyle w:val="FootnoteText"/>
      </w:pPr>
      <w:r w:rsidRPr="00ED6163">
        <w:rPr>
          <w:rStyle w:val="FootnoteReference"/>
        </w:rPr>
        <w:footnoteRef/>
      </w:r>
      <w:r w:rsidRPr="00ED6163">
        <w:t xml:space="preserve"> </w:t>
      </w:r>
      <w:r w:rsidRPr="00ED6163">
        <w:rPr>
          <w:i/>
        </w:rPr>
        <w:t>See</w:t>
      </w:r>
      <w:r w:rsidRPr="00ED6163">
        <w:t xml:space="preserve"> </w:t>
      </w:r>
      <w:r w:rsidRPr="00ED6163">
        <w:rPr>
          <w:i/>
        </w:rPr>
        <w:t>Auction of 700 MHz Band Licenses Closes</w:t>
      </w:r>
      <w:r w:rsidRPr="00ED6163">
        <w:t>, Public Notice, 23 FCC Rcd 4572 (WTB 2008).</w:t>
      </w:r>
    </w:p>
  </w:footnote>
  <w:footnote w:id="443">
    <w:p w:rsidR="00252A4C" w:rsidRPr="00ED6163" w:rsidP="00D60B92" w14:paraId="1CF30E93" w14:textId="77777777">
      <w:pPr>
        <w:pStyle w:val="FootnoteText"/>
      </w:pPr>
      <w:r w:rsidRPr="00ED6163">
        <w:rPr>
          <w:rStyle w:val="FootnoteReference"/>
        </w:rPr>
        <w:footnoteRef/>
      </w:r>
      <w:r w:rsidRPr="00ED6163">
        <w:t xml:space="preserve"> </w:t>
      </w:r>
      <w:r w:rsidRPr="00ED6163">
        <w:rPr>
          <w:i/>
        </w:rPr>
        <w:t>700 MHz Second Report and Order</w:t>
      </w:r>
      <w:r w:rsidRPr="00ED6163">
        <w:t>, 22 FCC Rcd 15289.</w:t>
      </w:r>
    </w:p>
  </w:footnote>
  <w:footnote w:id="444">
    <w:p w:rsidR="00252A4C" w:rsidRPr="00ED6163" w:rsidP="00D60B92" w14:paraId="3382E26A" w14:textId="77777777">
      <w:pPr>
        <w:pStyle w:val="FootnoteText"/>
      </w:pPr>
      <w:r w:rsidRPr="00ED6163">
        <w:rPr>
          <w:rStyle w:val="FootnoteReference"/>
        </w:rPr>
        <w:footnoteRef/>
      </w:r>
      <w:r w:rsidRPr="00ED6163">
        <w:t xml:space="preserve"> </w:t>
      </w:r>
      <w:r w:rsidRPr="00ED6163">
        <w:rPr>
          <w:i/>
        </w:rPr>
        <w:t>See</w:t>
      </w:r>
      <w:r w:rsidRPr="00ED6163">
        <w:t xml:space="preserve"> </w:t>
      </w:r>
      <w:r w:rsidRPr="00ED6163">
        <w:rPr>
          <w:i/>
        </w:rPr>
        <w:t>Auction of 700 MHz Band Licenses Closes</w:t>
      </w:r>
      <w:r w:rsidRPr="00ED6163">
        <w:t>, Public Notice, 23 FCC Rcd 4572 (WTB 2008).</w:t>
      </w:r>
    </w:p>
  </w:footnote>
  <w:footnote w:id="445">
    <w:p w:rsidR="00252A4C" w:rsidRPr="00ED6163" w:rsidP="00D60B92" w14:paraId="3F34BB26" w14:textId="77777777">
      <w:pPr>
        <w:pStyle w:val="FootnoteText"/>
      </w:pPr>
      <w:r w:rsidRPr="00ED6163">
        <w:rPr>
          <w:rStyle w:val="Footnote"/>
          <w:vertAlign w:val="superscript"/>
        </w:rPr>
        <w:footnoteRef/>
      </w:r>
      <w:r w:rsidRPr="00ED6163">
        <w:rPr>
          <w:rStyle w:val="Footnote"/>
        </w:rPr>
        <w:t xml:space="preserve"> </w:t>
      </w:r>
      <w:r w:rsidRPr="00ED6163">
        <w:rPr>
          <w:rStyle w:val="Footnote"/>
          <w:i/>
        </w:rPr>
        <w:t>See</w:t>
      </w:r>
      <w:r w:rsidRPr="00ED6163">
        <w:rPr>
          <w:rStyle w:val="Footnote"/>
        </w:rPr>
        <w:t xml:space="preserve"> </w:t>
      </w:r>
      <w:r w:rsidRPr="00ED6163">
        <w:rPr>
          <w:rStyle w:val="Footnote"/>
          <w:i/>
        </w:rPr>
        <w:t>Service Rules for the 746–764 MHz Bands</w:t>
      </w:r>
      <w:r w:rsidRPr="00ED6163">
        <w:rPr>
          <w:rStyle w:val="Footnote"/>
        </w:rPr>
        <w:t>,</w:t>
      </w:r>
      <w:r w:rsidRPr="00ED6163">
        <w:rPr>
          <w:rStyle w:val="Footnote"/>
          <w:i/>
        </w:rPr>
        <w:t xml:space="preserve"> and Revisions to Part 27 of the Commission’s Rules</w:t>
      </w:r>
      <w:r w:rsidRPr="00ED6163">
        <w:rPr>
          <w:rStyle w:val="Footnote"/>
        </w:rPr>
        <w:t>, Second Report an</w:t>
      </w:r>
      <w:r w:rsidRPr="00ED6163">
        <w:rPr>
          <w:rStyle w:val="Footnote"/>
        </w:rPr>
        <w:t xml:space="preserve">d </w:t>
      </w:r>
      <w:r w:rsidRPr="00ED6163">
        <w:t>Order</w:t>
      </w:r>
      <w:r w:rsidRPr="00ED6163">
        <w:rPr>
          <w:rStyle w:val="Footnote"/>
        </w:rPr>
        <w:t>, 15 FCC Rcd 5299 (2000) (</w:t>
      </w:r>
      <w:r w:rsidRPr="00ED6163">
        <w:rPr>
          <w:rStyle w:val="Footnote"/>
          <w:i/>
        </w:rPr>
        <w:t>746–764 MHz Band Second Report and Order</w:t>
      </w:r>
      <w:r w:rsidRPr="00ED6163">
        <w:rPr>
          <w:rStyle w:val="Footnote"/>
        </w:rPr>
        <w:t>).</w:t>
      </w:r>
    </w:p>
  </w:footnote>
  <w:footnote w:id="446">
    <w:p w:rsidR="00252A4C" w:rsidRPr="00ED6163" w:rsidP="00D60B92" w14:paraId="64FC74F2" w14:textId="77777777">
      <w:pPr>
        <w:pStyle w:val="FootnoteText"/>
      </w:pPr>
      <w:r w:rsidRPr="00ED6163">
        <w:rPr>
          <w:rStyle w:val="Footnote"/>
          <w:vertAlign w:val="superscript"/>
        </w:rPr>
        <w:footnoteRef/>
      </w:r>
      <w:r w:rsidRPr="00ED6163">
        <w:rPr>
          <w:rStyle w:val="Footnote"/>
        </w:rPr>
        <w:t xml:space="preserve"> </w:t>
      </w:r>
      <w:r w:rsidRPr="00ED6163">
        <w:rPr>
          <w:rStyle w:val="Footnote"/>
          <w:i/>
        </w:rPr>
        <w:t>See</w:t>
      </w:r>
      <w:r w:rsidRPr="00ED6163">
        <w:rPr>
          <w:rStyle w:val="Footnote"/>
        </w:rPr>
        <w:t xml:space="preserve"> </w:t>
      </w:r>
      <w:r w:rsidRPr="00ED6163">
        <w:rPr>
          <w:rStyle w:val="Footnote"/>
          <w:i/>
        </w:rPr>
        <w:t>id</w:t>
      </w:r>
      <w:r w:rsidRPr="00ED6163">
        <w:rPr>
          <w:rStyle w:val="Footnote"/>
        </w:rPr>
        <w:t>.</w:t>
      </w:r>
      <w:r w:rsidRPr="00ED6163">
        <w:rPr>
          <w:rStyle w:val="Footnote"/>
          <w:i/>
        </w:rPr>
        <w:t xml:space="preserve"> </w:t>
      </w:r>
      <w:r w:rsidRPr="00ED6163">
        <w:rPr>
          <w:rStyle w:val="Footnote"/>
        </w:rPr>
        <w:t xml:space="preserve">at 5343, </w:t>
      </w:r>
      <w:r w:rsidRPr="00ED6163">
        <w:t>para</w:t>
      </w:r>
      <w:r w:rsidRPr="00ED6163">
        <w:rPr>
          <w:rStyle w:val="Footnote"/>
        </w:rPr>
        <w:t>. 108.</w:t>
      </w:r>
    </w:p>
  </w:footnote>
  <w:footnote w:id="447">
    <w:p w:rsidR="00252A4C" w:rsidRPr="00ED6163" w:rsidP="00D60B92" w14:paraId="441F6771" w14:textId="77777777">
      <w:pPr>
        <w:pStyle w:val="FootnoteText"/>
      </w:pPr>
      <w:r w:rsidRPr="00ED6163">
        <w:rPr>
          <w:rStyle w:val="Footnote"/>
          <w:vertAlign w:val="superscript"/>
        </w:rPr>
        <w:footnoteRef/>
      </w:r>
      <w:r w:rsidRPr="00ED6163">
        <w:rPr>
          <w:rStyle w:val="Footnote"/>
        </w:rPr>
        <w:t xml:space="preserve"> </w:t>
      </w:r>
      <w:r w:rsidRPr="00ED6163">
        <w:rPr>
          <w:rStyle w:val="Footnote"/>
          <w:i/>
        </w:rPr>
        <w:t>See</w:t>
      </w:r>
      <w:r w:rsidRPr="00ED6163">
        <w:rPr>
          <w:rStyle w:val="Footnote"/>
        </w:rPr>
        <w:t xml:space="preserve"> </w:t>
      </w:r>
      <w:r w:rsidRPr="00ED6163">
        <w:rPr>
          <w:rStyle w:val="Footnote"/>
          <w:i/>
        </w:rPr>
        <w:t>id</w:t>
      </w:r>
      <w:r w:rsidRPr="00ED6163">
        <w:rPr>
          <w:rStyle w:val="Footnote"/>
        </w:rPr>
        <w:t>.</w:t>
      </w:r>
    </w:p>
  </w:footnote>
  <w:footnote w:id="448">
    <w:p w:rsidR="00252A4C" w:rsidRPr="00ED6163" w:rsidP="00D60B92" w14:paraId="03D039BD" w14:textId="77777777">
      <w:pPr>
        <w:pStyle w:val="FootnoteText"/>
      </w:pPr>
      <w:r w:rsidRPr="00ED6163">
        <w:rPr>
          <w:rStyle w:val="Footnote"/>
          <w:vertAlign w:val="superscript"/>
        </w:rPr>
        <w:footnoteRef/>
      </w:r>
      <w:r w:rsidRPr="00ED6163">
        <w:t xml:space="preserve"> </w:t>
      </w:r>
      <w:r w:rsidRPr="00ED6163">
        <w:rPr>
          <w:rStyle w:val="Footnote"/>
          <w:i/>
        </w:rPr>
        <w:t>See</w:t>
      </w:r>
      <w:r w:rsidRPr="00ED6163">
        <w:rPr>
          <w:rStyle w:val="Footnote"/>
        </w:rPr>
        <w:t xml:space="preserve"> </w:t>
      </w:r>
      <w:r w:rsidRPr="00ED6163">
        <w:rPr>
          <w:rStyle w:val="Footnote"/>
          <w:i/>
        </w:rPr>
        <w:t>id</w:t>
      </w:r>
      <w:r w:rsidRPr="00ED6163">
        <w:rPr>
          <w:rStyle w:val="Footnote"/>
        </w:rPr>
        <w:t xml:space="preserve">. at 5343, para. 108 n.246 (for the 746–764 MHz and 776–794 MHz bands, the Commission is exempt from 15 U.S.C. § 632, which </w:t>
      </w:r>
      <w:r w:rsidRPr="00ED6163">
        <w:rPr>
          <w:rStyle w:val="Footnote"/>
        </w:rPr>
        <w:t>requires Federal agencies to obtain SBA approval before adopting small business size standards).</w:t>
      </w:r>
    </w:p>
  </w:footnote>
  <w:footnote w:id="449">
    <w:p w:rsidR="00252A4C" w:rsidRPr="00ED6163" w:rsidP="00D60B92" w14:paraId="6643B969" w14:textId="77777777">
      <w:pPr>
        <w:pStyle w:val="FootnoteText"/>
      </w:pPr>
      <w:r w:rsidRPr="00ED6163">
        <w:rPr>
          <w:rStyle w:val="Footnote"/>
          <w:vertAlign w:val="superscript"/>
        </w:rPr>
        <w:footnoteRef/>
      </w:r>
      <w:r w:rsidRPr="00ED6163">
        <w:rPr>
          <w:rStyle w:val="Footnote"/>
        </w:rPr>
        <w:t xml:space="preserve"> </w:t>
      </w:r>
      <w:r w:rsidRPr="00ED6163">
        <w:rPr>
          <w:rStyle w:val="Footnote"/>
          <w:i/>
        </w:rPr>
        <w:t>See</w:t>
      </w:r>
      <w:r w:rsidRPr="00ED6163">
        <w:rPr>
          <w:rStyle w:val="Footnote"/>
        </w:rPr>
        <w:t xml:space="preserve"> </w:t>
      </w:r>
      <w:r w:rsidRPr="00ED6163">
        <w:rPr>
          <w:rStyle w:val="Footnote"/>
          <w:i/>
        </w:rPr>
        <w:t>700 MHz Guard Bands Auction Closes:  Winning Bidders Announced</w:t>
      </w:r>
      <w:r w:rsidRPr="00ED6163">
        <w:rPr>
          <w:rStyle w:val="Footnote"/>
        </w:rPr>
        <w:t xml:space="preserve">, Public Notice, 15 FCC Rcd 18026 (WTB </w:t>
      </w:r>
      <w:r w:rsidRPr="00ED6163">
        <w:t>2000</w:t>
      </w:r>
      <w:r w:rsidRPr="00ED6163">
        <w:rPr>
          <w:rStyle w:val="Footnote"/>
        </w:rPr>
        <w:t>).</w:t>
      </w:r>
    </w:p>
  </w:footnote>
  <w:footnote w:id="450">
    <w:p w:rsidR="00252A4C" w:rsidRPr="00ED6163" w:rsidP="00D60B92" w14:paraId="4F2CE25C" w14:textId="77777777">
      <w:pPr>
        <w:pStyle w:val="FootnoteText"/>
      </w:pPr>
      <w:r w:rsidRPr="00ED6163">
        <w:rPr>
          <w:rStyle w:val="Footnote"/>
          <w:vertAlign w:val="superscript"/>
        </w:rPr>
        <w:footnoteRef/>
      </w:r>
      <w:r w:rsidRPr="00ED6163">
        <w:rPr>
          <w:rStyle w:val="Footnote"/>
        </w:rPr>
        <w:t xml:space="preserve"> </w:t>
      </w:r>
      <w:r w:rsidRPr="00ED6163">
        <w:rPr>
          <w:rStyle w:val="Footnote"/>
          <w:i/>
        </w:rPr>
        <w:t>See</w:t>
      </w:r>
      <w:r w:rsidRPr="00ED6163">
        <w:rPr>
          <w:rStyle w:val="Footnote"/>
        </w:rPr>
        <w:t xml:space="preserve"> </w:t>
      </w:r>
      <w:r w:rsidRPr="00ED6163">
        <w:rPr>
          <w:rStyle w:val="Footnote"/>
          <w:i/>
        </w:rPr>
        <w:t>700 MHz Guard Bands Auction Closes: Win</w:t>
      </w:r>
      <w:r w:rsidRPr="00ED6163">
        <w:rPr>
          <w:rStyle w:val="Footnote"/>
          <w:i/>
        </w:rPr>
        <w:t>ning Bidders Announced</w:t>
      </w:r>
      <w:r w:rsidRPr="00ED6163">
        <w:rPr>
          <w:rStyle w:val="Footnote"/>
        </w:rPr>
        <w:t xml:space="preserve">, Public Notice, 16 FCC Rcd 4590 (WTB </w:t>
      </w:r>
      <w:r w:rsidRPr="00ED6163">
        <w:t>2001</w:t>
      </w:r>
      <w:r w:rsidRPr="00ED6163">
        <w:rPr>
          <w:rStyle w:val="Footnote"/>
        </w:rPr>
        <w:t>).</w:t>
      </w:r>
    </w:p>
  </w:footnote>
  <w:footnote w:id="451">
    <w:p w:rsidR="00252A4C" w:rsidRPr="00ED6163" w:rsidP="00D60B92" w14:paraId="07F4CEDF" w14:textId="77777777">
      <w:pPr>
        <w:pStyle w:val="FootnoteText"/>
      </w:pPr>
      <w:r w:rsidRPr="00ED6163">
        <w:rPr>
          <w:rStyle w:val="FootnoteReference"/>
        </w:rPr>
        <w:footnoteRef/>
      </w:r>
      <w:r w:rsidRPr="00ED6163">
        <w:t xml:space="preserve"> U.S. Census Bureau, </w:t>
      </w:r>
      <w:r w:rsidRPr="00947E6A">
        <w:rPr>
          <w:i/>
        </w:rPr>
        <w:t>2012 NAICS Definitions, 517210 Wireless Telecommunications Carriers (Except Satellite</w:t>
      </w:r>
      <w:r w:rsidRPr="00ED6163">
        <w:rPr>
          <w:bCs/>
          <w:i/>
        </w:rPr>
        <w:t>)</w:t>
      </w:r>
      <w:r w:rsidRPr="00ED6163">
        <w:rPr>
          <w:bCs/>
        </w:rPr>
        <w:t>,</w:t>
      </w:r>
      <w:r w:rsidRPr="00ED6163">
        <w:t xml:space="preserve"> </w:t>
      </w:r>
      <w:hyperlink r:id="rId76" w:history="1">
        <w:r w:rsidRPr="00ED6163">
          <w:rPr>
            <w:rStyle w:val="Hyperlink"/>
          </w:rPr>
          <w:t>https://factfinder.census.gov/faces/affhelp/jsf/pages/metadata.xhtml?lang=en&amp;type=</w:t>
        </w:r>
        <w:r w:rsidRPr="00ED6163">
          <w:rPr>
            <w:rStyle w:val="Hyperlink"/>
          </w:rPr>
          <w:br/>
          <w:t>ib&amp;id=ib.en./ECN.NAICS2012.517210</w:t>
        </w:r>
      </w:hyperlink>
      <w:r w:rsidRPr="00ED6163">
        <w:rPr>
          <w:rStyle w:val="Hyperlink"/>
        </w:rPr>
        <w:t>.</w:t>
      </w:r>
    </w:p>
  </w:footnote>
  <w:footnote w:id="452">
    <w:p w:rsidR="00252A4C" w:rsidRPr="00ED6163" w:rsidP="00D60B92" w14:paraId="55B1069E" w14:textId="77777777">
      <w:pPr>
        <w:pStyle w:val="FootnoteText"/>
      </w:pPr>
      <w:r w:rsidRPr="00ED6163">
        <w:rPr>
          <w:rStyle w:val="FootnoteReference"/>
        </w:rPr>
        <w:footnoteRef/>
      </w:r>
      <w:r w:rsidRPr="00ED6163">
        <w:rPr>
          <w:lang w:val="fr-FR"/>
        </w:rPr>
        <w:t xml:space="preserve"> 13 CFR § 121.201, NAICS Code 517210.  </w:t>
      </w:r>
    </w:p>
  </w:footnote>
  <w:footnote w:id="453">
    <w:p w:rsidR="00252A4C" w:rsidRPr="00ED6163" w:rsidP="00D60B92" w14:paraId="0357D1CA" w14:textId="77777777">
      <w:pPr>
        <w:pStyle w:val="FootnoteText"/>
      </w:pPr>
      <w:r w:rsidRPr="00ED6163">
        <w:rPr>
          <w:rStyle w:val="FootnoteReference"/>
        </w:rPr>
        <w:footnoteRef/>
      </w:r>
      <w:r w:rsidRPr="00ED6163">
        <w:t xml:space="preserve"> </w:t>
      </w:r>
      <w:r w:rsidRPr="00ED6163">
        <w:rPr>
          <w:i/>
        </w:rPr>
        <w:t>Id</w:t>
      </w:r>
      <w:r w:rsidRPr="00ED6163">
        <w:t xml:space="preserve">.  Available census data do not provide </w:t>
      </w:r>
      <w:r w:rsidRPr="00ED6163">
        <w:t>a more precise estimate of the number of firms that have employment of 1,500 or fewer employees; the largest category provided is for firms with “1000 employees or more.”</w:t>
      </w:r>
    </w:p>
  </w:footnote>
  <w:footnote w:id="454">
    <w:p w:rsidR="00252A4C" w:rsidRPr="00ED6163" w:rsidP="00D60B92" w14:paraId="5B17E58F" w14:textId="77777777">
      <w:pPr>
        <w:pStyle w:val="FootnoteText"/>
      </w:pPr>
      <w:r w:rsidRPr="00ED6163">
        <w:rPr>
          <w:rStyle w:val="FootnoteReference"/>
        </w:rPr>
        <w:footnoteRef/>
      </w:r>
      <w:r w:rsidRPr="00ED6163">
        <w:t xml:space="preserve"> </w:t>
      </w:r>
      <w:r w:rsidRPr="00ED6163">
        <w:rPr>
          <w:i/>
        </w:rPr>
        <w:t>Amendment of Part 22 of the Commission’s Rules to Benefit the Consumers of Air-Grou</w:t>
      </w:r>
      <w:r w:rsidRPr="00ED6163">
        <w:rPr>
          <w:i/>
        </w:rPr>
        <w:t>nd Telecommunications Services et al</w:t>
      </w:r>
      <w:r w:rsidRPr="00ED6163">
        <w:t>,</w:t>
      </w:r>
      <w:r w:rsidRPr="00ED6163">
        <w:rPr>
          <w:i/>
        </w:rPr>
        <w:t xml:space="preserve"> </w:t>
      </w:r>
      <w:r w:rsidRPr="00ED6163">
        <w:t xml:space="preserve">WT Docket No. 03-103 et al., Order on Reconsideration and Report and Order, 20 FCC Rcd 19663, </w:t>
      </w:r>
      <w:r w:rsidRPr="00ED6163">
        <w:rPr>
          <w:rStyle w:val="Footnote"/>
        </w:rPr>
        <w:t xml:space="preserve">paras. </w:t>
      </w:r>
      <w:r w:rsidRPr="00ED6163">
        <w:t>28</w:t>
      </w:r>
      <w:r w:rsidRPr="00ED6163">
        <w:rPr>
          <w:rStyle w:val="Footnote"/>
          <w:i/>
        </w:rPr>
        <w:t>-</w:t>
      </w:r>
      <w:r w:rsidRPr="00ED6163">
        <w:t>42 (2005).</w:t>
      </w:r>
    </w:p>
  </w:footnote>
  <w:footnote w:id="455">
    <w:p w:rsidR="00252A4C" w:rsidRPr="00ED6163" w:rsidP="00D60B92" w14:paraId="3ECE7B1D" w14:textId="77777777">
      <w:pPr>
        <w:pStyle w:val="FootnoteText"/>
      </w:pPr>
      <w:r w:rsidRPr="00ED6163">
        <w:rPr>
          <w:rStyle w:val="FootnoteReference"/>
        </w:rPr>
        <w:footnoteRef/>
      </w:r>
      <w:r w:rsidRPr="00ED6163">
        <w:t xml:space="preserve"> </w:t>
      </w:r>
      <w:r w:rsidRPr="00ED6163">
        <w:rPr>
          <w:i/>
        </w:rPr>
        <w:t>Id</w:t>
      </w:r>
      <w:r w:rsidRPr="00ED6163">
        <w:t>.</w:t>
      </w:r>
    </w:p>
  </w:footnote>
  <w:footnote w:id="456">
    <w:p w:rsidR="00252A4C" w:rsidRPr="00ED6163" w:rsidP="00D60B92" w14:paraId="1255CB0C" w14:textId="77777777">
      <w:pPr>
        <w:pStyle w:val="FootnoteText"/>
      </w:pPr>
      <w:r w:rsidRPr="00ED6163">
        <w:rPr>
          <w:rStyle w:val="FootnoteReference"/>
        </w:rPr>
        <w:footnoteRef/>
      </w:r>
      <w:r w:rsidRPr="00ED6163">
        <w:t xml:space="preserve"> </w:t>
      </w:r>
      <w:r w:rsidRPr="00ED6163">
        <w:rPr>
          <w:i/>
        </w:rPr>
        <w:t>See</w:t>
      </w:r>
      <w:r w:rsidRPr="00ED6163">
        <w:t xml:space="preserve"> Le</w:t>
      </w:r>
      <w:r w:rsidRPr="00ED6163">
        <w:rPr>
          <w:snapToGrid w:val="0"/>
        </w:rPr>
        <w:t>t</w:t>
      </w:r>
      <w:r w:rsidRPr="00ED6163">
        <w:t xml:space="preserve">ter from Hector V. Barreto, Administrator, SBA, to Gary D. Michaels, Deputy Chief, </w:t>
      </w:r>
      <w:r w:rsidRPr="00ED6163">
        <w:t>Auctions and Spectrum Access Division, Wireless Telecommunications Bureau, Federal Communications Commission (filed Sept. 19, 2005).</w:t>
      </w:r>
    </w:p>
  </w:footnote>
  <w:footnote w:id="457">
    <w:p w:rsidR="00252A4C" w:rsidRPr="00ED6163" w:rsidP="00D60B92" w14:paraId="005B5817" w14:textId="77777777">
      <w:pPr>
        <w:pStyle w:val="FootnoteText"/>
      </w:pPr>
      <w:r w:rsidRPr="00ED6163">
        <w:rPr>
          <w:rStyle w:val="FootnoteReference"/>
        </w:rPr>
        <w:footnoteRef/>
      </w:r>
      <w:r w:rsidRPr="00ED6163">
        <w:t xml:space="preserve"> The service is defined in section 90.1301 </w:t>
      </w:r>
      <w:r w:rsidRPr="00ED6163">
        <w:rPr>
          <w:i/>
        </w:rPr>
        <w:t>et seq</w:t>
      </w:r>
      <w:r w:rsidRPr="00ED6163">
        <w:t xml:space="preserve">. of the Commission’s Rules, 47 CFR § 90.1301 </w:t>
      </w:r>
      <w:r w:rsidRPr="00ED6163">
        <w:rPr>
          <w:i/>
        </w:rPr>
        <w:t>et seq</w:t>
      </w:r>
      <w:r w:rsidRPr="00ED6163">
        <w:t>.</w:t>
      </w:r>
    </w:p>
  </w:footnote>
  <w:footnote w:id="458">
    <w:p w:rsidR="00252A4C" w:rsidRPr="00ED6163" w:rsidP="00D60B92" w14:paraId="4B4F1DD5" w14:textId="77777777">
      <w:pPr>
        <w:pStyle w:val="FootnoteText"/>
      </w:pPr>
      <w:r w:rsidRPr="00ED6163">
        <w:rPr>
          <w:rStyle w:val="FootnoteReference"/>
        </w:rPr>
        <w:footnoteRef/>
      </w:r>
      <w:r w:rsidRPr="00ED6163">
        <w:t xml:space="preserve"> </w:t>
      </w:r>
      <w:r w:rsidRPr="00ED6163">
        <w:rPr>
          <w:i/>
        </w:rPr>
        <w:t>See</w:t>
      </w:r>
      <w:r w:rsidRPr="00ED6163">
        <w:t xml:space="preserve"> </w:t>
      </w:r>
      <w:r w:rsidRPr="00ED6163">
        <w:rPr>
          <w:i/>
        </w:rPr>
        <w:t>Service Rules</w:t>
      </w:r>
      <w:r w:rsidRPr="00ED6163">
        <w:rPr>
          <w:i/>
        </w:rPr>
        <w:t xml:space="preserve"> for Advanced Wireless Services in the 1</w:t>
      </w:r>
      <w:r w:rsidRPr="00ED6163">
        <w:t>.</w:t>
      </w:r>
      <w:r w:rsidRPr="00ED6163">
        <w:rPr>
          <w:i/>
        </w:rPr>
        <w:t>7 GHz and 2</w:t>
      </w:r>
      <w:r w:rsidRPr="00ED6163">
        <w:t>.</w:t>
      </w:r>
      <w:r w:rsidRPr="00ED6163">
        <w:rPr>
          <w:i/>
        </w:rPr>
        <w:t>1 GHz Bands</w:t>
      </w:r>
      <w:r w:rsidRPr="00ED6163">
        <w:t xml:space="preserve">, Report and Order, 18 FCC Rcd 25162, Appx. B (2003), </w:t>
      </w:r>
      <w:r w:rsidRPr="00ED6163">
        <w:rPr>
          <w:i/>
        </w:rPr>
        <w:t>modified by Service Rules for Advanced Wireless Services in the 1</w:t>
      </w:r>
      <w:r w:rsidRPr="00ED6163">
        <w:t>.</w:t>
      </w:r>
      <w:r w:rsidRPr="00ED6163">
        <w:rPr>
          <w:i/>
        </w:rPr>
        <w:t>7 GHz and 2</w:t>
      </w:r>
      <w:r w:rsidRPr="00ED6163">
        <w:t>.</w:t>
      </w:r>
      <w:r w:rsidRPr="00ED6163">
        <w:rPr>
          <w:i/>
        </w:rPr>
        <w:t>1 GHz Bands</w:t>
      </w:r>
      <w:r w:rsidRPr="00ED6163">
        <w:t>, Order on Reconsideration, 20 FCC Rcd 14058, App</w:t>
      </w:r>
      <w:r w:rsidRPr="00ED6163">
        <w:t xml:space="preserve">x. C (2005); </w:t>
      </w:r>
      <w:r w:rsidRPr="00ED6163">
        <w:rPr>
          <w:i/>
        </w:rPr>
        <w:t>Service Rules for Advanced Wireless Services in the 1915–1920 MHz</w:t>
      </w:r>
      <w:r w:rsidRPr="00ED6163">
        <w:t>,</w:t>
      </w:r>
      <w:r w:rsidRPr="00ED6163">
        <w:rPr>
          <w:i/>
        </w:rPr>
        <w:t xml:space="preserve"> 1995–2000 MHz</w:t>
      </w:r>
      <w:r w:rsidRPr="00ED6163">
        <w:t>,</w:t>
      </w:r>
      <w:r w:rsidRPr="00ED6163">
        <w:rPr>
          <w:i/>
        </w:rPr>
        <w:t xml:space="preserve"> 2020–2025 MHz and 2175–2180 MHz Bands; Service Rules for Advanced Wireless Services in the 1</w:t>
      </w:r>
      <w:r w:rsidRPr="00ED6163">
        <w:t>.</w:t>
      </w:r>
      <w:r w:rsidRPr="00ED6163">
        <w:rPr>
          <w:i/>
        </w:rPr>
        <w:t>7 GHz and 2</w:t>
      </w:r>
      <w:r w:rsidRPr="00ED6163">
        <w:t>.</w:t>
      </w:r>
      <w:r w:rsidRPr="00ED6163">
        <w:rPr>
          <w:i/>
        </w:rPr>
        <w:t>1 GHz Bands</w:t>
      </w:r>
      <w:r w:rsidRPr="00ED6163">
        <w:t>, Notice of Proposed Rulemaking, 19 FCC Rcd 1</w:t>
      </w:r>
      <w:r w:rsidRPr="00ED6163">
        <w:t xml:space="preserve">9263, Appx. B (2005); </w:t>
      </w:r>
      <w:r w:rsidRPr="00ED6163">
        <w:rPr>
          <w:i/>
        </w:rPr>
        <w:t>Service Rules for Advanced Wireless Services in the 2155–2175 MHz Band</w:t>
      </w:r>
      <w:r w:rsidRPr="00ED6163">
        <w:t>, Notice of Proposed Rulemaking, 22 FCC Rcd 17035, Appx. (2007).</w:t>
      </w:r>
    </w:p>
  </w:footnote>
  <w:footnote w:id="459">
    <w:p w:rsidR="00252A4C" w:rsidRPr="00ED6163" w:rsidP="00D60B92" w14:paraId="3538460E" w14:textId="77777777">
      <w:pPr>
        <w:pStyle w:val="FootnoteText"/>
      </w:pPr>
      <w:r w:rsidRPr="00ED6163">
        <w:rPr>
          <w:rStyle w:val="FootnoteReference"/>
        </w:rPr>
        <w:footnoteRef/>
      </w:r>
      <w:r w:rsidRPr="00ED6163">
        <w:t xml:space="preserve"> </w:t>
      </w:r>
      <w:r w:rsidRPr="00ED6163">
        <w:rPr>
          <w:i/>
        </w:rPr>
        <w:t xml:space="preserve">See </w:t>
      </w:r>
      <w:r w:rsidRPr="00ED6163">
        <w:t>47 CFR Part 101, Subparts C and I.</w:t>
      </w:r>
    </w:p>
  </w:footnote>
  <w:footnote w:id="460">
    <w:p w:rsidR="00252A4C" w:rsidRPr="00ED6163" w:rsidP="00D60B92" w14:paraId="4AE4487F" w14:textId="77777777">
      <w:pPr>
        <w:pStyle w:val="FootnoteText"/>
      </w:pPr>
      <w:r w:rsidRPr="00ED6163">
        <w:rPr>
          <w:rStyle w:val="FootnoteReference"/>
        </w:rPr>
        <w:footnoteRef/>
      </w:r>
      <w:r w:rsidRPr="00ED6163">
        <w:t xml:space="preserve"> </w:t>
      </w:r>
      <w:r w:rsidRPr="00ED6163">
        <w:rPr>
          <w:i/>
        </w:rPr>
        <w:t xml:space="preserve">See </w:t>
      </w:r>
      <w:r w:rsidRPr="00ED6163">
        <w:t>47 CFR Part 101, Subparts C and H.</w:t>
      </w:r>
    </w:p>
  </w:footnote>
  <w:footnote w:id="461">
    <w:p w:rsidR="00252A4C" w:rsidRPr="00ED6163" w:rsidP="00D60B92" w14:paraId="32BE1FEE" w14:textId="77777777">
      <w:pPr>
        <w:pStyle w:val="FootnoteText"/>
      </w:pPr>
      <w:r w:rsidRPr="00ED6163">
        <w:rPr>
          <w:rStyle w:val="FootnoteReference"/>
        </w:rPr>
        <w:footnoteRef/>
      </w:r>
      <w:r w:rsidRPr="00ED6163">
        <w:t xml:space="preserve"> Auxiliary Micro</w:t>
      </w:r>
      <w:r w:rsidRPr="00ED6163">
        <w:t xml:space="preserve">wave Service is governed by Part 74 of Title 47 of the Commission’s Rules.  </w:t>
      </w:r>
      <w:r w:rsidRPr="00ED6163">
        <w:rPr>
          <w:i/>
        </w:rPr>
        <w:t>See</w:t>
      </w:r>
      <w:r w:rsidRPr="00ED6163">
        <w:t xml:space="preserve"> 47 CFR Part 74.  Available to licensees of broadcast stations and to broadcast and cable network entities, broadcast auxiliary microwave stations are used for relaying broadcas</w:t>
      </w:r>
      <w:r w:rsidRPr="00ED6163">
        <w:t>t television signals from the studio to the transmitter, or between two points such as a main studio and an auxiliary studio.  The service also includes mobile TV pickups, which relay signals from a remote location back to the studio.</w:t>
      </w:r>
    </w:p>
  </w:footnote>
  <w:footnote w:id="462">
    <w:p w:rsidR="00252A4C" w:rsidRPr="00ED6163" w:rsidP="00D60B92" w14:paraId="42DBC79A" w14:textId="77777777">
      <w:pPr>
        <w:pStyle w:val="FootnoteText"/>
      </w:pPr>
      <w:r w:rsidRPr="00ED6163">
        <w:rPr>
          <w:rStyle w:val="FootnoteReference"/>
        </w:rPr>
        <w:footnoteRef/>
      </w:r>
      <w:r w:rsidRPr="00ED6163">
        <w:t xml:space="preserve"> </w:t>
      </w:r>
      <w:r w:rsidRPr="00ED6163">
        <w:rPr>
          <w:i/>
        </w:rPr>
        <w:t>See</w:t>
      </w:r>
      <w:r w:rsidRPr="00ED6163">
        <w:t xml:space="preserve"> 47 CFR Part 101</w:t>
      </w:r>
      <w:r w:rsidRPr="00ED6163">
        <w:t>, Subpart L.</w:t>
      </w:r>
    </w:p>
  </w:footnote>
  <w:footnote w:id="463">
    <w:p w:rsidR="00252A4C" w:rsidRPr="00ED6163" w:rsidP="00D60B92" w14:paraId="04852622" w14:textId="77777777">
      <w:pPr>
        <w:pStyle w:val="FootnoteText"/>
      </w:pPr>
      <w:r w:rsidRPr="00ED6163">
        <w:rPr>
          <w:rStyle w:val="FootnoteReference"/>
        </w:rPr>
        <w:footnoteRef/>
      </w:r>
      <w:r w:rsidRPr="00ED6163">
        <w:t xml:space="preserve"> </w:t>
      </w:r>
      <w:r w:rsidRPr="00ED6163">
        <w:rPr>
          <w:i/>
        </w:rPr>
        <w:t>See</w:t>
      </w:r>
      <w:r w:rsidRPr="00ED6163">
        <w:t xml:space="preserve"> 47 CFR Part 101, Subpart G.</w:t>
      </w:r>
    </w:p>
  </w:footnote>
  <w:footnote w:id="464">
    <w:p w:rsidR="00252A4C" w:rsidRPr="00ED6163" w:rsidP="00D60B92" w14:paraId="031488E6" w14:textId="77777777">
      <w:pPr>
        <w:pStyle w:val="FootnoteText"/>
      </w:pPr>
      <w:r w:rsidRPr="00ED6163">
        <w:rPr>
          <w:rStyle w:val="FootnoteReference"/>
        </w:rPr>
        <w:footnoteRef/>
      </w:r>
      <w:r w:rsidRPr="00ED6163">
        <w:t xml:space="preserve"> </w:t>
      </w:r>
      <w:r w:rsidRPr="00ED6163">
        <w:rPr>
          <w:i/>
        </w:rPr>
        <w:t>See</w:t>
      </w:r>
      <w:r w:rsidRPr="00ED6163">
        <w:t xml:space="preserve"> </w:t>
      </w:r>
      <w:r w:rsidRPr="00ED6163">
        <w:rPr>
          <w:i/>
        </w:rPr>
        <w:t>id</w:t>
      </w:r>
      <w:r w:rsidRPr="00ED6163">
        <w:t>.</w:t>
      </w:r>
    </w:p>
  </w:footnote>
  <w:footnote w:id="465">
    <w:p w:rsidR="00252A4C" w:rsidRPr="00ED6163" w:rsidP="00D60B92" w14:paraId="45D488EA" w14:textId="77777777">
      <w:pPr>
        <w:pStyle w:val="FootnoteText"/>
      </w:pPr>
      <w:r w:rsidRPr="00ED6163">
        <w:rPr>
          <w:rStyle w:val="FootnoteReference"/>
        </w:rPr>
        <w:footnoteRef/>
      </w:r>
      <w:r w:rsidRPr="00ED6163">
        <w:t xml:space="preserve"> </w:t>
      </w:r>
      <w:r w:rsidRPr="00ED6163">
        <w:rPr>
          <w:i/>
        </w:rPr>
        <w:t>See</w:t>
      </w:r>
      <w:r w:rsidRPr="00ED6163">
        <w:t xml:space="preserve"> 47 CFR §§ 101.533, 101.1017.</w:t>
      </w:r>
    </w:p>
  </w:footnote>
  <w:footnote w:id="466">
    <w:p w:rsidR="00252A4C" w:rsidRPr="00ED6163" w:rsidP="00D60B92" w14:paraId="05955D0B" w14:textId="77777777">
      <w:pPr>
        <w:pStyle w:val="FootnoteText"/>
      </w:pPr>
      <w:r w:rsidRPr="00ED6163">
        <w:rPr>
          <w:rStyle w:val="FootnoteReference"/>
        </w:rPr>
        <w:footnoteRef/>
      </w:r>
      <w:r w:rsidRPr="00ED6163">
        <w:t xml:space="preserve"> U.S. Census Bureau, </w:t>
      </w:r>
      <w:r w:rsidRPr="00947E6A">
        <w:rPr>
          <w:i/>
        </w:rPr>
        <w:t>2012 NAICS Definitions, 517210 Wireless Telecommunications Carriers (Except Satellite</w:t>
      </w:r>
      <w:r w:rsidRPr="00ED6163">
        <w:rPr>
          <w:bCs/>
          <w:i/>
        </w:rPr>
        <w:t>)</w:t>
      </w:r>
      <w:r w:rsidRPr="00ED6163">
        <w:rPr>
          <w:bCs/>
        </w:rPr>
        <w:t>,</w:t>
      </w:r>
      <w:r w:rsidRPr="00ED6163">
        <w:t xml:space="preserve"> </w:t>
      </w:r>
      <w:hyperlink r:id="rId76" w:history="1">
        <w:r w:rsidRPr="00ED6163">
          <w:rPr>
            <w:rStyle w:val="Hyperlink"/>
          </w:rPr>
          <w:t>https://factfinder.census.gov/faces/affhelp/jsf/pages/metadata.xhtml?lang=en&amp;type=</w:t>
        </w:r>
        <w:r w:rsidRPr="00ED6163">
          <w:rPr>
            <w:rStyle w:val="Hyperlink"/>
          </w:rPr>
          <w:br/>
          <w:t>ib&amp;id=ib.en./ECN.NAICS2012.517210</w:t>
        </w:r>
      </w:hyperlink>
      <w:r w:rsidRPr="00ED6163">
        <w:rPr>
          <w:rStyle w:val="Hyperlink"/>
        </w:rPr>
        <w:t>.</w:t>
      </w:r>
    </w:p>
  </w:footnote>
  <w:footnote w:id="467">
    <w:p w:rsidR="00252A4C" w:rsidRPr="00ED6163" w:rsidP="00D60B92" w14:paraId="4E1F25EB" w14:textId="77777777">
      <w:pPr>
        <w:pStyle w:val="FootnoteText"/>
      </w:pPr>
      <w:r w:rsidRPr="00ED6163">
        <w:rPr>
          <w:rStyle w:val="FootnoteReference"/>
        </w:rPr>
        <w:footnoteRef/>
      </w:r>
      <w:r w:rsidRPr="00ED6163">
        <w:t xml:space="preserve"> </w:t>
      </w:r>
      <w:r w:rsidRPr="00ED6163">
        <w:rPr>
          <w:i/>
        </w:rPr>
        <w:t>See</w:t>
      </w:r>
      <w:r w:rsidRPr="00ED6163">
        <w:t xml:space="preserve"> 13</w:t>
      </w:r>
      <w:r w:rsidRPr="00ED6163">
        <w:t xml:space="preserve"> CFR § 121.201, NAICS Code 517210.</w:t>
      </w:r>
    </w:p>
  </w:footnote>
  <w:footnote w:id="468">
    <w:p w:rsidR="00252A4C" w:rsidRPr="00ED6163" w:rsidP="00D60B92" w14:paraId="1BFE87AF" w14:textId="77777777">
      <w:pPr>
        <w:pStyle w:val="FootnoteText"/>
      </w:pPr>
      <w:r w:rsidRPr="00ED6163">
        <w:rPr>
          <w:rStyle w:val="FootnoteReference"/>
        </w:rPr>
        <w:footnoteRef/>
      </w:r>
      <w:r w:rsidRPr="00ED6163">
        <w:t xml:space="preserve"> U.S. Census Bureau, </w:t>
      </w:r>
      <w:r w:rsidRPr="00ED6163">
        <w:rPr>
          <w:bCs/>
          <w:i/>
        </w:rPr>
        <w:t>2012</w:t>
      </w:r>
      <w:r w:rsidRPr="00ED6163">
        <w:rPr>
          <w:i/>
        </w:rPr>
        <w:t xml:space="preserve"> Economic Census</w:t>
      </w:r>
      <w:r w:rsidRPr="00ED6163">
        <w:rPr>
          <w:bCs/>
          <w:i/>
        </w:rPr>
        <w:t xml:space="preserve"> of the United States</w:t>
      </w:r>
      <w:r w:rsidRPr="00ED6163">
        <w:t xml:space="preserve">, Table EC1251SSSZ5, </w:t>
      </w:r>
      <w:r w:rsidRPr="00947E6A">
        <w:rPr>
          <w:i/>
        </w:rPr>
        <w:t>Information: Subject Series, “Estab and Firm Size: Employment Size of Firms for the U.S.: 2012</w:t>
      </w:r>
      <w:r w:rsidRPr="00ED6163">
        <w:rPr>
          <w:i/>
        </w:rPr>
        <w:t>,</w:t>
      </w:r>
      <w:r w:rsidRPr="00ED6163">
        <w:t xml:space="preserve"> NAICS Code 517210 (Jan. 8, 2016),  </w:t>
      </w:r>
      <w:hyperlink r:id="rId77" w:history="1">
        <w:r w:rsidRPr="00ED6163">
          <w:rPr>
            <w:rStyle w:val="Hyperlink"/>
          </w:rPr>
          <w:t>https://factfinder.census.gov/bkmk/table/1.0/en/ECN/2012_US/51SSSZ5//naics~517210</w:t>
        </w:r>
      </w:hyperlink>
      <w:r w:rsidRPr="00ED6163">
        <w:rPr>
          <w:rStyle w:val="Hyperlink"/>
        </w:rPr>
        <w:t>.</w:t>
      </w:r>
    </w:p>
  </w:footnote>
  <w:footnote w:id="469">
    <w:p w:rsidR="00252A4C" w:rsidRPr="00ED6163" w:rsidP="00D60B92" w14:paraId="0EA7F9DA" w14:textId="77777777">
      <w:pPr>
        <w:pStyle w:val="FootnoteText"/>
      </w:pPr>
      <w:r w:rsidRPr="00ED6163">
        <w:rPr>
          <w:rStyle w:val="FootnoteReference"/>
        </w:rPr>
        <w:footnoteRef/>
      </w:r>
      <w:r w:rsidRPr="00ED6163">
        <w:t xml:space="preserve"> </w:t>
      </w:r>
      <w:r w:rsidRPr="00ED6163">
        <w:rPr>
          <w:i/>
        </w:rPr>
        <w:t>Id</w:t>
      </w:r>
      <w:r w:rsidRPr="00ED6163">
        <w:t>.  Available census data do not provide a more precise estimate of the number</w:t>
      </w:r>
      <w:r w:rsidRPr="00ED6163">
        <w:t xml:space="preserve"> of firms that have employment of 1,500 or fewer employees; the largest category provided is for firms with “1000 employees or more.”</w:t>
      </w:r>
    </w:p>
  </w:footnote>
  <w:footnote w:id="470">
    <w:p w:rsidR="00252A4C" w:rsidRPr="00ED6163" w:rsidP="00D60B92" w14:paraId="5D28D94A" w14:textId="77777777">
      <w:pPr>
        <w:pStyle w:val="FootnoteText"/>
      </w:pPr>
      <w:r w:rsidRPr="00ED6163">
        <w:rPr>
          <w:rStyle w:val="FootnoteReference"/>
        </w:rPr>
        <w:footnoteRef/>
      </w:r>
      <w:r w:rsidRPr="00ED6163">
        <w:t xml:space="preserve"> </w:t>
      </w:r>
      <w:r w:rsidRPr="00ED6163">
        <w:rPr>
          <w:i/>
        </w:rPr>
        <w:t>Amendment of Parts 21 and 74 of the Commission’s Rules with Regard to Filing Procedures in the Multipoint Distribution S</w:t>
      </w:r>
      <w:r w:rsidRPr="00ED6163">
        <w:rPr>
          <w:i/>
        </w:rPr>
        <w:t>ervice and in the Instructional Television Fixed Service and Implementation of Section 309(j) of the Communications Act—Competitive Bidding</w:t>
      </w:r>
      <w:r w:rsidRPr="00ED6163">
        <w:t>, Report and Order, 10 FCC Rcd 9589, 9593, para. 7 (1995).</w:t>
      </w:r>
    </w:p>
  </w:footnote>
  <w:footnote w:id="471">
    <w:p w:rsidR="00252A4C" w:rsidRPr="00ED6163" w:rsidP="00D60B92" w14:paraId="0324D576" w14:textId="77777777">
      <w:pPr>
        <w:pStyle w:val="FootnoteText"/>
      </w:pPr>
      <w:r w:rsidRPr="00ED6163">
        <w:rPr>
          <w:rStyle w:val="FootnoteReference"/>
        </w:rPr>
        <w:footnoteRef/>
      </w:r>
      <w:r w:rsidRPr="00ED6163">
        <w:t xml:space="preserve"> 47 CFR § 21.961(b)(1).</w:t>
      </w:r>
    </w:p>
  </w:footnote>
  <w:footnote w:id="472">
    <w:p w:rsidR="00252A4C" w:rsidRPr="00ED6163" w:rsidP="00D60B92" w14:paraId="371DC0B9" w14:textId="77777777">
      <w:pPr>
        <w:pStyle w:val="FootnoteText"/>
      </w:pPr>
      <w:r w:rsidRPr="00ED6163">
        <w:rPr>
          <w:rStyle w:val="FootnoteReference"/>
        </w:rPr>
        <w:footnoteRef/>
      </w:r>
      <w:r w:rsidRPr="00ED6163">
        <w:t xml:space="preserve"> 47 U.S.C. § 309(j).  Hundreds o</w:t>
      </w:r>
      <w:r w:rsidRPr="00ED6163">
        <w:t xml:space="preserve">f stations were licensed to incumbent MDS licensees prior to implementation of Section 309(j) of the Communications Act of 1934, 47 U.S.C. § 309(j).  For these pre-auction licenses, the applicable standard is SBA’s small business size standard of 1,500 or </w:t>
      </w:r>
      <w:r w:rsidRPr="00ED6163">
        <w:t>fewer employees.</w:t>
      </w:r>
    </w:p>
  </w:footnote>
  <w:footnote w:id="473">
    <w:p w:rsidR="00252A4C" w:rsidRPr="00ED6163" w:rsidP="00D60B92" w14:paraId="0B773D2C" w14:textId="77777777">
      <w:pPr>
        <w:pStyle w:val="FootnoteText"/>
      </w:pPr>
      <w:r w:rsidRPr="00ED6163">
        <w:rPr>
          <w:rStyle w:val="FootnoteReference"/>
        </w:rPr>
        <w:footnoteRef/>
      </w:r>
      <w:r w:rsidRPr="00ED6163">
        <w:t xml:space="preserve"> </w:t>
      </w:r>
      <w:r w:rsidRPr="00ED6163">
        <w:rPr>
          <w:i/>
        </w:rPr>
        <w:t>Auction of Broadband Radio Service (BRS) Licenses</w:t>
      </w:r>
      <w:r w:rsidRPr="00ED6163">
        <w:t>,</w:t>
      </w:r>
      <w:r w:rsidRPr="00ED6163">
        <w:rPr>
          <w:i/>
        </w:rPr>
        <w:t xml:space="preserve"> Scheduled for October 27</w:t>
      </w:r>
      <w:r w:rsidRPr="00ED6163">
        <w:t>,</w:t>
      </w:r>
      <w:r w:rsidRPr="00ED6163">
        <w:rPr>
          <w:i/>
        </w:rPr>
        <w:t xml:space="preserve"> 2009</w:t>
      </w:r>
      <w:r w:rsidRPr="00ED6163">
        <w:t>,</w:t>
      </w:r>
      <w:r w:rsidRPr="00ED6163">
        <w:rPr>
          <w:i/>
        </w:rPr>
        <w:t xml:space="preserve"> Notice and Filing Requirements</w:t>
      </w:r>
      <w:r w:rsidRPr="00ED6163">
        <w:t>,</w:t>
      </w:r>
      <w:r w:rsidRPr="00ED6163">
        <w:rPr>
          <w:i/>
        </w:rPr>
        <w:t xml:space="preserve"> Minimum Opening Bids</w:t>
      </w:r>
      <w:r w:rsidRPr="00ED6163">
        <w:t>,</w:t>
      </w:r>
      <w:r w:rsidRPr="00ED6163">
        <w:rPr>
          <w:i/>
        </w:rPr>
        <w:t xml:space="preserve"> Upfront Payments</w:t>
      </w:r>
      <w:r w:rsidRPr="00ED6163">
        <w:t>,</w:t>
      </w:r>
      <w:r w:rsidRPr="00ED6163">
        <w:rPr>
          <w:i/>
        </w:rPr>
        <w:t xml:space="preserve"> and Other Procedures for Auction 86</w:t>
      </w:r>
      <w:r w:rsidRPr="00ED6163">
        <w:t>, Public Notice, 24 FCC Rcd 8277 (2009).</w:t>
      </w:r>
    </w:p>
  </w:footnote>
  <w:footnote w:id="474">
    <w:p w:rsidR="00252A4C" w:rsidRPr="00ED6163" w:rsidP="00D60B92" w14:paraId="787281CB" w14:textId="77777777">
      <w:pPr>
        <w:pStyle w:val="FootnoteText"/>
      </w:pPr>
      <w:r w:rsidRPr="00ED6163">
        <w:rPr>
          <w:rStyle w:val="FootnoteReference"/>
        </w:rPr>
        <w:footnoteRef/>
      </w:r>
      <w:r w:rsidRPr="00ED6163">
        <w:t xml:space="preserve"> </w:t>
      </w:r>
      <w:r w:rsidRPr="00ED6163">
        <w:rPr>
          <w:i/>
        </w:rPr>
        <w:t>Id</w:t>
      </w:r>
      <w:r w:rsidRPr="00ED6163">
        <w:t xml:space="preserve">. </w:t>
      </w:r>
      <w:r w:rsidRPr="00ED6163">
        <w:t>at 8296, para. 73.</w:t>
      </w:r>
    </w:p>
  </w:footnote>
  <w:footnote w:id="475">
    <w:p w:rsidR="00252A4C" w:rsidRPr="00ED6163" w:rsidP="00D60B92" w14:paraId="5BEA4D85" w14:textId="77777777">
      <w:pPr>
        <w:pStyle w:val="FootnoteText"/>
      </w:pPr>
      <w:r w:rsidRPr="00ED6163">
        <w:rPr>
          <w:rStyle w:val="FootnoteReference"/>
        </w:rPr>
        <w:footnoteRef/>
      </w:r>
      <w:r w:rsidRPr="00ED6163">
        <w:t xml:space="preserve"> </w:t>
      </w:r>
      <w:r w:rsidRPr="00ED6163">
        <w:rPr>
          <w:i/>
        </w:rPr>
        <w:t>Auction of Broadband Radio Service Licenses Closes</w:t>
      </w:r>
      <w:r w:rsidRPr="00ED6163">
        <w:t>,</w:t>
      </w:r>
      <w:r w:rsidRPr="00ED6163">
        <w:rPr>
          <w:i/>
        </w:rPr>
        <w:t xml:space="preserve"> Winning Bidders Announced for Auction 86</w:t>
      </w:r>
      <w:r w:rsidRPr="00ED6163">
        <w:t>,</w:t>
      </w:r>
      <w:r w:rsidRPr="00ED6163">
        <w:rPr>
          <w:i/>
        </w:rPr>
        <w:t xml:space="preserve"> Down Payments Due November 23</w:t>
      </w:r>
      <w:r w:rsidRPr="00ED6163">
        <w:t>,</w:t>
      </w:r>
      <w:r w:rsidRPr="00ED6163">
        <w:rPr>
          <w:i/>
        </w:rPr>
        <w:t xml:space="preserve"> 2009</w:t>
      </w:r>
      <w:r w:rsidRPr="00ED6163">
        <w:t>,</w:t>
      </w:r>
      <w:r w:rsidRPr="00ED6163">
        <w:rPr>
          <w:i/>
        </w:rPr>
        <w:t xml:space="preserve"> Final Payments Due December 8</w:t>
      </w:r>
      <w:r w:rsidRPr="00ED6163">
        <w:t>,</w:t>
      </w:r>
      <w:r w:rsidRPr="00ED6163">
        <w:rPr>
          <w:i/>
        </w:rPr>
        <w:t xml:space="preserve"> 2009</w:t>
      </w:r>
      <w:r w:rsidRPr="00ED6163">
        <w:t>,</w:t>
      </w:r>
      <w:r w:rsidRPr="00ED6163">
        <w:rPr>
          <w:i/>
        </w:rPr>
        <w:t xml:space="preserve"> Ten-Day Petition to Deny Period</w:t>
      </w:r>
      <w:r w:rsidRPr="00ED6163">
        <w:t xml:space="preserve">, Public Notice, 24 FCC Rcd </w:t>
      </w:r>
      <w:r w:rsidRPr="00ED6163">
        <w:t>13572 (2009).</w:t>
      </w:r>
    </w:p>
  </w:footnote>
  <w:footnote w:id="476">
    <w:p w:rsidR="00252A4C" w:rsidRPr="00ED6163" w:rsidP="00D60B92" w14:paraId="46ACBC0F" w14:textId="77777777">
      <w:pPr>
        <w:pStyle w:val="FootnoteText"/>
      </w:pPr>
      <w:r w:rsidRPr="00ED6163">
        <w:rPr>
          <w:rStyle w:val="FootnoteReference"/>
        </w:rPr>
        <w:footnoteRef/>
      </w:r>
      <w:r w:rsidRPr="00ED6163">
        <w:t xml:space="preserve"> The term “small entity” within SBREFA applies to small organizations (nonprofits) and to small governmental jurisdictions (cities, counties, towns, townships, villages, school districts, and special districts with populations of less than 5</w:t>
      </w:r>
      <w:r w:rsidRPr="00ED6163">
        <w:t>0,000).  5 U.S.C. §§ 601(4)-(6).  We do not collect annual revenue data on EBS licensees.</w:t>
      </w:r>
    </w:p>
  </w:footnote>
  <w:footnote w:id="477">
    <w:p w:rsidR="00252A4C" w:rsidRPr="00ED6163" w:rsidP="00D60B92" w14:paraId="6BB775FF" w14:textId="77777777">
      <w:pPr>
        <w:pStyle w:val="FootnoteText"/>
      </w:pPr>
      <w:r w:rsidRPr="00ED6163">
        <w:rPr>
          <w:rStyle w:val="FootnoteReference"/>
        </w:rPr>
        <w:footnoteRef/>
      </w:r>
      <w:r w:rsidRPr="00ED6163">
        <w:t xml:space="preserve"> U.S. Census Bureau, </w:t>
      </w:r>
      <w:r w:rsidRPr="00ED6163">
        <w:rPr>
          <w:i/>
        </w:rPr>
        <w:t>2017 NAICS Definitions</w:t>
      </w:r>
      <w:r w:rsidRPr="00ED6163">
        <w:t xml:space="preserve">, </w:t>
      </w:r>
      <w:r w:rsidRPr="00947E6A">
        <w:rPr>
          <w:i/>
        </w:rPr>
        <w:t>517311 Wired Telecommunications Carriers</w:t>
      </w:r>
      <w:r w:rsidRPr="00ED6163">
        <w:rPr>
          <w:bCs/>
          <w:i/>
        </w:rPr>
        <w:t>,</w:t>
      </w:r>
      <w:r w:rsidRPr="00ED6163">
        <w:rPr>
          <w:bCs/>
        </w:rPr>
        <w:t xml:space="preserve"> (partial definition),</w:t>
      </w:r>
      <w:r w:rsidRPr="00ED6163">
        <w:t xml:space="preserve"> </w:t>
      </w:r>
      <w:hyperlink r:id="rId79" w:history="1">
        <w:r w:rsidRPr="00ED6163">
          <w:rPr>
            <w:rStyle w:val="Hyperlink"/>
          </w:rPr>
          <w:t>http://www.census.gov/cgi-bin/sssd/naics/naicsrch?code=517311&amp;search=2017</w:t>
        </w:r>
      </w:hyperlink>
      <w:r w:rsidRPr="00ED6163">
        <w:t>.</w:t>
      </w:r>
    </w:p>
  </w:footnote>
  <w:footnote w:id="478">
    <w:p w:rsidR="00252A4C" w:rsidRPr="00ED6163" w:rsidP="00D60B92" w14:paraId="78369CB6" w14:textId="77777777">
      <w:pPr>
        <w:pStyle w:val="FootnoteText"/>
      </w:pPr>
      <w:r w:rsidRPr="00ED6163">
        <w:rPr>
          <w:rStyle w:val="FootnoteReference"/>
        </w:rPr>
        <w:footnoteRef/>
      </w:r>
      <w:r w:rsidRPr="00ED6163">
        <w:t xml:space="preserve"> </w:t>
      </w:r>
      <w:r w:rsidRPr="00ED6163">
        <w:rPr>
          <w:i/>
        </w:rPr>
        <w:t>See</w:t>
      </w:r>
      <w:r w:rsidRPr="00ED6163">
        <w:t xml:space="preserve"> </w:t>
      </w:r>
      <w:r w:rsidRPr="00ED6163">
        <w:rPr>
          <w:color w:val="000000"/>
        </w:rPr>
        <w:t xml:space="preserve">13 CFR § 121.201.  </w:t>
      </w:r>
      <w:r w:rsidRPr="00ED6163">
        <w:t xml:space="preserve">The Wired Telecommunications Carrier category formerly used the NAICS Code of 517110.  As of 2017 the U.S. Census Bureau </w:t>
      </w:r>
      <w:r w:rsidRPr="00ED6163">
        <w:t xml:space="preserve">definition shows the NAICS Code as 517311 for Wired Telecommunications Carriers.  </w:t>
      </w:r>
      <w:r w:rsidRPr="00ED6163">
        <w:rPr>
          <w:i/>
        </w:rPr>
        <w:t>See</w:t>
      </w:r>
      <w:r w:rsidRPr="00ED6163">
        <w:t xml:space="preserve"> </w:t>
      </w:r>
      <w:hyperlink r:id="rId80" w:history="1">
        <w:r w:rsidRPr="00ED6163">
          <w:rPr>
            <w:rStyle w:val="Hyperlink"/>
          </w:rPr>
          <w:t>https://www.census.gov/cgi-bin/sssd/naics/naicsrch?in</w:t>
        </w:r>
        <w:r w:rsidRPr="00ED6163">
          <w:rPr>
            <w:rStyle w:val="Hyperlink"/>
          </w:rPr>
          <w:t>put=517311&amp;search=2017+NAICS+Search&amp;search=2017</w:t>
        </w:r>
      </w:hyperlink>
      <w:r w:rsidRPr="00ED6163">
        <w:t>.</w:t>
      </w:r>
    </w:p>
  </w:footnote>
  <w:footnote w:id="479">
    <w:p w:rsidR="00252A4C" w:rsidRPr="00ED6163" w:rsidP="00D60B92" w14:paraId="6226F3AB" w14:textId="77777777">
      <w:pPr>
        <w:pStyle w:val="FootnoteText"/>
      </w:pPr>
      <w:r w:rsidRPr="00ED6163">
        <w:rPr>
          <w:rStyle w:val="FootnoteReference"/>
        </w:rPr>
        <w:footnoteRef/>
      </w:r>
      <w:r w:rsidRPr="00ED6163">
        <w:t xml:space="preserve"> U.S. Census Bureau, </w:t>
      </w:r>
      <w:r w:rsidRPr="00ED6163">
        <w:rPr>
          <w:i/>
        </w:rPr>
        <w:t>2012 NAICS Definitions</w:t>
      </w:r>
      <w:r w:rsidRPr="00ED6163">
        <w:t xml:space="preserve">, </w:t>
      </w:r>
      <w:r w:rsidRPr="00947E6A">
        <w:rPr>
          <w:i/>
        </w:rPr>
        <w:t>517410 Satellite Telecommunications</w:t>
      </w:r>
      <w:r w:rsidRPr="00ED6163">
        <w:t xml:space="preserve">,  </w:t>
      </w:r>
      <w:hyperlink r:id="rId81" w:history="1">
        <w:r w:rsidRPr="00ED6163">
          <w:rPr>
            <w:rStyle w:val="Hyperlink"/>
          </w:rPr>
          <w:t>https:</w:t>
        </w:r>
        <w:r w:rsidRPr="00ED6163">
          <w:rPr>
            <w:rStyle w:val="Hyperlink"/>
          </w:rPr>
          <w:t>//www.census.gov/cgi-bin/sssd/naics/naicsrch?input=517410&amp;search=2017+NAICS+Search&amp;search=2017</w:t>
        </w:r>
      </w:hyperlink>
      <w:r w:rsidRPr="00ED6163">
        <w:t xml:space="preserve">.      </w:t>
      </w:r>
    </w:p>
  </w:footnote>
  <w:footnote w:id="480">
    <w:p w:rsidR="00252A4C" w:rsidRPr="00ED6163" w:rsidP="00D60B92" w14:paraId="0B5EC336" w14:textId="77777777">
      <w:pPr>
        <w:pStyle w:val="FootnoteText"/>
      </w:pPr>
      <w:r w:rsidRPr="00ED6163">
        <w:rPr>
          <w:rStyle w:val="FootnoteReference"/>
        </w:rPr>
        <w:footnoteRef/>
      </w:r>
      <w:r w:rsidRPr="00ED6163">
        <w:t xml:space="preserve"> 13 CFR § 121.201, NAICS Code 517410.</w:t>
      </w:r>
    </w:p>
  </w:footnote>
  <w:footnote w:id="481">
    <w:p w:rsidR="00252A4C" w:rsidRPr="00ED6163" w:rsidP="00D60B92" w14:paraId="4D73AB29" w14:textId="77777777">
      <w:pPr>
        <w:pStyle w:val="FootnoteText"/>
      </w:pPr>
      <w:r w:rsidRPr="00ED6163">
        <w:rPr>
          <w:rStyle w:val="FootnoteReference"/>
        </w:rPr>
        <w:footnoteRef/>
      </w:r>
      <w:r w:rsidRPr="00ED6163">
        <w:t xml:space="preserve">  U.S. Census Bureau, </w:t>
      </w:r>
      <w:r w:rsidRPr="00ED6163">
        <w:rPr>
          <w:bCs/>
          <w:i/>
        </w:rPr>
        <w:t>2012</w:t>
      </w:r>
      <w:r w:rsidRPr="00ED6163">
        <w:rPr>
          <w:i/>
        </w:rPr>
        <w:t xml:space="preserve"> Economic Census</w:t>
      </w:r>
      <w:r w:rsidRPr="00ED6163">
        <w:rPr>
          <w:bCs/>
          <w:i/>
        </w:rPr>
        <w:t xml:space="preserve"> of the United States</w:t>
      </w:r>
      <w:r w:rsidRPr="00ED6163">
        <w:t xml:space="preserve">, Table EC1251SSSZ4, </w:t>
      </w:r>
      <w:r w:rsidRPr="00947E6A">
        <w:rPr>
          <w:i/>
        </w:rPr>
        <w:t xml:space="preserve">Information: Subject Series - </w:t>
      </w:r>
      <w:r w:rsidRPr="00947E6A">
        <w:rPr>
          <w:i/>
        </w:rPr>
        <w:t>Estab and Firm Size: Receipts Size of Firms for the United States: 2012</w:t>
      </w:r>
      <w:r w:rsidRPr="00ED6163">
        <w:t xml:space="preserve">, NAICS Code 517410, </w:t>
      </w:r>
      <w:hyperlink r:id="rId82" w:history="1">
        <w:r w:rsidRPr="00ED6163">
          <w:rPr>
            <w:rStyle w:val="Hyperlink"/>
          </w:rPr>
          <w:t>http://factfinder.census.gov/fac</w:t>
        </w:r>
        <w:r w:rsidRPr="00ED6163">
          <w:rPr>
            <w:rStyle w:val="Hyperlink"/>
          </w:rPr>
          <w:t>es/tableservices/jsf/pages/productview.xhtml?pid=ECN_2012_US_51SSSZ4&amp;prodType=table</w:t>
        </w:r>
      </w:hyperlink>
      <w:r w:rsidRPr="00ED6163">
        <w:t xml:space="preserve">. </w:t>
      </w:r>
    </w:p>
  </w:footnote>
  <w:footnote w:id="482">
    <w:p w:rsidR="00252A4C" w:rsidRPr="00ED6163" w:rsidP="00D60B92" w14:paraId="697A14BD" w14:textId="77777777">
      <w:pPr>
        <w:pStyle w:val="FootnoteText"/>
      </w:pPr>
      <w:r w:rsidRPr="00ED6163">
        <w:rPr>
          <w:rStyle w:val="FootnoteReference"/>
        </w:rPr>
        <w:footnoteRef/>
      </w:r>
      <w:r w:rsidRPr="00ED6163">
        <w:t xml:space="preserve"> </w:t>
      </w:r>
      <w:r w:rsidRPr="00ED6163">
        <w:rPr>
          <w:i/>
        </w:rPr>
        <w:t>Id</w:t>
      </w:r>
      <w:r w:rsidRPr="00ED6163">
        <w:t>.</w:t>
      </w:r>
    </w:p>
  </w:footnote>
  <w:footnote w:id="483">
    <w:p w:rsidR="00252A4C" w:rsidRPr="00ED6163" w:rsidP="00D60B92" w14:paraId="0B7A967E" w14:textId="77777777">
      <w:pPr>
        <w:pStyle w:val="FootnoteText"/>
      </w:pPr>
      <w:r w:rsidRPr="00ED6163">
        <w:rPr>
          <w:rStyle w:val="FootnoteReference"/>
        </w:rPr>
        <w:footnoteRef/>
      </w:r>
      <w:r w:rsidRPr="00ED6163">
        <w:t xml:space="preserve"> </w:t>
      </w:r>
      <w:r w:rsidRPr="00ED6163">
        <w:rPr>
          <w:i/>
        </w:rPr>
        <w:t>See</w:t>
      </w:r>
      <w:r w:rsidRPr="00ED6163">
        <w:t xml:space="preserve"> U.S. Census Bureau, </w:t>
      </w:r>
      <w:r w:rsidRPr="00947E6A">
        <w:rPr>
          <w:i/>
        </w:rPr>
        <w:t>2017 NAICS Definitions, NAICS Code 517919 All Other Telecommunications</w:t>
      </w:r>
      <w:r w:rsidRPr="00ED6163">
        <w:t xml:space="preserve">, </w:t>
      </w:r>
      <w:hyperlink r:id="rId83" w:history="1">
        <w:r w:rsidRPr="00ED6163">
          <w:rPr>
            <w:rStyle w:val="Hyperlink"/>
          </w:rPr>
          <w:t>https://www.census.gov/cgi-bin/sssd/naics/naicsrch?input=517919&amp;search=2017+NAICS+Search&amp;search=2017</w:t>
        </w:r>
      </w:hyperlink>
    </w:p>
  </w:footnote>
  <w:footnote w:id="484">
    <w:p w:rsidR="00252A4C" w:rsidRPr="00ED6163" w:rsidP="00D60B92" w14:paraId="78EC0E9A" w14:textId="77777777">
      <w:pPr>
        <w:pStyle w:val="FootnoteText"/>
      </w:pPr>
      <w:r w:rsidRPr="00ED6163">
        <w:rPr>
          <w:rStyle w:val="FootnoteReference"/>
        </w:rPr>
        <w:footnoteRef/>
      </w:r>
      <w:r w:rsidRPr="00ED6163">
        <w:t xml:space="preserve"> </w:t>
      </w:r>
      <w:r w:rsidRPr="00ED6163">
        <w:rPr>
          <w:i/>
        </w:rPr>
        <w:t>Id</w:t>
      </w:r>
      <w:r w:rsidRPr="00ED6163">
        <w:t>.</w:t>
      </w:r>
    </w:p>
  </w:footnote>
  <w:footnote w:id="485">
    <w:p w:rsidR="00252A4C" w:rsidRPr="00ED6163" w:rsidP="00D60B92" w14:paraId="12F917F1" w14:textId="77777777">
      <w:pPr>
        <w:pStyle w:val="FootnoteText"/>
      </w:pPr>
      <w:r w:rsidRPr="00ED6163">
        <w:rPr>
          <w:rStyle w:val="FootnoteReference"/>
        </w:rPr>
        <w:footnoteRef/>
      </w:r>
      <w:r w:rsidRPr="00ED6163">
        <w:rPr>
          <w:rStyle w:val="Hyperlink"/>
        </w:rPr>
        <w:t xml:space="preserve"> </w:t>
      </w:r>
      <w:r w:rsidRPr="00ED6163">
        <w:rPr>
          <w:i/>
        </w:rPr>
        <w:t>Id</w:t>
      </w:r>
      <w:r w:rsidRPr="00ED6163">
        <w:t>.</w:t>
      </w:r>
    </w:p>
  </w:footnote>
  <w:footnote w:id="486">
    <w:p w:rsidR="00252A4C" w:rsidRPr="00ED6163" w:rsidP="00D60B92" w14:paraId="791844E6" w14:textId="77777777">
      <w:pPr>
        <w:pStyle w:val="FootnoteText"/>
      </w:pPr>
      <w:r w:rsidRPr="00ED6163">
        <w:rPr>
          <w:rStyle w:val="FootnoteReference"/>
        </w:rPr>
        <w:footnoteRef/>
      </w:r>
      <w:r w:rsidRPr="00ED6163">
        <w:t xml:space="preserve"> 13 CFR § 121.201; NAICS Code 517919.</w:t>
      </w:r>
    </w:p>
  </w:footnote>
  <w:footnote w:id="487">
    <w:p w:rsidR="00252A4C" w:rsidRPr="00ED6163" w:rsidP="00D60B92" w14:paraId="33182F48" w14:textId="77777777">
      <w:pPr>
        <w:pStyle w:val="FootnoteText"/>
      </w:pPr>
      <w:r w:rsidRPr="00ED6163">
        <w:rPr>
          <w:rStyle w:val="FootnoteReference"/>
        </w:rPr>
        <w:footnoteRef/>
      </w:r>
      <w:r w:rsidRPr="00ED6163">
        <w:t xml:space="preserve"> U.S. Census Bureau, </w:t>
      </w:r>
      <w:r w:rsidRPr="00ED6163">
        <w:rPr>
          <w:bCs/>
          <w:i/>
        </w:rPr>
        <w:t>2012</w:t>
      </w:r>
      <w:r w:rsidRPr="00ED6163">
        <w:rPr>
          <w:i/>
        </w:rPr>
        <w:t xml:space="preserve"> Economic Census</w:t>
      </w:r>
      <w:r w:rsidRPr="00ED6163">
        <w:rPr>
          <w:bCs/>
          <w:i/>
        </w:rPr>
        <w:t xml:space="preserve"> of the United States</w:t>
      </w:r>
      <w:r w:rsidRPr="00ED6163">
        <w:t xml:space="preserve">, Table EC1251SSSZ4, </w:t>
      </w:r>
      <w:r w:rsidRPr="00947E6A">
        <w:rPr>
          <w:i/>
        </w:rPr>
        <w:t>Information: Subject Series - Estab and Firm Size: Receipts Size of Firms for the United States: 2012</w:t>
      </w:r>
      <w:r w:rsidRPr="00ED6163">
        <w:t xml:space="preserve">, NAICS Code 517919, </w:t>
      </w:r>
      <w:hyperlink r:id="rId84" w:history="1">
        <w:r w:rsidRPr="00ED6163">
          <w:rPr>
            <w:rStyle w:val="Hyperlink"/>
          </w:rPr>
          <w:t>https://factfinder.census.gov/bkmk/table/1.0/en/ECN/2012_US/51SSSZ4//naics~517919</w:t>
        </w:r>
      </w:hyperlink>
      <w:r w:rsidRPr="00ED6163">
        <w:rPr>
          <w:rStyle w:val="Hyperlink"/>
        </w:rPr>
        <w:t>.</w:t>
      </w:r>
    </w:p>
  </w:footnote>
  <w:footnote w:id="488">
    <w:p w:rsidR="00252A4C" w:rsidRPr="00ED6163" w:rsidP="00D60B92" w14:paraId="41DA9D38" w14:textId="77777777">
      <w:pPr>
        <w:pStyle w:val="FootnoteText"/>
        <w:rPr>
          <w:i/>
        </w:rPr>
      </w:pPr>
      <w:r w:rsidRPr="00ED6163">
        <w:rPr>
          <w:rStyle w:val="FootnoteReference"/>
        </w:rPr>
        <w:footnoteRef/>
      </w:r>
      <w:r w:rsidRPr="00ED6163">
        <w:t xml:space="preserve"> </w:t>
      </w:r>
      <w:r w:rsidRPr="00ED6163">
        <w:rPr>
          <w:i/>
        </w:rPr>
        <w:t>Id.</w:t>
      </w:r>
    </w:p>
  </w:footnote>
  <w:footnote w:id="489">
    <w:p w:rsidR="00252A4C" w:rsidRPr="00ED6163" w:rsidP="00D60B92" w14:paraId="7ACE52CB" w14:textId="77777777">
      <w:pPr>
        <w:pStyle w:val="FootnoteText"/>
      </w:pPr>
      <w:r w:rsidRPr="00ED6163">
        <w:rPr>
          <w:rStyle w:val="FootnoteReference"/>
        </w:rPr>
        <w:footnoteRef/>
      </w:r>
      <w:r w:rsidRPr="00ED6163">
        <w:t xml:space="preserve"> S</w:t>
      </w:r>
      <w:r w:rsidRPr="00ED6163">
        <w:rPr>
          <w:i/>
        </w:rPr>
        <w:t>ee</w:t>
      </w:r>
      <w:r w:rsidRPr="00ED6163">
        <w:t xml:space="preserve"> U.S. Census Bureau, </w:t>
      </w:r>
      <w:r w:rsidRPr="00947E6A">
        <w:rPr>
          <w:i/>
        </w:rPr>
        <w:t>2012 NAICS Definitions, 515210 Cable and other Subscription Programming</w:t>
      </w:r>
      <w:r w:rsidRPr="00ED6163">
        <w:rPr>
          <w:bCs/>
        </w:rPr>
        <w:t xml:space="preserve">, </w:t>
      </w:r>
      <w:hyperlink r:id="rId85" w:history="1">
        <w:r w:rsidRPr="00ED6163">
          <w:rPr>
            <w:rStyle w:val="Hyperlink"/>
            <w:i/>
          </w:rPr>
          <w:t>https://factfinder.census.gov/faces/affhelp/jsf/pages/metadata.xhtml?lang=en&amp;type=ib&amp;id=ib.en./ECN.NAICS2012.515210#</w:t>
        </w:r>
      </w:hyperlink>
      <w:r w:rsidRPr="00ED6163">
        <w:rPr>
          <w:rStyle w:val="Hyperlink"/>
          <w:i/>
        </w:rPr>
        <w:t>.</w:t>
      </w:r>
    </w:p>
  </w:footnote>
  <w:footnote w:id="490">
    <w:p w:rsidR="00252A4C" w:rsidRPr="00ED6163" w:rsidP="00D60B92" w14:paraId="584B33B3" w14:textId="77777777">
      <w:pPr>
        <w:pStyle w:val="FootnoteText"/>
      </w:pPr>
      <w:r w:rsidRPr="00ED6163">
        <w:rPr>
          <w:rStyle w:val="FootnoteReference"/>
        </w:rPr>
        <w:footnoteRef/>
      </w:r>
      <w:r w:rsidRPr="00ED6163">
        <w:t xml:space="preserve"> </w:t>
      </w:r>
      <w:r w:rsidRPr="00ED6163">
        <w:rPr>
          <w:i/>
        </w:rPr>
        <w:t>See</w:t>
      </w:r>
      <w:r w:rsidRPr="00ED6163">
        <w:t xml:space="preserve"> 13 C.F.R. 121.201, NAICS Code 515210.</w:t>
      </w:r>
    </w:p>
  </w:footnote>
  <w:footnote w:id="491">
    <w:p w:rsidR="00252A4C" w:rsidRPr="00ED6163" w:rsidP="00D60B92" w14:paraId="580B40E7" w14:textId="77777777">
      <w:pPr>
        <w:pStyle w:val="FootnoteText"/>
      </w:pPr>
      <w:r w:rsidRPr="00ED6163">
        <w:rPr>
          <w:rStyle w:val="FootnoteReference"/>
        </w:rPr>
        <w:footnoteRef/>
      </w:r>
      <w:r w:rsidRPr="00ED6163">
        <w:t xml:space="preserve"> </w:t>
      </w:r>
      <w:r w:rsidRPr="00ED6163">
        <w:rPr>
          <w:i/>
        </w:rPr>
        <w:t xml:space="preserve">See </w:t>
      </w:r>
      <w:r w:rsidRPr="00ED6163">
        <w:t>U.</w:t>
      </w:r>
      <w:r w:rsidRPr="00ED6163">
        <w:t xml:space="preserve">S. Census Bureau, </w:t>
      </w:r>
      <w:r w:rsidRPr="00ED6163">
        <w:rPr>
          <w:bCs/>
          <w:i/>
        </w:rPr>
        <w:t>2012</w:t>
      </w:r>
      <w:r w:rsidRPr="00ED6163">
        <w:rPr>
          <w:i/>
        </w:rPr>
        <w:t xml:space="preserve"> Economic Census</w:t>
      </w:r>
      <w:r w:rsidRPr="00ED6163">
        <w:rPr>
          <w:bCs/>
          <w:i/>
        </w:rPr>
        <w:t xml:space="preserve"> of the United States</w:t>
      </w:r>
      <w:r w:rsidRPr="00ED6163">
        <w:t xml:space="preserve">, Table EC1251SSSZ4, </w:t>
      </w:r>
      <w:r w:rsidRPr="00947E6A">
        <w:rPr>
          <w:i/>
        </w:rPr>
        <w:t>Information: Subject Series - Estab &amp; Firm Size: Receipts Size of Firms for the U.S.: 2012</w:t>
      </w:r>
      <w:r w:rsidRPr="00ED6163">
        <w:t xml:space="preserve">, NAICS Code 515210, </w:t>
      </w:r>
      <w:hyperlink r:id="rId86" w:history="1">
        <w:r w:rsidRPr="00ED6163">
          <w:rPr>
            <w:rStyle w:val="Hyperlink"/>
          </w:rPr>
          <w:t>https://factfinder.census.gov/bkmk/table/1.0/en/ECN/2012_US/51SSSZ4//naics~515210</w:t>
        </w:r>
      </w:hyperlink>
      <w:r w:rsidRPr="00ED6163">
        <w:t xml:space="preserve">. </w:t>
      </w:r>
    </w:p>
  </w:footnote>
  <w:footnote w:id="492">
    <w:p w:rsidR="00252A4C" w:rsidRPr="00ED6163" w:rsidP="00D60B92" w14:paraId="42C5C6D1" w14:textId="77777777">
      <w:pPr>
        <w:pStyle w:val="FootnoteText"/>
      </w:pPr>
      <w:r w:rsidRPr="00ED6163">
        <w:rPr>
          <w:rStyle w:val="FootnoteReference"/>
        </w:rPr>
        <w:footnoteRef/>
      </w:r>
      <w:r w:rsidRPr="00ED6163">
        <w:t xml:space="preserve"> </w:t>
      </w:r>
      <w:r w:rsidRPr="00ED6163">
        <w:rPr>
          <w:i/>
        </w:rPr>
        <w:t>Id</w:t>
      </w:r>
      <w:r w:rsidRPr="00ED6163">
        <w:t>.  Available census data does not provide a more precise estimate of the number of firms that have receipts of $38.5 million or less.</w:t>
      </w:r>
    </w:p>
  </w:footnote>
  <w:footnote w:id="493">
    <w:p w:rsidR="00252A4C" w:rsidRPr="00ED6163" w:rsidP="00D60B92" w14:paraId="38692528" w14:textId="77777777">
      <w:pPr>
        <w:pStyle w:val="FootnoteText"/>
      </w:pPr>
      <w:r w:rsidRPr="00ED6163">
        <w:rPr>
          <w:rStyle w:val="FootnoteReference"/>
        </w:rPr>
        <w:footnoteRef/>
      </w:r>
      <w:r w:rsidRPr="00ED6163">
        <w:t xml:space="preserve"> 47 CFR § 76.901(e).</w:t>
      </w:r>
    </w:p>
  </w:footnote>
  <w:footnote w:id="494">
    <w:p w:rsidR="00252A4C" w:rsidRPr="00ED6163" w:rsidP="00D60B92" w14:paraId="34C33238" w14:textId="77777777">
      <w:pPr>
        <w:pStyle w:val="FootnoteText"/>
      </w:pPr>
      <w:r w:rsidRPr="00ED6163">
        <w:rPr>
          <w:rStyle w:val="FootnoteReference"/>
        </w:rPr>
        <w:footnoteRef/>
      </w:r>
      <w:r w:rsidRPr="00ED6163">
        <w:t xml:space="preserve"> </w:t>
      </w:r>
      <w:r w:rsidRPr="00ED6163">
        <w:rPr>
          <w:i/>
        </w:rPr>
        <w:t xml:space="preserve">See </w:t>
      </w:r>
      <w:r w:rsidRPr="00ED6163">
        <w:t xml:space="preserve">FCC, Media Bureau, August 15, 2015 Report based on data contained in the Commission’s Cable Operations and Licensing System (COALS), </w:t>
      </w:r>
      <w:hyperlink r:id="rId87" w:history="1">
        <w:r w:rsidRPr="00ED6163">
          <w:rPr>
            <w:rStyle w:val="Hyperlink"/>
          </w:rPr>
          <w:t>https://apps.fcc.gov/coals/</w:t>
        </w:r>
      </w:hyperlink>
      <w:r w:rsidRPr="00ED6163">
        <w:t xml:space="preserve">. </w:t>
      </w:r>
    </w:p>
  </w:footnote>
  <w:footnote w:id="495">
    <w:p w:rsidR="00252A4C" w:rsidRPr="00ED6163" w:rsidP="00D60B92" w14:paraId="3F6A5B25" w14:textId="77777777">
      <w:pPr>
        <w:pStyle w:val="FootnoteText"/>
      </w:pPr>
      <w:r w:rsidRPr="00ED6163">
        <w:rPr>
          <w:rStyle w:val="FootnoteReference"/>
        </w:rPr>
        <w:footnoteRef/>
      </w:r>
      <w:r w:rsidRPr="00ED6163">
        <w:t xml:space="preserve"> Data obtained from SNL Kagan database on April 19, 2017. </w:t>
      </w:r>
    </w:p>
  </w:footnote>
  <w:footnote w:id="496">
    <w:p w:rsidR="00252A4C" w:rsidRPr="00ED6163" w:rsidP="00D60B92" w14:paraId="6E377B3F" w14:textId="77777777">
      <w:pPr>
        <w:pStyle w:val="FootnoteText"/>
      </w:pPr>
      <w:r w:rsidRPr="00ED6163">
        <w:rPr>
          <w:rStyle w:val="FootnoteReference"/>
        </w:rPr>
        <w:footnoteRef/>
      </w:r>
      <w:r w:rsidRPr="00ED6163">
        <w:t xml:space="preserve"> 47 CFR § 76.901(c).</w:t>
      </w:r>
    </w:p>
  </w:footnote>
  <w:footnote w:id="497">
    <w:p w:rsidR="00252A4C" w:rsidRPr="00ED6163" w:rsidP="00D60B92" w14:paraId="618013CD" w14:textId="77777777">
      <w:pPr>
        <w:pStyle w:val="FootnoteText"/>
      </w:pPr>
      <w:r w:rsidRPr="00ED6163">
        <w:rPr>
          <w:rStyle w:val="FootnoteReference"/>
        </w:rPr>
        <w:footnoteRef/>
      </w:r>
      <w:r w:rsidRPr="00ED6163">
        <w:t xml:space="preserve"> </w:t>
      </w:r>
      <w:r w:rsidRPr="00ED6163">
        <w:rPr>
          <w:i/>
        </w:rPr>
        <w:t xml:space="preserve">See </w:t>
      </w:r>
      <w:r w:rsidRPr="00ED6163">
        <w:t xml:space="preserve">FCC, Media Bureau, August 5, 2015 report based on its research in COALS, </w:t>
      </w:r>
      <w:hyperlink r:id="rId87" w:history="1">
        <w:r w:rsidRPr="00ED6163">
          <w:rPr>
            <w:rStyle w:val="Hyperlink"/>
          </w:rPr>
          <w:t>https://apps.fcc.gov/coals/</w:t>
        </w:r>
      </w:hyperlink>
      <w:r w:rsidRPr="00ED6163">
        <w:t>.</w:t>
      </w:r>
    </w:p>
  </w:footnote>
  <w:footnote w:id="498">
    <w:p w:rsidR="00252A4C" w:rsidRPr="00ED6163" w:rsidP="00D60B92" w14:paraId="09847951" w14:textId="77777777">
      <w:pPr>
        <w:pStyle w:val="FootnoteText"/>
      </w:pPr>
      <w:r w:rsidRPr="00ED6163">
        <w:rPr>
          <w:rStyle w:val="FootnoteReference"/>
        </w:rPr>
        <w:footnoteRef/>
      </w:r>
      <w:r w:rsidRPr="00ED6163">
        <w:t xml:space="preserve"> 47 CFR § 76.90(f) and notes ff. 1, 2, and 3.</w:t>
      </w:r>
    </w:p>
  </w:footnote>
  <w:footnote w:id="499">
    <w:p w:rsidR="00252A4C" w:rsidRPr="00ED6163" w:rsidP="00D60B92" w14:paraId="3A2EC3BC" w14:textId="77777777">
      <w:pPr>
        <w:pStyle w:val="FootnoteText"/>
      </w:pPr>
      <w:r w:rsidRPr="00ED6163">
        <w:rPr>
          <w:rStyle w:val="FootnoteReference"/>
        </w:rPr>
        <w:footnoteRef/>
      </w:r>
      <w:r w:rsidRPr="00ED6163">
        <w:t xml:space="preserve"> </w:t>
      </w:r>
      <w:r w:rsidRPr="00ED6163">
        <w:rPr>
          <w:i/>
        </w:rPr>
        <w:t>See</w:t>
      </w:r>
      <w:r w:rsidRPr="00ED6163">
        <w:t xml:space="preserve"> SNL KAGAN at </w:t>
      </w:r>
      <w:hyperlink r:id="rId88" w:history="1">
        <w:r w:rsidRPr="00ED6163">
          <w:rPr>
            <w:rStyle w:val="Hyperlink"/>
          </w:rPr>
          <w:t>http://www.snl.com/interactivex/MultichannelIndustryBenchmarks.aspx</w:t>
        </w:r>
      </w:hyperlink>
      <w:r w:rsidRPr="00ED6163">
        <w:rPr>
          <w:rStyle w:val="Hyperlink"/>
        </w:rPr>
        <w:t>.</w:t>
      </w:r>
    </w:p>
  </w:footnote>
  <w:footnote w:id="500">
    <w:p w:rsidR="00252A4C" w:rsidRPr="00ED6163" w:rsidP="00D60B92" w14:paraId="2F17DCB0" w14:textId="77777777">
      <w:pPr>
        <w:pStyle w:val="FootnoteText"/>
      </w:pPr>
      <w:r w:rsidRPr="00ED6163">
        <w:rPr>
          <w:rStyle w:val="FootnoteReference"/>
        </w:rPr>
        <w:footnoteRef/>
      </w:r>
      <w:r w:rsidRPr="00ED6163">
        <w:t xml:space="preserve"> 47 CFR § 76.901(f) and notes ff. 1, 2, and 3.</w:t>
      </w:r>
    </w:p>
  </w:footnote>
  <w:footnote w:id="501">
    <w:p w:rsidR="00252A4C" w:rsidRPr="00ED6163" w:rsidP="00D60B92" w14:paraId="417A1A2A" w14:textId="77777777">
      <w:pPr>
        <w:pStyle w:val="FootnoteText"/>
      </w:pPr>
      <w:r w:rsidRPr="00ED6163">
        <w:rPr>
          <w:rStyle w:val="FootnoteReference"/>
        </w:rPr>
        <w:footnoteRef/>
      </w:r>
      <w:r w:rsidRPr="00ED6163">
        <w:t xml:space="preserve"> </w:t>
      </w:r>
      <w:r w:rsidRPr="00ED6163">
        <w:rPr>
          <w:i/>
        </w:rPr>
        <w:t>See</w:t>
      </w:r>
      <w:r w:rsidRPr="00ED6163">
        <w:t xml:space="preserve"> SNL KAGAN at </w:t>
      </w:r>
      <w:hyperlink r:id="rId89" w:history="1">
        <w:r w:rsidRPr="00ED6163">
          <w:rPr>
            <w:rStyle w:val="Hyperlink"/>
          </w:rPr>
          <w:t>http://www.</w:t>
        </w:r>
        <w:r w:rsidRPr="00ED6163">
          <w:rPr>
            <w:rStyle w:val="Hyperlink"/>
          </w:rPr>
          <w:t>snl.com/interactivex/TopCable MSOs.aspx</w:t>
        </w:r>
      </w:hyperlink>
      <w:r w:rsidRPr="00ED6163">
        <w:rPr>
          <w:rStyle w:val="Hyperlink"/>
        </w:rPr>
        <w:t>.</w:t>
      </w:r>
    </w:p>
  </w:footnote>
  <w:footnote w:id="502">
    <w:p w:rsidR="00252A4C" w:rsidRPr="00ED6163" w:rsidP="00D60B92" w14:paraId="044A8904" w14:textId="77777777">
      <w:pPr>
        <w:pStyle w:val="FootnoteText"/>
      </w:pPr>
      <w:r w:rsidRPr="00ED6163">
        <w:rPr>
          <w:rStyle w:val="FootnoteReference"/>
        </w:rPr>
        <w:footnoteRef/>
      </w:r>
      <w:r w:rsidRPr="00ED6163">
        <w:t xml:space="preserve"> The Commission does receive such information on a case-by-case basis if a cable operator appeals a local franchise authority’s finding that the operator does not qualify as a small cable operator pursuant to secti</w:t>
      </w:r>
      <w:r w:rsidRPr="00ED6163">
        <w:t xml:space="preserve">on 76.901(f) of the Commission’s rules.  </w:t>
      </w:r>
      <w:r w:rsidRPr="00ED6163">
        <w:rPr>
          <w:i/>
        </w:rPr>
        <w:t>See</w:t>
      </w:r>
      <w:r w:rsidRPr="00ED6163">
        <w:t xml:space="preserve"> 47 CFR § 76.901(f).</w:t>
      </w:r>
    </w:p>
  </w:footnote>
  <w:footnote w:id="503">
    <w:p w:rsidR="00252A4C" w:rsidRPr="00ED6163" w:rsidP="00D60B92" w14:paraId="3A770411" w14:textId="77777777">
      <w:pPr>
        <w:pStyle w:val="FootnoteText"/>
      </w:pPr>
      <w:r w:rsidRPr="00ED6163">
        <w:rPr>
          <w:rStyle w:val="FootnoteReference"/>
        </w:rPr>
        <w:footnoteRef/>
      </w:r>
      <w:r w:rsidRPr="00ED6163">
        <w:t xml:space="preserve"> </w:t>
      </w:r>
      <w:r w:rsidRPr="00ED6163">
        <w:rPr>
          <w:i/>
        </w:rPr>
        <w:t xml:space="preserve">See </w:t>
      </w:r>
      <w:r w:rsidRPr="00ED6163">
        <w:t xml:space="preserve">U.S. Census Bureau, </w:t>
      </w:r>
      <w:hyperlink r:id="rId90" w:history="1">
        <w:r w:rsidRPr="00ED6163">
          <w:rPr>
            <w:rStyle w:val="Hyperlink"/>
          </w:rPr>
          <w:t>http://www.census.gov/cgi-bin/ssssd/naics/naicsrch</w:t>
        </w:r>
      </w:hyperlink>
      <w:r w:rsidRPr="00ED6163">
        <w:t>.</w:t>
      </w:r>
    </w:p>
  </w:footnote>
  <w:footnote w:id="504">
    <w:p w:rsidR="00252A4C" w:rsidRPr="00ED6163" w:rsidP="00D60B92" w14:paraId="02E3E110" w14:textId="77777777">
      <w:pPr>
        <w:pStyle w:val="FootnoteText"/>
      </w:pPr>
      <w:r w:rsidRPr="00ED6163">
        <w:rPr>
          <w:rStyle w:val="FootnoteReference"/>
        </w:rPr>
        <w:footnoteRef/>
      </w:r>
      <w:r w:rsidRPr="00ED6163">
        <w:t xml:space="preserve"> 13 CFR § 121.201; NAICS Code 517919.</w:t>
      </w:r>
    </w:p>
  </w:footnote>
  <w:footnote w:id="505">
    <w:p w:rsidR="00252A4C" w:rsidRPr="00ED6163" w:rsidP="00D60B92" w14:paraId="7B3DD0F7" w14:textId="77777777">
      <w:pPr>
        <w:pStyle w:val="FootnoteText"/>
      </w:pPr>
      <w:r w:rsidRPr="00ED6163">
        <w:rPr>
          <w:rStyle w:val="FootnoteReference"/>
        </w:rPr>
        <w:footnoteRef/>
      </w:r>
      <w:r w:rsidRPr="00ED6163">
        <w:t xml:space="preserve"> U.S. </w:t>
      </w:r>
      <w:r w:rsidRPr="00ED6163">
        <w:t xml:space="preserve">Census Bureau, </w:t>
      </w:r>
      <w:r w:rsidRPr="00ED6163">
        <w:rPr>
          <w:i/>
        </w:rPr>
        <w:t>Estab</w:t>
      </w:r>
      <w:r w:rsidRPr="00947E6A">
        <w:rPr>
          <w:i/>
        </w:rPr>
        <w:t xml:space="preserve"> &amp; Firm Size:  Receipts Size of Firms for the U.S., 2012</w:t>
      </w:r>
      <w:r w:rsidRPr="00ED6163">
        <w:t xml:space="preserve">, </w:t>
      </w:r>
      <w:r w:rsidRPr="00ED6163">
        <w:fldChar w:fldCharType="begin"/>
      </w:r>
      <w:r w:rsidRPr="00ED6163">
        <w:instrText xml:space="preserve"> HYPERLINK "http://factfinder.census.gov/faces/tableservices/jsf/pages/productview.xhtml?</w:instrText>
      </w:r>
    </w:p>
    <w:p w:rsidR="00252A4C" w:rsidRPr="00ED6163" w:rsidP="00D60B92" w14:paraId="0D868FBE" w14:textId="77777777">
      <w:pPr>
        <w:pStyle w:val="FootnoteText"/>
        <w:rPr>
          <w:rStyle w:val="Hyperlink"/>
        </w:rPr>
      </w:pPr>
      <w:r w:rsidRPr="00ED6163">
        <w:instrText xml:space="preserve">pid=ECN_2012_US_51SSSZ4&amp;prodType=table" </w:instrText>
      </w:r>
      <w:r w:rsidRPr="00ED6163">
        <w:fldChar w:fldCharType="separate"/>
      </w:r>
      <w:r w:rsidRPr="00ED6163">
        <w:rPr>
          <w:rStyle w:val="Hyperlink"/>
        </w:rPr>
        <w:t>http://factfinder.census.gov/faces/tableservices</w:t>
      </w:r>
      <w:r w:rsidRPr="00ED6163">
        <w:rPr>
          <w:rStyle w:val="Hyperlink"/>
        </w:rPr>
        <w:t>/jsf/pages/productview.xhtml?</w:t>
      </w:r>
    </w:p>
    <w:p w:rsidR="00252A4C" w:rsidRPr="00ED6163" w:rsidP="00D60B92" w14:paraId="7E4527BD" w14:textId="77777777">
      <w:pPr>
        <w:pStyle w:val="FootnoteText"/>
      </w:pPr>
      <w:r w:rsidRPr="00ED6163">
        <w:rPr>
          <w:rStyle w:val="Hyperlink"/>
        </w:rPr>
        <w:t>pid=ECN_2012_US_51SSSZ4&amp;prodType=table</w:t>
      </w:r>
      <w:r w:rsidRPr="00ED6163">
        <w:fldChar w:fldCharType="end"/>
      </w:r>
      <w:r w:rsidRPr="00ED6163">
        <w:t>.</w:t>
      </w:r>
    </w:p>
  </w:footnote>
  <w:footnote w:id="506">
    <w:p w:rsidR="00252A4C" w:rsidRPr="00ED6163" w:rsidP="00D60B92" w14:paraId="3E1274F2" w14:textId="77777777">
      <w:pPr>
        <w:pStyle w:val="FootnoteText"/>
      </w:pPr>
      <w:r w:rsidRPr="00ED6163">
        <w:rPr>
          <w:rStyle w:val="FootnoteReference"/>
        </w:rPr>
        <w:footnoteRef/>
      </w:r>
      <w:r w:rsidRPr="00ED6163">
        <w:t xml:space="preserve"> WISPA Comments at 6.</w:t>
      </w:r>
    </w:p>
  </w:footnote>
  <w:footnote w:id="507">
    <w:p w:rsidR="00252A4C" w:rsidRPr="00ED6163" w:rsidP="00D60B92" w14:paraId="651D4858" w14:textId="77777777">
      <w:pPr>
        <w:pStyle w:val="FootnoteText"/>
      </w:pPr>
      <w:r w:rsidRPr="00ED6163">
        <w:rPr>
          <w:rStyle w:val="FootnoteReference"/>
        </w:rPr>
        <w:footnoteRef/>
      </w:r>
      <w:r w:rsidRPr="00ED6163">
        <w:t xml:space="preserve"> </w:t>
      </w:r>
      <w:r w:rsidRPr="00ED6163">
        <w:rPr>
          <w:i/>
        </w:rPr>
        <w:t xml:space="preserve">See </w:t>
      </w:r>
      <w:r w:rsidRPr="00ED6163">
        <w:t xml:space="preserve">NTCA Apr. 30, 2019 </w:t>
      </w:r>
      <w:r w:rsidRPr="00ED6163">
        <w:rPr>
          <w:i/>
        </w:rPr>
        <w:t xml:space="preserve">Ex Parte </w:t>
      </w:r>
      <w:r w:rsidRPr="00ED6163">
        <w:t xml:space="preserve">Letter at 3; NCTA Feb. 28, 2019 </w:t>
      </w:r>
      <w:r w:rsidRPr="00ED6163">
        <w:rPr>
          <w:i/>
        </w:rPr>
        <w:t xml:space="preserve">Ex Parte </w:t>
      </w:r>
      <w:r w:rsidRPr="00ED6163">
        <w:t xml:space="preserve">Letter at 1; Charter Mar. 18, 2019 </w:t>
      </w:r>
      <w:r w:rsidRPr="00ED6163">
        <w:rPr>
          <w:i/>
        </w:rPr>
        <w:t>Ex Parte</w:t>
      </w:r>
      <w:r w:rsidRPr="00ED6163">
        <w:t xml:space="preserve"> Letter at 1-2; Letter from Tim Stelzig, Federal Regulatory Attorney, General Communication, Inc., to Marlene H. Dortch, Secretary, FCC, WC Docket No. 11-10, at 1 (filed Feb. 28, 2019) (“Shapefiles are used in multiple other contexts which demonstrates tha</w:t>
      </w:r>
      <w:r w:rsidRPr="00ED6163">
        <w:t xml:space="preserve">t any technical and operational challenges could be overcome.”); U.S. Dep’t of Agriculture, RUS Broadband Mapping Tool Help Guide, at 16 (June 25, 2015) (various RUS programs require submission of service area maps as GIS file polygons), </w:t>
      </w:r>
      <w:hyperlink r:id="rId3" w:history="1">
        <w:r w:rsidRPr="00ED6163">
          <w:rPr>
            <w:rStyle w:val="Hyperlink"/>
          </w:rPr>
          <w:t>https://broadbandsearch.sc.egov.usda.gov/bsa/servlet/resources/BSAHelp.pdf</w:t>
        </w:r>
      </w:hyperlink>
      <w:r w:rsidRPr="00ED6163">
        <w:t xml:space="preserve">; </w:t>
      </w:r>
      <w:r w:rsidRPr="00ED6163">
        <w:rPr>
          <w:i/>
        </w:rPr>
        <w:t xml:space="preserve">FCC Form 477 Instructions </w:t>
      </w:r>
      <w:r w:rsidRPr="00ED6163">
        <w:t>at 26 (mobile voice deployment requires the submission of polygons in a shapefile</w:t>
      </w:r>
      <w:r w:rsidRPr="00ED6163">
        <w:t xml:space="preserve"> format).</w:t>
      </w:r>
    </w:p>
  </w:footnote>
  <w:footnote w:id="508">
    <w:p w:rsidR="00252A4C" w:rsidRPr="00ED6163" w:rsidP="00D60B92" w14:paraId="2F6D4F68" w14:textId="77777777">
      <w:pPr>
        <w:pStyle w:val="FootnoteText"/>
      </w:pPr>
      <w:r w:rsidRPr="00ED6163">
        <w:rPr>
          <w:rStyle w:val="FootnoteReference"/>
        </w:rPr>
        <w:footnoteRef/>
      </w:r>
      <w:r w:rsidRPr="00ED6163">
        <w:t xml:space="preserve"> Connected Nation May 17, 2019 </w:t>
      </w:r>
      <w:r w:rsidRPr="00ED6163">
        <w:rPr>
          <w:i/>
        </w:rPr>
        <w:t xml:space="preserve">Ex Parte </w:t>
      </w:r>
      <w:r w:rsidRPr="00ED6163">
        <w:t>Letter at 2 (</w:t>
      </w:r>
      <w:r w:rsidRPr="00ED6163">
        <w:rPr>
          <w:rFonts w:eastAsia="Calibri"/>
          <w:color w:val="000000"/>
        </w:rPr>
        <w:t>points to the generation of GIS files for clients in 16 states and Puerto Rico).</w:t>
      </w:r>
    </w:p>
  </w:footnote>
  <w:footnote w:id="509">
    <w:p w:rsidR="00252A4C" w:rsidRPr="00ED6163" w:rsidP="00D60B92" w14:paraId="0F8C10CA" w14:textId="77777777">
      <w:pPr>
        <w:pStyle w:val="FootnoteText"/>
      </w:pPr>
      <w:r w:rsidRPr="00ED6163">
        <w:rPr>
          <w:rStyle w:val="FootnoteReference"/>
        </w:rPr>
        <w:footnoteRef/>
      </w:r>
      <w:r>
        <w:rPr>
          <w:i/>
        </w:rPr>
        <w:t xml:space="preserve"> </w:t>
      </w:r>
      <w:r w:rsidRPr="00ED6163">
        <w:rPr>
          <w:i/>
        </w:rPr>
        <w:t>Id</w:t>
      </w:r>
      <w:r w:rsidRPr="00ED6163">
        <w:t>.</w:t>
      </w:r>
    </w:p>
  </w:footnote>
  <w:footnote w:id="510">
    <w:p w:rsidR="00252A4C" w:rsidRPr="00ED6163" w:rsidP="00D60B92" w14:paraId="0B6CDE37" w14:textId="77777777">
      <w:pPr>
        <w:pStyle w:val="FootnoteText"/>
      </w:pPr>
      <w:r w:rsidRPr="00ED6163">
        <w:rPr>
          <w:rStyle w:val="FootnoteReference"/>
          <w:rFonts w:eastAsia="Calibri"/>
        </w:rPr>
        <w:footnoteRef/>
      </w:r>
      <w:r w:rsidRPr="00ED6163">
        <w:t xml:space="preserve"> 5 U.S.C. § 603(c)(1)-(4).</w:t>
      </w:r>
    </w:p>
  </w:footnote>
  <w:footnote w:id="511">
    <w:p w:rsidR="00252A4C" w:rsidRPr="00ED6163" w:rsidP="00D60B92" w14:paraId="6A95ACBC" w14:textId="77777777">
      <w:pPr>
        <w:pStyle w:val="FootnoteText"/>
      </w:pPr>
      <w:r w:rsidRPr="00ED6163">
        <w:rPr>
          <w:rStyle w:val="FootnoteReference"/>
        </w:rPr>
        <w:footnoteRef/>
      </w:r>
      <w:r w:rsidRPr="00ED6163">
        <w:t xml:space="preserve"> WISPA Comments at 5-6.</w:t>
      </w:r>
    </w:p>
  </w:footnote>
  <w:footnote w:id="512">
    <w:p w:rsidR="00252A4C" w:rsidRPr="00ED6163" w:rsidP="00D60B92" w14:paraId="0B109073" w14:textId="77777777">
      <w:pPr>
        <w:pStyle w:val="FootnoteText"/>
      </w:pPr>
      <w:r w:rsidRPr="00ED6163">
        <w:rPr>
          <w:rStyle w:val="FootnoteReference"/>
        </w:rPr>
        <w:footnoteRef/>
      </w:r>
      <w:r w:rsidRPr="00ED6163">
        <w:t xml:space="preserve"> </w:t>
      </w:r>
      <w:r w:rsidRPr="00ED6163">
        <w:rPr>
          <w:i/>
        </w:rPr>
        <w:t>See supra Report and Order</w:t>
      </w:r>
      <w:r w:rsidRPr="00ED6163">
        <w:t>, Section III.A.</w:t>
      </w:r>
    </w:p>
  </w:footnote>
  <w:footnote w:id="513">
    <w:p w:rsidR="00252A4C" w:rsidRPr="00ED6163" w:rsidP="00D60B92" w14:paraId="158251B0" w14:textId="77777777">
      <w:pPr>
        <w:pStyle w:val="FootnoteText"/>
      </w:pPr>
      <w:r w:rsidRPr="00ED6163">
        <w:rPr>
          <w:rStyle w:val="FootnoteReference"/>
          <w:rFonts w:eastAsia="Calibri"/>
        </w:rPr>
        <w:footnoteRef/>
      </w:r>
      <w:r w:rsidRPr="00ED6163">
        <w:t xml:space="preserve"> </w:t>
      </w:r>
      <w:r w:rsidRPr="00ED6163">
        <w:rPr>
          <w:i/>
        </w:rPr>
        <w:t>See</w:t>
      </w:r>
      <w:r w:rsidRPr="00ED6163">
        <w:t xml:space="preserve"> 5</w:t>
      </w:r>
      <w:r w:rsidRPr="00ED6163">
        <w:t xml:space="preserve"> U.S.C. § 801(a)(1)(A).</w:t>
      </w:r>
    </w:p>
  </w:footnote>
  <w:footnote w:id="514">
    <w:p w:rsidR="00252A4C" w:rsidRPr="00ED6163" w:rsidP="00D60B92" w14:paraId="43849279" w14:textId="77777777">
      <w:pPr>
        <w:pStyle w:val="FootnoteText"/>
      </w:pPr>
      <w:r w:rsidRPr="00ED6163">
        <w:rPr>
          <w:rStyle w:val="FootnoteReference"/>
          <w:rFonts w:eastAsia="Calibri"/>
        </w:rPr>
        <w:footnoteRef/>
      </w:r>
      <w:r w:rsidRPr="00ED6163">
        <w:t xml:space="preserve"> </w:t>
      </w:r>
      <w:r w:rsidRPr="00ED6163">
        <w:rPr>
          <w:i/>
        </w:rPr>
        <w:t>See</w:t>
      </w:r>
      <w:r w:rsidRPr="00ED6163">
        <w:t xml:space="preserve"> 5 U.S.C. § 604(b).</w:t>
      </w:r>
    </w:p>
  </w:footnote>
  <w:footnote w:id="515">
    <w:p w:rsidR="00252A4C" w:rsidRPr="00ED6163" w:rsidP="00D60B92" w14:paraId="4FF3F503" w14:textId="77777777">
      <w:pPr>
        <w:pStyle w:val="FootnoteText"/>
      </w:pPr>
      <w:r w:rsidRPr="00ED6163">
        <w:rPr>
          <w:rStyle w:val="FootnoteReference"/>
        </w:rPr>
        <w:footnoteRef/>
      </w:r>
      <w:r w:rsidRPr="00ED6163">
        <w:t xml:space="preserve"> </w:t>
      </w:r>
      <w:r w:rsidRPr="00ED6163">
        <w:rPr>
          <w:i/>
        </w:rPr>
        <w:t>See</w:t>
      </w:r>
      <w:r w:rsidRPr="00ED6163">
        <w:t xml:space="preserve"> 5 U.S.C. § 603.  The RFA, </w:t>
      </w:r>
      <w:r w:rsidRPr="00ED6163">
        <w:rPr>
          <w:i/>
        </w:rPr>
        <w:t>see</w:t>
      </w:r>
      <w:r w:rsidRPr="00ED6163">
        <w:t xml:space="preserve"> 5 U.S.C. §§ 601-612, has been amended by the Small Business Regulatory Enforcement Fairness Act of 1996 (SBREFA), Pub. L. No. 104-121, Title II, 110 Stat. 857 (1996).</w:t>
      </w:r>
    </w:p>
  </w:footnote>
  <w:footnote w:id="516">
    <w:p w:rsidR="00252A4C" w:rsidRPr="00ED6163" w:rsidP="00D60B92" w14:paraId="5D0B51C0" w14:textId="77777777">
      <w:pPr>
        <w:pStyle w:val="FootnoteText"/>
      </w:pPr>
      <w:r w:rsidRPr="00ED6163">
        <w:rPr>
          <w:rStyle w:val="FootnoteReference"/>
        </w:rPr>
        <w:footnoteRef/>
      </w:r>
      <w:r w:rsidRPr="00ED6163">
        <w:t xml:space="preserve"> </w:t>
      </w:r>
      <w:r w:rsidRPr="00ED6163">
        <w:rPr>
          <w:i/>
        </w:rPr>
        <w:t>Se</w:t>
      </w:r>
      <w:r w:rsidRPr="00ED6163">
        <w:rPr>
          <w:i/>
        </w:rPr>
        <w:t>e</w:t>
      </w:r>
      <w:r w:rsidRPr="00ED6163">
        <w:t xml:space="preserve"> 5 U.S.C. § 603(a).</w:t>
      </w:r>
    </w:p>
  </w:footnote>
  <w:footnote w:id="517">
    <w:p w:rsidR="00252A4C" w:rsidRPr="00ED6163" w:rsidP="00D60B92" w14:paraId="164C0E8A" w14:textId="77777777">
      <w:pPr>
        <w:pStyle w:val="FootnoteText"/>
      </w:pPr>
      <w:r w:rsidRPr="00ED6163">
        <w:rPr>
          <w:rStyle w:val="FootnoteReference"/>
        </w:rPr>
        <w:footnoteRef/>
      </w:r>
      <w:r w:rsidRPr="00ED6163">
        <w:t xml:space="preserve"> </w:t>
      </w:r>
      <w:r w:rsidRPr="00ED6163">
        <w:rPr>
          <w:i/>
        </w:rPr>
        <w:t>Id.</w:t>
      </w:r>
      <w:r w:rsidRPr="00ED6163">
        <w:rPr>
          <w:i/>
        </w:rPr>
        <w:tab/>
      </w:r>
    </w:p>
  </w:footnote>
  <w:footnote w:id="518">
    <w:p w:rsidR="00252A4C" w:rsidRPr="00ED6163" w:rsidP="00D60B92" w14:paraId="7ED68B29" w14:textId="77777777">
      <w:pPr>
        <w:pStyle w:val="FootnoteText"/>
      </w:pPr>
      <w:r w:rsidRPr="00ED6163">
        <w:rPr>
          <w:rStyle w:val="FootnoteReference"/>
          <w:rFonts w:eastAsia="Calibri"/>
        </w:rPr>
        <w:footnoteRef/>
      </w:r>
      <w:r w:rsidRPr="00ED6163">
        <w:t xml:space="preserve"> </w:t>
      </w:r>
      <w:r w:rsidRPr="00ED6163">
        <w:rPr>
          <w:i/>
        </w:rPr>
        <w:t>See</w:t>
      </w:r>
      <w:r w:rsidRPr="00ED6163">
        <w:t xml:space="preserve"> 5 U.S.C. § 603(b)(3).</w:t>
      </w:r>
    </w:p>
  </w:footnote>
  <w:footnote w:id="519">
    <w:p w:rsidR="00252A4C" w:rsidRPr="00ED6163" w:rsidP="00D60B92" w14:paraId="07A5AB98" w14:textId="77777777">
      <w:pPr>
        <w:pStyle w:val="FootnoteText"/>
      </w:pPr>
      <w:r w:rsidRPr="00ED6163">
        <w:rPr>
          <w:rStyle w:val="FootnoteReference"/>
          <w:rFonts w:eastAsia="Calibri"/>
        </w:rPr>
        <w:footnoteRef/>
      </w:r>
      <w:r w:rsidRPr="00ED6163">
        <w:rPr>
          <w:i/>
        </w:rPr>
        <w:t xml:space="preserve"> See</w:t>
      </w:r>
      <w:r w:rsidRPr="00ED6163">
        <w:t xml:space="preserve"> 5 U.S.C. § 601(6).</w:t>
      </w:r>
    </w:p>
  </w:footnote>
  <w:footnote w:id="520">
    <w:p w:rsidR="00252A4C" w:rsidRPr="00ED6163" w:rsidP="00D60B92" w14:paraId="79B497E5" w14:textId="77777777">
      <w:pPr>
        <w:pStyle w:val="FootnoteText"/>
      </w:pPr>
      <w:r w:rsidRPr="00ED6163">
        <w:rPr>
          <w:rStyle w:val="FootnoteReference"/>
          <w:rFonts w:eastAsia="Calibri"/>
        </w:rPr>
        <w:footnoteRef/>
      </w:r>
      <w:r w:rsidRPr="00ED6163">
        <w:rPr>
          <w:i/>
        </w:rPr>
        <w:t xml:space="preserve"> See</w:t>
      </w:r>
      <w:r w:rsidRPr="00ED6163">
        <w:t xml:space="preserve"> 5 U.S.C. § 601(3) (incorporating by reference the definition of “small-business concern” in the Small Business Act, 15 U.S.C. § 632).  Pursuant to 5 U.S.C. § 601(3), the</w:t>
      </w:r>
      <w:r w:rsidRPr="00ED6163">
        <w:t xml:space="preserve"> statutory definition of a small business applies “unless an agency, after consultation with the Office of Advocacy of the Small Business Administration and after opportunity for public comment, establishes one or more definitions of such term which are ap</w:t>
      </w:r>
      <w:r w:rsidRPr="00ED6163">
        <w:t>propriate to the activities of the agency and publishes such definition(s) in the Federal Register.”</w:t>
      </w:r>
    </w:p>
  </w:footnote>
  <w:footnote w:id="521">
    <w:p w:rsidR="00252A4C" w:rsidRPr="00ED6163" w:rsidP="00D60B92" w14:paraId="20341671" w14:textId="77777777">
      <w:pPr>
        <w:pStyle w:val="FootnoteText"/>
      </w:pPr>
      <w:r w:rsidRPr="00ED6163">
        <w:rPr>
          <w:rStyle w:val="FootnoteReference"/>
          <w:rFonts w:eastAsia="Calibri"/>
        </w:rPr>
        <w:footnoteRef/>
      </w:r>
      <w:r w:rsidRPr="00ED6163">
        <w:t xml:space="preserve"> </w:t>
      </w:r>
      <w:r w:rsidRPr="00ED6163">
        <w:rPr>
          <w:i/>
        </w:rPr>
        <w:t>See</w:t>
      </w:r>
      <w:r w:rsidRPr="00ED6163">
        <w:t xml:space="preserve"> 15 U.S.C. § 632.</w:t>
      </w:r>
    </w:p>
  </w:footnote>
  <w:footnote w:id="522">
    <w:p w:rsidR="00252A4C" w:rsidRPr="00ED6163" w:rsidP="00D60B92" w14:paraId="094DB669" w14:textId="77777777">
      <w:pPr>
        <w:pStyle w:val="FootnoteText"/>
      </w:pPr>
      <w:r w:rsidRPr="00ED6163">
        <w:rPr>
          <w:rStyle w:val="FootnoteReference"/>
        </w:rPr>
        <w:footnoteRef/>
      </w:r>
      <w:r w:rsidRPr="00ED6163">
        <w:t xml:space="preserve"> </w:t>
      </w:r>
      <w:r w:rsidRPr="00ED6163">
        <w:rPr>
          <w:i/>
        </w:rPr>
        <w:t>See</w:t>
      </w:r>
      <w:r w:rsidRPr="00ED6163">
        <w:t xml:space="preserve"> 5 U.S.C. § 601(3)-(6).</w:t>
      </w:r>
    </w:p>
  </w:footnote>
  <w:footnote w:id="523">
    <w:p w:rsidR="00252A4C" w:rsidRPr="00ED6163" w:rsidP="00D60B92" w14:paraId="055B86F5" w14:textId="77777777">
      <w:pPr>
        <w:pStyle w:val="FootnoteText"/>
      </w:pPr>
      <w:r w:rsidRPr="00ED6163">
        <w:rPr>
          <w:rStyle w:val="FootnoteReference"/>
        </w:rPr>
        <w:footnoteRef/>
      </w:r>
      <w:r w:rsidRPr="00ED6163">
        <w:t xml:space="preserve"> </w:t>
      </w:r>
      <w:r w:rsidRPr="00ED6163">
        <w:rPr>
          <w:i/>
        </w:rPr>
        <w:t>See</w:t>
      </w:r>
      <w:r w:rsidRPr="00ED6163">
        <w:t xml:space="preserve"> SBA, Office of Advocacy, </w:t>
      </w:r>
      <w:r w:rsidRPr="00947E6A">
        <w:rPr>
          <w:i/>
        </w:rPr>
        <w:t xml:space="preserve">Frequently Asked Questions, Question 1 – What is a small </w:t>
      </w:r>
      <w:r w:rsidRPr="00947E6A">
        <w:rPr>
          <w:i/>
        </w:rPr>
        <w:t>business</w:t>
      </w:r>
      <w:r w:rsidRPr="00ED6163">
        <w:rPr>
          <w:i/>
        </w:rPr>
        <w:t>?,</w:t>
      </w:r>
      <w:r w:rsidRPr="00ED6163">
        <w:t xml:space="preserve"> </w:t>
      </w:r>
      <w:hyperlink r:id="rId68" w:history="1">
        <w:r w:rsidRPr="00ED6163">
          <w:rPr>
            <w:rStyle w:val="Hyperlink"/>
          </w:rPr>
          <w:t>https://www.sba.gov/sites/default/files/advocacy/SB-FAQ-2016_WEB.pdf</w:t>
        </w:r>
      </w:hyperlink>
      <w:r w:rsidRPr="00ED6163">
        <w:t xml:space="preserve"> (June 2016).</w:t>
      </w:r>
    </w:p>
  </w:footnote>
  <w:footnote w:id="524">
    <w:p w:rsidR="00252A4C" w:rsidRPr="00ED6163" w:rsidP="00D60B92" w14:paraId="235509F2" w14:textId="77777777">
      <w:pPr>
        <w:pStyle w:val="FootnoteText"/>
      </w:pPr>
      <w:r w:rsidRPr="00ED6163">
        <w:rPr>
          <w:rStyle w:val="FootnoteReference"/>
        </w:rPr>
        <w:footnoteRef/>
      </w:r>
      <w:r w:rsidRPr="00ED6163">
        <w:rPr>
          <w:i/>
        </w:rPr>
        <w:t xml:space="preserve"> See</w:t>
      </w:r>
      <w:r w:rsidRPr="00ED6163">
        <w:t xml:space="preserve"> </w:t>
      </w:r>
      <w:r w:rsidRPr="00ED6163">
        <w:rPr>
          <w:i/>
        </w:rPr>
        <w:t>id</w:t>
      </w:r>
      <w:r w:rsidRPr="00ED6163">
        <w:t>.</w:t>
      </w:r>
    </w:p>
  </w:footnote>
  <w:footnote w:id="525">
    <w:p w:rsidR="00252A4C" w:rsidRPr="00ED6163" w:rsidP="00D60B92" w14:paraId="106B5173" w14:textId="77777777">
      <w:pPr>
        <w:pStyle w:val="FootnoteText"/>
      </w:pPr>
      <w:r w:rsidRPr="00ED6163">
        <w:rPr>
          <w:rStyle w:val="FootnoteReference"/>
        </w:rPr>
        <w:footnoteRef/>
      </w:r>
      <w:r w:rsidRPr="00ED6163">
        <w:t xml:space="preserve"> </w:t>
      </w:r>
      <w:r w:rsidRPr="00ED6163">
        <w:rPr>
          <w:spacing w:val="-2"/>
        </w:rPr>
        <w:t>5 U.S.C.</w:t>
      </w:r>
      <w:r w:rsidRPr="00ED6163">
        <w:t xml:space="preserve"> § 601(4).</w:t>
      </w:r>
    </w:p>
  </w:footnote>
  <w:footnote w:id="526">
    <w:p w:rsidR="00252A4C" w:rsidRPr="00ED6163" w:rsidP="00D60B92" w14:paraId="002055AA" w14:textId="77777777">
      <w:pPr>
        <w:pStyle w:val="FootnoteText"/>
      </w:pPr>
      <w:r w:rsidRPr="00ED6163">
        <w:rPr>
          <w:rStyle w:val="FootnoteReference"/>
          <w:rFonts w:eastAsia="Calibri"/>
        </w:rPr>
        <w:footnoteRef/>
      </w:r>
      <w:r w:rsidRPr="00ED6163">
        <w:rPr>
          <w:color w:val="000000"/>
        </w:rPr>
        <w:t xml:space="preserve"> Data from the Urban Institute, National Cente</w:t>
      </w:r>
      <w:r w:rsidRPr="00ED6163">
        <w:rPr>
          <w:color w:val="000000"/>
        </w:rPr>
        <w:t xml:space="preserve">r for Charitable Statistics (NCCS) reporting on nonprofit organizations registered with the IRS were used to estimate the number of small organizations.  Reports generated using the NCCS online database indicated that as of August 2016 there were </w:t>
      </w:r>
      <w:r w:rsidRPr="00ED6163">
        <w:t>356,494</w:t>
      </w:r>
      <w:r w:rsidRPr="00ED6163">
        <w:rPr>
          <w:color w:val="000000"/>
        </w:rPr>
        <w:t xml:space="preserve"> r</w:t>
      </w:r>
      <w:r w:rsidRPr="00ED6163">
        <w:rPr>
          <w:color w:val="000000"/>
        </w:rPr>
        <w:t>egistered nonprofits with total revenues of less than $100,000.  Of this number, 326,897 entities filed tax returns with 65,113 registered nonprofits reporting total revenues of $50,000 or less on the IRS Form 990-N for Small Exempt Organizations and 261,7</w:t>
      </w:r>
      <w:r w:rsidRPr="00ED6163">
        <w:rPr>
          <w:color w:val="000000"/>
        </w:rPr>
        <w:t xml:space="preserve">84 nonprofits reporting total revenues of $100,000 or less on some other version of the IRS Form 990 within 24 months of the August 2016 data release date. </w:t>
      </w:r>
      <w:r w:rsidRPr="00ED6163">
        <w:rPr>
          <w:i/>
          <w:color w:val="000000"/>
        </w:rPr>
        <w:t xml:space="preserve"> See</w:t>
      </w:r>
      <w:r w:rsidRPr="00ED6163">
        <w:rPr>
          <w:color w:val="000000"/>
        </w:rPr>
        <w:t xml:space="preserve"> </w:t>
      </w:r>
      <w:hyperlink r:id="rId91" w:history="1">
        <w:r w:rsidRPr="00ED6163">
          <w:rPr>
            <w:rStyle w:val="Hyperlink"/>
          </w:rPr>
          <w:t>http://nccs.</w:t>
        </w:r>
        <w:r w:rsidRPr="00ED6163">
          <w:rPr>
            <w:rStyle w:val="Hyperlink"/>
          </w:rPr>
          <w:t>urban.org/sites/all/nccs-archive/html//tablewiz/tw.php</w:t>
        </w:r>
      </w:hyperlink>
      <w:r w:rsidRPr="00ED6163">
        <w:rPr>
          <w:color w:val="000000"/>
        </w:rPr>
        <w:t xml:space="preserve"> where the report showing this data can be generated by selecting the following data fields: Report: “The Number and Finances of All Registered 501(c) Nonprofits”; Show: “Registered Nonprofits”; By: “To</w:t>
      </w:r>
      <w:r w:rsidRPr="00ED6163">
        <w:rPr>
          <w:color w:val="000000"/>
        </w:rPr>
        <w:t>tal Revenue Level (years 1995, Aug to 2016, Aug)”; and For: “2016, Aug” then selecting “Show Results”.</w:t>
      </w:r>
    </w:p>
  </w:footnote>
  <w:footnote w:id="527">
    <w:p w:rsidR="00252A4C" w:rsidRPr="00ED6163" w:rsidP="00D60B92" w14:paraId="738306AA" w14:textId="77777777">
      <w:pPr>
        <w:pStyle w:val="FootnoteText"/>
      </w:pPr>
      <w:r w:rsidRPr="00ED6163">
        <w:rPr>
          <w:rStyle w:val="FootnoteReference"/>
          <w:spacing w:val="-2"/>
        </w:rPr>
        <w:footnoteRef/>
      </w:r>
      <w:r w:rsidRPr="00ED6163">
        <w:t xml:space="preserve"> 5 U.S.C. § 601(5).</w:t>
      </w:r>
    </w:p>
  </w:footnote>
  <w:footnote w:id="528">
    <w:p w:rsidR="00252A4C" w:rsidRPr="00ED6163" w:rsidP="00D60B92" w14:paraId="04A39289" w14:textId="77777777">
      <w:pPr>
        <w:pStyle w:val="FootnoteText"/>
      </w:pPr>
      <w:r w:rsidRPr="00ED6163">
        <w:rPr>
          <w:rStyle w:val="FootnoteReference"/>
        </w:rPr>
        <w:footnoteRef/>
      </w:r>
      <w:r w:rsidRPr="00ED6163">
        <w:t xml:space="preserve"> </w:t>
      </w:r>
      <w:r w:rsidRPr="00ED6163">
        <w:rPr>
          <w:i/>
        </w:rPr>
        <w:t>See</w:t>
      </w:r>
      <w:r w:rsidRPr="00ED6163">
        <w:t xml:space="preserve"> 13 U.S.C. § 161.  The Census of Government is conducted every five (5) years compiling data for years ending with “2” and “7”.</w:t>
      </w:r>
      <w:r w:rsidRPr="00ED6163">
        <w:t xml:space="preserve">  </w:t>
      </w:r>
      <w:r w:rsidRPr="00ED6163">
        <w:rPr>
          <w:i/>
        </w:rPr>
        <w:t xml:space="preserve">See also </w:t>
      </w:r>
      <w:r w:rsidRPr="00ED6163">
        <w:t xml:space="preserve">Program Description Census of Government, </w:t>
      </w:r>
      <w:hyperlink r:id="rId92" w:history="1">
        <w:r w:rsidRPr="00ED6163">
          <w:rPr>
            <w:rStyle w:val="Hyperlink"/>
            <w:i/>
          </w:rPr>
          <w:t>https://factfinder.census.gov/faces/affhelp/jsf/pages/metadata.xhtml?lang=en&amp;ty</w:t>
        </w:r>
        <w:r w:rsidRPr="00ED6163">
          <w:rPr>
            <w:rStyle w:val="Hyperlink"/>
            <w:i/>
          </w:rPr>
          <w:t>pe=program&amp;id=program.en.COG#</w:t>
        </w:r>
      </w:hyperlink>
      <w:r w:rsidRPr="00ED6163">
        <w:t>.</w:t>
      </w:r>
    </w:p>
  </w:footnote>
  <w:footnote w:id="529">
    <w:p w:rsidR="00252A4C" w:rsidRPr="00ED6163" w:rsidP="00D60B92" w14:paraId="12394D7E" w14:textId="77777777">
      <w:pPr>
        <w:pStyle w:val="FootnoteText"/>
      </w:pPr>
      <w:r w:rsidRPr="00ED6163">
        <w:rPr>
          <w:rStyle w:val="FootnoteReference"/>
          <w:spacing w:val="-2"/>
        </w:rPr>
        <w:footnoteRef/>
      </w:r>
      <w:r w:rsidRPr="00ED6163">
        <w:t xml:space="preserve"> </w:t>
      </w:r>
      <w:r w:rsidRPr="00ED6163">
        <w:rPr>
          <w:i/>
        </w:rPr>
        <w:t>See</w:t>
      </w:r>
      <w:r w:rsidRPr="00ED6163">
        <w:t xml:space="preserve"> U.S. Census Bureau, 2012 Census of Governments, Local Governments by Type and State: 2012 - United States-States, </w:t>
      </w:r>
      <w:hyperlink r:id="rId93" w:history="1">
        <w:r w:rsidRPr="00ED6163">
          <w:rPr>
            <w:rStyle w:val="Hyperlink"/>
            <w:bCs/>
          </w:rPr>
          <w:t>https://factfinder.census.gov/bkmk/table/1.0/en/COG/2012/ORG02.US01</w:t>
        </w:r>
      </w:hyperlink>
      <w:r w:rsidRPr="00ED6163">
        <w:t xml:space="preserve">. Local governmental jurisdictions are classified in two categories - General purpose governments (county, </w:t>
      </w:r>
      <w:r w:rsidRPr="00ED6163">
        <w:t xml:space="preserve">municipal and town or township) and Special purpose governments (special districts and independent school districts).   </w:t>
      </w:r>
    </w:p>
  </w:footnote>
  <w:footnote w:id="530">
    <w:p w:rsidR="00252A4C" w:rsidRPr="00ED6163" w:rsidP="00D60B92" w14:paraId="3B5E8555" w14:textId="77777777">
      <w:pPr>
        <w:pStyle w:val="FootnoteText"/>
      </w:pPr>
      <w:r w:rsidRPr="00ED6163">
        <w:rPr>
          <w:rStyle w:val="FootnoteReference"/>
        </w:rPr>
        <w:footnoteRef/>
      </w:r>
      <w:r w:rsidRPr="00ED6163">
        <w:t xml:space="preserve"> </w:t>
      </w:r>
      <w:r w:rsidRPr="00ED6163">
        <w:rPr>
          <w:i/>
        </w:rPr>
        <w:t>Id.</w:t>
      </w:r>
    </w:p>
  </w:footnote>
  <w:footnote w:id="531">
    <w:p w:rsidR="00252A4C" w:rsidRPr="00ED6163" w:rsidP="00D60B92" w14:paraId="342DEE50" w14:textId="77777777">
      <w:pPr>
        <w:pStyle w:val="FootnoteText"/>
      </w:pPr>
      <w:r w:rsidRPr="00ED6163">
        <w:rPr>
          <w:rStyle w:val="FootnoteReference"/>
        </w:rPr>
        <w:footnoteRef/>
      </w:r>
      <w:r w:rsidRPr="00ED6163">
        <w:t xml:space="preserve"> </w:t>
      </w:r>
      <w:r w:rsidRPr="00ED6163">
        <w:rPr>
          <w:i/>
        </w:rPr>
        <w:t>See</w:t>
      </w:r>
      <w:r w:rsidRPr="00ED6163">
        <w:t xml:space="preserve"> 13 CFR § 121.201. The Wired Telecommunications Carrier category formerly used the NAICS Code of 517110.  As of 2017, the U.</w:t>
      </w:r>
      <w:r w:rsidRPr="00ED6163">
        <w:t xml:space="preserve">S. Census Bureau definition shows the NAICS Code as 517311 for Wired Telecommunications Carriers.  </w:t>
      </w:r>
      <w:r w:rsidRPr="00ED6163">
        <w:rPr>
          <w:i/>
        </w:rPr>
        <w:t>See</w:t>
      </w:r>
      <w:r w:rsidRPr="00ED6163">
        <w:t xml:space="preserve"> U.S. Census Bureau, </w:t>
      </w:r>
      <w:r w:rsidRPr="00ED6163">
        <w:rPr>
          <w:i/>
        </w:rPr>
        <w:t>2017 NAICS Definition</w:t>
      </w:r>
      <w:r w:rsidRPr="00ED6163">
        <w:t xml:space="preserve">, </w:t>
      </w:r>
      <w:hyperlink r:id="rId72" w:history="1">
        <w:r w:rsidRPr="00ED6163">
          <w:rPr>
            <w:rStyle w:val="Hyperlink"/>
          </w:rPr>
          <w:t>https://www.census.</w:t>
        </w:r>
        <w:r w:rsidRPr="00ED6163">
          <w:rPr>
            <w:rStyle w:val="Hyperlink"/>
          </w:rPr>
          <w:t>gov/cgi-bin/sssd/naics/naicsrch?code=517311&amp;search=2017</w:t>
        </w:r>
      </w:hyperlink>
      <w:r w:rsidRPr="00ED6163">
        <w:t xml:space="preserve">. </w:t>
      </w:r>
    </w:p>
  </w:footnote>
  <w:footnote w:id="532">
    <w:p w:rsidR="00252A4C" w:rsidRPr="00ED6163" w:rsidP="00D60B92" w14:paraId="611C4422" w14:textId="77777777">
      <w:pPr>
        <w:pStyle w:val="FootnoteText"/>
      </w:pPr>
      <w:r w:rsidRPr="00ED6163">
        <w:rPr>
          <w:rStyle w:val="FootnoteReference"/>
        </w:rPr>
        <w:footnoteRef/>
      </w:r>
      <w:r w:rsidRPr="00ED6163">
        <w:t xml:space="preserve"> </w:t>
      </w:r>
      <w:r w:rsidRPr="00ED6163">
        <w:rPr>
          <w:i/>
        </w:rPr>
        <w:t>Id.</w:t>
      </w:r>
    </w:p>
  </w:footnote>
  <w:footnote w:id="533">
    <w:p w:rsidR="00252A4C" w:rsidRPr="00ED6163" w:rsidP="00D60B92" w14:paraId="146EBAB9" w14:textId="77777777">
      <w:pPr>
        <w:pStyle w:val="FootnoteText"/>
      </w:pPr>
      <w:r w:rsidRPr="00ED6163">
        <w:rPr>
          <w:rStyle w:val="FootnoteReference"/>
        </w:rPr>
        <w:footnoteRef/>
      </w:r>
      <w:r w:rsidRPr="00ED6163">
        <w:t xml:space="preserve"> </w:t>
      </w:r>
      <w:r w:rsidRPr="00ED6163">
        <w:rPr>
          <w:i/>
        </w:rPr>
        <w:t>Id.</w:t>
      </w:r>
    </w:p>
  </w:footnote>
  <w:footnote w:id="534">
    <w:p w:rsidR="00252A4C" w:rsidRPr="00ED6163" w:rsidP="00D60B92" w14:paraId="76FE1409" w14:textId="77777777">
      <w:pPr>
        <w:pStyle w:val="FootnoteText"/>
      </w:pPr>
      <w:r w:rsidRPr="00ED6163">
        <w:rPr>
          <w:rStyle w:val="FootnoteReference"/>
        </w:rPr>
        <w:footnoteRef/>
      </w:r>
      <w:r w:rsidRPr="00ED6163">
        <w:t xml:space="preserve"> U.S. Census Bureau,</w:t>
      </w:r>
      <w:r w:rsidRPr="00ED6163">
        <w:rPr>
          <w:bCs/>
          <w:i/>
          <w:snapToGrid w:val="0"/>
        </w:rPr>
        <w:t xml:space="preserve"> 2012</w:t>
      </w:r>
      <w:r w:rsidRPr="00ED6163">
        <w:rPr>
          <w:i/>
          <w:snapToGrid w:val="0"/>
        </w:rPr>
        <w:t xml:space="preserve"> Economic Census</w:t>
      </w:r>
      <w:r w:rsidRPr="00ED6163">
        <w:rPr>
          <w:bCs/>
          <w:i/>
          <w:snapToGrid w:val="0"/>
        </w:rPr>
        <w:t xml:space="preserve"> of the United States,</w:t>
      </w:r>
      <w:r w:rsidRPr="00ED6163">
        <w:rPr>
          <w:snapToGrid w:val="0"/>
        </w:rPr>
        <w:t xml:space="preserve"> Table No. EC1251SSSZ5, </w:t>
      </w:r>
      <w:r w:rsidRPr="00ED6163">
        <w:rPr>
          <w:i/>
          <w:iCs/>
          <w:snapToGrid w:val="0"/>
        </w:rPr>
        <w:t>Information: Subject Series - Estab &amp; Firm Size: Employment Size of Firms: 2012</w:t>
      </w:r>
      <w:r w:rsidRPr="00ED6163">
        <w:rPr>
          <w:snapToGrid w:val="0"/>
        </w:rPr>
        <w:t xml:space="preserve"> (517110 Wired Tele</w:t>
      </w:r>
      <w:r w:rsidRPr="00ED6163">
        <w:rPr>
          <w:snapToGrid w:val="0"/>
        </w:rPr>
        <w:t xml:space="preserve">communications Carriers). </w:t>
      </w:r>
      <w:hyperlink r:id="rId75" w:history="1">
        <w:r w:rsidRPr="00ED6163">
          <w:rPr>
            <w:rStyle w:val="Hyperlink"/>
          </w:rPr>
          <w:t>https://factfinder.census.gov/bkmk/table/1.0/en/ECN/2012_US/51SSSZ5//naics~517110</w:t>
        </w:r>
      </w:hyperlink>
      <w:r>
        <w:rPr>
          <w:rStyle w:val="Hyperlink"/>
        </w:rPr>
        <w:t>.</w:t>
      </w:r>
    </w:p>
  </w:footnote>
  <w:footnote w:id="535">
    <w:p w:rsidR="00252A4C" w:rsidRPr="00ED6163" w:rsidP="00D60B92" w14:paraId="0C538C64" w14:textId="77777777">
      <w:pPr>
        <w:pStyle w:val="FootnoteText"/>
      </w:pPr>
      <w:r w:rsidRPr="00ED6163">
        <w:rPr>
          <w:rStyle w:val="FootnoteReference"/>
        </w:rPr>
        <w:footnoteRef/>
      </w:r>
      <w:r w:rsidRPr="00ED6163">
        <w:t xml:space="preserve"> </w:t>
      </w:r>
      <w:r w:rsidRPr="00ED6163">
        <w:rPr>
          <w:i/>
        </w:rPr>
        <w:t>Id</w:t>
      </w:r>
      <w:r w:rsidRPr="00ED6163">
        <w:t>.</w:t>
      </w:r>
    </w:p>
  </w:footnote>
  <w:footnote w:id="536">
    <w:p w:rsidR="00252A4C" w:rsidRPr="00ED6163" w:rsidP="00D60B92" w14:paraId="7C3D9A30" w14:textId="77777777">
      <w:pPr>
        <w:pStyle w:val="FootnoteText"/>
      </w:pPr>
      <w:r w:rsidRPr="00ED6163">
        <w:rPr>
          <w:rStyle w:val="FootnoteReference"/>
        </w:rPr>
        <w:footnoteRef/>
      </w:r>
      <w:r w:rsidRPr="00ED6163">
        <w:t xml:space="preserve"> </w:t>
      </w:r>
      <w:r w:rsidRPr="00ED6163">
        <w:rPr>
          <w:i/>
        </w:rPr>
        <w:t>See</w:t>
      </w:r>
      <w:r w:rsidRPr="00ED6163">
        <w:t xml:space="preserve"> U.S. Census Bureau, </w:t>
      </w:r>
      <w:r w:rsidRPr="00947E6A">
        <w:rPr>
          <w:i/>
        </w:rPr>
        <w:t>2017 NAICS Definit</w:t>
      </w:r>
      <w:r w:rsidRPr="00947E6A">
        <w:rPr>
          <w:i/>
        </w:rPr>
        <w:t>ions, NAICS Code 517919 All Other Telecommunications</w:t>
      </w:r>
      <w:r w:rsidRPr="00ED6163">
        <w:t xml:space="preserve">, </w:t>
      </w:r>
      <w:hyperlink r:id="rId83" w:history="1">
        <w:r w:rsidRPr="00ED6163">
          <w:rPr>
            <w:rStyle w:val="Hyperlink"/>
          </w:rPr>
          <w:t>https://www.census.gov/cgi-bin/sssd/naics/naicsrch?input=517919&amp;search=2017+NAICS+Sea</w:t>
        </w:r>
        <w:r w:rsidRPr="00ED6163">
          <w:rPr>
            <w:rStyle w:val="Hyperlink"/>
          </w:rPr>
          <w:t>rch&amp;search=2017</w:t>
        </w:r>
      </w:hyperlink>
      <w:r w:rsidRPr="00ED6163">
        <w:rPr>
          <w:rStyle w:val="Hyperlink"/>
        </w:rPr>
        <w:t>.</w:t>
      </w:r>
    </w:p>
  </w:footnote>
  <w:footnote w:id="537">
    <w:p w:rsidR="00252A4C" w:rsidRPr="00ED6163" w:rsidP="00D60B92" w14:paraId="625116AD" w14:textId="77777777">
      <w:pPr>
        <w:pStyle w:val="FootnoteText"/>
      </w:pPr>
      <w:r w:rsidRPr="00ED6163">
        <w:rPr>
          <w:rStyle w:val="FootnoteReference"/>
        </w:rPr>
        <w:footnoteRef/>
      </w:r>
      <w:r w:rsidRPr="00ED6163">
        <w:t xml:space="preserve"> 13 CFR § 121.201; NAICS Code 517919.</w:t>
      </w:r>
    </w:p>
  </w:footnote>
  <w:footnote w:id="538">
    <w:p w:rsidR="00252A4C" w:rsidRPr="00ED6163" w:rsidP="00D60B92" w14:paraId="5BDFD2C6" w14:textId="77777777">
      <w:pPr>
        <w:pStyle w:val="FootnoteText"/>
      </w:pPr>
      <w:r w:rsidRPr="00ED6163">
        <w:rPr>
          <w:rStyle w:val="FootnoteReference"/>
        </w:rPr>
        <w:footnoteRef/>
      </w:r>
      <w:r w:rsidRPr="00ED6163">
        <w:t xml:space="preserve"> U.S. Census Bureau, </w:t>
      </w:r>
      <w:r w:rsidRPr="00ED6163">
        <w:rPr>
          <w:bCs/>
          <w:i/>
        </w:rPr>
        <w:t>2012</w:t>
      </w:r>
      <w:r w:rsidRPr="00ED6163">
        <w:rPr>
          <w:i/>
        </w:rPr>
        <w:t xml:space="preserve"> Economic Census</w:t>
      </w:r>
      <w:r w:rsidRPr="00ED6163">
        <w:rPr>
          <w:bCs/>
          <w:i/>
        </w:rPr>
        <w:t xml:space="preserve"> of the United States</w:t>
      </w:r>
      <w:r w:rsidRPr="00ED6163">
        <w:t xml:space="preserve">, Table EC1251SSSZ4, </w:t>
      </w:r>
      <w:r w:rsidRPr="00947E6A">
        <w:rPr>
          <w:i/>
        </w:rPr>
        <w:t>Information: Subject Series - Estab and Firm Size: Receipts Size of Firms for the United States: 2012</w:t>
      </w:r>
      <w:r w:rsidRPr="00ED6163">
        <w:t xml:space="preserve">, NAICS Code 517919, </w:t>
      </w:r>
      <w:hyperlink r:id="rId94" w:history="1">
        <w:r w:rsidRPr="00ED6163">
          <w:rPr>
            <w:rStyle w:val="Hyperlink"/>
          </w:rPr>
          <w:t>https://factfinder.census.gov/bkmk/table/1.0/en/ECN/2012_US/51SSSZ4//naics~517919</w:t>
        </w:r>
      </w:hyperlink>
      <w:r w:rsidRPr="00ED6163">
        <w:rPr>
          <w:rStyle w:val="Hyperlink"/>
        </w:rPr>
        <w:t>.</w:t>
      </w:r>
    </w:p>
  </w:footnote>
  <w:footnote w:id="539">
    <w:p w:rsidR="00252A4C" w:rsidRPr="00ED6163" w:rsidP="00D60B92" w14:paraId="34A5CD4C" w14:textId="77777777">
      <w:pPr>
        <w:pStyle w:val="FootnoteText"/>
      </w:pPr>
      <w:r w:rsidRPr="00ED6163">
        <w:rPr>
          <w:rStyle w:val="FootnoteReference"/>
        </w:rPr>
        <w:footnoteRef/>
      </w:r>
      <w:r w:rsidRPr="00ED6163">
        <w:t xml:space="preserve"> </w:t>
      </w:r>
      <w:r w:rsidRPr="00ED6163">
        <w:rPr>
          <w:i/>
        </w:rPr>
        <w:t>Id</w:t>
      </w:r>
      <w:r w:rsidRPr="00ED6163">
        <w:t>.</w:t>
      </w:r>
    </w:p>
  </w:footnote>
  <w:footnote w:id="540">
    <w:p w:rsidR="00252A4C" w:rsidRPr="00ED6163" w:rsidP="00D60B92" w14:paraId="57C1AE81" w14:textId="77777777">
      <w:pPr>
        <w:pStyle w:val="FootnoteText"/>
      </w:pPr>
      <w:r w:rsidRPr="00ED6163">
        <w:rPr>
          <w:rStyle w:val="FootnoteReference"/>
        </w:rPr>
        <w:footnoteRef/>
      </w:r>
      <w:r w:rsidRPr="00ED6163">
        <w:t xml:space="preserve"> </w:t>
      </w:r>
      <w:r w:rsidRPr="00ED6163">
        <w:rPr>
          <w:i/>
        </w:rPr>
        <w:t>See,</w:t>
      </w:r>
      <w:r w:rsidRPr="00ED6163">
        <w:t xml:space="preserve"> </w:t>
      </w:r>
      <w:r w:rsidRPr="00ED6163">
        <w:rPr>
          <w:color w:val="000000"/>
        </w:rPr>
        <w:t xml:space="preserve">13 CFR § 121.201.  </w:t>
      </w:r>
      <w:r w:rsidRPr="00ED6163">
        <w:t>The Wired Telecommunica</w:t>
      </w:r>
      <w:r w:rsidRPr="00ED6163">
        <w:t xml:space="preserve">tions Carrier category formerly used the NAICS Code of 517110. As of 2017 the U.S. Census Bureau definition shows the NAICS Code as 517311 for Wired Telecommunications Carriers.  </w:t>
      </w:r>
      <w:r w:rsidRPr="00ED6163">
        <w:rPr>
          <w:i/>
        </w:rPr>
        <w:t>See</w:t>
      </w:r>
      <w:r w:rsidRPr="00ED6163">
        <w:t xml:space="preserve">, U.S. Census Bureau, </w:t>
      </w:r>
      <w:r w:rsidRPr="00ED6163">
        <w:rPr>
          <w:i/>
        </w:rPr>
        <w:t>2017 NAICS Definition</w:t>
      </w:r>
      <w:r w:rsidRPr="00ED6163">
        <w:t xml:space="preserve">, </w:t>
      </w:r>
      <w:hyperlink r:id="rId72" w:history="1">
        <w:r w:rsidRPr="00ED6163">
          <w:rPr>
            <w:rStyle w:val="Hyperlink"/>
          </w:rPr>
          <w:t>https://www.census.gov/cgi-bin/sssd/naics/naicsrch?code=517311&amp;search=2017</w:t>
        </w:r>
      </w:hyperlink>
      <w:r w:rsidRPr="00ED6163">
        <w:t xml:space="preserve">. </w:t>
      </w:r>
    </w:p>
  </w:footnote>
  <w:footnote w:id="541">
    <w:p w:rsidR="00252A4C" w:rsidRPr="00ED6163" w:rsidP="00D60B92" w14:paraId="3C507929" w14:textId="77777777">
      <w:pPr>
        <w:pStyle w:val="FootnoteText"/>
      </w:pPr>
      <w:r w:rsidRPr="00ED6163">
        <w:rPr>
          <w:rStyle w:val="FootnoteReference"/>
        </w:rPr>
        <w:footnoteRef/>
      </w:r>
      <w:r w:rsidRPr="00ED6163">
        <w:t xml:space="preserve"> </w:t>
      </w:r>
      <w:r w:rsidRPr="00ED6163">
        <w:rPr>
          <w:i/>
        </w:rPr>
        <w:t>See</w:t>
      </w:r>
      <w:r w:rsidRPr="00ED6163">
        <w:t xml:space="preserve"> 13 CFR </w:t>
      </w:r>
      <w:r w:rsidRPr="00ED6163">
        <w:rPr>
          <w:rStyle w:val="Footnote"/>
        </w:rPr>
        <w:t>§</w:t>
      </w:r>
      <w:r w:rsidRPr="00ED6163">
        <w:t xml:space="preserve"> 120.201, NAICS Code 517110.</w:t>
      </w:r>
    </w:p>
  </w:footnote>
  <w:footnote w:id="542">
    <w:p w:rsidR="00252A4C" w:rsidRPr="00ED6163" w:rsidP="00D60B92" w14:paraId="7644DBC1" w14:textId="77777777">
      <w:pPr>
        <w:pStyle w:val="FootnoteText"/>
        <w:rPr>
          <w:i/>
        </w:rPr>
      </w:pPr>
      <w:r w:rsidRPr="00ED6163">
        <w:rPr>
          <w:rStyle w:val="FootnoteReference"/>
        </w:rPr>
        <w:footnoteRef/>
      </w:r>
      <w:r w:rsidRPr="00ED6163">
        <w:t xml:space="preserve"> </w:t>
      </w:r>
      <w:r w:rsidRPr="00ED6163">
        <w:rPr>
          <w:i/>
        </w:rPr>
        <w:t>See</w:t>
      </w:r>
      <w:r w:rsidRPr="00ED6163">
        <w:t xml:space="preserve"> U.S. Census Bureau, </w:t>
      </w:r>
      <w:r w:rsidRPr="00ED6163">
        <w:rPr>
          <w:bCs/>
          <w:i/>
        </w:rPr>
        <w:t>2012</w:t>
      </w:r>
      <w:r w:rsidRPr="00ED6163">
        <w:rPr>
          <w:i/>
        </w:rPr>
        <w:t xml:space="preserve"> Economic Census</w:t>
      </w:r>
      <w:r w:rsidRPr="00ED6163">
        <w:rPr>
          <w:bCs/>
          <w:i/>
        </w:rPr>
        <w:t xml:space="preserve"> of the United States,</w:t>
      </w:r>
      <w:r w:rsidRPr="00ED6163">
        <w:t xml:space="preserve"> Table</w:t>
      </w:r>
      <w:r w:rsidRPr="00ED6163">
        <w:t xml:space="preserve"> No. EC1251SSSZ5, </w:t>
      </w:r>
      <w:r w:rsidRPr="00ED6163">
        <w:rPr>
          <w:i/>
          <w:iCs/>
        </w:rPr>
        <w:t>Information: Subject Series - Estab &amp; Firm Size: Employment Size of Firms: 2012</w:t>
      </w:r>
      <w:r w:rsidRPr="00ED6163">
        <w:t xml:space="preserve"> (517110 Wired Telecommunications Carriers). </w:t>
      </w:r>
      <w:hyperlink r:id="rId75" w:history="1">
        <w:r w:rsidRPr="00ED6163">
          <w:rPr>
            <w:rStyle w:val="Hyperlink"/>
          </w:rPr>
          <w:t>https://factfinde</w:t>
        </w:r>
        <w:r w:rsidRPr="00ED6163">
          <w:rPr>
            <w:rStyle w:val="Hyperlink"/>
          </w:rPr>
          <w:t>r.census.gov/bkmk/table/1.0/en/ECN/2012_US/51SSSZ5//naics~517110</w:t>
        </w:r>
      </w:hyperlink>
      <w:r w:rsidRPr="00ED6163">
        <w:t>.</w:t>
      </w:r>
    </w:p>
  </w:footnote>
  <w:footnote w:id="543">
    <w:p w:rsidR="00252A4C" w:rsidRPr="00ED6163" w:rsidP="00D60B92" w14:paraId="4AAF6E5A" w14:textId="77777777">
      <w:pPr>
        <w:pStyle w:val="FootnoteText"/>
      </w:pPr>
      <w:r w:rsidRPr="00ED6163">
        <w:rPr>
          <w:rStyle w:val="FootnoteReference"/>
        </w:rPr>
        <w:footnoteRef/>
      </w:r>
      <w:r w:rsidRPr="00ED6163">
        <w:t xml:space="preserve"> </w:t>
      </w:r>
      <w:r w:rsidRPr="00ED6163">
        <w:rPr>
          <w:i/>
        </w:rPr>
        <w:t>Id</w:t>
      </w:r>
      <w:r w:rsidRPr="00ED6163">
        <w:t>.</w:t>
      </w:r>
    </w:p>
  </w:footnote>
  <w:footnote w:id="544">
    <w:p w:rsidR="00252A4C" w:rsidRPr="00ED6163" w:rsidP="00D60B92" w14:paraId="47295A9F" w14:textId="77777777">
      <w:pPr>
        <w:pStyle w:val="FootnoteText"/>
      </w:pPr>
      <w:r w:rsidRPr="00ED6163">
        <w:rPr>
          <w:rStyle w:val="FootnoteReference"/>
        </w:rPr>
        <w:footnoteRef/>
      </w:r>
      <w:r w:rsidRPr="00ED6163">
        <w:t xml:space="preserve"> </w:t>
      </w:r>
      <w:r w:rsidRPr="00ED6163">
        <w:rPr>
          <w:i/>
        </w:rPr>
        <w:t>See</w:t>
      </w:r>
      <w:r w:rsidRPr="00ED6163">
        <w:t xml:space="preserve"> </w:t>
      </w:r>
      <w:r w:rsidRPr="00ED6163">
        <w:rPr>
          <w:color w:val="000000"/>
        </w:rPr>
        <w:t xml:space="preserve">13 CFR § 121.201. </w:t>
      </w:r>
      <w:r w:rsidRPr="00ED6163">
        <w:t>The Wired Telecommunications Carrier category formerly used the NAICS Code of 517110. As of 2017 the U.S. Census Bureau definition shows the NAICS Code as 51731</w:t>
      </w:r>
      <w:r w:rsidRPr="00ED6163">
        <w:t xml:space="preserve">1 for Wired Telecommunications Carriers.  </w:t>
      </w:r>
      <w:r w:rsidRPr="00ED6163">
        <w:rPr>
          <w:i/>
        </w:rPr>
        <w:t>See</w:t>
      </w:r>
      <w:r w:rsidRPr="00ED6163">
        <w:t xml:space="preserve"> U.S. Census Bureau, </w:t>
      </w:r>
      <w:r w:rsidRPr="00ED6163">
        <w:rPr>
          <w:i/>
        </w:rPr>
        <w:t>2017 NAICS Definition,</w:t>
      </w:r>
      <w:r w:rsidRPr="00ED6163">
        <w:t xml:space="preserve"> </w:t>
      </w:r>
      <w:hyperlink r:id="rId72" w:history="1">
        <w:r w:rsidRPr="00ED6163">
          <w:rPr>
            <w:rStyle w:val="Hyperlink"/>
          </w:rPr>
          <w:t>https://www.census.gov/cgi-bin/sssd/naics/naicsrch?code=517311&amp;search=2017</w:t>
        </w:r>
      </w:hyperlink>
      <w:r w:rsidRPr="00ED6163">
        <w:t xml:space="preserve">. </w:t>
      </w:r>
    </w:p>
  </w:footnote>
  <w:footnote w:id="545">
    <w:p w:rsidR="00252A4C" w:rsidRPr="00ED6163" w:rsidP="00D60B92" w14:paraId="18865D21" w14:textId="77777777">
      <w:pPr>
        <w:pStyle w:val="FootnoteText"/>
      </w:pPr>
      <w:r w:rsidRPr="00ED6163">
        <w:rPr>
          <w:rStyle w:val="FootnoteReference"/>
        </w:rPr>
        <w:footnoteRef/>
      </w:r>
      <w:r w:rsidRPr="00ED6163">
        <w:rPr>
          <w:i/>
        </w:rPr>
        <w:t xml:space="preserve"> Id</w:t>
      </w:r>
      <w:r w:rsidRPr="00ED6163">
        <w:t xml:space="preserve">. </w:t>
      </w:r>
    </w:p>
  </w:footnote>
  <w:footnote w:id="546">
    <w:p w:rsidR="00252A4C" w:rsidRPr="00ED6163" w:rsidP="00D60B92" w14:paraId="75AF8CE2" w14:textId="77777777">
      <w:pPr>
        <w:pStyle w:val="FootnoteText"/>
      </w:pPr>
      <w:r w:rsidRPr="00ED6163">
        <w:rPr>
          <w:rStyle w:val="FootnoteReference"/>
        </w:rPr>
        <w:footnoteRef/>
      </w:r>
      <w:r w:rsidRPr="00ED6163">
        <w:t xml:space="preserve"> </w:t>
      </w:r>
      <w:r w:rsidRPr="00ED6163">
        <w:rPr>
          <w:i/>
        </w:rPr>
        <w:t>See</w:t>
      </w:r>
      <w:r w:rsidRPr="00ED6163">
        <w:t xml:space="preserve"> U.S. Census Bureau, </w:t>
      </w:r>
      <w:r w:rsidRPr="00ED6163">
        <w:rPr>
          <w:bCs/>
          <w:i/>
        </w:rPr>
        <w:t>2012</w:t>
      </w:r>
      <w:r w:rsidRPr="00ED6163">
        <w:rPr>
          <w:i/>
        </w:rPr>
        <w:t xml:space="preserve"> Economic Census</w:t>
      </w:r>
      <w:r w:rsidRPr="00ED6163">
        <w:rPr>
          <w:bCs/>
          <w:i/>
        </w:rPr>
        <w:t xml:space="preserve"> of the United States,</w:t>
      </w:r>
      <w:r w:rsidRPr="00ED6163">
        <w:t xml:space="preserve"> Table No. EC1251SSSZ5, </w:t>
      </w:r>
      <w:r w:rsidRPr="00ED6163">
        <w:rPr>
          <w:i/>
          <w:iCs/>
        </w:rPr>
        <w:t>Information: Subject Series - Estab &amp; Firm Size: Employment Size of Firms: 2012</w:t>
      </w:r>
      <w:r w:rsidRPr="00ED6163">
        <w:t xml:space="preserve"> </w:t>
      </w:r>
      <w:r w:rsidRPr="00ED6163">
        <w:t xml:space="preserve">(517110 Wired Telecommunications Carriers). </w:t>
      </w:r>
      <w:hyperlink r:id="rId75" w:history="1">
        <w:r w:rsidRPr="00ED6163">
          <w:rPr>
            <w:rStyle w:val="Hyperlink"/>
          </w:rPr>
          <w:t>https://factfinder.census.gov/bkmk/table/1.0/en/ECN/2012_US/51SSSZ5//naics~517110</w:t>
        </w:r>
      </w:hyperlink>
      <w:r w:rsidRPr="00ED6163">
        <w:rPr>
          <w:rStyle w:val="Hyperlink"/>
        </w:rPr>
        <w:t>.</w:t>
      </w:r>
    </w:p>
  </w:footnote>
  <w:footnote w:id="547">
    <w:p w:rsidR="00252A4C" w:rsidRPr="00ED6163" w:rsidP="00D60B92" w14:paraId="6ABCA865" w14:textId="77777777">
      <w:pPr>
        <w:pStyle w:val="FootnoteText"/>
      </w:pPr>
      <w:r w:rsidRPr="00ED6163">
        <w:rPr>
          <w:rStyle w:val="FootnoteReference"/>
        </w:rPr>
        <w:footnoteRef/>
      </w:r>
      <w:r w:rsidRPr="00ED6163">
        <w:rPr>
          <w:i/>
        </w:rPr>
        <w:t xml:space="preserve"> Id</w:t>
      </w:r>
      <w:r w:rsidRPr="00ED6163">
        <w:t>.</w:t>
      </w:r>
    </w:p>
  </w:footnote>
  <w:footnote w:id="548">
    <w:p w:rsidR="00252A4C" w:rsidRPr="00ED6163" w:rsidP="00D60B92" w14:paraId="629512EA" w14:textId="77777777">
      <w:pPr>
        <w:pStyle w:val="FootnoteText"/>
      </w:pPr>
      <w:r w:rsidRPr="00ED6163">
        <w:rPr>
          <w:rStyle w:val="FootnoteReference"/>
        </w:rPr>
        <w:footnoteRef/>
      </w:r>
      <w:r w:rsidRPr="00ED6163">
        <w:t xml:space="preserve"> </w:t>
      </w:r>
      <w:r w:rsidRPr="00ED6163">
        <w:rPr>
          <w:i/>
        </w:rPr>
        <w:t>See,</w:t>
      </w:r>
      <w:r w:rsidRPr="00ED6163">
        <w:t xml:space="preserve"> </w:t>
      </w:r>
      <w:r w:rsidRPr="00ED6163">
        <w:rPr>
          <w:color w:val="000000"/>
        </w:rPr>
        <w:t xml:space="preserve">13 CFR § 121.201. </w:t>
      </w:r>
      <w:r w:rsidRPr="00ED6163">
        <w:t>T</w:t>
      </w:r>
      <w:r w:rsidRPr="00ED6163">
        <w:t xml:space="preserve">he Wired Telecommunications Carrier category formerly used the NAICS Code of 517110. As of 2017 the U.S. Census Bureau definition shows the NAICS Code as 517311 for Wired Telecommunications Carriers.  </w:t>
      </w:r>
      <w:r w:rsidRPr="00ED6163">
        <w:rPr>
          <w:i/>
        </w:rPr>
        <w:t>See</w:t>
      </w:r>
      <w:r w:rsidRPr="00ED6163">
        <w:t xml:space="preserve">, </w:t>
      </w:r>
      <w:hyperlink r:id="rId72" w:history="1">
        <w:r w:rsidRPr="00ED6163">
          <w:rPr>
            <w:rStyle w:val="Hyperlink"/>
          </w:rPr>
          <w:t>https://www.census.gov/cgi-bin/sssd/naics/naicsrch?code=517311&amp;search=2017</w:t>
        </w:r>
      </w:hyperlink>
      <w:r w:rsidRPr="00ED6163">
        <w:rPr>
          <w:rStyle w:val="Hyperlink"/>
        </w:rPr>
        <w:t>.</w:t>
      </w:r>
    </w:p>
  </w:footnote>
  <w:footnote w:id="549">
    <w:p w:rsidR="00252A4C" w:rsidRPr="00ED6163" w:rsidP="00D60B92" w14:paraId="0C038E40" w14:textId="77777777">
      <w:pPr>
        <w:pStyle w:val="FootnoteText"/>
      </w:pPr>
      <w:r w:rsidRPr="00ED6163">
        <w:rPr>
          <w:rStyle w:val="FootnoteReference"/>
        </w:rPr>
        <w:footnoteRef/>
      </w:r>
      <w:r w:rsidRPr="00ED6163">
        <w:t xml:space="preserve"> </w:t>
      </w:r>
      <w:r w:rsidRPr="00ED6163">
        <w:rPr>
          <w:i/>
        </w:rPr>
        <w:t>Id.</w:t>
      </w:r>
      <w:r w:rsidRPr="00ED6163">
        <w:t xml:space="preserve"> </w:t>
      </w:r>
    </w:p>
  </w:footnote>
  <w:footnote w:id="550">
    <w:p w:rsidR="00252A4C" w:rsidRPr="00ED6163" w:rsidP="00D60B92" w14:paraId="7F74EEA9" w14:textId="77777777">
      <w:pPr>
        <w:pStyle w:val="FootnoteText"/>
      </w:pPr>
      <w:r w:rsidRPr="00ED6163">
        <w:rPr>
          <w:rStyle w:val="FootnoteReference"/>
        </w:rPr>
        <w:footnoteRef/>
      </w:r>
      <w:r w:rsidRPr="00ED6163">
        <w:t xml:space="preserve"> U.S. Census Bureau</w:t>
      </w:r>
      <w:r w:rsidRPr="00ED6163">
        <w:rPr>
          <w:i/>
        </w:rPr>
        <w:t>,</w:t>
      </w:r>
      <w:r w:rsidRPr="00ED6163">
        <w:t xml:space="preserve"> </w:t>
      </w:r>
      <w:r w:rsidRPr="00ED6163">
        <w:rPr>
          <w:bCs/>
          <w:i/>
        </w:rPr>
        <w:t>2012</w:t>
      </w:r>
      <w:r w:rsidRPr="00ED6163">
        <w:rPr>
          <w:i/>
        </w:rPr>
        <w:t xml:space="preserve"> Economic Census</w:t>
      </w:r>
      <w:r w:rsidRPr="00ED6163">
        <w:rPr>
          <w:bCs/>
          <w:i/>
        </w:rPr>
        <w:t xml:space="preserve"> of the United States,</w:t>
      </w:r>
      <w:r w:rsidRPr="00ED6163">
        <w:t xml:space="preserve"> Table No. EC1251SSSZ5, </w:t>
      </w:r>
      <w:r w:rsidRPr="00ED6163">
        <w:rPr>
          <w:i/>
          <w:iCs/>
        </w:rPr>
        <w:t>Information: Subject Series - Estab &amp; Firm S</w:t>
      </w:r>
      <w:r w:rsidRPr="00ED6163">
        <w:rPr>
          <w:i/>
          <w:iCs/>
        </w:rPr>
        <w:t>ize: Employment Size of Firms: 2012</w:t>
      </w:r>
      <w:r w:rsidRPr="00ED6163">
        <w:t xml:space="preserve"> (517110 Wired Telecommunications Carriers). </w:t>
      </w:r>
      <w:hyperlink r:id="rId75" w:history="1">
        <w:r w:rsidRPr="00ED6163">
          <w:rPr>
            <w:rStyle w:val="Hyperlink"/>
          </w:rPr>
          <w:t>https://factfinder.census.gov/bkmk/table/1.0/en/ECN/2012_US/51SSSZ5//naics~5171</w:t>
        </w:r>
        <w:r w:rsidRPr="00ED6163">
          <w:rPr>
            <w:rStyle w:val="Hyperlink"/>
          </w:rPr>
          <w:t>10</w:t>
        </w:r>
      </w:hyperlink>
      <w:r w:rsidRPr="00ED6163">
        <w:rPr>
          <w:rStyle w:val="Hyperlink"/>
        </w:rPr>
        <w:t>.</w:t>
      </w:r>
    </w:p>
  </w:footnote>
  <w:footnote w:id="551">
    <w:p w:rsidR="00252A4C" w:rsidRPr="00ED6163" w:rsidP="00D60B92" w14:paraId="43F4B930" w14:textId="77777777">
      <w:pPr>
        <w:pStyle w:val="FootnoteText"/>
      </w:pPr>
      <w:r w:rsidRPr="00ED6163">
        <w:rPr>
          <w:rStyle w:val="FootnoteReference"/>
        </w:rPr>
        <w:footnoteRef/>
      </w:r>
      <w:r w:rsidRPr="00ED6163">
        <w:t xml:space="preserve"> </w:t>
      </w:r>
      <w:r w:rsidRPr="00ED6163">
        <w:rPr>
          <w:i/>
        </w:rPr>
        <w:t>Id</w:t>
      </w:r>
      <w:r w:rsidRPr="00ED6163">
        <w:t>.</w:t>
      </w:r>
    </w:p>
  </w:footnote>
  <w:footnote w:id="552">
    <w:p w:rsidR="00252A4C" w:rsidRPr="00ED6163" w:rsidP="00D60B92" w14:paraId="1E714094" w14:textId="77777777">
      <w:pPr>
        <w:pStyle w:val="FootnoteText"/>
      </w:pPr>
      <w:r w:rsidRPr="00ED6163">
        <w:rPr>
          <w:rStyle w:val="FootnoteReference"/>
        </w:rPr>
        <w:footnoteRef/>
      </w:r>
      <w:r w:rsidRPr="00ED6163">
        <w:t xml:space="preserve"> </w:t>
      </w:r>
      <w:r w:rsidRPr="00ED6163">
        <w:rPr>
          <w:i/>
        </w:rPr>
        <w:t xml:space="preserve">See </w:t>
      </w:r>
      <w:r w:rsidRPr="00ED6163">
        <w:t>Federal Communications Commission, Wireline Competition Bureau, Industry Analysis and Technology Division, Trends in Telephone Service at Table 5.3 (Sept. 2010) (</w:t>
      </w:r>
      <w:r w:rsidRPr="00ED6163">
        <w:rPr>
          <w:i/>
        </w:rPr>
        <w:t>Trends in Telephone Service</w:t>
      </w:r>
      <w:r w:rsidRPr="00ED6163">
        <w:t>).</w:t>
      </w:r>
    </w:p>
  </w:footnote>
  <w:footnote w:id="553">
    <w:p w:rsidR="00252A4C" w:rsidRPr="00ED6163" w:rsidP="00D60B92" w14:paraId="79C734F2" w14:textId="77777777">
      <w:pPr>
        <w:pStyle w:val="FootnoteText"/>
      </w:pPr>
      <w:r w:rsidRPr="00ED6163">
        <w:rPr>
          <w:rStyle w:val="FootnoteReference"/>
        </w:rPr>
        <w:footnoteRef/>
      </w:r>
      <w:r w:rsidRPr="00ED6163">
        <w:t xml:space="preserve"> </w:t>
      </w:r>
      <w:r w:rsidRPr="00ED6163">
        <w:rPr>
          <w:i/>
        </w:rPr>
        <w:t>Id</w:t>
      </w:r>
      <w:r w:rsidRPr="00ED6163">
        <w:t>.</w:t>
      </w:r>
    </w:p>
  </w:footnote>
  <w:footnote w:id="554">
    <w:p w:rsidR="00252A4C" w:rsidRPr="00ED6163" w:rsidP="00D60B92" w14:paraId="6A47172E" w14:textId="77777777">
      <w:pPr>
        <w:pStyle w:val="FootnoteText"/>
      </w:pPr>
      <w:r w:rsidRPr="00ED6163">
        <w:rPr>
          <w:rStyle w:val="FootnoteReference"/>
        </w:rPr>
        <w:footnoteRef/>
      </w:r>
      <w:r w:rsidRPr="00ED6163">
        <w:rPr>
          <w:rStyle w:val="FootnoteTextChar4"/>
        </w:rPr>
        <w:t xml:space="preserve"> </w:t>
      </w:r>
      <w:r w:rsidRPr="00ED6163">
        <w:rPr>
          <w:i/>
        </w:rPr>
        <w:t>See</w:t>
      </w:r>
      <w:r w:rsidRPr="00ED6163">
        <w:t xml:space="preserve"> </w:t>
      </w:r>
      <w:r w:rsidRPr="00ED6163">
        <w:rPr>
          <w:color w:val="000000"/>
        </w:rPr>
        <w:t xml:space="preserve">13 CFR § 121.201. </w:t>
      </w:r>
      <w:r w:rsidRPr="00ED6163">
        <w:t xml:space="preserve">The Wired Telecommunications Carrier category formerly used the NAICS Code of 517110. As of 2017 the U.S. Census Bureau definition shows the NAICS Code as 517311 for Wired Telecommunications Carriers.  </w:t>
      </w:r>
      <w:r w:rsidRPr="00ED6163">
        <w:rPr>
          <w:i/>
        </w:rPr>
        <w:t>See</w:t>
      </w:r>
      <w:r w:rsidRPr="00ED6163">
        <w:t xml:space="preserve">, U.S. Census Bureau, </w:t>
      </w:r>
      <w:r w:rsidRPr="00ED6163">
        <w:rPr>
          <w:i/>
        </w:rPr>
        <w:t xml:space="preserve">2017 NAICS Definition, </w:t>
      </w:r>
      <w:r w:rsidRPr="00ED6163">
        <w:t xml:space="preserve"> </w:t>
      </w:r>
      <w:hyperlink r:id="rId72" w:history="1">
        <w:r w:rsidRPr="00ED6163">
          <w:rPr>
            <w:rStyle w:val="Hyperlink"/>
          </w:rPr>
          <w:t>https://www.census.gov/cgi-bin/sssd/naics/naicsrch?code=517311&amp;search=2017</w:t>
        </w:r>
      </w:hyperlink>
      <w:r w:rsidRPr="00ED6163">
        <w:t xml:space="preserve">. </w:t>
      </w:r>
    </w:p>
  </w:footnote>
  <w:footnote w:id="555">
    <w:p w:rsidR="00252A4C" w:rsidRPr="00ED6163" w:rsidP="00D60B92" w14:paraId="445135DF" w14:textId="77777777">
      <w:pPr>
        <w:pStyle w:val="FootnoteText"/>
      </w:pPr>
      <w:r w:rsidRPr="00ED6163">
        <w:rPr>
          <w:rStyle w:val="FootnoteReference"/>
        </w:rPr>
        <w:footnoteRef/>
      </w:r>
      <w:r w:rsidRPr="00ED6163">
        <w:t xml:space="preserve"> U.S. Census Bureau</w:t>
      </w:r>
      <w:r w:rsidRPr="00ED6163">
        <w:rPr>
          <w:i/>
        </w:rPr>
        <w:t>,</w:t>
      </w:r>
      <w:r w:rsidRPr="00ED6163">
        <w:t xml:space="preserve"> </w:t>
      </w:r>
      <w:r w:rsidRPr="00ED6163">
        <w:rPr>
          <w:bCs/>
          <w:i/>
        </w:rPr>
        <w:t>2012</w:t>
      </w:r>
      <w:r w:rsidRPr="00ED6163">
        <w:rPr>
          <w:i/>
        </w:rPr>
        <w:t xml:space="preserve"> Economic Census</w:t>
      </w:r>
      <w:r w:rsidRPr="00ED6163">
        <w:rPr>
          <w:bCs/>
          <w:i/>
        </w:rPr>
        <w:t xml:space="preserve"> of the United States,</w:t>
      </w:r>
      <w:r w:rsidRPr="00ED6163">
        <w:t xml:space="preserve"> Table No. EC1251SSSZ5, </w:t>
      </w:r>
      <w:r w:rsidRPr="00ED6163">
        <w:rPr>
          <w:i/>
          <w:iCs/>
        </w:rPr>
        <w:t>Infor</w:t>
      </w:r>
      <w:r w:rsidRPr="00ED6163">
        <w:rPr>
          <w:i/>
          <w:iCs/>
        </w:rPr>
        <w:t>mation: Subject Series - Estab &amp; Firm Size: Employment Size of Firms: 2012</w:t>
      </w:r>
      <w:r w:rsidRPr="00ED6163">
        <w:t xml:space="preserve"> (517110 Wired Telecommunications Carriers). </w:t>
      </w:r>
      <w:hyperlink r:id="rId75" w:history="1">
        <w:r w:rsidRPr="00ED6163">
          <w:rPr>
            <w:rStyle w:val="Hyperlink"/>
          </w:rPr>
          <w:t>https://factfinder.census.gov/bkmk/table</w:t>
        </w:r>
        <w:r w:rsidRPr="00ED6163">
          <w:rPr>
            <w:rStyle w:val="Hyperlink"/>
          </w:rPr>
          <w:t>/1.0/en/ECN/2012_US/51SSSZ5//naics~517110</w:t>
        </w:r>
      </w:hyperlink>
    </w:p>
  </w:footnote>
  <w:footnote w:id="556">
    <w:p w:rsidR="00252A4C" w:rsidRPr="00ED6163" w:rsidP="00D60B92" w14:paraId="7A8C9702" w14:textId="77777777">
      <w:pPr>
        <w:pStyle w:val="FootnoteText"/>
      </w:pPr>
      <w:r w:rsidRPr="00ED6163">
        <w:rPr>
          <w:rStyle w:val="FootnoteReference"/>
        </w:rPr>
        <w:footnoteRef/>
      </w:r>
      <w:r w:rsidRPr="00ED6163">
        <w:t xml:space="preserve"> </w:t>
      </w:r>
      <w:r w:rsidRPr="00ED6163">
        <w:rPr>
          <w:i/>
        </w:rPr>
        <w:t>Id</w:t>
      </w:r>
      <w:r w:rsidRPr="00ED6163">
        <w:t>.</w:t>
      </w:r>
      <w:r>
        <w:t xml:space="preserve"> </w:t>
      </w:r>
    </w:p>
  </w:footnote>
  <w:footnote w:id="557">
    <w:p w:rsidR="00252A4C" w:rsidRPr="00ED6163" w:rsidP="00D60B92" w14:paraId="7E8A103F" w14:textId="77777777">
      <w:pPr>
        <w:pStyle w:val="FootnoteText"/>
      </w:pPr>
      <w:r w:rsidRPr="00ED6163">
        <w:rPr>
          <w:rStyle w:val="FootnoteReference"/>
        </w:rPr>
        <w:footnoteRef/>
      </w:r>
      <w:r w:rsidRPr="00ED6163">
        <w:t xml:space="preserve"> </w:t>
      </w:r>
      <w:r w:rsidRPr="00ED6163">
        <w:rPr>
          <w:i/>
        </w:rPr>
        <w:t>See Trends in Telephone Service</w:t>
      </w:r>
      <w:r w:rsidRPr="00ED6163">
        <w:t>, at tbl. 5.3.</w:t>
      </w:r>
    </w:p>
  </w:footnote>
  <w:footnote w:id="558">
    <w:p w:rsidR="00252A4C" w:rsidRPr="00ED6163" w:rsidP="00D60B92" w14:paraId="119E5014" w14:textId="77777777">
      <w:pPr>
        <w:pStyle w:val="FootnoteText"/>
      </w:pPr>
      <w:r w:rsidRPr="00ED6163">
        <w:rPr>
          <w:rStyle w:val="FootnoteReference"/>
        </w:rPr>
        <w:footnoteRef/>
      </w:r>
      <w:r w:rsidRPr="002E75DB">
        <w:t xml:space="preserve"> </w:t>
      </w:r>
      <w:r w:rsidRPr="002E75DB">
        <w:rPr>
          <w:i/>
        </w:rPr>
        <w:t>See Trends in Telephone Service</w:t>
      </w:r>
      <w:r w:rsidRPr="002E75DB">
        <w:t>, at tbl. 5.3</w:t>
      </w:r>
      <w:r>
        <w:t>;</w:t>
      </w:r>
      <w:r w:rsidRPr="00ED6163">
        <w:t xml:space="preserve"> </w:t>
      </w:r>
      <w:r w:rsidRPr="00ED6163">
        <w:rPr>
          <w:i/>
        </w:rPr>
        <w:t>Id</w:t>
      </w:r>
      <w:r w:rsidRPr="00ED6163">
        <w:t>.</w:t>
      </w:r>
    </w:p>
  </w:footnote>
  <w:footnote w:id="559">
    <w:p w:rsidR="00252A4C" w:rsidRPr="00ED6163" w:rsidP="00D60B92" w14:paraId="0172C73E" w14:textId="77777777">
      <w:pPr>
        <w:pStyle w:val="FootnoteText"/>
      </w:pPr>
      <w:r w:rsidRPr="00ED6163">
        <w:rPr>
          <w:rStyle w:val="FootnoteReference"/>
        </w:rPr>
        <w:footnoteRef/>
      </w:r>
      <w:r w:rsidRPr="00ED6163">
        <w:t xml:space="preserve"> </w:t>
      </w:r>
      <w:r w:rsidRPr="00ED6163">
        <w:rPr>
          <w:i/>
        </w:rPr>
        <w:t>Id</w:t>
      </w:r>
      <w:r w:rsidRPr="00ED6163">
        <w:t>.</w:t>
      </w:r>
    </w:p>
  </w:footnote>
  <w:footnote w:id="560">
    <w:p w:rsidR="00252A4C" w:rsidRPr="00ED6163" w:rsidP="00D60B92" w14:paraId="2B523CF0" w14:textId="77777777">
      <w:pPr>
        <w:pStyle w:val="FootnoteText"/>
      </w:pPr>
      <w:r w:rsidRPr="00ED6163">
        <w:rPr>
          <w:rStyle w:val="FootnoteReference"/>
        </w:rPr>
        <w:footnoteRef/>
      </w:r>
      <w:r w:rsidRPr="00ED6163">
        <w:t xml:space="preserve"> </w:t>
      </w:r>
      <w:r w:rsidRPr="00ED6163">
        <w:rPr>
          <w:i/>
        </w:rPr>
        <w:t>Id</w:t>
      </w:r>
      <w:r w:rsidRPr="00947E6A">
        <w:t>.</w:t>
      </w:r>
    </w:p>
  </w:footnote>
  <w:footnote w:id="561">
    <w:p w:rsidR="00252A4C" w:rsidRPr="00ED6163" w:rsidP="00D60B92" w14:paraId="0CF88B7F" w14:textId="77777777">
      <w:pPr>
        <w:pStyle w:val="FootnoteText"/>
      </w:pPr>
      <w:r w:rsidRPr="00ED6163">
        <w:rPr>
          <w:rStyle w:val="FootnoteReference"/>
        </w:rPr>
        <w:footnoteRef/>
      </w:r>
      <w:r w:rsidRPr="00ED6163">
        <w:t xml:space="preserve"> </w:t>
      </w:r>
      <w:r w:rsidRPr="00ED6163">
        <w:rPr>
          <w:i/>
        </w:rPr>
        <w:t>Id</w:t>
      </w:r>
      <w:r w:rsidRPr="00ED6163">
        <w:t>.</w:t>
      </w:r>
    </w:p>
  </w:footnote>
  <w:footnote w:id="562">
    <w:p w:rsidR="00252A4C" w:rsidRPr="00ED6163" w:rsidP="00D60B92" w14:paraId="360C50FB" w14:textId="77777777">
      <w:pPr>
        <w:pStyle w:val="FootnoteText"/>
      </w:pPr>
      <w:r w:rsidRPr="00ED6163">
        <w:rPr>
          <w:rStyle w:val="FootnoteReference"/>
        </w:rPr>
        <w:footnoteRef/>
      </w:r>
      <w:r w:rsidRPr="00ED6163">
        <w:t xml:space="preserve"> We have included small incumbent LECs in this present RFA analysis.  As noted above, a </w:t>
      </w:r>
      <w:r w:rsidRPr="00ED6163">
        <w:t xml:space="preserve">“small business” under the RFA is one that, </w:t>
      </w:r>
      <w:r w:rsidRPr="00ED6163">
        <w:rPr>
          <w:i/>
          <w:iCs/>
        </w:rPr>
        <w:t>inter alia</w:t>
      </w:r>
      <w:r w:rsidRPr="00ED6163">
        <w:t>, meets the pertinent small business size standard (</w:t>
      </w:r>
      <w:r w:rsidRPr="00ED6163">
        <w:rPr>
          <w:iCs/>
        </w:rPr>
        <w:t>e.g.</w:t>
      </w:r>
      <w:r w:rsidRPr="00ED6163">
        <w:t>, a telephone communications business having 1,500 or fewer employees</w:t>
      </w:r>
      <w:r w:rsidRPr="002E75DB">
        <w:t>)</w:t>
      </w:r>
      <w:r w:rsidRPr="00ED6163">
        <w:t xml:space="preserve"> and “is not dominant in its field of operation</w:t>
      </w:r>
      <w:r w:rsidRPr="002E75DB">
        <w:t>.”</w:t>
      </w:r>
      <w:r w:rsidRPr="00ED6163">
        <w:rPr>
          <w:vertAlign w:val="superscript"/>
        </w:rPr>
        <w:footnoteRef/>
      </w:r>
      <w:r w:rsidRPr="00ED6163">
        <w:t xml:space="preserve">  The SBA’s Office of Advocacy contends that, for RFA purposes, small incumbent LECs are not dominant in their field of operation because any such dominance is not “national” in scope</w:t>
      </w:r>
      <w:r>
        <w:t xml:space="preserve">.  </w:t>
      </w:r>
      <w:r w:rsidRPr="00ED6163">
        <w:t>We have therefore in</w:t>
      </w:r>
      <w:r w:rsidRPr="00ED6163">
        <w:t>cluded small incumbent LECs in this RFA analysis, although we emphasize that this RFA action has no effect on Commission analyses and determinations in other, non-RFA contexts.</w:t>
      </w:r>
    </w:p>
  </w:footnote>
  <w:footnote w:id="563">
    <w:p w:rsidR="00252A4C" w:rsidRPr="00ED6163" w:rsidP="00D60B92" w14:paraId="118B741B" w14:textId="77777777">
      <w:pPr>
        <w:pStyle w:val="FootnoteText"/>
      </w:pPr>
      <w:r w:rsidRPr="00ED6163">
        <w:rPr>
          <w:rStyle w:val="FootnoteReference"/>
        </w:rPr>
        <w:footnoteRef/>
      </w:r>
      <w:r w:rsidRPr="00ED6163">
        <w:t xml:space="preserve"> </w:t>
      </w:r>
      <w:r w:rsidRPr="00ED6163">
        <w:rPr>
          <w:i/>
        </w:rPr>
        <w:t>See,</w:t>
      </w:r>
      <w:r w:rsidRPr="00ED6163">
        <w:t xml:space="preserve"> </w:t>
      </w:r>
      <w:r w:rsidRPr="00ED6163">
        <w:rPr>
          <w:color w:val="000000"/>
        </w:rPr>
        <w:t xml:space="preserve">13 CFR § 121.201. </w:t>
      </w:r>
      <w:r w:rsidRPr="00ED6163">
        <w:t>The Wired Telecommunications Carrier category formerly</w:t>
      </w:r>
      <w:r w:rsidRPr="00ED6163">
        <w:t xml:space="preserve"> used the NAICS Code of 517110. As of 2017 the U.S. Census Bureau definition shows the NAICS code as 517311 for Wired Telecommunications Carriers.  </w:t>
      </w:r>
      <w:r w:rsidRPr="00ED6163">
        <w:rPr>
          <w:i/>
        </w:rPr>
        <w:t>See</w:t>
      </w:r>
      <w:r w:rsidRPr="00ED6163">
        <w:t xml:space="preserve">, U.S. Census Bureau, </w:t>
      </w:r>
      <w:r w:rsidRPr="00ED6163">
        <w:rPr>
          <w:i/>
        </w:rPr>
        <w:t>2017 NAICS Definition</w:t>
      </w:r>
      <w:r w:rsidRPr="00ED6163">
        <w:t xml:space="preserve">, </w:t>
      </w:r>
      <w:hyperlink r:id="rId72" w:history="1">
        <w:r w:rsidRPr="00ED6163">
          <w:rPr>
            <w:rStyle w:val="Hyperlink"/>
          </w:rPr>
          <w:t>https://www.census.gov/cgi-bin/sssd/naics/naicsrch?code=517311&amp;search=2017</w:t>
        </w:r>
      </w:hyperlink>
      <w:r w:rsidRPr="00ED6163">
        <w:t xml:space="preserve">. </w:t>
      </w:r>
    </w:p>
  </w:footnote>
  <w:footnote w:id="564">
    <w:p w:rsidR="00252A4C" w:rsidRPr="00ED6163" w:rsidP="00D60B92" w14:paraId="2DF1F38C" w14:textId="77777777">
      <w:pPr>
        <w:pStyle w:val="FootnoteText"/>
        <w:rPr>
          <w:i/>
        </w:rPr>
      </w:pPr>
      <w:r w:rsidRPr="00ED6163">
        <w:rPr>
          <w:rStyle w:val="FootnoteReference"/>
        </w:rPr>
        <w:footnoteRef/>
      </w:r>
      <w:r w:rsidRPr="00ED6163">
        <w:t xml:space="preserve"> </w:t>
      </w:r>
      <w:r w:rsidRPr="00ED6163">
        <w:rPr>
          <w:i/>
        </w:rPr>
        <w:t>Id.</w:t>
      </w:r>
    </w:p>
  </w:footnote>
  <w:footnote w:id="565">
    <w:p w:rsidR="00252A4C" w:rsidRPr="00ED6163" w:rsidP="00D60B92" w14:paraId="3618FD21" w14:textId="77777777">
      <w:pPr>
        <w:pStyle w:val="FootnoteText"/>
      </w:pPr>
      <w:r w:rsidRPr="00ED6163">
        <w:rPr>
          <w:rStyle w:val="FootnoteReference"/>
        </w:rPr>
        <w:footnoteRef/>
      </w:r>
      <w:r w:rsidRPr="00ED6163">
        <w:t xml:space="preserve"> </w:t>
      </w:r>
      <w:r w:rsidRPr="00ED6163">
        <w:rPr>
          <w:i/>
        </w:rPr>
        <w:t>See</w:t>
      </w:r>
      <w:r w:rsidRPr="00ED6163">
        <w:t xml:space="preserve"> U.S. Census Bureau, </w:t>
      </w:r>
      <w:r w:rsidRPr="00ED6163">
        <w:rPr>
          <w:bCs/>
          <w:i/>
        </w:rPr>
        <w:t>2012</w:t>
      </w:r>
      <w:r w:rsidRPr="00ED6163">
        <w:rPr>
          <w:i/>
        </w:rPr>
        <w:t xml:space="preserve"> Economic Census</w:t>
      </w:r>
      <w:r w:rsidRPr="00ED6163">
        <w:rPr>
          <w:bCs/>
          <w:i/>
        </w:rPr>
        <w:t xml:space="preserve"> of the United States,</w:t>
      </w:r>
      <w:r w:rsidRPr="00ED6163">
        <w:t xml:space="preserve"> Table No. EC1251SSSZ5, </w:t>
      </w:r>
      <w:r w:rsidRPr="00ED6163">
        <w:rPr>
          <w:i/>
          <w:iCs/>
        </w:rPr>
        <w:t>Information: Subject Series - Estab &amp; Firm Size: E</w:t>
      </w:r>
      <w:r w:rsidRPr="00ED6163">
        <w:rPr>
          <w:i/>
          <w:iCs/>
        </w:rPr>
        <w:t>mployment Size of Firms: 2012</w:t>
      </w:r>
      <w:r w:rsidRPr="00ED6163">
        <w:t xml:space="preserve"> (517110 Wired Telecommunications Carriers). </w:t>
      </w:r>
      <w:hyperlink r:id="rId75" w:history="1">
        <w:r w:rsidRPr="00ED6163">
          <w:rPr>
            <w:rStyle w:val="Hyperlink"/>
          </w:rPr>
          <w:t>https://factfinder.census.gov/bkmk/table/1.0/en/ECN/2012_US/51SSSZ5//naics~517110</w:t>
        </w:r>
      </w:hyperlink>
      <w:r w:rsidRPr="00ED6163">
        <w:rPr>
          <w:rStyle w:val="Hyperlink"/>
        </w:rPr>
        <w:t>.</w:t>
      </w:r>
    </w:p>
  </w:footnote>
  <w:footnote w:id="566">
    <w:p w:rsidR="00252A4C" w:rsidRPr="00ED6163" w:rsidP="00D60B92" w14:paraId="77B3A876" w14:textId="77777777">
      <w:pPr>
        <w:pStyle w:val="FootnoteText"/>
      </w:pPr>
      <w:r w:rsidRPr="00ED6163">
        <w:rPr>
          <w:rStyle w:val="FootnoteReference"/>
        </w:rPr>
        <w:footnoteRef/>
      </w:r>
      <w:r w:rsidRPr="00ED6163">
        <w:t xml:space="preserve"> </w:t>
      </w:r>
      <w:r w:rsidRPr="00ED6163">
        <w:rPr>
          <w:i/>
        </w:rPr>
        <w:t>Id</w:t>
      </w:r>
      <w:r w:rsidRPr="00ED6163">
        <w:t>.</w:t>
      </w:r>
    </w:p>
  </w:footnote>
  <w:footnote w:id="567">
    <w:p w:rsidR="00252A4C" w:rsidRPr="00ED6163" w:rsidP="00D60B92" w14:paraId="4252B007" w14:textId="77777777">
      <w:pPr>
        <w:pStyle w:val="FootnoteText"/>
      </w:pPr>
      <w:r w:rsidRPr="00ED6163">
        <w:rPr>
          <w:rStyle w:val="FootnoteReference"/>
        </w:rPr>
        <w:footnoteRef/>
      </w:r>
      <w:r w:rsidRPr="00ED6163">
        <w:t xml:space="preserve"> </w:t>
      </w:r>
      <w:r w:rsidRPr="00ED6163">
        <w:rPr>
          <w:i/>
        </w:rPr>
        <w:t>See Trends in Telephone Service</w:t>
      </w:r>
      <w:r w:rsidRPr="00ED6163">
        <w:t>, at tbl. 5.3.</w:t>
      </w:r>
    </w:p>
  </w:footnote>
  <w:footnote w:id="568">
    <w:p w:rsidR="00252A4C" w:rsidRPr="00ED6163" w:rsidP="00D60B92" w14:paraId="7937CB70" w14:textId="77777777">
      <w:pPr>
        <w:pStyle w:val="FootnoteText"/>
      </w:pPr>
      <w:r w:rsidRPr="00ED6163">
        <w:rPr>
          <w:rStyle w:val="FootnoteReference"/>
        </w:rPr>
        <w:footnoteRef/>
      </w:r>
      <w:r w:rsidRPr="00ED6163">
        <w:t xml:space="preserve"> </w:t>
      </w:r>
      <w:r w:rsidRPr="00ED6163">
        <w:rPr>
          <w:i/>
        </w:rPr>
        <w:t>Id</w:t>
      </w:r>
      <w:r w:rsidRPr="00ED6163">
        <w:t>.</w:t>
      </w:r>
    </w:p>
  </w:footnote>
  <w:footnote w:id="569">
    <w:p w:rsidR="00252A4C" w:rsidRPr="00ED6163" w:rsidP="00D60B92" w14:paraId="6C849227" w14:textId="77777777">
      <w:pPr>
        <w:pStyle w:val="FootnoteText"/>
      </w:pPr>
      <w:r w:rsidRPr="00ED6163">
        <w:rPr>
          <w:rStyle w:val="FootnoteReference"/>
        </w:rPr>
        <w:footnoteRef/>
      </w:r>
      <w:r w:rsidRPr="00ED6163">
        <w:t xml:space="preserve"> </w:t>
      </w:r>
      <w:r w:rsidRPr="00ED6163">
        <w:rPr>
          <w:i/>
        </w:rPr>
        <w:t>See,</w:t>
      </w:r>
      <w:r w:rsidRPr="00ED6163">
        <w:t xml:space="preserve"> </w:t>
      </w:r>
      <w:r w:rsidRPr="00ED6163">
        <w:rPr>
          <w:color w:val="000000"/>
        </w:rPr>
        <w:t xml:space="preserve">13 CFR § 121.201. </w:t>
      </w:r>
      <w:r w:rsidRPr="00ED6163">
        <w:t>The Wired Telecommunications Carrier category formerly used the NAICS Code of 517110. As of 2017 the U.S. Census Bureau definition shows the NAICS Code as 517311 for Wired T</w:t>
      </w:r>
      <w:r w:rsidRPr="00ED6163">
        <w:t xml:space="preserve">elecommunications Carriers.  </w:t>
      </w:r>
      <w:r w:rsidRPr="00ED6163">
        <w:rPr>
          <w:i/>
        </w:rPr>
        <w:t>See</w:t>
      </w:r>
      <w:r w:rsidRPr="00ED6163">
        <w:t xml:space="preserve">, U.S. Census Bureau, </w:t>
      </w:r>
      <w:r w:rsidRPr="00ED6163">
        <w:rPr>
          <w:i/>
        </w:rPr>
        <w:t>2017 NAICS Definition</w:t>
      </w:r>
      <w:r w:rsidRPr="00ED6163">
        <w:t xml:space="preserve">, </w:t>
      </w:r>
      <w:hyperlink r:id="rId72" w:history="1">
        <w:r w:rsidRPr="00ED6163">
          <w:rPr>
            <w:rStyle w:val="Hyperlink"/>
          </w:rPr>
          <w:t>https://www.census.gov/cgi-bin/sssd/naics/naicsrch?code=517311&amp;search=2017</w:t>
        </w:r>
      </w:hyperlink>
      <w:r>
        <w:rPr>
          <w:rStyle w:val="Hyperlink"/>
        </w:rPr>
        <w:t>.</w:t>
      </w:r>
    </w:p>
  </w:footnote>
  <w:footnote w:id="570">
    <w:p w:rsidR="00252A4C" w:rsidRPr="00ED6163" w:rsidP="00D60B92" w14:paraId="34E7D5C9" w14:textId="77777777">
      <w:pPr>
        <w:pStyle w:val="FootnoteText"/>
      </w:pPr>
      <w:r w:rsidRPr="00ED6163">
        <w:rPr>
          <w:rStyle w:val="FootnoteReference"/>
        </w:rPr>
        <w:footnoteRef/>
      </w:r>
      <w:r w:rsidRPr="00ED6163">
        <w:t xml:space="preserve"> </w:t>
      </w:r>
      <w:r w:rsidRPr="00ED6163">
        <w:rPr>
          <w:i/>
        </w:rPr>
        <w:t>Id.</w:t>
      </w:r>
      <w:r w:rsidRPr="00ED6163">
        <w:t xml:space="preserve"> </w:t>
      </w:r>
    </w:p>
  </w:footnote>
  <w:footnote w:id="571">
    <w:p w:rsidR="00252A4C" w:rsidRPr="00ED6163" w:rsidP="00D60B92" w14:paraId="3D013DFC" w14:textId="77777777">
      <w:pPr>
        <w:pStyle w:val="FootnoteText"/>
      </w:pPr>
      <w:r w:rsidRPr="00ED6163">
        <w:rPr>
          <w:rStyle w:val="FootnoteReference"/>
        </w:rPr>
        <w:footnoteRef/>
      </w:r>
      <w:r w:rsidRPr="00ED6163">
        <w:t xml:space="preserve"> </w:t>
      </w:r>
      <w:r w:rsidRPr="00ED6163">
        <w:rPr>
          <w:i/>
        </w:rPr>
        <w:t>See</w:t>
      </w:r>
      <w:r w:rsidRPr="00ED6163">
        <w:t xml:space="preserve"> U.S. Census Bureau, </w:t>
      </w:r>
      <w:r w:rsidRPr="00ED6163">
        <w:rPr>
          <w:bCs/>
          <w:i/>
        </w:rPr>
        <w:t>2012</w:t>
      </w:r>
      <w:r w:rsidRPr="00ED6163">
        <w:rPr>
          <w:i/>
        </w:rPr>
        <w:t xml:space="preserve"> Economic Census</w:t>
      </w:r>
      <w:r w:rsidRPr="00ED6163">
        <w:rPr>
          <w:bCs/>
          <w:i/>
        </w:rPr>
        <w:t xml:space="preserve"> of the United States,</w:t>
      </w:r>
      <w:r w:rsidRPr="00ED6163">
        <w:t xml:space="preserve"> Table No. EC1251SSSZ5, </w:t>
      </w:r>
      <w:r w:rsidRPr="00ED6163">
        <w:rPr>
          <w:i/>
          <w:iCs/>
        </w:rPr>
        <w:t>Information: Subject Series - Estab &amp; Firm Size: Employment Size of Firms: 2012</w:t>
      </w:r>
      <w:r w:rsidRPr="00ED6163">
        <w:t xml:space="preserve"> (</w:t>
      </w:r>
      <w:r w:rsidRPr="00ED6163">
        <w:t xml:space="preserve">517110 Wired Telecommunications Carriers). </w:t>
      </w:r>
      <w:hyperlink r:id="rId75" w:history="1">
        <w:r w:rsidRPr="00ED6163">
          <w:rPr>
            <w:rStyle w:val="Hyperlink"/>
          </w:rPr>
          <w:t>https://factfinder.census.gov/bkmk/table/1.0/en/ECN/2012_US/51SSSZ5//naics~517110</w:t>
        </w:r>
      </w:hyperlink>
      <w:r>
        <w:rPr>
          <w:rStyle w:val="Hyperlink"/>
        </w:rPr>
        <w:t>.</w:t>
      </w:r>
    </w:p>
  </w:footnote>
  <w:footnote w:id="572">
    <w:p w:rsidR="00252A4C" w:rsidRPr="00ED6163" w:rsidP="00D60B92" w14:paraId="73B3CEB3" w14:textId="77777777">
      <w:pPr>
        <w:pStyle w:val="FootnoteText"/>
      </w:pPr>
      <w:r w:rsidRPr="00ED6163">
        <w:rPr>
          <w:rStyle w:val="FootnoteReference"/>
        </w:rPr>
        <w:footnoteRef/>
      </w:r>
      <w:r w:rsidRPr="00ED6163">
        <w:t xml:space="preserve"> </w:t>
      </w:r>
      <w:r w:rsidRPr="00ED6163">
        <w:rPr>
          <w:i/>
        </w:rPr>
        <w:t>Id.</w:t>
      </w:r>
    </w:p>
  </w:footnote>
  <w:footnote w:id="573">
    <w:p w:rsidR="00252A4C" w:rsidRPr="00ED6163" w:rsidP="00D60B92" w14:paraId="540DA748" w14:textId="77777777">
      <w:pPr>
        <w:pStyle w:val="FootnoteText"/>
      </w:pPr>
      <w:r w:rsidRPr="00ED6163">
        <w:rPr>
          <w:rStyle w:val="FootnoteReference"/>
        </w:rPr>
        <w:footnoteRef/>
      </w:r>
      <w:r w:rsidRPr="00ED6163">
        <w:t xml:space="preserve"> </w:t>
      </w:r>
      <w:r w:rsidRPr="00ED6163">
        <w:rPr>
          <w:i/>
        </w:rPr>
        <w:t>See Trends in Telephone S</w:t>
      </w:r>
      <w:r w:rsidRPr="00ED6163">
        <w:rPr>
          <w:i/>
        </w:rPr>
        <w:t>ervice</w:t>
      </w:r>
      <w:r w:rsidRPr="00ED6163">
        <w:t xml:space="preserve"> at Table 5.3.</w:t>
      </w:r>
    </w:p>
  </w:footnote>
  <w:footnote w:id="574">
    <w:p w:rsidR="00252A4C" w:rsidRPr="00ED6163" w:rsidP="00D60B92" w14:paraId="2AD7518B" w14:textId="77777777">
      <w:pPr>
        <w:pStyle w:val="FootnoteText"/>
      </w:pPr>
      <w:r w:rsidRPr="00ED6163">
        <w:rPr>
          <w:rStyle w:val="FootnoteReference"/>
        </w:rPr>
        <w:footnoteRef/>
      </w:r>
      <w:r w:rsidRPr="00ED6163">
        <w:t xml:space="preserve"> </w:t>
      </w:r>
      <w:r w:rsidRPr="00ED6163">
        <w:rPr>
          <w:i/>
        </w:rPr>
        <w:t>Id</w:t>
      </w:r>
      <w:r w:rsidRPr="00ED6163">
        <w:t>.</w:t>
      </w:r>
    </w:p>
  </w:footnote>
  <w:footnote w:id="575">
    <w:p w:rsidR="00252A4C" w:rsidRPr="00ED6163" w:rsidP="00D60B92" w14:paraId="216019EA" w14:textId="77777777">
      <w:pPr>
        <w:pStyle w:val="FootnoteText"/>
      </w:pPr>
      <w:r w:rsidRPr="00ED6163">
        <w:rPr>
          <w:rStyle w:val="FootnoteReference"/>
        </w:rPr>
        <w:footnoteRef/>
      </w:r>
      <w:r w:rsidRPr="00ED6163">
        <w:t xml:space="preserve"> </w:t>
      </w:r>
      <w:r w:rsidRPr="00ED6163">
        <w:rPr>
          <w:i/>
        </w:rPr>
        <w:t>See,</w:t>
      </w:r>
      <w:r w:rsidRPr="00ED6163">
        <w:t xml:space="preserve"> </w:t>
      </w:r>
      <w:r w:rsidRPr="00ED6163">
        <w:rPr>
          <w:color w:val="000000"/>
        </w:rPr>
        <w:t xml:space="preserve">13 CFR § 121.201. </w:t>
      </w:r>
      <w:r w:rsidRPr="00ED6163">
        <w:t xml:space="preserve">The Wired Telecommunications Carrier category formerly used the NAICS Code of 517110. As of 2017, the U.S. Census Bureau definition shows the NAICS Code as 517311 for Wired Telecommunications Carriers.  </w:t>
      </w:r>
      <w:r w:rsidRPr="00ED6163">
        <w:rPr>
          <w:i/>
        </w:rPr>
        <w:t>S</w:t>
      </w:r>
      <w:r w:rsidRPr="00ED6163">
        <w:rPr>
          <w:i/>
        </w:rPr>
        <w:t>ee</w:t>
      </w:r>
      <w:r w:rsidRPr="00ED6163">
        <w:t xml:space="preserve">, U.S. Census Bureau, </w:t>
      </w:r>
      <w:r w:rsidRPr="00ED6163">
        <w:rPr>
          <w:i/>
        </w:rPr>
        <w:t>2017 NAICS Definition</w:t>
      </w:r>
      <w:r w:rsidRPr="00ED6163">
        <w:t xml:space="preserve">, </w:t>
      </w:r>
      <w:hyperlink r:id="rId72" w:history="1">
        <w:r w:rsidRPr="00ED6163">
          <w:rPr>
            <w:rStyle w:val="Hyperlink"/>
          </w:rPr>
          <w:t>https://www.census.gov/cgi-bin/sssd/naics/naicsrch?code=517311&amp;search=2017</w:t>
        </w:r>
      </w:hyperlink>
      <w:r w:rsidRPr="00ED6163">
        <w:t xml:space="preserve">. </w:t>
      </w:r>
    </w:p>
  </w:footnote>
  <w:footnote w:id="576">
    <w:p w:rsidR="00252A4C" w:rsidRPr="00ED6163" w:rsidP="00D60B92" w14:paraId="7ECEE65E" w14:textId="77777777">
      <w:pPr>
        <w:pStyle w:val="FootnoteText"/>
      </w:pPr>
      <w:r w:rsidRPr="00ED6163">
        <w:rPr>
          <w:rStyle w:val="FootnoteReference"/>
        </w:rPr>
        <w:footnoteRef/>
      </w:r>
      <w:r w:rsidRPr="00ED6163">
        <w:t xml:space="preserve"> </w:t>
      </w:r>
      <w:r w:rsidRPr="00ED6163">
        <w:rPr>
          <w:i/>
        </w:rPr>
        <w:t>See</w:t>
      </w:r>
      <w:r w:rsidRPr="00ED6163">
        <w:t xml:space="preserve"> U.S. Census Bureau, </w:t>
      </w:r>
      <w:r w:rsidRPr="00ED6163">
        <w:rPr>
          <w:bCs/>
          <w:i/>
        </w:rPr>
        <w:t>2012</w:t>
      </w:r>
      <w:r w:rsidRPr="00ED6163">
        <w:rPr>
          <w:i/>
        </w:rPr>
        <w:t xml:space="preserve"> Economic C</w:t>
      </w:r>
      <w:r w:rsidRPr="00ED6163">
        <w:rPr>
          <w:i/>
        </w:rPr>
        <w:t>ensus</w:t>
      </w:r>
      <w:r w:rsidRPr="00ED6163">
        <w:rPr>
          <w:bCs/>
          <w:i/>
        </w:rPr>
        <w:t xml:space="preserve"> of the United States,</w:t>
      </w:r>
      <w:r w:rsidRPr="00ED6163">
        <w:t xml:space="preserve"> Table No. EC1251SSSZ5, </w:t>
      </w:r>
      <w:r w:rsidRPr="00ED6163">
        <w:rPr>
          <w:i/>
          <w:iCs/>
        </w:rPr>
        <w:t>Information: Subject Series - Estab &amp; Firm Size: Employment Size of Firms: 2012</w:t>
      </w:r>
      <w:r w:rsidRPr="00ED6163">
        <w:t xml:space="preserve"> (517110 Wired Telecommunications Carriers). </w:t>
      </w:r>
      <w:hyperlink r:id="rId75" w:history="1">
        <w:r w:rsidRPr="00ED6163">
          <w:rPr>
            <w:rStyle w:val="Hyperlink"/>
          </w:rPr>
          <w:t>https://factfinder.census.gov/bkmk/table/1.0/en/ECN/2012_US/51SSSZ5//naics~517110</w:t>
        </w:r>
      </w:hyperlink>
      <w:r>
        <w:rPr>
          <w:rStyle w:val="Hyperlink"/>
        </w:rPr>
        <w:t>.</w:t>
      </w:r>
    </w:p>
  </w:footnote>
  <w:footnote w:id="577">
    <w:p w:rsidR="00252A4C" w:rsidRPr="00ED6163" w:rsidP="00D60B92" w14:paraId="6268A579" w14:textId="77777777">
      <w:pPr>
        <w:pStyle w:val="FootnoteText"/>
        <w:rPr>
          <w:i/>
        </w:rPr>
      </w:pPr>
      <w:r w:rsidRPr="00ED6163">
        <w:rPr>
          <w:rStyle w:val="FootnoteReference"/>
        </w:rPr>
        <w:footnoteRef/>
      </w:r>
      <w:r w:rsidRPr="00ED6163">
        <w:t xml:space="preserve"> </w:t>
      </w:r>
      <w:r w:rsidRPr="00ED6163">
        <w:rPr>
          <w:i/>
        </w:rPr>
        <w:t>Id.</w:t>
      </w:r>
    </w:p>
  </w:footnote>
  <w:footnote w:id="578">
    <w:p w:rsidR="00252A4C" w:rsidRPr="00ED6163" w:rsidP="00D60B92" w14:paraId="63A10093" w14:textId="77777777">
      <w:pPr>
        <w:pStyle w:val="FootnoteText"/>
      </w:pPr>
      <w:r w:rsidRPr="00ED6163">
        <w:rPr>
          <w:rStyle w:val="FootnoteReference"/>
        </w:rPr>
        <w:footnoteRef/>
      </w:r>
      <w:r w:rsidRPr="00ED6163">
        <w:t xml:space="preserve"> </w:t>
      </w:r>
      <w:r w:rsidRPr="00ED6163">
        <w:rPr>
          <w:i/>
        </w:rPr>
        <w:t>Trends in Telephone Service</w:t>
      </w:r>
      <w:r w:rsidRPr="00ED6163">
        <w:t>, at tbl. 5.3.</w:t>
      </w:r>
    </w:p>
  </w:footnote>
  <w:footnote w:id="579">
    <w:p w:rsidR="00252A4C" w:rsidRPr="00ED6163" w:rsidP="00D60B92" w14:paraId="329FFDA4" w14:textId="77777777">
      <w:pPr>
        <w:pStyle w:val="FootnoteText"/>
      </w:pPr>
      <w:r w:rsidRPr="00ED6163">
        <w:rPr>
          <w:rStyle w:val="FootnoteReference"/>
        </w:rPr>
        <w:footnoteRef/>
      </w:r>
      <w:r w:rsidRPr="00ED6163">
        <w:t xml:space="preserve"> </w:t>
      </w:r>
      <w:r w:rsidRPr="00ED6163">
        <w:rPr>
          <w:i/>
        </w:rPr>
        <w:t>Id</w:t>
      </w:r>
      <w:r w:rsidRPr="00ED6163">
        <w:t>.</w:t>
      </w:r>
    </w:p>
  </w:footnote>
  <w:footnote w:id="580">
    <w:p w:rsidR="00252A4C" w:rsidRPr="00947E6A" w:rsidP="00D60B92" w14:paraId="3ED2482E" w14:textId="77777777">
      <w:pPr>
        <w:pStyle w:val="FootnoteText"/>
      </w:pPr>
      <w:r w:rsidRPr="00ED6163">
        <w:rPr>
          <w:rStyle w:val="FootnoteReference"/>
        </w:rPr>
        <w:footnoteRef/>
      </w:r>
      <w:r w:rsidRPr="00947E6A">
        <w:t xml:space="preserve"> </w:t>
      </w:r>
      <w:r w:rsidRPr="00ED6163">
        <w:t xml:space="preserve">This includes, among others, the approximately 800 members of WISPA, including those entities who provide fixed wireless broadband service using unlicensed spectrum.  </w:t>
      </w:r>
      <w:r w:rsidRPr="00ED6163">
        <w:rPr>
          <w:i/>
        </w:rPr>
        <w:t xml:space="preserve">See </w:t>
      </w:r>
      <w:r w:rsidRPr="00ED6163">
        <w:t xml:space="preserve">WISPA, </w:t>
      </w:r>
      <w:r w:rsidRPr="00947E6A">
        <w:rPr>
          <w:i/>
        </w:rPr>
        <w:t>About WISPA</w:t>
      </w:r>
      <w:r w:rsidRPr="00ED6163">
        <w:rPr>
          <w:i/>
        </w:rPr>
        <w:t>,</w:t>
      </w:r>
      <w:r w:rsidRPr="00ED6163">
        <w:t xml:space="preserve"> </w:t>
      </w:r>
      <w:hyperlink r:id="rId95" w:history="1">
        <w:r w:rsidRPr="00ED6163">
          <w:rPr>
            <w:rStyle w:val="Hyperlink"/>
          </w:rPr>
          <w:t>https://www.wispa.org/About-Us/Mission-and-Goals</w:t>
        </w:r>
      </w:hyperlink>
      <w:r w:rsidRPr="00ED6163">
        <w:t xml:space="preserve"> (last visited June 27, 2019).  As noted in Section B the FRFA, </w:t>
      </w:r>
      <w:r w:rsidRPr="00ED6163">
        <w:rPr>
          <w:rStyle w:val="normaltextrun"/>
          <w:color w:val="000000"/>
          <w:shd w:val="clear" w:color="auto" w:fill="FFFFFF"/>
        </w:rPr>
        <w:t>when we prepared the IRFA in 2017, it was not feasible for us to provide an accurate estimate of the number of small wireless Internet service p</w:t>
      </w:r>
      <w:r w:rsidRPr="00ED6163">
        <w:rPr>
          <w:rStyle w:val="normaltextrun"/>
          <w:color w:val="000000"/>
          <w:shd w:val="clear" w:color="auto" w:fill="FFFFFF"/>
        </w:rPr>
        <w:t xml:space="preserve">roviders (WISPs) that would be affected by the proposed rule.  Our action in the </w:t>
      </w:r>
      <w:r w:rsidRPr="00ED6163">
        <w:rPr>
          <w:rStyle w:val="normaltextrun"/>
          <w:i/>
          <w:iCs/>
          <w:color w:val="000000"/>
          <w:shd w:val="clear" w:color="auto" w:fill="FFFFFF"/>
        </w:rPr>
        <w:t>Report and Order </w:t>
      </w:r>
      <w:r w:rsidRPr="00ED6163">
        <w:rPr>
          <w:rStyle w:val="normaltextrun"/>
          <w:color w:val="000000"/>
          <w:shd w:val="clear" w:color="auto" w:fill="FFFFFF"/>
        </w:rPr>
        <w:t>clarifies that WISPs that operate over unlicensed spectrum are required to file Form 477.  We also recognize the possibility that such entities might not have</w:t>
      </w:r>
      <w:r w:rsidRPr="00ED6163">
        <w:rPr>
          <w:rStyle w:val="normaltextrun"/>
          <w:color w:val="000000"/>
          <w:shd w:val="clear" w:color="auto" w:fill="FFFFFF"/>
        </w:rPr>
        <w:t xml:space="preserve"> filed in prior data collections because of the ambiguity in section 1.7001(a) of the Commission’s rules.  Thus, at the time, it was not feasible for us to estimate the number of small WISPs that would be affected by the proposed rule.  That remains true u</w:t>
      </w:r>
      <w:r w:rsidRPr="00ED6163">
        <w:rPr>
          <w:rStyle w:val="normaltextrun"/>
          <w:color w:val="000000"/>
          <w:shd w:val="clear" w:color="auto" w:fill="FFFFFF"/>
        </w:rPr>
        <w:t xml:space="preserve">ntil the Commission is able to collect and analyze the data that are filed as a result of the action we take in </w:t>
      </w:r>
      <w:r w:rsidRPr="00ED6163">
        <w:rPr>
          <w:rStyle w:val="normaltextrun"/>
          <w:i/>
          <w:color w:val="000000"/>
          <w:shd w:val="clear" w:color="auto" w:fill="FFFFFF"/>
        </w:rPr>
        <w:t xml:space="preserve">Report and Order </w:t>
      </w:r>
      <w:r w:rsidRPr="00ED6163">
        <w:rPr>
          <w:rStyle w:val="normaltextrun"/>
          <w:color w:val="000000"/>
          <w:shd w:val="clear" w:color="auto" w:fill="FFFFFF"/>
        </w:rPr>
        <w:t xml:space="preserve">to clarify that WISPs who operate over unlicensed spectrum are required to file Form 477.  However, we specifically considered </w:t>
      </w:r>
      <w:r w:rsidRPr="00ED6163">
        <w:rPr>
          <w:rStyle w:val="normaltextrun"/>
          <w:color w:val="000000"/>
          <w:shd w:val="clear" w:color="auto" w:fill="FFFFFF"/>
        </w:rPr>
        <w:t>the potential impact of the proposed rule on small WISPs in the IRFA for the </w:t>
      </w:r>
      <w:r w:rsidRPr="00ED6163">
        <w:rPr>
          <w:rStyle w:val="normaltextrun"/>
          <w:i/>
          <w:iCs/>
          <w:color w:val="000000"/>
          <w:shd w:val="clear" w:color="auto" w:fill="FFFFFF"/>
        </w:rPr>
        <w:t>2017 Data Collection Improvement FNPRM </w:t>
      </w:r>
      <w:r w:rsidRPr="00ED6163">
        <w:rPr>
          <w:rStyle w:val="normaltextrun"/>
          <w:color w:val="000000"/>
          <w:shd w:val="clear" w:color="auto" w:fill="FFFFFF"/>
        </w:rPr>
        <w:t>by including such entities in the “Broadband Internet Access Service Providers” category.  We also consider the impact to these entities tod</w:t>
      </w:r>
      <w:r w:rsidRPr="00ED6163">
        <w:rPr>
          <w:rStyle w:val="normaltextrun"/>
          <w:color w:val="000000"/>
          <w:shd w:val="clear" w:color="auto" w:fill="FFFFFF"/>
        </w:rPr>
        <w:t>ay for the purposes of this IRFA, by including them under the “Wireless Providers – Fixed and Mobile” category.</w:t>
      </w:r>
    </w:p>
  </w:footnote>
  <w:footnote w:id="581">
    <w:p w:rsidR="00252A4C" w:rsidRPr="00ED6163" w:rsidP="00D60B92" w14:paraId="2427F11E" w14:textId="77777777">
      <w:pPr>
        <w:pStyle w:val="FootnoteText"/>
      </w:pPr>
      <w:r w:rsidRPr="00ED6163">
        <w:rPr>
          <w:rStyle w:val="FootnoteReference"/>
        </w:rPr>
        <w:footnoteRef/>
      </w:r>
      <w:r w:rsidRPr="00ED6163">
        <w:t xml:space="preserve"> U.S. Census Bureau, </w:t>
      </w:r>
      <w:r w:rsidRPr="00947E6A">
        <w:rPr>
          <w:i/>
        </w:rPr>
        <w:t>2012 NAICS Definitions, 517210 Wireless Telecommunications Carriers (Except Satellite</w:t>
      </w:r>
      <w:r w:rsidRPr="00ED6163">
        <w:rPr>
          <w:bCs/>
          <w:i/>
        </w:rPr>
        <w:t>)</w:t>
      </w:r>
      <w:r w:rsidRPr="00ED6163">
        <w:rPr>
          <w:bCs/>
        </w:rPr>
        <w:t>,</w:t>
      </w:r>
      <w:r w:rsidRPr="00ED6163">
        <w:t xml:space="preserve"> </w:t>
      </w:r>
      <w:hyperlink r:id="rId76" w:history="1">
        <w:r w:rsidRPr="00ED6163">
          <w:rPr>
            <w:rStyle w:val="Hyperlink"/>
          </w:rPr>
          <w:t>https://factfinder.census.gov/faces/affhelp/jsf/pages/metadata.xhtml?lang=en&amp;type=</w:t>
        </w:r>
        <w:r w:rsidRPr="00ED6163">
          <w:rPr>
            <w:rStyle w:val="Hyperlink"/>
          </w:rPr>
          <w:br/>
          <w:t>ib&amp;id=ib.en./ECN.NAICS2012.517210</w:t>
        </w:r>
      </w:hyperlink>
      <w:r w:rsidRPr="00ED6163">
        <w:rPr>
          <w:rStyle w:val="Hyperlink"/>
        </w:rPr>
        <w:t>.</w:t>
      </w:r>
    </w:p>
  </w:footnote>
  <w:footnote w:id="582">
    <w:p w:rsidR="00252A4C" w:rsidRPr="00ED6163" w:rsidP="00D60B92" w14:paraId="2B59CEA9" w14:textId="77777777">
      <w:pPr>
        <w:pStyle w:val="FootnoteText"/>
      </w:pPr>
      <w:r w:rsidRPr="00ED6163">
        <w:rPr>
          <w:rStyle w:val="FootnoteReference"/>
        </w:rPr>
        <w:footnoteRef/>
      </w:r>
      <w:r w:rsidRPr="00ED6163">
        <w:rPr>
          <w:lang w:val="fr-FR"/>
        </w:rPr>
        <w:t xml:space="preserve"> 13 CFR § 121.201, NAICS Code 517210.  </w:t>
      </w:r>
    </w:p>
  </w:footnote>
  <w:footnote w:id="583">
    <w:p w:rsidR="00252A4C" w:rsidRPr="00ED6163" w:rsidP="00D60B92" w14:paraId="2F59FD2A" w14:textId="77777777">
      <w:pPr>
        <w:pStyle w:val="FootnoteText"/>
      </w:pPr>
      <w:r w:rsidRPr="00ED6163">
        <w:rPr>
          <w:rStyle w:val="FootnoteReference"/>
        </w:rPr>
        <w:footnoteRef/>
      </w:r>
      <w:r w:rsidRPr="00ED6163">
        <w:t xml:space="preserve">  U.S. Census Bureau, </w:t>
      </w:r>
      <w:r w:rsidRPr="00ED6163">
        <w:rPr>
          <w:bCs/>
          <w:i/>
        </w:rPr>
        <w:t>2012</w:t>
      </w:r>
      <w:r w:rsidRPr="00ED6163">
        <w:rPr>
          <w:i/>
        </w:rPr>
        <w:t xml:space="preserve"> Economic Census</w:t>
      </w:r>
      <w:r w:rsidRPr="00ED6163">
        <w:rPr>
          <w:bCs/>
          <w:i/>
        </w:rPr>
        <w:t xml:space="preserve"> of the United States</w:t>
      </w:r>
      <w:r w:rsidRPr="00ED6163">
        <w:t xml:space="preserve">, Table EC1251SSSZ5, </w:t>
      </w:r>
      <w:r w:rsidRPr="00947E6A">
        <w:rPr>
          <w:i/>
        </w:rPr>
        <w:t>Information: Subject Series: Estab and Firm Size: Employment Size of Firms for the U.S.: 2012</w:t>
      </w:r>
      <w:r w:rsidRPr="00ED6163">
        <w:rPr>
          <w:i/>
        </w:rPr>
        <w:t>,</w:t>
      </w:r>
      <w:r w:rsidRPr="00ED6163">
        <w:t xml:space="preserve"> NAICS Code 517210, </w:t>
      </w:r>
      <w:hyperlink r:id="rId77" w:history="1">
        <w:r w:rsidRPr="00ED6163">
          <w:rPr>
            <w:rStyle w:val="Hyperlink"/>
          </w:rPr>
          <w:t>https://factfinder.census.gov/bkmk/table/1.0/en/ECN/2012_US/51SSSZ5//naics~517210</w:t>
        </w:r>
      </w:hyperlink>
      <w:r w:rsidRPr="00ED6163">
        <w:t>.</w:t>
      </w:r>
    </w:p>
  </w:footnote>
  <w:footnote w:id="584">
    <w:p w:rsidR="00252A4C" w:rsidRPr="00ED6163" w:rsidP="00D60B92" w14:paraId="2A5210F2" w14:textId="77777777">
      <w:pPr>
        <w:pStyle w:val="FootnoteText"/>
      </w:pPr>
      <w:r w:rsidRPr="00ED6163">
        <w:rPr>
          <w:rStyle w:val="FootnoteReference"/>
        </w:rPr>
        <w:footnoteRef/>
      </w:r>
      <w:r w:rsidRPr="00ED6163">
        <w:t xml:space="preserve"> </w:t>
      </w:r>
      <w:r w:rsidRPr="00ED6163">
        <w:rPr>
          <w:i/>
        </w:rPr>
        <w:t>Id</w:t>
      </w:r>
      <w:r w:rsidRPr="00ED6163">
        <w:t>.  Available census data do not provide a more precise estimate of the nu</w:t>
      </w:r>
      <w:r w:rsidRPr="00ED6163">
        <w:t>mber of firms that have employment of 1,500 or fewer employees; the largest category provided is for firms with “1000 employees or more.”</w:t>
      </w:r>
    </w:p>
  </w:footnote>
  <w:footnote w:id="585">
    <w:p w:rsidR="00252A4C" w:rsidRPr="00ED6163" w:rsidP="00D60B92" w14:paraId="2960E1D7" w14:textId="77777777">
      <w:pPr>
        <w:pStyle w:val="FootnoteText"/>
        <w:rPr>
          <w:b/>
        </w:rPr>
      </w:pPr>
      <w:r w:rsidRPr="00ED6163">
        <w:rPr>
          <w:rStyle w:val="FootnoteReference"/>
        </w:rPr>
        <w:footnoteRef/>
      </w:r>
      <w:r w:rsidRPr="00ED6163">
        <w:t xml:space="preserve"> </w:t>
      </w:r>
      <w:r w:rsidRPr="00ED6163">
        <w:rPr>
          <w:i/>
          <w:color w:val="010101"/>
        </w:rPr>
        <w:t xml:space="preserve">See </w:t>
      </w:r>
      <w:r w:rsidRPr="00ED6163">
        <w:rPr>
          <w:color w:val="010101"/>
        </w:rPr>
        <w:t>FCC, Universal Licensing System,</w:t>
      </w:r>
      <w:r w:rsidRPr="00947E6A">
        <w:rPr>
          <w:color w:val="010101"/>
        </w:rPr>
        <w:t xml:space="preserve"> </w:t>
      </w:r>
      <w:hyperlink r:id="rId10" w:history="1">
        <w:r w:rsidRPr="00ED6163">
          <w:rPr>
            <w:rStyle w:val="Hyperlink"/>
          </w:rPr>
          <w:t>https://www.fcc.gov/wireless/systems-utilities/universal-licensing-system</w:t>
        </w:r>
      </w:hyperlink>
      <w:r w:rsidRPr="00ED6163">
        <w:rPr>
          <w:color w:val="010101"/>
        </w:rPr>
        <w:t xml:space="preserve">.  For the purposes of this IRFA, consistent with Commission practice for wireless services, the Commission estimates the number of licensees based on the number of unique </w:t>
      </w:r>
      <w:r w:rsidRPr="00ED6163">
        <w:rPr>
          <w:color w:val="010101"/>
        </w:rPr>
        <w:t>FCC Registration Numbers.</w:t>
      </w:r>
      <w:r w:rsidRPr="00ED6163">
        <w:t xml:space="preserve">  </w:t>
      </w:r>
    </w:p>
  </w:footnote>
  <w:footnote w:id="586">
    <w:p w:rsidR="00252A4C" w:rsidRPr="00ED6163" w:rsidP="00D60B92" w14:paraId="04C4CB5A" w14:textId="77777777">
      <w:pPr>
        <w:pStyle w:val="FootnoteText"/>
      </w:pPr>
      <w:r w:rsidRPr="00ED6163">
        <w:rPr>
          <w:rStyle w:val="FootnoteReference"/>
        </w:rPr>
        <w:footnoteRef/>
      </w:r>
      <w:r w:rsidRPr="00ED6163">
        <w:t xml:space="preserve"> </w:t>
      </w:r>
      <w:r w:rsidRPr="00ED6163">
        <w:rPr>
          <w:i/>
        </w:rPr>
        <w:t>Trends in Telephone Service</w:t>
      </w:r>
      <w:r w:rsidRPr="00ED6163">
        <w:t xml:space="preserve"> at Table 5.3.</w:t>
      </w:r>
    </w:p>
  </w:footnote>
  <w:footnote w:id="587">
    <w:p w:rsidR="00252A4C" w:rsidRPr="00ED6163" w:rsidP="00D60B92" w14:paraId="0CB9F1CC" w14:textId="77777777">
      <w:pPr>
        <w:pStyle w:val="FootnoteText"/>
      </w:pPr>
      <w:r w:rsidRPr="00ED6163">
        <w:rPr>
          <w:rStyle w:val="FootnoteReference"/>
        </w:rPr>
        <w:footnoteRef/>
      </w:r>
      <w:r w:rsidRPr="00ED6163">
        <w:t xml:space="preserve"> </w:t>
      </w:r>
      <w:r w:rsidRPr="00ED6163">
        <w:rPr>
          <w:i/>
        </w:rPr>
        <w:t>See id</w:t>
      </w:r>
      <w:r w:rsidRPr="00ED6163">
        <w:t>.</w:t>
      </w:r>
    </w:p>
  </w:footnote>
  <w:footnote w:id="588">
    <w:p w:rsidR="00252A4C" w:rsidRPr="00ED6163" w:rsidP="00D60B92" w14:paraId="547DD821" w14:textId="77777777">
      <w:pPr>
        <w:pStyle w:val="FootnoteText"/>
      </w:pPr>
      <w:r w:rsidRPr="00ED6163">
        <w:rPr>
          <w:rStyle w:val="Footnote"/>
          <w:vertAlign w:val="superscript"/>
        </w:rPr>
        <w:footnoteRef/>
      </w:r>
      <w:r w:rsidRPr="00ED6163">
        <w:t xml:space="preserve"> </w:t>
      </w:r>
      <w:r w:rsidRPr="00ED6163">
        <w:rPr>
          <w:i/>
        </w:rPr>
        <w:t>Amendment of the Commission’s Rules to Establish Part 27, the Wireless Communications Service (WCS)</w:t>
      </w:r>
      <w:r w:rsidRPr="00ED6163">
        <w:t xml:space="preserve">, GN Docket No. 96-228, Report and Order, 12 FCC Rcd 10785, 10879, para. </w:t>
      </w:r>
      <w:r w:rsidRPr="00ED6163">
        <w:t>194 (1997).</w:t>
      </w:r>
    </w:p>
  </w:footnote>
  <w:footnote w:id="589">
    <w:p w:rsidR="00252A4C" w:rsidRPr="00ED6163" w:rsidP="00D60B92" w14:paraId="7AD94C97" w14:textId="77777777">
      <w:pPr>
        <w:pStyle w:val="FootnoteText"/>
      </w:pPr>
      <w:r w:rsidRPr="00ED6163">
        <w:rPr>
          <w:rStyle w:val="FootnoteReference"/>
        </w:rPr>
        <w:footnoteRef/>
      </w:r>
      <w:r w:rsidRPr="00ED6163">
        <w:t xml:space="preserve"> </w:t>
      </w:r>
      <w:r w:rsidRPr="00ED6163">
        <w:rPr>
          <w:i/>
        </w:rPr>
        <w:t>See</w:t>
      </w:r>
      <w:r w:rsidRPr="00ED6163">
        <w:t xml:space="preserve"> </w:t>
      </w:r>
      <w:r w:rsidRPr="00ED6163">
        <w:rPr>
          <w:rStyle w:val="Footnote"/>
        </w:rPr>
        <w:t>Public Notice, FCC, Comment Sought on Small Business Size Standards (Jan. 13, 1999), at Attach. A,</w:t>
      </w:r>
      <w:r w:rsidRPr="00ED6163">
        <w:t xml:space="preserve"> Letter from Aida Alvarez, Administrator, SBA, to Amy Zoslov, Chief, Auctions and Industry Analysis Division, Wireless Telecommunications Bu</w:t>
      </w:r>
      <w:r w:rsidRPr="00ED6163">
        <w:t>reau, FCC (Dec. 2, 1998) (</w:t>
      </w:r>
      <w:r w:rsidRPr="00ED6163">
        <w:rPr>
          <w:i/>
        </w:rPr>
        <w:t>Alvarez Letter 1998</w:t>
      </w:r>
      <w:r w:rsidRPr="00ED6163">
        <w:t xml:space="preserve">), </w:t>
      </w:r>
      <w:hyperlink r:id="rId78" w:history="1">
        <w:r w:rsidRPr="00ED6163">
          <w:rPr>
            <w:rStyle w:val="Hyperlink"/>
          </w:rPr>
          <w:t>https://ecfsapi.fcc.gov/file/6006142119.pdf</w:t>
        </w:r>
      </w:hyperlink>
      <w:r w:rsidRPr="00ED6163">
        <w:t>.</w:t>
      </w:r>
    </w:p>
  </w:footnote>
  <w:footnote w:id="590">
    <w:p w:rsidR="00252A4C" w:rsidRPr="00947E6A" w:rsidP="00D60B92" w14:paraId="7D5C3E8E" w14:textId="77777777">
      <w:pPr>
        <w:pStyle w:val="FootnoteText"/>
      </w:pPr>
      <w:r w:rsidRPr="00ED6163">
        <w:rPr>
          <w:rStyle w:val="FootnoteReference"/>
        </w:rPr>
        <w:footnoteRef/>
      </w:r>
      <w:r w:rsidRPr="00947E6A">
        <w:t xml:space="preserve"> 47 CFR § 2.106; </w:t>
      </w:r>
      <w:r w:rsidRPr="00947E6A">
        <w:rPr>
          <w:i/>
        </w:rPr>
        <w:t>see generally</w:t>
      </w:r>
      <w:r w:rsidRPr="00947E6A">
        <w:t xml:space="preserve"> 47 CFR §§ 27.1-27.70.</w:t>
      </w:r>
    </w:p>
  </w:footnote>
  <w:footnote w:id="591">
    <w:p w:rsidR="00252A4C" w:rsidRPr="00ED6163" w:rsidP="00D60B92" w14:paraId="56D8B79C" w14:textId="77777777">
      <w:pPr>
        <w:pStyle w:val="FootnoteText"/>
      </w:pPr>
      <w:r w:rsidRPr="00ED6163">
        <w:rPr>
          <w:rStyle w:val="Footnote"/>
          <w:vertAlign w:val="superscript"/>
        </w:rPr>
        <w:footnoteRef/>
      </w:r>
      <w:r w:rsidRPr="00ED6163">
        <w:t xml:space="preserve"> U.S. Census Bureau, </w:t>
      </w:r>
      <w:r w:rsidRPr="00947E6A">
        <w:rPr>
          <w:i/>
        </w:rPr>
        <w:t xml:space="preserve">2012 NAICS Definitions, </w:t>
      </w:r>
      <w:r w:rsidRPr="004779A2">
        <w:t>“</w:t>
      </w:r>
      <w:r w:rsidRPr="00947E6A">
        <w:rPr>
          <w:i/>
        </w:rPr>
        <w:t>517210 Wireless Telecommunications Carriers (Except Satellite</w:t>
      </w:r>
      <w:r w:rsidRPr="004779A2">
        <w:rPr>
          <w:bCs/>
        </w:rPr>
        <w:t>),”),”</w:t>
      </w:r>
      <w:r w:rsidRPr="00ED6163">
        <w:rPr>
          <w:bCs/>
          <w:i/>
        </w:rPr>
        <w:t>)</w:t>
      </w:r>
      <w:r w:rsidRPr="00ED6163">
        <w:rPr>
          <w:bCs/>
        </w:rPr>
        <w:t>,</w:t>
      </w:r>
      <w:r w:rsidRPr="00ED6163">
        <w:t xml:space="preserve"> </w:t>
      </w:r>
      <w:hyperlink r:id="rId76" w:history="1">
        <w:r w:rsidRPr="00ED6163">
          <w:rPr>
            <w:rStyle w:val="Hyperlink"/>
          </w:rPr>
          <w:t>https://factfinder.census.gov</w:t>
        </w:r>
        <w:r w:rsidRPr="00ED6163">
          <w:rPr>
            <w:rStyle w:val="Hyperlink"/>
          </w:rPr>
          <w:t>/faces/affhelp/jsf/pages/metadata.xhtml?lang=en&amp;type=</w:t>
        </w:r>
        <w:r w:rsidRPr="00ED6163">
          <w:rPr>
            <w:rStyle w:val="Hyperlink"/>
          </w:rPr>
          <w:br/>
          <w:t>ib&amp;id=ib.en./ECN.NAICS2012.517210</w:t>
        </w:r>
      </w:hyperlink>
      <w:r w:rsidRPr="00ED6163">
        <w:rPr>
          <w:rStyle w:val="Footnote"/>
        </w:rPr>
        <w:t>.</w:t>
      </w:r>
    </w:p>
  </w:footnote>
  <w:footnote w:id="592">
    <w:p w:rsidR="00252A4C" w:rsidRPr="00ED6163" w:rsidP="00D60B92" w14:paraId="5308B669" w14:textId="77777777">
      <w:pPr>
        <w:pStyle w:val="FootnoteText"/>
      </w:pPr>
      <w:r w:rsidRPr="00ED6163">
        <w:rPr>
          <w:rStyle w:val="Footnote"/>
          <w:vertAlign w:val="superscript"/>
        </w:rPr>
        <w:footnoteRef/>
      </w:r>
      <w:r w:rsidRPr="00947E6A">
        <w:t xml:space="preserve"> </w:t>
      </w:r>
      <w:r w:rsidRPr="00ED6163">
        <w:rPr>
          <w:lang w:val="fr-FR"/>
        </w:rPr>
        <w:t>13 CFR § 121.201, NAICS Code 517210</w:t>
      </w:r>
      <w:r w:rsidRPr="00ED6163">
        <w:rPr>
          <w:rStyle w:val="Footnote"/>
        </w:rPr>
        <w:t>.</w:t>
      </w:r>
    </w:p>
  </w:footnote>
  <w:footnote w:id="593">
    <w:p w:rsidR="00252A4C" w:rsidRPr="00ED6163" w:rsidP="00D60B92" w14:paraId="104AB2B7" w14:textId="77777777">
      <w:pPr>
        <w:pStyle w:val="FootnoteText"/>
      </w:pPr>
      <w:r w:rsidRPr="00ED6163">
        <w:rPr>
          <w:rStyle w:val="FootnoteReference"/>
        </w:rPr>
        <w:footnoteRef/>
      </w:r>
      <w:r w:rsidRPr="00ED6163">
        <w:t xml:space="preserve"> U.S. Census Bureau, </w:t>
      </w:r>
      <w:r w:rsidRPr="00ED6163">
        <w:rPr>
          <w:bCs/>
          <w:i/>
        </w:rPr>
        <w:t>2012</w:t>
      </w:r>
      <w:r w:rsidRPr="00ED6163">
        <w:rPr>
          <w:i/>
        </w:rPr>
        <w:t xml:space="preserve"> Economic Census</w:t>
      </w:r>
      <w:r w:rsidRPr="00ED6163">
        <w:rPr>
          <w:bCs/>
          <w:i/>
        </w:rPr>
        <w:t xml:space="preserve"> of the United States</w:t>
      </w:r>
      <w:r w:rsidRPr="00ED6163">
        <w:t>, Table EC1251SSSZ5</w:t>
      </w:r>
      <w:r w:rsidRPr="00947E6A">
        <w:rPr>
          <w:i/>
        </w:rPr>
        <w:t xml:space="preserve">, Information: Subject Series: Estab and Firm </w:t>
      </w:r>
      <w:r w:rsidRPr="00947E6A">
        <w:rPr>
          <w:i/>
        </w:rPr>
        <w:t>Size: Employment Size of Firms for the U.S.: 2012</w:t>
      </w:r>
      <w:r w:rsidRPr="00ED6163">
        <w:t xml:space="preserve">, NAICS Code 517210 (rel. Jan. 8, 2016).  </w:t>
      </w:r>
      <w:hyperlink r:id="rId77" w:history="1">
        <w:r w:rsidRPr="00ED6163">
          <w:rPr>
            <w:rStyle w:val="Hyperlink"/>
          </w:rPr>
          <w:t>https://factfinder.census.gov/bkmk/table/1.0/en/ECN/2012_US/51SSSZ5</w:t>
        </w:r>
        <w:r w:rsidRPr="00ED6163">
          <w:rPr>
            <w:rStyle w:val="Hyperlink"/>
          </w:rPr>
          <w:t>//naics~517210</w:t>
        </w:r>
      </w:hyperlink>
      <w:r w:rsidRPr="00ED6163">
        <w:rPr>
          <w:rStyle w:val="Hyperlink"/>
        </w:rPr>
        <w:t>.</w:t>
      </w:r>
    </w:p>
  </w:footnote>
  <w:footnote w:id="594">
    <w:p w:rsidR="00252A4C" w:rsidRPr="00ED6163" w:rsidP="00D60B92" w14:paraId="1CB6BE6B" w14:textId="77777777">
      <w:pPr>
        <w:pStyle w:val="FootnoteText"/>
      </w:pPr>
      <w:r w:rsidRPr="00ED6163">
        <w:rPr>
          <w:rStyle w:val="FootnoteReference"/>
        </w:rPr>
        <w:footnoteRef/>
      </w:r>
      <w:r w:rsidRPr="00ED6163">
        <w:t xml:space="preserve"> </w:t>
      </w:r>
      <w:r w:rsidRPr="00ED6163">
        <w:rPr>
          <w:i/>
        </w:rPr>
        <w:t>Id</w:t>
      </w:r>
      <w:r w:rsidRPr="00ED6163">
        <w:t>.  Available census data do not provide a more precise estimate of the number of firms that have employment of 1,500 or fewer employees; the largest category provided is for firms with “1000 employees or more.”</w:t>
      </w:r>
    </w:p>
  </w:footnote>
  <w:footnote w:id="595">
    <w:p w:rsidR="00252A4C" w:rsidRPr="00ED6163" w:rsidP="00D60B92" w14:paraId="29B3E198" w14:textId="77777777">
      <w:pPr>
        <w:pStyle w:val="FootnoteText"/>
      </w:pPr>
      <w:r w:rsidRPr="00ED6163">
        <w:rPr>
          <w:rStyle w:val="Footnote"/>
          <w:vertAlign w:val="superscript"/>
        </w:rPr>
        <w:footnoteRef/>
      </w:r>
      <w:r w:rsidRPr="00ED6163">
        <w:rPr>
          <w:rStyle w:val="Footnote"/>
        </w:rPr>
        <w:t xml:space="preserve"> </w:t>
      </w:r>
      <w:r w:rsidRPr="00ED6163">
        <w:rPr>
          <w:rStyle w:val="Footnote"/>
          <w:i/>
        </w:rPr>
        <w:t>Trends in Telephone Ser</w:t>
      </w:r>
      <w:r w:rsidRPr="00ED6163">
        <w:rPr>
          <w:rStyle w:val="Footnote"/>
          <w:i/>
        </w:rPr>
        <w:t>vice</w:t>
      </w:r>
      <w:r w:rsidRPr="00ED6163">
        <w:rPr>
          <w:rStyle w:val="Footnote"/>
        </w:rPr>
        <w:t xml:space="preserve">, </w:t>
      </w:r>
      <w:r w:rsidRPr="00ED6163">
        <w:t>tbl</w:t>
      </w:r>
      <w:r w:rsidRPr="00ED6163">
        <w:rPr>
          <w:rStyle w:val="Footnote"/>
        </w:rPr>
        <w:t>. 5.3.</w:t>
      </w:r>
    </w:p>
  </w:footnote>
  <w:footnote w:id="596">
    <w:p w:rsidR="00252A4C" w:rsidRPr="00ED6163" w:rsidP="00D60B92" w14:paraId="74E24C12" w14:textId="77777777">
      <w:pPr>
        <w:pStyle w:val="FootnoteText"/>
      </w:pPr>
      <w:r w:rsidRPr="00ED6163">
        <w:rPr>
          <w:rStyle w:val="Footnote"/>
          <w:vertAlign w:val="superscript"/>
        </w:rPr>
        <w:footnoteRef/>
      </w:r>
      <w:r w:rsidRPr="00ED6163">
        <w:rPr>
          <w:rStyle w:val="Footnote"/>
        </w:rPr>
        <w:t xml:space="preserve"> </w:t>
      </w:r>
      <w:r w:rsidRPr="00ED6163">
        <w:rPr>
          <w:rStyle w:val="Footnote"/>
          <w:i/>
        </w:rPr>
        <w:t>Id</w:t>
      </w:r>
      <w:r w:rsidRPr="00ED6163">
        <w:rPr>
          <w:rStyle w:val="Footnote"/>
        </w:rPr>
        <w:t>.</w:t>
      </w:r>
    </w:p>
  </w:footnote>
  <w:footnote w:id="597">
    <w:p w:rsidR="00252A4C" w:rsidRPr="00ED6163" w:rsidP="00D60B92" w14:paraId="288D5629" w14:textId="77777777">
      <w:pPr>
        <w:pStyle w:val="FootnoteText"/>
      </w:pPr>
      <w:r w:rsidRPr="00ED6163">
        <w:rPr>
          <w:rStyle w:val="Footnote"/>
          <w:vertAlign w:val="superscript"/>
        </w:rPr>
        <w:footnoteRef/>
      </w:r>
      <w:r w:rsidRPr="00ED6163">
        <w:t xml:space="preserve"> </w:t>
      </w:r>
      <w:r w:rsidRPr="00ED6163">
        <w:rPr>
          <w:i/>
        </w:rPr>
        <w:t>See Amendment of Parts 20 and 24 of the Commission’s Rules – Broadband PCS Competitive Bidding and the Commercial Mobile Radio Service Spectrum Cap; Amendment of the Commission’s Cellular/PCS Cross-Ownership Rule</w:t>
      </w:r>
      <w:r w:rsidRPr="00ED6163">
        <w:t>; WT Docket No. 96-5</w:t>
      </w:r>
      <w:r w:rsidRPr="00ED6163">
        <w:t xml:space="preserve">9, GN Docket No. 90-314, Report and Order, 11 FCC Rcd 7824, 7850-52, paras. 57-60 (1996) (PCS Report and Order); </w:t>
      </w:r>
      <w:r w:rsidRPr="00ED6163">
        <w:rPr>
          <w:i/>
        </w:rPr>
        <w:t>see also</w:t>
      </w:r>
      <w:r w:rsidRPr="00ED6163">
        <w:t xml:space="preserve"> 47 CFR § 24.720(b).</w:t>
      </w:r>
    </w:p>
  </w:footnote>
  <w:footnote w:id="598">
    <w:p w:rsidR="00252A4C" w:rsidRPr="00ED6163" w:rsidP="00D60B92" w14:paraId="512F340B" w14:textId="77777777">
      <w:pPr>
        <w:pStyle w:val="FootnoteText"/>
      </w:pPr>
      <w:r w:rsidRPr="00ED6163">
        <w:rPr>
          <w:rStyle w:val="Footnote"/>
          <w:vertAlign w:val="superscript"/>
        </w:rPr>
        <w:footnoteRef/>
      </w:r>
      <w:r w:rsidRPr="00ED6163">
        <w:rPr>
          <w:rStyle w:val="Footnote"/>
        </w:rPr>
        <w:t xml:space="preserve"> </w:t>
      </w:r>
      <w:r w:rsidRPr="00ED6163">
        <w:rPr>
          <w:i/>
        </w:rPr>
        <w:t>See PCS Report and Order</w:t>
      </w:r>
      <w:r w:rsidRPr="00ED6163">
        <w:t>, 11 FCC Rcd at 7852, para. 60.</w:t>
      </w:r>
    </w:p>
  </w:footnote>
  <w:footnote w:id="599">
    <w:p w:rsidR="00252A4C" w:rsidRPr="00ED6163" w:rsidP="00D60B92" w14:paraId="1AEC58F9" w14:textId="77777777">
      <w:pPr>
        <w:pStyle w:val="FootnoteText"/>
      </w:pPr>
      <w:r w:rsidRPr="00ED6163">
        <w:rPr>
          <w:rStyle w:val="Footnote"/>
          <w:vertAlign w:val="superscript"/>
        </w:rPr>
        <w:footnoteRef/>
      </w:r>
      <w:r w:rsidRPr="00ED6163">
        <w:rPr>
          <w:rStyle w:val="Footnote"/>
        </w:rPr>
        <w:t xml:space="preserve"> </w:t>
      </w:r>
      <w:r w:rsidRPr="00ED6163">
        <w:rPr>
          <w:i/>
        </w:rPr>
        <w:t>See Alvarez Letter 1998.</w:t>
      </w:r>
    </w:p>
  </w:footnote>
  <w:footnote w:id="600">
    <w:p w:rsidR="00252A4C" w:rsidRPr="00ED6163" w:rsidP="00D60B92" w14:paraId="781E0D2A" w14:textId="77777777">
      <w:pPr>
        <w:pStyle w:val="FootnoteText"/>
      </w:pPr>
      <w:r w:rsidRPr="00ED6163">
        <w:rPr>
          <w:rStyle w:val="Footnote"/>
          <w:vertAlign w:val="superscript"/>
        </w:rPr>
        <w:footnoteRef/>
      </w:r>
      <w:r w:rsidRPr="00ED6163">
        <w:t xml:space="preserve"> </w:t>
      </w:r>
      <w:r w:rsidRPr="00ED6163">
        <w:rPr>
          <w:i/>
          <w:iCs/>
        </w:rPr>
        <w:t>See</w:t>
      </w:r>
      <w:r w:rsidRPr="00ED6163">
        <w:t xml:space="preserve"> </w:t>
      </w:r>
      <w:r w:rsidRPr="00ED6163">
        <w:rPr>
          <w:i/>
          <w:iCs/>
        </w:rPr>
        <w:t>Broadband PCS</w:t>
      </w:r>
      <w:r w:rsidRPr="00ED6163">
        <w:rPr>
          <w:iCs/>
        </w:rPr>
        <w:t>,</w:t>
      </w:r>
      <w:r w:rsidRPr="00ED6163">
        <w:rPr>
          <w:i/>
          <w:iCs/>
        </w:rPr>
        <w:t xml:space="preserve"> D</w:t>
      </w:r>
      <w:r w:rsidRPr="00ED6163">
        <w:rPr>
          <w:iCs/>
        </w:rPr>
        <w:t>,</w:t>
      </w:r>
      <w:r w:rsidRPr="00ED6163">
        <w:rPr>
          <w:i/>
          <w:iCs/>
        </w:rPr>
        <w:t xml:space="preserve"> E and F Block Auction Closes</w:t>
      </w:r>
      <w:r w:rsidRPr="00ED6163">
        <w:t>, Public Notice, Doc. No. 89838 (rel. Jan. 14, 1997).</w:t>
      </w:r>
    </w:p>
  </w:footnote>
  <w:footnote w:id="601">
    <w:p w:rsidR="00252A4C" w:rsidRPr="00ED6163" w:rsidP="00D60B92" w14:paraId="33EBF3C1" w14:textId="77777777">
      <w:pPr>
        <w:pStyle w:val="FootnoteText"/>
      </w:pPr>
      <w:r w:rsidRPr="00ED6163">
        <w:rPr>
          <w:rStyle w:val="Footnote"/>
          <w:vertAlign w:val="superscript"/>
        </w:rPr>
        <w:footnoteRef/>
      </w:r>
      <w:r w:rsidRPr="00ED6163">
        <w:rPr>
          <w:rStyle w:val="Footnote"/>
        </w:rPr>
        <w:t xml:space="preserve"> </w:t>
      </w:r>
      <w:r w:rsidRPr="00ED6163">
        <w:rPr>
          <w:i/>
        </w:rPr>
        <w:t>See C, D, E, and F Block Broadband PCS Auction Closes</w:t>
      </w:r>
      <w:r w:rsidRPr="00ED6163">
        <w:t xml:space="preserve">, Public Notice, 14 FCC Rcd 6688 (WTB 1999).  Before Auction No. 22, the Commission established a very small standard </w:t>
      </w:r>
      <w:r w:rsidRPr="00ED6163">
        <w:t xml:space="preserve">for the C Block to match the standard used for F Block.  </w:t>
      </w:r>
      <w:r w:rsidRPr="00ED6163">
        <w:rPr>
          <w:i/>
        </w:rPr>
        <w:t>Amendment of the Commission’s Rules Regarding Installment Payment Financing for Personal Communications Services (PCS) Licensees</w:t>
      </w:r>
      <w:r w:rsidRPr="00ED6163">
        <w:t>, WT Docket No. 97-82, Fourth Report and Order, 13 FCC Rcd 15743, 15768</w:t>
      </w:r>
      <w:r w:rsidRPr="00ED6163">
        <w:t>, para. 46 (1998).</w:t>
      </w:r>
    </w:p>
    <w:bookmarkStart w:id="681" w:name="_DV_C617"/>
    <w:bookmarkEnd w:id="681"/>
  </w:footnote>
  <w:footnote w:id="602">
    <w:p w:rsidR="00252A4C" w:rsidRPr="00ED6163" w:rsidP="00D60B92" w14:paraId="7DF2F160" w14:textId="77777777">
      <w:pPr>
        <w:pStyle w:val="FootnoteText"/>
      </w:pPr>
      <w:r w:rsidRPr="00ED6163">
        <w:rPr>
          <w:rStyle w:val="Footnote"/>
          <w:vertAlign w:val="superscript"/>
        </w:rPr>
        <w:footnoteRef/>
      </w:r>
      <w:r w:rsidRPr="00ED6163">
        <w:rPr>
          <w:rStyle w:val="Footnote"/>
        </w:rPr>
        <w:t xml:space="preserve"> </w:t>
      </w:r>
      <w:r w:rsidRPr="00ED6163">
        <w:rPr>
          <w:rStyle w:val="Footnote"/>
          <w:i/>
        </w:rPr>
        <w:t>See</w:t>
      </w:r>
      <w:r w:rsidRPr="00ED6163">
        <w:rPr>
          <w:rStyle w:val="Footnote"/>
        </w:rPr>
        <w:t xml:space="preserve"> </w:t>
      </w:r>
      <w:r w:rsidRPr="00ED6163">
        <w:rPr>
          <w:rStyle w:val="Footnote"/>
          <w:i/>
        </w:rPr>
        <w:t>C and F Block Broadband PCS Auction Closes; Winning Bidders Announced</w:t>
      </w:r>
      <w:r w:rsidRPr="00ED6163">
        <w:rPr>
          <w:rStyle w:val="Footnote"/>
        </w:rPr>
        <w:t>, Public Notice, 16 FCC Rcd 2339 (2001).</w:t>
      </w:r>
    </w:p>
  </w:footnote>
  <w:footnote w:id="603">
    <w:p w:rsidR="00252A4C" w:rsidRPr="00ED6163" w:rsidP="00D60B92" w14:paraId="6C22EDE7" w14:textId="77777777">
      <w:pPr>
        <w:pStyle w:val="FootnoteText"/>
      </w:pPr>
      <w:r w:rsidRPr="00ED6163">
        <w:rPr>
          <w:rStyle w:val="FootnoteReference"/>
        </w:rPr>
        <w:footnoteRef/>
      </w:r>
      <w:r w:rsidRPr="00ED6163">
        <w:t xml:space="preserve"> </w:t>
      </w:r>
      <w:r w:rsidRPr="00ED6163">
        <w:rPr>
          <w:i/>
        </w:rPr>
        <w:t>See</w:t>
      </w:r>
      <w:r w:rsidRPr="00ED6163">
        <w:t xml:space="preserve"> </w:t>
      </w:r>
      <w:r w:rsidRPr="00ED6163">
        <w:rPr>
          <w:i/>
        </w:rPr>
        <w:t>Broadband PCS Spectrum Auction Closes; Winning Bidders Announced for Auction No. 58</w:t>
      </w:r>
      <w:r w:rsidRPr="00ED6163">
        <w:t>, Public Notice, 20 FCC Rcd 3703</w:t>
      </w:r>
      <w:r w:rsidRPr="00ED6163">
        <w:t xml:space="preserve"> (2005).</w:t>
      </w:r>
    </w:p>
  </w:footnote>
  <w:footnote w:id="604">
    <w:p w:rsidR="00252A4C" w:rsidRPr="00ED6163" w:rsidP="00D60B92" w14:paraId="130DA4D7" w14:textId="77777777">
      <w:pPr>
        <w:pStyle w:val="FootnoteText"/>
      </w:pPr>
      <w:r w:rsidRPr="00ED6163">
        <w:rPr>
          <w:rStyle w:val="FootnoteReference"/>
        </w:rPr>
        <w:footnoteRef/>
      </w:r>
      <w:r w:rsidRPr="00ED6163">
        <w:t xml:space="preserve"> </w:t>
      </w:r>
      <w:r w:rsidRPr="00ED6163">
        <w:rPr>
          <w:i/>
        </w:rPr>
        <w:t>See</w:t>
      </w:r>
      <w:r w:rsidRPr="00ED6163">
        <w:t xml:space="preserve"> </w:t>
      </w:r>
      <w:r w:rsidRPr="00ED6163">
        <w:rPr>
          <w:i/>
        </w:rPr>
        <w:t>Auction of Broadband PCS Spectrum Licenses Closes; Winning Bidders Announced for Auction No. 71</w:t>
      </w:r>
      <w:r w:rsidRPr="00ED6163">
        <w:t>, Public Notice, 22 FCC Rcd 9247 (2007).</w:t>
      </w:r>
    </w:p>
  </w:footnote>
  <w:footnote w:id="605">
    <w:p w:rsidR="00252A4C" w:rsidRPr="00ED6163" w:rsidP="00D60B92" w14:paraId="0D799191" w14:textId="77777777">
      <w:pPr>
        <w:pStyle w:val="FootnoteText"/>
      </w:pPr>
      <w:r w:rsidRPr="00ED6163">
        <w:rPr>
          <w:rStyle w:val="FootnoteReference"/>
        </w:rPr>
        <w:footnoteRef/>
      </w:r>
      <w:r w:rsidRPr="00ED6163">
        <w:t xml:space="preserve"> </w:t>
      </w:r>
      <w:r w:rsidRPr="00ED6163">
        <w:rPr>
          <w:i/>
        </w:rPr>
        <w:t>Id</w:t>
      </w:r>
      <w:r w:rsidRPr="00ED6163">
        <w:t>.</w:t>
      </w:r>
    </w:p>
  </w:footnote>
  <w:footnote w:id="606">
    <w:p w:rsidR="00252A4C" w:rsidRPr="00ED6163" w:rsidP="00D60B92" w14:paraId="0BD229C4" w14:textId="77777777">
      <w:pPr>
        <w:pStyle w:val="FootnoteText"/>
      </w:pPr>
      <w:r w:rsidRPr="00ED6163">
        <w:rPr>
          <w:rStyle w:val="FootnoteReference"/>
        </w:rPr>
        <w:footnoteRef/>
      </w:r>
      <w:r w:rsidRPr="00ED6163">
        <w:t xml:space="preserve"> </w:t>
      </w:r>
      <w:r w:rsidRPr="00ED6163">
        <w:rPr>
          <w:i/>
        </w:rPr>
        <w:t>See</w:t>
      </w:r>
      <w:r w:rsidRPr="00ED6163">
        <w:t xml:space="preserve"> </w:t>
      </w:r>
      <w:r w:rsidRPr="00ED6163">
        <w:rPr>
          <w:bCs/>
          <w:i/>
        </w:rPr>
        <w:t>Auction of AWS-1 and Broadband PCS Licenses Closes; Winning Bidders Announced for Auction 78</w:t>
      </w:r>
      <w:r w:rsidRPr="00ED6163">
        <w:rPr>
          <w:bCs/>
        </w:rPr>
        <w:t>,</w:t>
      </w:r>
      <w:r w:rsidRPr="00ED6163">
        <w:rPr>
          <w:bCs/>
        </w:rPr>
        <w:t xml:space="preserve"> </w:t>
      </w:r>
      <w:r w:rsidRPr="00ED6163">
        <w:t>Public Notice, 23 FCC Rcd 12749 (WTB 2008).</w:t>
      </w:r>
    </w:p>
  </w:footnote>
  <w:footnote w:id="607">
    <w:p w:rsidR="00252A4C" w:rsidRPr="00ED6163" w:rsidP="00D60B92" w14:paraId="1898FFA0" w14:textId="77777777">
      <w:pPr>
        <w:pStyle w:val="FootnoteText"/>
      </w:pPr>
      <w:r w:rsidRPr="00ED6163">
        <w:rPr>
          <w:rStyle w:val="FootnoteReference"/>
        </w:rPr>
        <w:footnoteRef/>
      </w:r>
      <w:r w:rsidRPr="00ED6163">
        <w:t xml:space="preserve"> </w:t>
      </w:r>
      <w:r w:rsidRPr="00ED6163">
        <w:rPr>
          <w:i/>
        </w:rPr>
        <w:t>Id.</w:t>
      </w:r>
    </w:p>
  </w:footnote>
  <w:footnote w:id="608">
    <w:p w:rsidR="00252A4C" w:rsidRPr="00ED6163" w:rsidP="00D60B92" w14:paraId="4093522D" w14:textId="77777777">
      <w:pPr>
        <w:pStyle w:val="FootnoteText"/>
      </w:pPr>
      <w:r w:rsidRPr="00ED6163">
        <w:rPr>
          <w:rStyle w:val="FootnoteReference"/>
        </w:rPr>
        <w:footnoteRef/>
      </w:r>
      <w:r w:rsidRPr="00ED6163">
        <w:t xml:space="preserve"> 47 CFR § 90.814(b)(1).</w:t>
      </w:r>
    </w:p>
  </w:footnote>
  <w:footnote w:id="609">
    <w:p w:rsidR="00252A4C" w:rsidRPr="00ED6163" w:rsidP="00D60B92" w14:paraId="6EC452E6" w14:textId="77777777">
      <w:pPr>
        <w:pStyle w:val="FootnoteText"/>
      </w:pPr>
      <w:r w:rsidRPr="00ED6163">
        <w:rPr>
          <w:rStyle w:val="Footnote"/>
          <w:vertAlign w:val="superscript"/>
        </w:rPr>
        <w:footnoteRef/>
      </w:r>
      <w:r w:rsidRPr="00ED6163">
        <w:t xml:space="preserve"> </w:t>
      </w:r>
      <w:r w:rsidRPr="00ED6163">
        <w:rPr>
          <w:i/>
        </w:rPr>
        <w:t>Id</w:t>
      </w:r>
      <w:r w:rsidRPr="00ED6163">
        <w:t>.</w:t>
      </w:r>
      <w:r w:rsidRPr="00ED6163">
        <w:rPr>
          <w:rStyle w:val="Footnote"/>
        </w:rPr>
        <w:t xml:space="preserve"> </w:t>
      </w:r>
    </w:p>
  </w:footnote>
  <w:footnote w:id="610">
    <w:p w:rsidR="00252A4C" w:rsidRPr="00ED6163" w:rsidP="00D60B92" w14:paraId="7CAD377D" w14:textId="77777777">
      <w:pPr>
        <w:pStyle w:val="FootnoteText"/>
      </w:pPr>
      <w:r w:rsidRPr="00ED6163">
        <w:rPr>
          <w:rStyle w:val="Footnote"/>
          <w:vertAlign w:val="superscript"/>
        </w:rPr>
        <w:footnoteRef/>
      </w:r>
      <w:r w:rsidRPr="00ED6163">
        <w:t xml:space="preserve"> </w:t>
      </w:r>
      <w:r w:rsidRPr="00ED6163">
        <w:rPr>
          <w:i/>
        </w:rPr>
        <w:t>See</w:t>
      </w:r>
      <w:r w:rsidRPr="00ED6163">
        <w:t xml:space="preserve"> Letter from Aida Alvarez, Administrator, SBA, to Thomas Sugrue, Chief, Wireless Telecommunications Bureau, Federal Communications Commission (filed Aug. 10, 1999) (</w:t>
      </w:r>
      <w:r w:rsidRPr="00ED6163">
        <w:rPr>
          <w:i/>
        </w:rPr>
        <w:t>Alvarez Letter 1999</w:t>
      </w:r>
      <w:r w:rsidRPr="00ED6163">
        <w:t>).</w:t>
      </w:r>
    </w:p>
  </w:footnote>
  <w:footnote w:id="611">
    <w:p w:rsidR="00252A4C" w:rsidRPr="00ED6163" w:rsidP="00D60B92" w14:paraId="1C36B305" w14:textId="77777777">
      <w:pPr>
        <w:pStyle w:val="FootnoteText"/>
      </w:pPr>
      <w:r w:rsidRPr="00ED6163">
        <w:rPr>
          <w:rStyle w:val="Footnote"/>
          <w:vertAlign w:val="superscript"/>
        </w:rPr>
        <w:footnoteRef/>
      </w:r>
      <w:r w:rsidRPr="00ED6163">
        <w:rPr>
          <w:rStyle w:val="Footnote"/>
        </w:rPr>
        <w:t xml:space="preserve"> </w:t>
      </w:r>
      <w:r w:rsidRPr="00ED6163">
        <w:rPr>
          <w:i/>
        </w:rPr>
        <w:t>See</w:t>
      </w:r>
      <w:r w:rsidRPr="00ED6163">
        <w:t xml:space="preserve"> Correction to Public Notice DA 96-586, </w:t>
      </w:r>
      <w:r w:rsidRPr="00ED6163">
        <w:rPr>
          <w:i/>
        </w:rPr>
        <w:t>FCC Announces Winning Bidders in the Auction of 1020 Licenses to Provide 900 MHz SMR in Major Trading Areas</w:t>
      </w:r>
      <w:r w:rsidRPr="00ED6163">
        <w:t>, Public Notice, 18 FCC Rcd 18367 (WTB 1996).</w:t>
      </w:r>
    </w:p>
  </w:footnote>
  <w:footnote w:id="612">
    <w:p w:rsidR="00252A4C" w:rsidRPr="00ED6163" w:rsidP="00D60B92" w14:paraId="797E7CFD" w14:textId="77777777">
      <w:pPr>
        <w:pStyle w:val="FootnoteText"/>
      </w:pPr>
      <w:r w:rsidRPr="00ED6163">
        <w:rPr>
          <w:rStyle w:val="Footnote"/>
          <w:vertAlign w:val="superscript"/>
        </w:rPr>
        <w:footnoteRef/>
      </w:r>
      <w:r w:rsidRPr="00ED6163">
        <w:rPr>
          <w:rStyle w:val="Footnote"/>
        </w:rPr>
        <w:t xml:space="preserve"> </w:t>
      </w:r>
      <w:r w:rsidRPr="00ED6163">
        <w:rPr>
          <w:i/>
        </w:rPr>
        <w:t>See Multi-Radio Service Auction Closes, Public Notice</w:t>
      </w:r>
      <w:r w:rsidRPr="00ED6163">
        <w:t>, 17 FCC</w:t>
      </w:r>
      <w:r w:rsidRPr="00ED6163">
        <w:t xml:space="preserve"> Rcd 1446 (WTB 2002).</w:t>
      </w:r>
    </w:p>
  </w:footnote>
  <w:footnote w:id="613">
    <w:p w:rsidR="00252A4C" w:rsidRPr="00ED6163" w:rsidP="00D60B92" w14:paraId="048DDC44" w14:textId="77777777">
      <w:pPr>
        <w:pStyle w:val="FootnoteText"/>
      </w:pPr>
      <w:r w:rsidRPr="00ED6163">
        <w:rPr>
          <w:rStyle w:val="Footnote"/>
          <w:vertAlign w:val="superscript"/>
        </w:rPr>
        <w:footnoteRef/>
      </w:r>
      <w:r w:rsidRPr="00ED6163">
        <w:rPr>
          <w:rStyle w:val="Footnote"/>
        </w:rPr>
        <w:t xml:space="preserve"> </w:t>
      </w:r>
      <w:r w:rsidRPr="00ED6163">
        <w:rPr>
          <w:i/>
        </w:rPr>
        <w:t>See 800 MHz Specialized Mobile Radio (SMR) Service General Category (851–854 MHz) and Upper Band (861–865 MHz) Auction Closes; Winning Bidders Announced</w:t>
      </w:r>
      <w:r w:rsidRPr="00ED6163">
        <w:t>, Public Notice, 15 FCC Rcd 17162 (2000).</w:t>
      </w:r>
    </w:p>
  </w:footnote>
  <w:footnote w:id="614">
    <w:p w:rsidR="00252A4C" w:rsidRPr="00ED6163" w:rsidP="00D60B92" w14:paraId="5147D4F9" w14:textId="77777777">
      <w:pPr>
        <w:pStyle w:val="FootnoteText"/>
      </w:pPr>
      <w:r w:rsidRPr="00ED6163">
        <w:rPr>
          <w:rStyle w:val="Footnote"/>
          <w:vertAlign w:val="superscript"/>
        </w:rPr>
        <w:footnoteRef/>
      </w:r>
      <w:r w:rsidRPr="00ED6163">
        <w:rPr>
          <w:rStyle w:val="Footnote"/>
        </w:rPr>
        <w:t xml:space="preserve"> </w:t>
      </w:r>
      <w:r w:rsidRPr="00ED6163">
        <w:rPr>
          <w:i/>
        </w:rPr>
        <w:t>See 800 MHz SMR Service Lower 80 Cha</w:t>
      </w:r>
      <w:r w:rsidRPr="00ED6163">
        <w:rPr>
          <w:i/>
        </w:rPr>
        <w:t>nnels Auction Closes; Winning Bidders Announced</w:t>
      </w:r>
      <w:r w:rsidRPr="00ED6163">
        <w:t>, Public Notice, 16 FCC Rcd 1736 (2000).</w:t>
      </w:r>
    </w:p>
  </w:footnote>
  <w:footnote w:id="615">
    <w:p w:rsidR="00252A4C" w:rsidRPr="00ED6163" w:rsidP="00D60B92" w14:paraId="4BC23E1B" w14:textId="77777777">
      <w:pPr>
        <w:pStyle w:val="FootnoteText"/>
      </w:pPr>
      <w:r w:rsidRPr="00ED6163">
        <w:rPr>
          <w:rStyle w:val="FootnoteReference"/>
        </w:rPr>
        <w:footnoteRef/>
      </w:r>
      <w:r w:rsidRPr="00ED6163">
        <w:t xml:space="preserve"> </w:t>
      </w:r>
      <w:r w:rsidRPr="00ED6163">
        <w:rPr>
          <w:i/>
        </w:rPr>
        <w:t>See generally</w:t>
      </w:r>
      <w:r w:rsidRPr="00ED6163">
        <w:t xml:space="preserve"> 13 CFR § 121.201, NAICS code 517210</w:t>
      </w:r>
      <w:r w:rsidRPr="00ED6163">
        <w:rPr>
          <w:rStyle w:val="Footnote"/>
        </w:rPr>
        <w:t>.</w:t>
      </w:r>
    </w:p>
  </w:footnote>
  <w:footnote w:id="616">
    <w:p w:rsidR="00252A4C" w:rsidRPr="00ED6163" w:rsidP="00D60B92" w14:paraId="75D56FFE" w14:textId="77777777">
      <w:pPr>
        <w:pStyle w:val="FootnoteText"/>
      </w:pPr>
      <w:r w:rsidRPr="00ED6163">
        <w:rPr>
          <w:vertAlign w:val="superscript"/>
        </w:rPr>
        <w:footnoteRef/>
      </w:r>
      <w:r w:rsidRPr="00ED6163">
        <w:t xml:space="preserve"> </w:t>
      </w:r>
      <w:r w:rsidRPr="00ED6163">
        <w:rPr>
          <w:i/>
        </w:rPr>
        <w:t>See</w:t>
      </w:r>
      <w:r w:rsidRPr="00ED6163">
        <w:t xml:space="preserve"> </w:t>
      </w:r>
      <w:r w:rsidRPr="00ED6163">
        <w:rPr>
          <w:i/>
        </w:rPr>
        <w:t>Reallocation and Service Rules for the 698</w:t>
      </w:r>
      <w:r w:rsidRPr="00ED6163">
        <w:rPr>
          <w:rStyle w:val="Footnote"/>
        </w:rPr>
        <w:t>–</w:t>
      </w:r>
      <w:r w:rsidRPr="00ED6163">
        <w:rPr>
          <w:i/>
        </w:rPr>
        <w:t>746 MHz Spectrum Band (Television Channels 52</w:t>
      </w:r>
      <w:r w:rsidRPr="00ED6163">
        <w:rPr>
          <w:rStyle w:val="Footnote"/>
        </w:rPr>
        <w:t>–</w:t>
      </w:r>
      <w:r w:rsidRPr="00ED6163">
        <w:rPr>
          <w:i/>
        </w:rPr>
        <w:t>59)</w:t>
      </w:r>
      <w:r w:rsidRPr="00ED6163">
        <w:t>, GN Docket No. 0</w:t>
      </w:r>
      <w:r w:rsidRPr="00ED6163">
        <w:t>1-74, Report and Order, 17 FCC Rcd 1022 (2002) (</w:t>
      </w:r>
      <w:r w:rsidRPr="00ED6163">
        <w:rPr>
          <w:i/>
        </w:rPr>
        <w:t>Channels 52</w:t>
      </w:r>
      <w:r w:rsidRPr="00ED6163">
        <w:rPr>
          <w:rStyle w:val="Footnote"/>
        </w:rPr>
        <w:t>–</w:t>
      </w:r>
      <w:r w:rsidRPr="00ED6163">
        <w:rPr>
          <w:i/>
        </w:rPr>
        <w:t>59 Report and Order</w:t>
      </w:r>
      <w:r w:rsidRPr="00ED6163">
        <w:t>).</w:t>
      </w:r>
    </w:p>
  </w:footnote>
  <w:footnote w:id="617">
    <w:p w:rsidR="00252A4C" w:rsidRPr="00ED6163" w:rsidP="00D60B92" w14:paraId="1836497A" w14:textId="77777777">
      <w:pPr>
        <w:pStyle w:val="FootnoteText"/>
      </w:pPr>
      <w:r w:rsidRPr="00ED6163">
        <w:rPr>
          <w:vertAlign w:val="superscript"/>
        </w:rPr>
        <w:footnoteRef/>
      </w:r>
      <w:r w:rsidRPr="00ED6163">
        <w:t xml:space="preserve"> </w:t>
      </w:r>
      <w:r w:rsidRPr="00ED6163">
        <w:rPr>
          <w:i/>
        </w:rPr>
        <w:t>See</w:t>
      </w:r>
      <w:r w:rsidRPr="00ED6163">
        <w:t xml:space="preserve"> </w:t>
      </w:r>
      <w:r w:rsidRPr="00ED6163">
        <w:rPr>
          <w:i/>
        </w:rPr>
        <w:t>id.</w:t>
      </w:r>
      <w:r w:rsidRPr="00ED6163">
        <w:t xml:space="preserve"> at 1087</w:t>
      </w:r>
      <w:r w:rsidRPr="00ED6163">
        <w:rPr>
          <w:rStyle w:val="Footnote"/>
        </w:rPr>
        <w:t>-</w:t>
      </w:r>
      <w:r w:rsidRPr="00ED6163">
        <w:t>88, para. 172.</w:t>
      </w:r>
    </w:p>
  </w:footnote>
  <w:footnote w:id="618">
    <w:p w:rsidR="00252A4C" w:rsidRPr="00ED6163" w:rsidP="00D60B92" w14:paraId="75AD9DDE" w14:textId="77777777">
      <w:pPr>
        <w:pStyle w:val="FootnoteText"/>
      </w:pPr>
      <w:r w:rsidRPr="00ED6163">
        <w:rPr>
          <w:vertAlign w:val="superscript"/>
        </w:rPr>
        <w:footnoteRef/>
      </w:r>
      <w:r w:rsidRPr="00ED6163">
        <w:t xml:space="preserve"> </w:t>
      </w:r>
      <w:r w:rsidRPr="00ED6163">
        <w:rPr>
          <w:i/>
        </w:rPr>
        <w:t>See</w:t>
      </w:r>
      <w:r w:rsidRPr="00ED6163">
        <w:t xml:space="preserve"> </w:t>
      </w:r>
      <w:r w:rsidRPr="00ED6163">
        <w:rPr>
          <w:i/>
        </w:rPr>
        <w:t>id</w:t>
      </w:r>
      <w:r w:rsidRPr="00ED6163">
        <w:t>.</w:t>
      </w:r>
    </w:p>
  </w:footnote>
  <w:footnote w:id="619">
    <w:p w:rsidR="00252A4C" w:rsidRPr="00ED6163" w:rsidP="00D60B92" w14:paraId="208E319B" w14:textId="77777777">
      <w:pPr>
        <w:pStyle w:val="FootnoteText"/>
      </w:pPr>
      <w:r w:rsidRPr="00ED6163">
        <w:rPr>
          <w:vertAlign w:val="superscript"/>
        </w:rPr>
        <w:footnoteRef/>
      </w:r>
      <w:r w:rsidRPr="00ED6163">
        <w:t xml:space="preserve"> </w:t>
      </w:r>
      <w:r w:rsidRPr="00ED6163">
        <w:rPr>
          <w:i/>
        </w:rPr>
        <w:t>See</w:t>
      </w:r>
      <w:r w:rsidRPr="00ED6163">
        <w:t xml:space="preserve"> </w:t>
      </w:r>
      <w:r w:rsidRPr="00ED6163">
        <w:rPr>
          <w:i/>
        </w:rPr>
        <w:t>id.</w:t>
      </w:r>
      <w:r w:rsidRPr="00ED6163">
        <w:t>, at 1088, para. 173.</w:t>
      </w:r>
    </w:p>
  </w:footnote>
  <w:footnote w:id="620">
    <w:p w:rsidR="00252A4C" w:rsidRPr="00ED6163" w:rsidP="00D60B92" w14:paraId="0A11C6C7" w14:textId="77777777">
      <w:pPr>
        <w:pStyle w:val="FootnoteText"/>
      </w:pPr>
      <w:r w:rsidRPr="00ED6163">
        <w:rPr>
          <w:vertAlign w:val="superscript"/>
        </w:rPr>
        <w:footnoteRef/>
      </w:r>
      <w:r w:rsidRPr="00ED6163">
        <w:t xml:space="preserve"> </w:t>
      </w:r>
      <w:r w:rsidRPr="00ED6163">
        <w:rPr>
          <w:i/>
        </w:rPr>
        <w:t>See Alvarez Letter 1999</w:t>
      </w:r>
      <w:r w:rsidRPr="00ED6163">
        <w:t>.</w:t>
      </w:r>
    </w:p>
  </w:footnote>
  <w:footnote w:id="621">
    <w:p w:rsidR="00252A4C" w:rsidRPr="00ED6163" w:rsidP="00D60B92" w14:paraId="67036DFF" w14:textId="77777777">
      <w:pPr>
        <w:pStyle w:val="FootnoteText"/>
      </w:pPr>
      <w:r w:rsidRPr="00ED6163">
        <w:rPr>
          <w:vertAlign w:val="superscript"/>
        </w:rPr>
        <w:footnoteRef/>
      </w:r>
      <w:r w:rsidRPr="00ED6163">
        <w:t xml:space="preserve"> </w:t>
      </w:r>
      <w:r w:rsidRPr="00ED6163">
        <w:rPr>
          <w:i/>
        </w:rPr>
        <w:t>See</w:t>
      </w:r>
      <w:r w:rsidRPr="00ED6163">
        <w:t xml:space="preserve"> </w:t>
      </w:r>
      <w:r w:rsidRPr="00ED6163">
        <w:rPr>
          <w:i/>
        </w:rPr>
        <w:t>Lower 700 MHz Band Auction Closes</w:t>
      </w:r>
      <w:r w:rsidRPr="00ED6163">
        <w:t xml:space="preserve">, Public Notice, 17 FCC Rcd 17272 </w:t>
      </w:r>
      <w:r w:rsidRPr="00ED6163">
        <w:t>(WTB 2002).</w:t>
      </w:r>
    </w:p>
  </w:footnote>
  <w:footnote w:id="622">
    <w:p w:rsidR="00252A4C" w:rsidRPr="00ED6163" w:rsidP="00D60B92" w14:paraId="099FC833" w14:textId="77777777">
      <w:pPr>
        <w:pStyle w:val="FootnoteText"/>
      </w:pPr>
      <w:r w:rsidRPr="00ED6163">
        <w:rPr>
          <w:vertAlign w:val="superscript"/>
        </w:rPr>
        <w:footnoteRef/>
      </w:r>
      <w:r w:rsidRPr="00ED6163">
        <w:t xml:space="preserve"> </w:t>
      </w:r>
      <w:r w:rsidRPr="00ED6163">
        <w:rPr>
          <w:i/>
        </w:rPr>
        <w:t>See</w:t>
      </w:r>
      <w:r w:rsidRPr="00ED6163">
        <w:t xml:space="preserve"> </w:t>
      </w:r>
      <w:r w:rsidRPr="00ED6163">
        <w:rPr>
          <w:i/>
        </w:rPr>
        <w:t xml:space="preserve">id. </w:t>
      </w:r>
    </w:p>
  </w:footnote>
  <w:footnote w:id="623">
    <w:p w:rsidR="00252A4C" w:rsidRPr="00ED6163" w:rsidP="00D60B92" w14:paraId="51D009F8" w14:textId="77777777">
      <w:pPr>
        <w:pStyle w:val="FootnoteText"/>
      </w:pPr>
      <w:r w:rsidRPr="00ED6163">
        <w:rPr>
          <w:vertAlign w:val="superscript"/>
        </w:rPr>
        <w:footnoteRef/>
      </w:r>
      <w:r w:rsidRPr="00ED6163">
        <w:t xml:space="preserve"> </w:t>
      </w:r>
      <w:r w:rsidRPr="00ED6163">
        <w:rPr>
          <w:i/>
        </w:rPr>
        <w:t>See id.</w:t>
      </w:r>
    </w:p>
  </w:footnote>
  <w:footnote w:id="624">
    <w:p w:rsidR="00252A4C" w:rsidRPr="00ED6163" w:rsidP="00D60B92" w14:paraId="351B46D6" w14:textId="77777777">
      <w:pPr>
        <w:pStyle w:val="FootnoteText"/>
      </w:pPr>
      <w:r w:rsidRPr="00ED6163">
        <w:rPr>
          <w:rStyle w:val="FootnoteReference"/>
        </w:rPr>
        <w:footnoteRef/>
      </w:r>
      <w:r w:rsidRPr="00ED6163">
        <w:t xml:space="preserve"> </w:t>
      </w:r>
      <w:r w:rsidRPr="00ED6163">
        <w:rPr>
          <w:i/>
          <w:iCs/>
        </w:rPr>
        <w:t>Service Rules for the 698</w:t>
      </w:r>
      <w:r w:rsidRPr="00ED6163">
        <w:t>–</w:t>
      </w:r>
      <w:r w:rsidRPr="00ED6163">
        <w:rPr>
          <w:i/>
          <w:iCs/>
        </w:rPr>
        <w:t>746</w:t>
      </w:r>
      <w:r w:rsidRPr="00ED6163">
        <w:rPr>
          <w:iCs/>
        </w:rPr>
        <w:t>,</w:t>
      </w:r>
      <w:r w:rsidRPr="00ED6163">
        <w:rPr>
          <w:i/>
          <w:iCs/>
        </w:rPr>
        <w:t xml:space="preserve"> 747</w:t>
      </w:r>
      <w:r w:rsidRPr="00ED6163">
        <w:t>–</w:t>
      </w:r>
      <w:r w:rsidRPr="00ED6163">
        <w:rPr>
          <w:i/>
          <w:iCs/>
        </w:rPr>
        <w:t>762 and 777</w:t>
      </w:r>
      <w:r w:rsidRPr="00ED6163">
        <w:t>–</w:t>
      </w:r>
      <w:r w:rsidRPr="00ED6163">
        <w:rPr>
          <w:i/>
          <w:iCs/>
        </w:rPr>
        <w:t>792 MHz Band et al.</w:t>
      </w:r>
      <w:r w:rsidRPr="00ED6163">
        <w:t>, WT Docket No. 07-166 et al., Second Report and Order, 22 FCC Rcd 15289, 15359 n. 434 (2007) (</w:t>
      </w:r>
      <w:r w:rsidRPr="00ED6163">
        <w:rPr>
          <w:i/>
          <w:iCs/>
        </w:rPr>
        <w:t>700 MHz Second Report and Order</w:t>
      </w:r>
      <w:r w:rsidRPr="00ED6163">
        <w:t>).</w:t>
      </w:r>
    </w:p>
  </w:footnote>
  <w:footnote w:id="625">
    <w:p w:rsidR="00252A4C" w:rsidRPr="00ED6163" w:rsidP="00D60B92" w14:paraId="72794E1D" w14:textId="77777777">
      <w:pPr>
        <w:pStyle w:val="FootnoteText"/>
      </w:pPr>
      <w:r w:rsidRPr="00ED6163">
        <w:rPr>
          <w:rStyle w:val="FootnoteReference"/>
        </w:rPr>
        <w:footnoteRef/>
      </w:r>
      <w:r w:rsidRPr="00ED6163">
        <w:t xml:space="preserve"> </w:t>
      </w:r>
      <w:r w:rsidRPr="00ED6163">
        <w:rPr>
          <w:i/>
        </w:rPr>
        <w:t>See</w:t>
      </w:r>
      <w:r w:rsidRPr="00ED6163">
        <w:t xml:space="preserve"> </w:t>
      </w:r>
      <w:r w:rsidRPr="00ED6163">
        <w:rPr>
          <w:i/>
        </w:rPr>
        <w:t xml:space="preserve">Auction of 700 </w:t>
      </w:r>
      <w:r w:rsidRPr="00ED6163">
        <w:rPr>
          <w:i/>
        </w:rPr>
        <w:t>MHz Band Licenses Closes</w:t>
      </w:r>
      <w:r w:rsidRPr="00ED6163">
        <w:rPr>
          <w:rStyle w:val="FootnoteTextCharCharCharChar3CharCharChar1"/>
        </w:rPr>
        <w:t>, Public Notice, 23 FCC Rcd 4572 (WTB 2008).</w:t>
      </w:r>
    </w:p>
  </w:footnote>
  <w:footnote w:id="626">
    <w:p w:rsidR="00252A4C" w:rsidRPr="00ED6163" w:rsidP="00D60B92" w14:paraId="32B6AE97" w14:textId="77777777">
      <w:pPr>
        <w:pStyle w:val="FootnoteText"/>
      </w:pPr>
      <w:r w:rsidRPr="00ED6163">
        <w:rPr>
          <w:rStyle w:val="FootnoteReference"/>
        </w:rPr>
        <w:footnoteRef/>
      </w:r>
      <w:r w:rsidRPr="00ED6163">
        <w:t xml:space="preserve"> </w:t>
      </w:r>
      <w:r w:rsidRPr="00ED6163">
        <w:rPr>
          <w:i/>
        </w:rPr>
        <w:t>700 MHz Second Report and Order</w:t>
      </w:r>
      <w:r w:rsidRPr="00ED6163">
        <w:t>, 22 FCC Rcd 15289.</w:t>
      </w:r>
    </w:p>
  </w:footnote>
  <w:footnote w:id="627">
    <w:p w:rsidR="00252A4C" w:rsidRPr="00ED6163" w:rsidP="00D60B92" w14:paraId="25549AAB" w14:textId="77777777">
      <w:pPr>
        <w:pStyle w:val="FootnoteText"/>
      </w:pPr>
      <w:r w:rsidRPr="00ED6163">
        <w:rPr>
          <w:rStyle w:val="FootnoteReference"/>
        </w:rPr>
        <w:footnoteRef/>
      </w:r>
      <w:r w:rsidRPr="00ED6163">
        <w:t xml:space="preserve"> </w:t>
      </w:r>
      <w:r w:rsidRPr="00ED6163">
        <w:rPr>
          <w:i/>
        </w:rPr>
        <w:t>See</w:t>
      </w:r>
      <w:r w:rsidRPr="00ED6163">
        <w:t xml:space="preserve"> </w:t>
      </w:r>
      <w:r w:rsidRPr="00ED6163">
        <w:rPr>
          <w:i/>
        </w:rPr>
        <w:t>Auction of 700 MHz Band Licenses Closes</w:t>
      </w:r>
      <w:r w:rsidRPr="00ED6163">
        <w:rPr>
          <w:rStyle w:val="FootnoteTextCharCharCharChar3CharCharChar1"/>
        </w:rPr>
        <w:t>, Public Notice, 23 FCC Rcd 4572 (WTB 2008).</w:t>
      </w:r>
    </w:p>
  </w:footnote>
  <w:footnote w:id="628">
    <w:p w:rsidR="00252A4C" w:rsidRPr="00ED6163" w:rsidP="00D60B92" w14:paraId="39BE545C" w14:textId="77777777">
      <w:pPr>
        <w:pStyle w:val="FootnoteText"/>
      </w:pPr>
      <w:r w:rsidRPr="00ED6163">
        <w:rPr>
          <w:rStyle w:val="Footnote"/>
          <w:vertAlign w:val="superscript"/>
        </w:rPr>
        <w:footnoteRef/>
      </w:r>
      <w:r w:rsidRPr="00ED6163">
        <w:rPr>
          <w:rStyle w:val="Footnote"/>
        </w:rPr>
        <w:t xml:space="preserve"> </w:t>
      </w:r>
      <w:r w:rsidRPr="00ED6163">
        <w:rPr>
          <w:i/>
        </w:rPr>
        <w:t>See Service Rules for the 746–764 MHz Band</w:t>
      </w:r>
      <w:r w:rsidRPr="00ED6163">
        <w:rPr>
          <w:i/>
        </w:rPr>
        <w:t>s, and Revisions to Part 27 of the Commission’s Rules</w:t>
      </w:r>
      <w:r w:rsidRPr="00ED6163">
        <w:t>, WT Docket No. 99-168, Second Report and Order, 15 FCC Rcd 5299 (2000) (</w:t>
      </w:r>
      <w:r w:rsidRPr="00ED6163">
        <w:rPr>
          <w:i/>
        </w:rPr>
        <w:t>746–764 MHz Band Second Report and Order</w:t>
      </w:r>
      <w:r w:rsidRPr="00ED6163">
        <w:t>).</w:t>
      </w:r>
    </w:p>
  </w:footnote>
  <w:footnote w:id="629">
    <w:p w:rsidR="00252A4C" w:rsidRPr="00ED6163" w:rsidP="00D60B92" w14:paraId="55B716C7" w14:textId="77777777">
      <w:pPr>
        <w:pStyle w:val="FootnoteText"/>
      </w:pPr>
      <w:r w:rsidRPr="00ED6163">
        <w:rPr>
          <w:rStyle w:val="Footnote"/>
          <w:vertAlign w:val="superscript"/>
        </w:rPr>
        <w:footnoteRef/>
      </w:r>
      <w:r w:rsidRPr="00ED6163">
        <w:rPr>
          <w:rStyle w:val="Footnote"/>
        </w:rPr>
        <w:t xml:space="preserve"> </w:t>
      </w:r>
      <w:r w:rsidRPr="00ED6163">
        <w:rPr>
          <w:i/>
        </w:rPr>
        <w:t>See id</w:t>
      </w:r>
      <w:r w:rsidRPr="00ED6163">
        <w:t>. at 5343, para. 108.</w:t>
      </w:r>
    </w:p>
  </w:footnote>
  <w:footnote w:id="630">
    <w:p w:rsidR="00252A4C" w:rsidRPr="00ED6163" w:rsidP="00D60B92" w14:paraId="6BF1A376" w14:textId="77777777">
      <w:pPr>
        <w:pStyle w:val="FootnoteText"/>
      </w:pPr>
      <w:r w:rsidRPr="00ED6163">
        <w:rPr>
          <w:rStyle w:val="Footnote"/>
          <w:vertAlign w:val="superscript"/>
        </w:rPr>
        <w:footnoteRef/>
      </w:r>
      <w:r w:rsidRPr="00ED6163">
        <w:rPr>
          <w:rStyle w:val="Footnote"/>
        </w:rPr>
        <w:t xml:space="preserve"> </w:t>
      </w:r>
      <w:r w:rsidRPr="00ED6163">
        <w:rPr>
          <w:i/>
        </w:rPr>
        <w:t>See id</w:t>
      </w:r>
      <w:r w:rsidRPr="00ED6163">
        <w:t>.</w:t>
      </w:r>
    </w:p>
  </w:footnote>
  <w:footnote w:id="631">
    <w:p w:rsidR="00252A4C" w:rsidRPr="00ED6163" w:rsidP="00D60B92" w14:paraId="3018D789" w14:textId="77777777">
      <w:pPr>
        <w:pStyle w:val="FootnoteText"/>
      </w:pPr>
      <w:r w:rsidRPr="00ED6163">
        <w:rPr>
          <w:rStyle w:val="Footnote"/>
          <w:vertAlign w:val="superscript"/>
        </w:rPr>
        <w:footnoteRef/>
      </w:r>
      <w:r w:rsidRPr="00ED6163">
        <w:t xml:space="preserve"> </w:t>
      </w:r>
      <w:r w:rsidRPr="00ED6163">
        <w:rPr>
          <w:i/>
        </w:rPr>
        <w:t>See id.</w:t>
      </w:r>
      <w:r w:rsidRPr="00ED6163">
        <w:t xml:space="preserve"> at 5343, para. 108 n.246 (for the 746</w:t>
      </w:r>
      <w:r w:rsidRPr="00ED6163">
        <w:t>–764 MHz and 776–794 MHz bands, the Commission is exempt from 15 U.S.C. § 632, which requires federal agencies to obtain SBA approval before adopting small business size standards).</w:t>
      </w:r>
    </w:p>
  </w:footnote>
  <w:footnote w:id="632">
    <w:p w:rsidR="00252A4C" w:rsidRPr="00ED6163" w:rsidP="00D60B92" w14:paraId="44116B60" w14:textId="77777777">
      <w:pPr>
        <w:pStyle w:val="FootnoteText"/>
      </w:pPr>
      <w:r w:rsidRPr="00ED6163">
        <w:rPr>
          <w:rStyle w:val="Footnote"/>
          <w:vertAlign w:val="superscript"/>
        </w:rPr>
        <w:footnoteRef/>
      </w:r>
      <w:r w:rsidRPr="00ED6163">
        <w:rPr>
          <w:rStyle w:val="Footnote"/>
        </w:rPr>
        <w:t xml:space="preserve"> </w:t>
      </w:r>
      <w:r w:rsidRPr="00ED6163">
        <w:rPr>
          <w:i/>
        </w:rPr>
        <w:t>See 700 MHz Guard Bands Auction Closes:  Winning Bidders Announced</w:t>
      </w:r>
      <w:r w:rsidRPr="00ED6163">
        <w:t>, Publ</w:t>
      </w:r>
      <w:r w:rsidRPr="00ED6163">
        <w:t>ic Notice, 15 FCC Rcd 18026 (WTB 2000).</w:t>
      </w:r>
    </w:p>
  </w:footnote>
  <w:footnote w:id="633">
    <w:p w:rsidR="00252A4C" w:rsidRPr="00ED6163" w:rsidP="00D60B92" w14:paraId="6B511C16" w14:textId="77777777">
      <w:pPr>
        <w:pStyle w:val="FootnoteText"/>
      </w:pPr>
      <w:r w:rsidRPr="00ED6163">
        <w:rPr>
          <w:rStyle w:val="Footnote"/>
          <w:vertAlign w:val="superscript"/>
        </w:rPr>
        <w:footnoteRef/>
      </w:r>
      <w:r w:rsidRPr="00ED6163">
        <w:rPr>
          <w:rStyle w:val="Footnote"/>
        </w:rPr>
        <w:t xml:space="preserve"> </w:t>
      </w:r>
      <w:r w:rsidRPr="00ED6163">
        <w:rPr>
          <w:i/>
        </w:rPr>
        <w:t>See 700 MHz Guard Bands Auction Closes: Winning Bidders Announced</w:t>
      </w:r>
      <w:r w:rsidRPr="00ED6163">
        <w:t>, Public Notice, 16 FCC Rcd 4590 (WTB 2001).</w:t>
      </w:r>
    </w:p>
  </w:footnote>
  <w:footnote w:id="634">
    <w:p w:rsidR="00252A4C" w:rsidRPr="00ED6163" w:rsidP="00D60B92" w14:paraId="21AF6C82" w14:textId="77777777">
      <w:pPr>
        <w:pStyle w:val="FootnoteText"/>
      </w:pPr>
      <w:r w:rsidRPr="00ED6163">
        <w:rPr>
          <w:rStyle w:val="FootnoteReference"/>
        </w:rPr>
        <w:footnoteRef/>
      </w:r>
      <w:r w:rsidRPr="00ED6163">
        <w:t xml:space="preserve"> U.S. Census Bureau, </w:t>
      </w:r>
      <w:r w:rsidRPr="00ED6163">
        <w:rPr>
          <w:i/>
        </w:rPr>
        <w:t>2012 NAICS Definitions, “</w:t>
      </w:r>
      <w:r w:rsidRPr="00ED6163">
        <w:rPr>
          <w:bCs/>
          <w:i/>
        </w:rPr>
        <w:t xml:space="preserve">517210 Wireless Telecommunications Carriers </w:t>
      </w:r>
      <w:r w:rsidRPr="00ED6163">
        <w:rPr>
          <w:bCs/>
          <w:i/>
        </w:rPr>
        <w:t>(Except Satellite)</w:t>
      </w:r>
      <w:r w:rsidRPr="00ED6163">
        <w:rPr>
          <w:bCs/>
        </w:rPr>
        <w:t>,</w:t>
      </w:r>
      <w:r w:rsidRPr="00ED6163">
        <w:t xml:space="preserve"> </w:t>
      </w:r>
      <w:hyperlink r:id="rId76" w:history="1">
        <w:r w:rsidRPr="00ED6163">
          <w:rPr>
            <w:rStyle w:val="Hyperlink"/>
          </w:rPr>
          <w:t>https://factfinder.census.gov/faces/affhelp/jsf/pages/metadata.xhtml?lang=en&amp;type=</w:t>
        </w:r>
        <w:r w:rsidRPr="00ED6163">
          <w:rPr>
            <w:rStyle w:val="Hyperlink"/>
          </w:rPr>
          <w:br/>
          <w:t>ib&amp;id=ib.en./ECN.NAIC</w:t>
        </w:r>
        <w:r w:rsidRPr="00ED6163">
          <w:rPr>
            <w:rStyle w:val="Hyperlink"/>
          </w:rPr>
          <w:t>S2012.517210</w:t>
        </w:r>
      </w:hyperlink>
      <w:r w:rsidRPr="00ED6163">
        <w:rPr>
          <w:rStyle w:val="Hyperlink"/>
        </w:rPr>
        <w:t>.</w:t>
      </w:r>
    </w:p>
  </w:footnote>
  <w:footnote w:id="635">
    <w:p w:rsidR="00252A4C" w:rsidRPr="00ED6163" w:rsidP="00D60B92" w14:paraId="61E27C15" w14:textId="77777777">
      <w:pPr>
        <w:pStyle w:val="FootnoteText"/>
      </w:pPr>
      <w:r w:rsidRPr="00ED6163">
        <w:rPr>
          <w:rStyle w:val="FootnoteReference"/>
        </w:rPr>
        <w:footnoteRef/>
      </w:r>
      <w:r w:rsidRPr="00ED6163">
        <w:rPr>
          <w:lang w:val="fr-FR"/>
        </w:rPr>
        <w:t xml:space="preserve"> 13 CFR § 121.201, NAICS Code 517210.  </w:t>
      </w:r>
    </w:p>
  </w:footnote>
  <w:footnote w:id="636">
    <w:p w:rsidR="00252A4C" w:rsidRPr="00ED6163" w:rsidP="00D60B92" w14:paraId="48BF2F0F" w14:textId="77777777">
      <w:pPr>
        <w:pStyle w:val="FootnoteText"/>
      </w:pPr>
      <w:r w:rsidRPr="00ED6163">
        <w:rPr>
          <w:rStyle w:val="FootnoteReference"/>
        </w:rPr>
        <w:footnoteRef/>
      </w:r>
      <w:r w:rsidRPr="00ED6163">
        <w:t xml:space="preserve"> </w:t>
      </w:r>
      <w:r w:rsidRPr="00ED6163">
        <w:rPr>
          <w:i/>
        </w:rPr>
        <w:t>Id</w:t>
      </w:r>
      <w:r w:rsidRPr="00ED6163">
        <w:t>.  Available census data do not provide a more precise estimate of the number of firms that have employment of 1,500 or fewer employees; the largest category provided is for firms with “1000 employ</w:t>
      </w:r>
      <w:r w:rsidRPr="00ED6163">
        <w:t>ees or more.”</w:t>
      </w:r>
    </w:p>
  </w:footnote>
  <w:footnote w:id="637">
    <w:p w:rsidR="00252A4C" w:rsidRPr="00ED6163" w:rsidP="00D60B92" w14:paraId="697D2ED5" w14:textId="77777777">
      <w:pPr>
        <w:pStyle w:val="FootnoteText"/>
        <w:rPr>
          <w:i/>
        </w:rPr>
      </w:pPr>
      <w:r w:rsidRPr="00ED6163">
        <w:rPr>
          <w:rStyle w:val="FootnoteReference"/>
        </w:rPr>
        <w:footnoteRef/>
      </w:r>
      <w:r w:rsidRPr="00ED6163">
        <w:t xml:space="preserve"> </w:t>
      </w:r>
      <w:r w:rsidRPr="00ED6163">
        <w:rPr>
          <w:i/>
        </w:rPr>
        <w:t>Amendment of Part 22 of the Commission’s Rules to Benefit the Consumers of Air-Ground Telecommunications Services</w:t>
      </w:r>
      <w:r w:rsidRPr="00ED6163">
        <w:t>,</w:t>
      </w:r>
      <w:r w:rsidRPr="00ED6163">
        <w:rPr>
          <w:i/>
        </w:rPr>
        <w:t xml:space="preserve"> Biennial Regulatory Review—Amendment of Parts 1</w:t>
      </w:r>
      <w:r w:rsidRPr="00ED6163">
        <w:t>,</w:t>
      </w:r>
      <w:r w:rsidRPr="00ED6163">
        <w:rPr>
          <w:i/>
        </w:rPr>
        <w:t xml:space="preserve"> 22</w:t>
      </w:r>
      <w:r w:rsidRPr="00ED6163">
        <w:t>,</w:t>
      </w:r>
      <w:r w:rsidRPr="00ED6163">
        <w:rPr>
          <w:i/>
        </w:rPr>
        <w:t xml:space="preserve"> and 90 of the Commission’s Rules</w:t>
      </w:r>
      <w:r w:rsidRPr="00ED6163">
        <w:t>,</w:t>
      </w:r>
      <w:r w:rsidRPr="00ED6163">
        <w:rPr>
          <w:i/>
        </w:rPr>
        <w:t xml:space="preserve"> Amendment of Parts 1 and 22 of the Com</w:t>
      </w:r>
      <w:r w:rsidRPr="00ED6163">
        <w:rPr>
          <w:i/>
        </w:rPr>
        <w:t>mission’s Rules to Adopt Competitive Bidding Rules for Commercial and General Aviation Air-Ground Radiotelephone Service</w:t>
      </w:r>
      <w:r w:rsidRPr="00ED6163">
        <w:t xml:space="preserve">, Order on Reconsideration and Report and Order, 20 FCC Rcd 19663, </w:t>
      </w:r>
      <w:r w:rsidRPr="00ED6163">
        <w:rPr>
          <w:rStyle w:val="Footnote"/>
        </w:rPr>
        <w:t xml:space="preserve">paras. </w:t>
      </w:r>
      <w:r w:rsidRPr="00ED6163">
        <w:t>28</w:t>
      </w:r>
      <w:r w:rsidRPr="00ED6163">
        <w:rPr>
          <w:rStyle w:val="Footnote"/>
          <w:i/>
        </w:rPr>
        <w:t>-</w:t>
      </w:r>
      <w:r w:rsidRPr="00ED6163">
        <w:t>42 (2005).</w:t>
      </w:r>
    </w:p>
  </w:footnote>
  <w:footnote w:id="638">
    <w:p w:rsidR="00252A4C" w:rsidRPr="00ED6163" w:rsidP="00D60B92" w14:paraId="027AA029" w14:textId="77777777">
      <w:pPr>
        <w:pStyle w:val="FootnoteText"/>
      </w:pPr>
      <w:r w:rsidRPr="00ED6163">
        <w:rPr>
          <w:rStyle w:val="FootnoteReference"/>
        </w:rPr>
        <w:footnoteRef/>
      </w:r>
      <w:r w:rsidRPr="00ED6163">
        <w:t xml:space="preserve"> </w:t>
      </w:r>
      <w:r w:rsidRPr="00ED6163">
        <w:rPr>
          <w:i/>
        </w:rPr>
        <w:t>Id</w:t>
      </w:r>
      <w:r w:rsidRPr="00ED6163">
        <w:t>.</w:t>
      </w:r>
    </w:p>
  </w:footnote>
  <w:footnote w:id="639">
    <w:p w:rsidR="00252A4C" w:rsidRPr="00ED6163" w:rsidP="00D60B92" w14:paraId="355F0542" w14:textId="77777777">
      <w:pPr>
        <w:pStyle w:val="FootnoteText"/>
      </w:pPr>
      <w:r w:rsidRPr="00ED6163">
        <w:rPr>
          <w:rStyle w:val="FootnoteReference"/>
        </w:rPr>
        <w:footnoteRef/>
      </w:r>
      <w:r w:rsidRPr="00ED6163">
        <w:t xml:space="preserve"> </w:t>
      </w:r>
      <w:r w:rsidRPr="00ED6163">
        <w:rPr>
          <w:i/>
        </w:rPr>
        <w:t>See</w:t>
      </w:r>
      <w:r w:rsidRPr="00ED6163">
        <w:t xml:space="preserve"> Le</w:t>
      </w:r>
      <w:r w:rsidRPr="00ED6163">
        <w:rPr>
          <w:snapToGrid w:val="0"/>
        </w:rPr>
        <w:t>t</w:t>
      </w:r>
      <w:r w:rsidRPr="00ED6163">
        <w:t xml:space="preserve">ter from Hector V. </w:t>
      </w:r>
      <w:r w:rsidRPr="00ED6163">
        <w:t>Barreto, Administrator, SBA, to Gary D. Michaels, Deputy Chief, Auctions and Spectrum Access Division, Wireless Telecommunications Bureau, Federal Communications Commission (filed Sept. 19, 2005).</w:t>
      </w:r>
    </w:p>
  </w:footnote>
  <w:footnote w:id="640">
    <w:p w:rsidR="00252A4C" w:rsidRPr="00ED6163" w:rsidP="00D60B92" w14:paraId="19598FF2" w14:textId="77777777">
      <w:pPr>
        <w:pStyle w:val="FootnoteText"/>
      </w:pPr>
      <w:r w:rsidRPr="00ED6163">
        <w:rPr>
          <w:rStyle w:val="FootnoteReference"/>
        </w:rPr>
        <w:footnoteRef/>
      </w:r>
      <w:r w:rsidRPr="00ED6163">
        <w:t xml:space="preserve"> The service is defined in section 90.1301 </w:t>
      </w:r>
      <w:r w:rsidRPr="00ED6163">
        <w:rPr>
          <w:i/>
        </w:rPr>
        <w:t>et seq</w:t>
      </w:r>
      <w:r w:rsidRPr="00ED6163">
        <w:t xml:space="preserve">. of the </w:t>
      </w:r>
      <w:r w:rsidRPr="00ED6163">
        <w:t xml:space="preserve">Commission’s Rules, 47 CFR § 90.1301 </w:t>
      </w:r>
      <w:r w:rsidRPr="00ED6163">
        <w:rPr>
          <w:i/>
        </w:rPr>
        <w:t>et seq</w:t>
      </w:r>
      <w:r w:rsidRPr="00ED6163">
        <w:t>.</w:t>
      </w:r>
    </w:p>
  </w:footnote>
  <w:footnote w:id="641">
    <w:p w:rsidR="00252A4C" w:rsidRPr="00ED6163" w:rsidP="00D60B92" w14:paraId="1BF3EEAA" w14:textId="77777777">
      <w:pPr>
        <w:pStyle w:val="FootnoteText"/>
      </w:pPr>
      <w:r w:rsidRPr="00ED6163">
        <w:rPr>
          <w:rStyle w:val="FootnoteReference"/>
        </w:rPr>
        <w:footnoteRef/>
      </w:r>
      <w:r w:rsidRPr="00ED6163">
        <w:t xml:space="preserve"> </w:t>
      </w:r>
      <w:r w:rsidRPr="00ED6163">
        <w:rPr>
          <w:i/>
        </w:rPr>
        <w:t>See</w:t>
      </w:r>
      <w:r w:rsidRPr="00ED6163">
        <w:t xml:space="preserve"> </w:t>
      </w:r>
      <w:r w:rsidRPr="00ED6163">
        <w:rPr>
          <w:i/>
        </w:rPr>
        <w:t>Service Rules for Advanced Wireless Services in the 1.7 GHz and 2.1 GHz Bands</w:t>
      </w:r>
      <w:r w:rsidRPr="00ED6163">
        <w:t xml:space="preserve">, WT Docket No. 02-353, Report and Order, 18 FCC Rcd 25162, Appx. B (2003), </w:t>
      </w:r>
      <w:r w:rsidRPr="00ED6163">
        <w:rPr>
          <w:i/>
        </w:rPr>
        <w:t>modified by Service Rules for Advanced Wireless Serv</w:t>
      </w:r>
      <w:r w:rsidRPr="00ED6163">
        <w:rPr>
          <w:i/>
        </w:rPr>
        <w:t>ices in the 1.7 GHz and 2.1 GHz Bands</w:t>
      </w:r>
      <w:r w:rsidRPr="00ED6163">
        <w:t xml:space="preserve">, WT Docket No. 02-353, Order on Reconsideration, 20 FCC Rcd 14058, Appx. C (2005); </w:t>
      </w:r>
      <w:r w:rsidRPr="00ED6163">
        <w:rPr>
          <w:i/>
        </w:rPr>
        <w:t>Service Rules for Advanced Wireless Services in the 1915–1920 MHz</w:t>
      </w:r>
      <w:r w:rsidRPr="00ED6163">
        <w:t>,</w:t>
      </w:r>
      <w:r w:rsidRPr="00ED6163">
        <w:rPr>
          <w:i/>
        </w:rPr>
        <w:t xml:space="preserve"> 1995–2000 MHz</w:t>
      </w:r>
      <w:r w:rsidRPr="00ED6163">
        <w:t>,</w:t>
      </w:r>
      <w:r w:rsidRPr="00ED6163">
        <w:rPr>
          <w:i/>
        </w:rPr>
        <w:t xml:space="preserve"> 2020–2025 MHz and 2175–2180 MHz Bands; Service Rules </w:t>
      </w:r>
      <w:r w:rsidRPr="00ED6163">
        <w:rPr>
          <w:i/>
        </w:rPr>
        <w:t>for Advanced Wireless Services in the 1.7 GHz and 2.1 GHz Bands</w:t>
      </w:r>
      <w:r w:rsidRPr="00ED6163">
        <w:t xml:space="preserve">, WT Docket Nos. 04-356, 02-353, Notice of Proposed Rulemaking, 19 FCC Rcd 19263, Appx. B (2005); </w:t>
      </w:r>
      <w:r w:rsidRPr="00ED6163">
        <w:rPr>
          <w:i/>
        </w:rPr>
        <w:t>Service Rules for Advanced Wireless Services in the 2155–2175 MHz Band</w:t>
      </w:r>
      <w:r w:rsidRPr="00ED6163">
        <w:t>, WT Docket No. 07-195, N</w:t>
      </w:r>
      <w:r w:rsidRPr="00ED6163">
        <w:t>otice of Proposed Rulemaking, 22 FCC Rcd 17035, Appx. (2007).</w:t>
      </w:r>
    </w:p>
  </w:footnote>
  <w:footnote w:id="642">
    <w:p w:rsidR="00252A4C" w:rsidRPr="00ED6163" w:rsidP="00D60B92" w14:paraId="7817A8A0" w14:textId="77777777">
      <w:pPr>
        <w:pStyle w:val="FootnoteText"/>
      </w:pPr>
      <w:r w:rsidRPr="00ED6163">
        <w:rPr>
          <w:rStyle w:val="FootnoteReference"/>
        </w:rPr>
        <w:footnoteRef/>
      </w:r>
      <w:r w:rsidRPr="00ED6163">
        <w:t xml:space="preserve"> </w:t>
      </w:r>
      <w:r w:rsidRPr="00ED6163">
        <w:rPr>
          <w:i/>
        </w:rPr>
        <w:t>Wireless Operations in the 3650-3700 MHz Band Rules for Wireless Broadband</w:t>
      </w:r>
      <w:r w:rsidRPr="00ED6163">
        <w:t>, ET Docket No. 04-151, Report and Order and Memorandum Opinion and Order, 20 FCC Rcd 6502, 6530, ¶ 75 (2005) (</w:t>
      </w:r>
      <w:r w:rsidRPr="00ED6163">
        <w:rPr>
          <w:i/>
        </w:rPr>
        <w:t>3650-3700 MHz Band R&amp;O</w:t>
      </w:r>
      <w:r w:rsidRPr="00ED6163">
        <w:t>).</w:t>
      </w:r>
    </w:p>
  </w:footnote>
  <w:footnote w:id="643">
    <w:p w:rsidR="00252A4C" w:rsidRPr="00ED6163" w:rsidP="00D60B92" w14:paraId="3EACFD28" w14:textId="77777777">
      <w:pPr>
        <w:pStyle w:val="FootnoteText"/>
      </w:pPr>
      <w:r w:rsidRPr="00ED6163">
        <w:rPr>
          <w:rStyle w:val="FootnoteReference"/>
        </w:rPr>
        <w:footnoteRef/>
      </w:r>
      <w:r w:rsidRPr="00ED6163">
        <w:t xml:space="preserve"> </w:t>
      </w:r>
      <w:r w:rsidRPr="00ED6163">
        <w:rPr>
          <w:i/>
        </w:rPr>
        <w:t xml:space="preserve">See </w:t>
      </w:r>
      <w:r w:rsidRPr="00ED6163">
        <w:t>47 CFR Part 101, Subparts C and I.</w:t>
      </w:r>
    </w:p>
  </w:footnote>
  <w:footnote w:id="644">
    <w:p w:rsidR="00252A4C" w:rsidRPr="00ED6163" w:rsidP="00D60B92" w14:paraId="0D78CB44" w14:textId="77777777">
      <w:pPr>
        <w:pStyle w:val="FootnoteText"/>
      </w:pPr>
      <w:r w:rsidRPr="00ED6163">
        <w:rPr>
          <w:rStyle w:val="FootnoteReference"/>
        </w:rPr>
        <w:footnoteRef/>
      </w:r>
      <w:r w:rsidRPr="00ED6163">
        <w:t xml:space="preserve"> </w:t>
      </w:r>
      <w:r w:rsidRPr="00ED6163">
        <w:rPr>
          <w:i/>
        </w:rPr>
        <w:t xml:space="preserve">See </w:t>
      </w:r>
      <w:r w:rsidRPr="00ED6163">
        <w:t>47 CFR Part 101, Subparts C and H.</w:t>
      </w:r>
    </w:p>
  </w:footnote>
  <w:footnote w:id="645">
    <w:p w:rsidR="00252A4C" w:rsidRPr="00ED6163" w:rsidP="00D60B92" w14:paraId="6E1A9A1C" w14:textId="77777777">
      <w:pPr>
        <w:pStyle w:val="FootnoteText"/>
      </w:pPr>
      <w:r w:rsidRPr="00ED6163">
        <w:rPr>
          <w:rStyle w:val="FootnoteReference"/>
        </w:rPr>
        <w:footnoteRef/>
      </w:r>
      <w:r w:rsidRPr="00ED6163">
        <w:t xml:space="preserve"> Auxiliary Microwave Service is governed by Part 74 of Title 47 of the Commission’s Rules.  </w:t>
      </w:r>
      <w:r w:rsidRPr="00ED6163">
        <w:rPr>
          <w:i/>
        </w:rPr>
        <w:t>See</w:t>
      </w:r>
      <w:r w:rsidRPr="00ED6163">
        <w:t xml:space="preserve"> 47 CFR Part 74.  Available to licensees of broadcast</w:t>
      </w:r>
      <w:r w:rsidRPr="00ED6163">
        <w:t xml:space="preserve"> stations and to broadcast and cable network entities, broadcast auxiliary microwave stations are used for relaying broadcast television signals from the studio to the transmitter or between two points such as a main studio and an auxiliary studio.  The se</w:t>
      </w:r>
      <w:r w:rsidRPr="00ED6163">
        <w:t>rvice also includes mobile TV pickups, which relay signals from a remote location back to the studio.</w:t>
      </w:r>
    </w:p>
  </w:footnote>
  <w:footnote w:id="646">
    <w:p w:rsidR="00252A4C" w:rsidRPr="00ED6163" w:rsidP="00D60B92" w14:paraId="0D971D09" w14:textId="77777777">
      <w:pPr>
        <w:pStyle w:val="FootnoteText"/>
      </w:pPr>
      <w:r w:rsidRPr="00ED6163">
        <w:rPr>
          <w:rStyle w:val="FootnoteReference"/>
        </w:rPr>
        <w:footnoteRef/>
      </w:r>
      <w:r w:rsidRPr="00ED6163">
        <w:t xml:space="preserve"> </w:t>
      </w:r>
      <w:r w:rsidRPr="00ED6163">
        <w:rPr>
          <w:i/>
        </w:rPr>
        <w:t>See</w:t>
      </w:r>
      <w:r w:rsidRPr="00ED6163">
        <w:t xml:space="preserve"> 47 CFR Part 101, Subpart L.</w:t>
      </w:r>
    </w:p>
  </w:footnote>
  <w:footnote w:id="647">
    <w:p w:rsidR="00252A4C" w:rsidRPr="00ED6163" w:rsidP="00D60B92" w14:paraId="7941954B" w14:textId="77777777">
      <w:pPr>
        <w:pStyle w:val="FootnoteText"/>
      </w:pPr>
      <w:r w:rsidRPr="00ED6163">
        <w:rPr>
          <w:rStyle w:val="FootnoteReference"/>
        </w:rPr>
        <w:footnoteRef/>
      </w:r>
      <w:r w:rsidRPr="00ED6163">
        <w:t xml:space="preserve"> </w:t>
      </w:r>
      <w:r w:rsidRPr="00ED6163">
        <w:rPr>
          <w:i/>
        </w:rPr>
        <w:t>See</w:t>
      </w:r>
      <w:r w:rsidRPr="00ED6163">
        <w:t xml:space="preserve"> 47 CFR Part 101, Subpart G.</w:t>
      </w:r>
    </w:p>
  </w:footnote>
  <w:footnote w:id="648">
    <w:p w:rsidR="00252A4C" w:rsidRPr="00ED6163" w:rsidP="00D60B92" w14:paraId="640952D5" w14:textId="77777777">
      <w:pPr>
        <w:pStyle w:val="FootnoteText"/>
      </w:pPr>
      <w:r w:rsidRPr="00ED6163">
        <w:rPr>
          <w:rStyle w:val="FootnoteReference"/>
        </w:rPr>
        <w:footnoteRef/>
      </w:r>
      <w:r w:rsidRPr="00ED6163">
        <w:t xml:space="preserve"> </w:t>
      </w:r>
      <w:r w:rsidRPr="00ED6163">
        <w:rPr>
          <w:i/>
        </w:rPr>
        <w:t>See</w:t>
      </w:r>
      <w:r w:rsidRPr="00ED6163">
        <w:t xml:space="preserve"> </w:t>
      </w:r>
      <w:r w:rsidRPr="00ED6163">
        <w:rPr>
          <w:i/>
        </w:rPr>
        <w:t>id</w:t>
      </w:r>
      <w:r w:rsidRPr="00ED6163">
        <w:t>.</w:t>
      </w:r>
    </w:p>
  </w:footnote>
  <w:footnote w:id="649">
    <w:p w:rsidR="00252A4C" w:rsidRPr="00ED6163" w:rsidP="00D60B92" w14:paraId="54BBA77E" w14:textId="77777777">
      <w:pPr>
        <w:pStyle w:val="FootnoteText"/>
      </w:pPr>
      <w:r w:rsidRPr="00ED6163">
        <w:rPr>
          <w:rStyle w:val="FootnoteReference"/>
        </w:rPr>
        <w:footnoteRef/>
      </w:r>
      <w:r w:rsidRPr="00ED6163">
        <w:t xml:space="preserve"> </w:t>
      </w:r>
      <w:r w:rsidRPr="00ED6163">
        <w:rPr>
          <w:i/>
        </w:rPr>
        <w:t>See</w:t>
      </w:r>
      <w:r w:rsidRPr="00ED6163">
        <w:t xml:space="preserve"> 47 CFR §§ 101.533, 101.1017.</w:t>
      </w:r>
    </w:p>
  </w:footnote>
  <w:footnote w:id="650">
    <w:p w:rsidR="00252A4C" w:rsidRPr="00ED6163" w:rsidP="00D60B92" w14:paraId="3E157F1D" w14:textId="77777777">
      <w:pPr>
        <w:pStyle w:val="FootnoteText"/>
      </w:pPr>
      <w:r w:rsidRPr="00ED6163">
        <w:rPr>
          <w:rStyle w:val="FootnoteReference"/>
        </w:rPr>
        <w:footnoteRef/>
      </w:r>
      <w:r w:rsidRPr="00ED6163">
        <w:t xml:space="preserve"> U.S. Census Bureau, </w:t>
      </w:r>
      <w:r w:rsidRPr="00947E6A">
        <w:rPr>
          <w:i/>
        </w:rPr>
        <w:t>2012 NAICS Definiti</w:t>
      </w:r>
      <w:r w:rsidRPr="00947E6A">
        <w:rPr>
          <w:i/>
        </w:rPr>
        <w:t>ons, 517210 Wireless Telecommunications Carriers (Except Satellite</w:t>
      </w:r>
      <w:r w:rsidRPr="00ED6163">
        <w:rPr>
          <w:bCs/>
          <w:i/>
        </w:rPr>
        <w:t>)</w:t>
      </w:r>
      <w:r w:rsidRPr="00ED6163">
        <w:rPr>
          <w:bCs/>
        </w:rPr>
        <w:t>,</w:t>
      </w:r>
      <w:r w:rsidRPr="00ED6163">
        <w:t xml:space="preserve"> </w:t>
      </w:r>
      <w:hyperlink r:id="rId76" w:history="1">
        <w:r w:rsidRPr="00ED6163">
          <w:rPr>
            <w:rStyle w:val="Hyperlink"/>
          </w:rPr>
          <w:t>https://factfinder.census.gov/faces/affhelp/jsf/pages/m</w:t>
        </w:r>
        <w:r w:rsidRPr="00ED6163">
          <w:rPr>
            <w:rStyle w:val="Hyperlink"/>
          </w:rPr>
          <w:t>etadata.xhtml?lang=en&amp;type=</w:t>
        </w:r>
        <w:r w:rsidRPr="00ED6163">
          <w:rPr>
            <w:rStyle w:val="Hyperlink"/>
          </w:rPr>
          <w:br/>
          <w:t>ib&amp;id=ib.en./ECN.NAICS2012.517210</w:t>
        </w:r>
      </w:hyperlink>
      <w:r w:rsidRPr="00ED6163">
        <w:rPr>
          <w:rStyle w:val="Hyperlink"/>
        </w:rPr>
        <w:t>.</w:t>
      </w:r>
    </w:p>
  </w:footnote>
  <w:footnote w:id="651">
    <w:p w:rsidR="00252A4C" w:rsidRPr="00ED6163" w:rsidP="00D60B92" w14:paraId="59BA5C6B" w14:textId="77777777">
      <w:pPr>
        <w:pStyle w:val="FootnoteText"/>
      </w:pPr>
      <w:r w:rsidRPr="00ED6163">
        <w:rPr>
          <w:rStyle w:val="FootnoteReference"/>
        </w:rPr>
        <w:footnoteRef/>
      </w:r>
      <w:r w:rsidRPr="00ED6163">
        <w:t xml:space="preserve"> </w:t>
      </w:r>
      <w:r w:rsidRPr="00ED6163">
        <w:rPr>
          <w:i/>
        </w:rPr>
        <w:t>See</w:t>
      </w:r>
      <w:r w:rsidRPr="00ED6163">
        <w:t xml:space="preserve"> 13 CFR § 121.201, NAICS Code 517210.</w:t>
      </w:r>
    </w:p>
  </w:footnote>
  <w:footnote w:id="652">
    <w:p w:rsidR="00252A4C" w:rsidRPr="00ED6163" w:rsidP="00D60B92" w14:paraId="5D784964" w14:textId="77777777">
      <w:pPr>
        <w:pStyle w:val="FootnoteText"/>
      </w:pPr>
      <w:r w:rsidRPr="00ED6163">
        <w:rPr>
          <w:rStyle w:val="FootnoteReference"/>
        </w:rPr>
        <w:footnoteRef/>
      </w:r>
      <w:r w:rsidRPr="00ED6163">
        <w:t xml:space="preserve"> U.S. Census Bureau, </w:t>
      </w:r>
      <w:r w:rsidRPr="00ED6163">
        <w:rPr>
          <w:bCs/>
          <w:i/>
        </w:rPr>
        <w:t>2012</w:t>
      </w:r>
      <w:r w:rsidRPr="00ED6163">
        <w:rPr>
          <w:i/>
        </w:rPr>
        <w:t xml:space="preserve"> Economic Census</w:t>
      </w:r>
      <w:r w:rsidRPr="00ED6163">
        <w:rPr>
          <w:bCs/>
          <w:i/>
        </w:rPr>
        <w:t xml:space="preserve"> of the United States</w:t>
      </w:r>
      <w:r w:rsidRPr="00ED6163">
        <w:t xml:space="preserve">, Table EC1251SSSZ5, </w:t>
      </w:r>
      <w:r w:rsidRPr="00947E6A">
        <w:rPr>
          <w:i/>
        </w:rPr>
        <w:t xml:space="preserve">Information: Subject Series, Estab and Firm Size: Employment Size </w:t>
      </w:r>
      <w:r w:rsidRPr="00947E6A">
        <w:rPr>
          <w:i/>
        </w:rPr>
        <w:t>of Firms for the U.S.: 2012</w:t>
      </w:r>
      <w:r w:rsidRPr="00ED6163">
        <w:t xml:space="preserve">, NAICS Code 517210 (rel. Jan. 8, 2016).  </w:t>
      </w:r>
      <w:hyperlink r:id="rId77" w:history="1">
        <w:r w:rsidRPr="00ED6163">
          <w:rPr>
            <w:rStyle w:val="Hyperlink"/>
          </w:rPr>
          <w:t>https://factfinder.census.gov/bkmk/table/1.0/en/ECN/2012_US/51SSSZ5//naics~517210</w:t>
        </w:r>
      </w:hyperlink>
      <w:r w:rsidRPr="00ED6163">
        <w:rPr>
          <w:rStyle w:val="Hyperlink"/>
        </w:rPr>
        <w:t>.</w:t>
      </w:r>
    </w:p>
  </w:footnote>
  <w:footnote w:id="653">
    <w:p w:rsidR="00252A4C" w:rsidRPr="00ED6163" w:rsidP="00D60B92" w14:paraId="6AA456F8" w14:textId="77777777">
      <w:pPr>
        <w:pStyle w:val="FootnoteText"/>
      </w:pPr>
      <w:r w:rsidRPr="00ED6163">
        <w:rPr>
          <w:rStyle w:val="FootnoteReference"/>
        </w:rPr>
        <w:footnoteRef/>
      </w:r>
      <w:r w:rsidRPr="00ED6163">
        <w:t xml:space="preserve"> </w:t>
      </w:r>
      <w:r w:rsidRPr="00ED6163">
        <w:rPr>
          <w:i/>
        </w:rPr>
        <w:t>Id</w:t>
      </w:r>
      <w:r w:rsidRPr="00ED6163">
        <w:t xml:space="preserve">. </w:t>
      </w:r>
      <w:r w:rsidRPr="00ED6163">
        <w:t xml:space="preserve"> Available census data do not provide a more precise estimate of the number of firms that have employment of 1,500 or fewer employees; the largest category provided is for firms with “1000 employees or more.”</w:t>
      </w:r>
    </w:p>
  </w:footnote>
  <w:footnote w:id="654">
    <w:p w:rsidR="00252A4C" w:rsidRPr="00ED6163" w:rsidP="00D60B92" w14:paraId="3DA95989" w14:textId="77777777">
      <w:pPr>
        <w:pStyle w:val="FootnoteText"/>
      </w:pPr>
      <w:r w:rsidRPr="00ED6163">
        <w:rPr>
          <w:rStyle w:val="FootnoteReference"/>
        </w:rPr>
        <w:footnoteRef/>
      </w:r>
      <w:r w:rsidRPr="00ED6163">
        <w:t xml:space="preserve"> </w:t>
      </w:r>
      <w:r w:rsidRPr="00ED6163">
        <w:rPr>
          <w:i/>
        </w:rPr>
        <w:t>Amendment of Parts 21 and 74 of the Commissio</w:t>
      </w:r>
      <w:r w:rsidRPr="00ED6163">
        <w:rPr>
          <w:i/>
        </w:rPr>
        <w:t>n’s Rules with Regard to Filing Procedures in the Multipoint Distribution Service and in the Instructional Television Fixed Service and Implementation of Section 309(j) of the Communications Act—Competitive Bidding</w:t>
      </w:r>
      <w:r w:rsidRPr="00ED6163">
        <w:t xml:space="preserve">, MM Docket No. 94-131, PP Docket No. </w:t>
      </w:r>
      <w:r w:rsidRPr="00ED6163">
        <w:t>93-253, Report and Order, 10 FCC Rcd 9589, 9593, para. 7 (1995).</w:t>
      </w:r>
    </w:p>
  </w:footnote>
  <w:footnote w:id="655">
    <w:p w:rsidR="00252A4C" w:rsidRPr="00ED6163" w:rsidP="00D60B92" w14:paraId="24DCB6C3" w14:textId="77777777">
      <w:pPr>
        <w:pStyle w:val="FootnoteText"/>
      </w:pPr>
      <w:r w:rsidRPr="00ED6163">
        <w:rPr>
          <w:rStyle w:val="FootnoteReference"/>
        </w:rPr>
        <w:footnoteRef/>
      </w:r>
      <w:r w:rsidRPr="00ED6163">
        <w:t xml:space="preserve"> 47 CFR § 21.961(b)(1).</w:t>
      </w:r>
    </w:p>
  </w:footnote>
  <w:footnote w:id="656">
    <w:p w:rsidR="00252A4C" w:rsidRPr="00ED6163" w:rsidP="00D60B92" w14:paraId="425C1016" w14:textId="77777777">
      <w:pPr>
        <w:pStyle w:val="FootnoteText"/>
      </w:pPr>
      <w:r w:rsidRPr="00ED6163">
        <w:rPr>
          <w:rStyle w:val="FootnoteReference"/>
        </w:rPr>
        <w:footnoteRef/>
      </w:r>
      <w:r w:rsidRPr="00ED6163">
        <w:t xml:space="preserve"> 47 U.S.C. § 309(j).  Hundreds of stations were licensed to incumbent MDS licensees prior to implementation of Section 309(j) of the Communications Act of 1934, 47 U</w:t>
      </w:r>
      <w:r w:rsidRPr="00ED6163">
        <w:t>.S.C. § 309(j).  For these pre-auction licenses, the applicable standard is SBA’s small business size standard of 1,500 or fewer employees.</w:t>
      </w:r>
    </w:p>
  </w:footnote>
  <w:footnote w:id="657">
    <w:p w:rsidR="00252A4C" w:rsidRPr="00ED6163" w:rsidP="00D60B92" w14:paraId="60E1ED23" w14:textId="77777777">
      <w:pPr>
        <w:pStyle w:val="FootnoteText"/>
      </w:pPr>
      <w:r w:rsidRPr="00ED6163">
        <w:rPr>
          <w:rStyle w:val="FootnoteReference"/>
        </w:rPr>
        <w:footnoteRef/>
      </w:r>
      <w:r w:rsidRPr="00ED6163">
        <w:t xml:space="preserve"> </w:t>
      </w:r>
      <w:r w:rsidRPr="00947E6A">
        <w:rPr>
          <w:i/>
        </w:rPr>
        <w:t>Auction of Broadband Radio Service (BRS) Licenses, Scheduled for October 27, 2009, Notice and Filing Requirements,</w:t>
      </w:r>
      <w:r w:rsidRPr="00947E6A">
        <w:rPr>
          <w:i/>
        </w:rPr>
        <w:t xml:space="preserve"> Minimum Opening Bids, Upfront Payments, and Other Procedures for Auction 86</w:t>
      </w:r>
      <w:r w:rsidRPr="00ED6163">
        <w:t xml:space="preserve">, AU Docket No. 09-56, </w:t>
      </w:r>
      <w:r w:rsidRPr="00947E6A">
        <w:t>Public Notice</w:t>
      </w:r>
      <w:r w:rsidRPr="00ED6163">
        <w:t>, 24 FCC Rcd 8277 (2009).</w:t>
      </w:r>
    </w:p>
  </w:footnote>
  <w:footnote w:id="658">
    <w:p w:rsidR="00252A4C" w:rsidRPr="00ED6163" w:rsidP="00D60B92" w14:paraId="56534D0D" w14:textId="77777777">
      <w:pPr>
        <w:pStyle w:val="FootnoteText"/>
      </w:pPr>
      <w:r w:rsidRPr="00ED6163">
        <w:rPr>
          <w:rStyle w:val="FootnoteReference"/>
        </w:rPr>
        <w:footnoteRef/>
      </w:r>
      <w:r w:rsidRPr="00ED6163">
        <w:t xml:space="preserve"> </w:t>
      </w:r>
      <w:r w:rsidRPr="00ED6163">
        <w:rPr>
          <w:i/>
        </w:rPr>
        <w:t>Id.</w:t>
      </w:r>
      <w:r w:rsidRPr="00ED6163">
        <w:t xml:space="preserve"> at 8296, para. 73.</w:t>
      </w:r>
    </w:p>
  </w:footnote>
  <w:footnote w:id="659">
    <w:p w:rsidR="00252A4C" w:rsidRPr="00ED6163" w:rsidP="00D60B92" w14:paraId="54BFD6CB" w14:textId="77777777">
      <w:pPr>
        <w:pStyle w:val="FootnoteText"/>
      </w:pPr>
      <w:r w:rsidRPr="00ED6163">
        <w:rPr>
          <w:rStyle w:val="FootnoteReference"/>
        </w:rPr>
        <w:footnoteRef/>
      </w:r>
      <w:r w:rsidRPr="00ED6163">
        <w:t xml:space="preserve"> </w:t>
      </w:r>
      <w:r w:rsidRPr="00947E6A">
        <w:rPr>
          <w:i/>
        </w:rPr>
        <w:t>Auction of Broadband Radio Service Licenses Closes, Winning Bidders Announced for Auction 8</w:t>
      </w:r>
      <w:r w:rsidRPr="00947E6A">
        <w:rPr>
          <w:i/>
        </w:rPr>
        <w:t>6, Down Payments Due November 23, 2009, Final Payments Due December 8, 2009, Ten-Day Petition to Deny Period</w:t>
      </w:r>
      <w:r w:rsidRPr="00ED6163">
        <w:t xml:space="preserve">, </w:t>
      </w:r>
      <w:r w:rsidRPr="00947E6A">
        <w:t>Public Notice</w:t>
      </w:r>
      <w:r w:rsidRPr="00ED6163">
        <w:t>, 24 FCC Rcd 13572 (2009).</w:t>
      </w:r>
    </w:p>
  </w:footnote>
  <w:footnote w:id="660">
    <w:p w:rsidR="00252A4C" w:rsidRPr="00ED6163" w:rsidP="00D60B92" w14:paraId="5EA0193D" w14:textId="77777777">
      <w:pPr>
        <w:pStyle w:val="FootnoteText"/>
      </w:pPr>
      <w:r w:rsidRPr="00ED6163">
        <w:rPr>
          <w:rStyle w:val="FootnoteReference"/>
        </w:rPr>
        <w:footnoteRef/>
      </w:r>
      <w:r w:rsidRPr="00ED6163">
        <w:t xml:space="preserve"> The term “small entity” within SBREFA applies to small organizations (nonprofits) and to small governmen</w:t>
      </w:r>
      <w:r w:rsidRPr="00ED6163">
        <w:t>tal jurisdictions (cities, counties, towns, townships, villages, school districts, and special districts with populations of less than 50,000).  5 U.S.C. §§ 601(4)-(6).  We do not collect annual revenue data on EBS licensees.</w:t>
      </w:r>
    </w:p>
  </w:footnote>
  <w:footnote w:id="661">
    <w:p w:rsidR="00252A4C" w:rsidRPr="00ED6163" w:rsidP="00D60B92" w14:paraId="3EF51DCA" w14:textId="77777777">
      <w:pPr>
        <w:pStyle w:val="FootnoteText"/>
      </w:pPr>
      <w:r w:rsidRPr="00ED6163">
        <w:rPr>
          <w:rStyle w:val="FootnoteReference"/>
        </w:rPr>
        <w:footnoteRef/>
      </w:r>
      <w:r w:rsidRPr="00ED6163">
        <w:t xml:space="preserve"> U.S. Census Bureau, </w:t>
      </w:r>
      <w:r w:rsidRPr="00947E6A">
        <w:rPr>
          <w:i/>
        </w:rPr>
        <w:t>2012 NAI</w:t>
      </w:r>
      <w:r w:rsidRPr="00947E6A">
        <w:rPr>
          <w:i/>
        </w:rPr>
        <w:t>CS Definitions, 517110 Wired Telecommunications Carriers</w:t>
      </w:r>
      <w:r w:rsidRPr="00ED6163">
        <w:rPr>
          <w:bCs/>
        </w:rPr>
        <w:t xml:space="preserve"> (partial definition),</w:t>
      </w:r>
      <w:r w:rsidRPr="00ED6163">
        <w:t xml:space="preserve"> </w:t>
      </w:r>
      <w:hyperlink r:id="rId96" w:history="1">
        <w:r w:rsidRPr="00ED6163">
          <w:rPr>
            <w:rStyle w:val="Hyperlink"/>
            <w:snapToGrid w:val="0"/>
          </w:rPr>
          <w:t>http://www.census.gov/cgi-bin/sssd/naics/naicsrch?code=517110&amp;search=2012</w:t>
        </w:r>
      </w:hyperlink>
      <w:r w:rsidRPr="00ED6163">
        <w:t xml:space="preserve">. </w:t>
      </w:r>
    </w:p>
  </w:footnote>
  <w:footnote w:id="662">
    <w:p w:rsidR="00252A4C" w:rsidRPr="00ED6163" w:rsidP="00D60B92" w14:paraId="5C84A60C" w14:textId="77777777">
      <w:pPr>
        <w:pStyle w:val="FootnoteText"/>
      </w:pPr>
      <w:r w:rsidRPr="00ED6163">
        <w:rPr>
          <w:rStyle w:val="FootnoteReference"/>
        </w:rPr>
        <w:footnoteRef/>
      </w:r>
      <w:r w:rsidRPr="00ED6163">
        <w:t xml:space="preserve"> 13 CFR §</w:t>
      </w:r>
      <w:r w:rsidRPr="00ED6163">
        <w:t> 121.201, NAICS code 517110.</w:t>
      </w:r>
    </w:p>
  </w:footnote>
  <w:footnote w:id="663">
    <w:p w:rsidR="00252A4C" w:rsidRPr="00ED6163" w:rsidP="00D60B92" w14:paraId="67E30821" w14:textId="77777777">
      <w:pPr>
        <w:pStyle w:val="FootnoteText"/>
      </w:pPr>
      <w:r w:rsidRPr="00ED6163">
        <w:rPr>
          <w:rStyle w:val="FootnoteReference"/>
        </w:rPr>
        <w:footnoteRef/>
      </w:r>
      <w:r w:rsidRPr="00ED6163">
        <w:t xml:space="preserve"> </w:t>
      </w:r>
      <w:r w:rsidRPr="00ED6163">
        <w:rPr>
          <w:i/>
        </w:rPr>
        <w:t>See</w:t>
      </w:r>
      <w:r w:rsidRPr="00ED6163">
        <w:t xml:space="preserve"> U.S. Census Bureau, </w:t>
      </w:r>
      <w:r w:rsidRPr="00ED6163">
        <w:rPr>
          <w:bCs/>
          <w:i/>
        </w:rPr>
        <w:t>2012</w:t>
      </w:r>
      <w:r w:rsidRPr="00ED6163">
        <w:rPr>
          <w:i/>
        </w:rPr>
        <w:t xml:space="preserve"> Economic Census</w:t>
      </w:r>
      <w:r w:rsidRPr="00ED6163">
        <w:rPr>
          <w:bCs/>
          <w:i/>
        </w:rPr>
        <w:t xml:space="preserve"> of the United States,</w:t>
      </w:r>
      <w:r w:rsidRPr="00ED6163">
        <w:t xml:space="preserve"> Table No. EC1251SSSZ5, </w:t>
      </w:r>
      <w:r w:rsidRPr="00ED6163">
        <w:rPr>
          <w:i/>
          <w:iCs/>
        </w:rPr>
        <w:t>Information: Subject Series - Estab &amp; Firm Size: Employment Size of Firms: 2012</w:t>
      </w:r>
      <w:r w:rsidRPr="00ED6163">
        <w:t xml:space="preserve"> (517110 Wired Telecommunications Carriers), </w:t>
      </w:r>
      <w:hyperlink r:id="rId74" w:history="1">
        <w:r w:rsidRPr="00ED6163">
          <w:rPr>
            <w:rStyle w:val="Hyperlink"/>
            <w:snapToGrid w:val="0"/>
          </w:rPr>
          <w:t>https://factfinder.census.gov/bkmk/table/1.0/en/ECN/2012_US/51SSSZ5//naics~517110</w:t>
        </w:r>
      </w:hyperlink>
      <w:r w:rsidRPr="00ED6163">
        <w:t>.</w:t>
      </w:r>
    </w:p>
  </w:footnote>
  <w:footnote w:id="664">
    <w:p w:rsidR="00252A4C" w:rsidRPr="00ED6163" w:rsidP="00D60B92" w14:paraId="0BBBB7CD" w14:textId="77777777">
      <w:pPr>
        <w:pStyle w:val="FootnoteText"/>
      </w:pPr>
      <w:r w:rsidRPr="00ED6163">
        <w:rPr>
          <w:rStyle w:val="FootnoteReference"/>
        </w:rPr>
        <w:footnoteRef/>
      </w:r>
      <w:r w:rsidRPr="00ED6163">
        <w:t xml:space="preserve"> </w:t>
      </w:r>
      <w:r w:rsidRPr="00ED6163">
        <w:rPr>
          <w:i/>
        </w:rPr>
        <w:t>Id.</w:t>
      </w:r>
    </w:p>
  </w:footnote>
  <w:footnote w:id="665">
    <w:p w:rsidR="00252A4C" w:rsidRPr="00ED6163" w:rsidP="00D60B92" w14:paraId="3B86F6D5" w14:textId="77777777">
      <w:pPr>
        <w:pStyle w:val="FootnoteText"/>
      </w:pPr>
      <w:r w:rsidRPr="00ED6163">
        <w:rPr>
          <w:rStyle w:val="FootnoteReference"/>
        </w:rPr>
        <w:footnoteRef/>
      </w:r>
      <w:r w:rsidRPr="00ED6163">
        <w:t xml:space="preserve"> U.S. Census Bureau, </w:t>
      </w:r>
      <w:r w:rsidRPr="00ED6163">
        <w:rPr>
          <w:i/>
        </w:rPr>
        <w:t>2017</w:t>
      </w:r>
      <w:r w:rsidRPr="00947E6A">
        <w:rPr>
          <w:i/>
        </w:rPr>
        <w:t xml:space="preserve"> NAICS Definitions, 517410 Satellite Telecommunic</w:t>
      </w:r>
      <w:r w:rsidRPr="00947E6A">
        <w:rPr>
          <w:i/>
        </w:rPr>
        <w:t>ations</w:t>
      </w:r>
      <w:r w:rsidRPr="00ED6163">
        <w:rPr>
          <w:i/>
        </w:rPr>
        <w:t>,</w:t>
      </w:r>
      <w:r w:rsidRPr="00ED6163">
        <w:t xml:space="preserve"> </w:t>
      </w:r>
      <w:hyperlink r:id="rId97" w:history="1">
        <w:r w:rsidRPr="00ED6163">
          <w:rPr>
            <w:rStyle w:val="Hyperlink"/>
          </w:rPr>
          <w:t>http://www.census.gov/naics/2007/def/ND517410.HTM</w:t>
        </w:r>
      </w:hyperlink>
      <w:r w:rsidRPr="00ED6163">
        <w:t>.</w:t>
      </w:r>
      <w:hyperlink r:id="rId81" w:history="1">
        <w:r w:rsidRPr="00ED6163">
          <w:rPr>
            <w:rStyle w:val="Hyperlink"/>
          </w:rPr>
          <w:t>https://www.census.gov/cgi-bin/sssd/naics/naicsrch?input=517410&amp;search=2017+NAICS+Search&amp;search=2017</w:t>
        </w:r>
      </w:hyperlink>
      <w:r w:rsidRPr="00ED6163">
        <w:t xml:space="preserve">.    </w:t>
      </w:r>
    </w:p>
  </w:footnote>
  <w:footnote w:id="666">
    <w:p w:rsidR="00252A4C" w:rsidRPr="00ED6163" w:rsidP="00D60B92" w14:paraId="43B82E88" w14:textId="77777777">
      <w:pPr>
        <w:pStyle w:val="FootnoteText"/>
      </w:pPr>
      <w:r w:rsidRPr="00ED6163">
        <w:rPr>
          <w:rStyle w:val="FootnoteReference"/>
        </w:rPr>
        <w:footnoteRef/>
      </w:r>
      <w:r w:rsidRPr="00ED6163">
        <w:t xml:space="preserve"> 13 CFR § 121.201, NAICS Code 5174</w:t>
      </w:r>
      <w:r w:rsidRPr="00ED6163">
        <w:t>10.</w:t>
      </w:r>
    </w:p>
  </w:footnote>
  <w:footnote w:id="667">
    <w:p w:rsidR="00252A4C" w:rsidRPr="00ED6163" w:rsidP="00D60B92" w14:paraId="0BDDF97E" w14:textId="77777777">
      <w:pPr>
        <w:pStyle w:val="FootnoteText"/>
      </w:pPr>
      <w:r w:rsidRPr="00ED6163">
        <w:rPr>
          <w:rStyle w:val="FootnoteReference"/>
        </w:rPr>
        <w:footnoteRef/>
      </w:r>
      <w:r w:rsidRPr="00ED6163">
        <w:t xml:space="preserve"> U.S. Census Bureau, </w:t>
      </w:r>
      <w:r w:rsidRPr="00ED6163">
        <w:rPr>
          <w:bCs/>
          <w:i/>
        </w:rPr>
        <w:t>2012</w:t>
      </w:r>
      <w:r w:rsidRPr="00ED6163">
        <w:rPr>
          <w:i/>
        </w:rPr>
        <w:t xml:space="preserve"> Economic Census</w:t>
      </w:r>
      <w:r w:rsidRPr="00ED6163">
        <w:rPr>
          <w:bCs/>
          <w:i/>
        </w:rPr>
        <w:t xml:space="preserve"> of the United States</w:t>
      </w:r>
      <w:r w:rsidRPr="00ED6163">
        <w:t xml:space="preserve">, Table EC1251SSSZ4, </w:t>
      </w:r>
      <w:r w:rsidRPr="00947E6A">
        <w:rPr>
          <w:i/>
        </w:rPr>
        <w:t>Information: Subject Series - Estab and Firm Size: Receipts Size of Firms for the United States: 2012</w:t>
      </w:r>
      <w:r w:rsidRPr="00ED6163">
        <w:t xml:space="preserve">, NAICS Code 517410, </w:t>
      </w:r>
      <w:hyperlink r:id="rId98" w:history="1">
        <w:r w:rsidRPr="00ED6163">
          <w:rPr>
            <w:rStyle w:val="Hyperlink"/>
          </w:rPr>
          <w:t>https://factfinder.census.gov/bkmk/table/1.0/en/ECN/2012_US/51SSSZ4//naics~517410</w:t>
        </w:r>
      </w:hyperlink>
      <w:r w:rsidRPr="00ED6163">
        <w:t xml:space="preserve">.    </w:t>
      </w:r>
    </w:p>
  </w:footnote>
  <w:footnote w:id="668">
    <w:p w:rsidR="00252A4C" w:rsidRPr="00ED6163" w:rsidP="00D60B92" w14:paraId="5DB90155" w14:textId="77777777">
      <w:pPr>
        <w:pStyle w:val="FootnoteText"/>
      </w:pPr>
      <w:r w:rsidRPr="00ED6163">
        <w:rPr>
          <w:rStyle w:val="FootnoteReference"/>
        </w:rPr>
        <w:footnoteRef/>
      </w:r>
      <w:r w:rsidRPr="00ED6163">
        <w:t xml:space="preserve"> </w:t>
      </w:r>
      <w:r w:rsidRPr="00ED6163">
        <w:rPr>
          <w:i/>
        </w:rPr>
        <w:t>Id</w:t>
      </w:r>
      <w:r w:rsidRPr="00ED6163">
        <w:t>.</w:t>
      </w:r>
    </w:p>
  </w:footnote>
  <w:footnote w:id="669">
    <w:p w:rsidR="00252A4C" w:rsidRPr="00ED6163" w:rsidP="00D60B92" w14:paraId="1D74FA50" w14:textId="77777777">
      <w:pPr>
        <w:pStyle w:val="FootnoteText"/>
      </w:pPr>
      <w:r w:rsidRPr="00ED6163">
        <w:rPr>
          <w:rStyle w:val="FootnoteReference"/>
        </w:rPr>
        <w:footnoteRef/>
      </w:r>
      <w:r w:rsidRPr="00ED6163">
        <w:t xml:space="preserve"> </w:t>
      </w:r>
      <w:r w:rsidRPr="00ED6163">
        <w:rPr>
          <w:i/>
        </w:rPr>
        <w:t>See</w:t>
      </w:r>
      <w:r w:rsidRPr="00ED6163">
        <w:t xml:space="preserve"> U.S. Census Bureau, 2017 NAICS Definitions, NAICS Code “51791</w:t>
      </w:r>
      <w:r w:rsidRPr="00ED6163">
        <w:t xml:space="preserve">9 All Other Telecommunications”, </w:t>
      </w:r>
      <w:hyperlink r:id="rId83" w:history="1">
        <w:r w:rsidRPr="00ED6163">
          <w:rPr>
            <w:rStyle w:val="Hyperlink"/>
          </w:rPr>
          <w:t>https://www.census.gov/cgi-bin/sssd/naics/naicsrch?input=517919&amp;search=2017+NAICS+Search&amp;search=2017</w:t>
        </w:r>
      </w:hyperlink>
    </w:p>
  </w:footnote>
  <w:footnote w:id="670">
    <w:p w:rsidR="00252A4C" w:rsidRPr="00ED6163" w:rsidP="00D60B92" w14:paraId="2BB3A023" w14:textId="77777777">
      <w:pPr>
        <w:pStyle w:val="FootnoteText"/>
      </w:pPr>
      <w:r w:rsidRPr="00ED6163">
        <w:rPr>
          <w:rStyle w:val="FootnoteReference"/>
        </w:rPr>
        <w:footnoteRef/>
      </w:r>
      <w:r w:rsidRPr="00ED6163">
        <w:t xml:space="preserve"> </w:t>
      </w:r>
      <w:r w:rsidRPr="00ED6163">
        <w:rPr>
          <w:i/>
        </w:rPr>
        <w:t>Id</w:t>
      </w:r>
      <w:r w:rsidRPr="00ED6163">
        <w:t>.</w:t>
      </w:r>
    </w:p>
  </w:footnote>
  <w:footnote w:id="671">
    <w:p w:rsidR="00252A4C" w:rsidRPr="00ED6163" w:rsidP="00D60B92" w14:paraId="251326B9" w14:textId="77777777">
      <w:pPr>
        <w:pStyle w:val="FootnoteText"/>
      </w:pPr>
      <w:r w:rsidRPr="00ED6163">
        <w:rPr>
          <w:rStyle w:val="FootnoteReference"/>
        </w:rPr>
        <w:footnoteRef/>
      </w:r>
      <w:r w:rsidRPr="00ED6163">
        <w:rPr>
          <w:rStyle w:val="Hyperlink"/>
        </w:rPr>
        <w:t xml:space="preserve"> </w:t>
      </w:r>
      <w:r w:rsidRPr="00ED6163">
        <w:rPr>
          <w:i/>
        </w:rPr>
        <w:t>Id</w:t>
      </w:r>
      <w:r w:rsidRPr="00ED6163">
        <w:t>.</w:t>
      </w:r>
    </w:p>
  </w:footnote>
  <w:footnote w:id="672">
    <w:p w:rsidR="00252A4C" w:rsidRPr="00ED6163" w:rsidP="00D60B92" w14:paraId="6AC15009" w14:textId="77777777">
      <w:pPr>
        <w:pStyle w:val="FootnoteText"/>
      </w:pPr>
      <w:r w:rsidRPr="00ED6163">
        <w:rPr>
          <w:rStyle w:val="FootnoteReference"/>
        </w:rPr>
        <w:footnoteRef/>
      </w:r>
      <w:r w:rsidRPr="00ED6163">
        <w:t xml:space="preserve"> 13 CFR § 121.201; NAICS Code 517919.</w:t>
      </w:r>
    </w:p>
  </w:footnote>
  <w:footnote w:id="673">
    <w:p w:rsidR="00252A4C" w:rsidRPr="00ED6163" w:rsidP="00D60B92" w14:paraId="15285864" w14:textId="77777777">
      <w:pPr>
        <w:pStyle w:val="FootnoteText"/>
      </w:pPr>
      <w:r w:rsidRPr="00ED6163">
        <w:rPr>
          <w:rStyle w:val="FootnoteReference"/>
        </w:rPr>
        <w:footnoteRef/>
      </w:r>
      <w:r w:rsidRPr="00ED6163">
        <w:t xml:space="preserve"> U.S. Census Bureau, </w:t>
      </w:r>
      <w:r w:rsidRPr="00ED6163">
        <w:rPr>
          <w:bCs/>
          <w:i/>
        </w:rPr>
        <w:t>2012</w:t>
      </w:r>
      <w:r w:rsidRPr="00ED6163">
        <w:rPr>
          <w:i/>
        </w:rPr>
        <w:t xml:space="preserve"> Economic Census</w:t>
      </w:r>
      <w:r w:rsidRPr="00ED6163">
        <w:rPr>
          <w:bCs/>
          <w:i/>
        </w:rPr>
        <w:t xml:space="preserve"> of the United States</w:t>
      </w:r>
      <w:r w:rsidRPr="00ED6163">
        <w:t xml:space="preserve">, Table EC1251SSSZ4, </w:t>
      </w:r>
      <w:r w:rsidRPr="00947E6A">
        <w:rPr>
          <w:i/>
        </w:rPr>
        <w:t>Information: Subject Series - Estab and Firm Size: Receipts Size of Firms for the United States: 2012</w:t>
      </w:r>
      <w:r w:rsidRPr="00ED6163">
        <w:t xml:space="preserve">, NAICS Code 517919, </w:t>
      </w:r>
      <w:hyperlink r:id="rId84" w:history="1">
        <w:r w:rsidRPr="00ED6163">
          <w:rPr>
            <w:rStyle w:val="Hyperlink"/>
          </w:rPr>
          <w:t>https://factfinder.census.gov/bkmk/table/1.0/en/ECN/2012_US/51SSSZ4//naics~517919</w:t>
        </w:r>
      </w:hyperlink>
      <w:r w:rsidRPr="00ED6163">
        <w:rPr>
          <w:rStyle w:val="Hyperlink"/>
        </w:rPr>
        <w:t>.</w:t>
      </w:r>
    </w:p>
  </w:footnote>
  <w:footnote w:id="674">
    <w:p w:rsidR="00252A4C" w:rsidRPr="00ED6163" w:rsidP="00D60B92" w14:paraId="47D3B61D" w14:textId="77777777">
      <w:pPr>
        <w:pStyle w:val="FootnoteText"/>
        <w:rPr>
          <w:i/>
        </w:rPr>
      </w:pPr>
      <w:r w:rsidRPr="00ED6163">
        <w:rPr>
          <w:rStyle w:val="FootnoteReference"/>
        </w:rPr>
        <w:footnoteRef/>
      </w:r>
      <w:r w:rsidRPr="00ED6163">
        <w:t xml:space="preserve"> </w:t>
      </w:r>
      <w:r w:rsidRPr="00ED6163">
        <w:rPr>
          <w:i/>
        </w:rPr>
        <w:t>Id.</w:t>
      </w:r>
    </w:p>
  </w:footnote>
  <w:footnote w:id="675">
    <w:p w:rsidR="00252A4C" w:rsidRPr="00ED6163" w:rsidP="00D60B92" w14:paraId="1FFE62CF" w14:textId="77777777">
      <w:pPr>
        <w:pStyle w:val="FootnoteText"/>
      </w:pPr>
      <w:r w:rsidRPr="00ED6163">
        <w:rPr>
          <w:rStyle w:val="FootnoteReference"/>
        </w:rPr>
        <w:footnoteRef/>
      </w:r>
      <w:r w:rsidRPr="00ED6163">
        <w:rPr>
          <w:i/>
        </w:rPr>
        <w:t xml:space="preserve"> See</w:t>
      </w:r>
      <w:r w:rsidRPr="00ED6163">
        <w:t xml:space="preserve"> U.S. Census Bureau, </w:t>
      </w:r>
      <w:r w:rsidRPr="00947E6A">
        <w:rPr>
          <w:i/>
        </w:rPr>
        <w:t xml:space="preserve">2012 NAICS Definitions, 515210 Cable and other </w:t>
      </w:r>
      <w:r w:rsidRPr="00947E6A">
        <w:rPr>
          <w:i/>
        </w:rPr>
        <w:t>Subscription Programming</w:t>
      </w:r>
      <w:r w:rsidRPr="00ED6163">
        <w:rPr>
          <w:bCs/>
        </w:rPr>
        <w:t xml:space="preserve">, </w:t>
      </w:r>
      <w:hyperlink r:id="rId99" w:history="1">
        <w:r w:rsidRPr="00ED6163">
          <w:rPr>
            <w:rStyle w:val="Hyperlink"/>
          </w:rPr>
          <w:t>https://factfinder.census.gov/faces/affhelp/jsf/pages/metadata.xhtml?lang=en&amp;type=ib&amp;id=ib.en./</w:t>
        </w:r>
        <w:r w:rsidRPr="00ED6163">
          <w:rPr>
            <w:rStyle w:val="Hyperlink"/>
          </w:rPr>
          <w:t>ECN.NAICS2012.515210#</w:t>
        </w:r>
      </w:hyperlink>
      <w:r w:rsidRPr="00ED6163">
        <w:t>.</w:t>
      </w:r>
    </w:p>
  </w:footnote>
  <w:footnote w:id="676">
    <w:p w:rsidR="00252A4C" w:rsidRPr="00ED6163" w:rsidP="00D60B92" w14:paraId="7D2164BB" w14:textId="77777777">
      <w:pPr>
        <w:pStyle w:val="FootnoteText"/>
      </w:pPr>
      <w:r w:rsidRPr="00ED6163">
        <w:rPr>
          <w:rStyle w:val="FootnoteReference"/>
        </w:rPr>
        <w:footnoteRef/>
      </w:r>
      <w:r w:rsidRPr="00ED6163">
        <w:t xml:space="preserve"> </w:t>
      </w:r>
      <w:r w:rsidRPr="00ED6163">
        <w:rPr>
          <w:i/>
        </w:rPr>
        <w:t>See</w:t>
      </w:r>
      <w:r w:rsidRPr="00ED6163">
        <w:t xml:space="preserve"> 13 C.F.R. 121.201, NAICS Code 515210.</w:t>
      </w:r>
    </w:p>
  </w:footnote>
  <w:footnote w:id="677">
    <w:p w:rsidR="00252A4C" w:rsidRPr="00ED6163" w:rsidP="00D60B92" w14:paraId="0522495B" w14:textId="77777777">
      <w:pPr>
        <w:pStyle w:val="FootnoteText"/>
      </w:pPr>
      <w:r w:rsidRPr="00ED6163">
        <w:rPr>
          <w:rStyle w:val="FootnoteReference"/>
        </w:rPr>
        <w:footnoteRef/>
      </w:r>
      <w:r w:rsidRPr="00ED6163">
        <w:t xml:space="preserve"> </w:t>
      </w:r>
      <w:r w:rsidRPr="00ED6163">
        <w:rPr>
          <w:i/>
        </w:rPr>
        <w:t xml:space="preserve">See </w:t>
      </w:r>
      <w:r w:rsidRPr="00ED6163">
        <w:t xml:space="preserve">U.S. Census Bureau, </w:t>
      </w:r>
      <w:r w:rsidRPr="00ED6163">
        <w:rPr>
          <w:bCs/>
          <w:i/>
        </w:rPr>
        <w:t>2012</w:t>
      </w:r>
      <w:r w:rsidRPr="00ED6163">
        <w:rPr>
          <w:i/>
        </w:rPr>
        <w:t xml:space="preserve"> Economic Census</w:t>
      </w:r>
      <w:r w:rsidRPr="00ED6163">
        <w:rPr>
          <w:bCs/>
          <w:i/>
        </w:rPr>
        <w:t xml:space="preserve"> of the United States</w:t>
      </w:r>
      <w:r w:rsidRPr="00ED6163">
        <w:t xml:space="preserve">, Table EC1251SSSZ4, </w:t>
      </w:r>
      <w:r w:rsidRPr="00947E6A">
        <w:rPr>
          <w:i/>
        </w:rPr>
        <w:t>Information: Subject Series - Estab &amp; Firm Size: Receipts Size of Firms for the U.S.: 2012</w:t>
      </w:r>
      <w:r w:rsidRPr="00ED6163">
        <w:t xml:space="preserve">, NAICS Code 515210, </w:t>
      </w:r>
      <w:hyperlink r:id="rId100" w:history="1">
        <w:r w:rsidRPr="00ED6163">
          <w:rPr>
            <w:rStyle w:val="Hyperlink"/>
          </w:rPr>
          <w:t>https://factfinder.census.gov/bkmk/table/1.0/en/ECN/2012_US/51SSSZ4//naics~515210</w:t>
        </w:r>
      </w:hyperlink>
      <w:r w:rsidRPr="00ED6163">
        <w:t xml:space="preserve">. </w:t>
      </w:r>
    </w:p>
  </w:footnote>
  <w:footnote w:id="678">
    <w:p w:rsidR="00252A4C" w:rsidRPr="00ED6163" w:rsidP="00D60B92" w14:paraId="0F64DF6F" w14:textId="77777777">
      <w:pPr>
        <w:pStyle w:val="FootnoteText"/>
      </w:pPr>
      <w:r w:rsidRPr="00ED6163">
        <w:rPr>
          <w:rStyle w:val="FootnoteReference"/>
        </w:rPr>
        <w:footnoteRef/>
      </w:r>
      <w:r w:rsidRPr="00ED6163">
        <w:t xml:space="preserve"> </w:t>
      </w:r>
      <w:r w:rsidRPr="00ED6163">
        <w:rPr>
          <w:i/>
        </w:rPr>
        <w:t>Id</w:t>
      </w:r>
      <w:r w:rsidRPr="00ED6163">
        <w:t>.  Available census data do not provide a more pre</w:t>
      </w:r>
      <w:r w:rsidRPr="00ED6163">
        <w:t>cise estimate of the number of firms that have receipts of $38.5 million or less.</w:t>
      </w:r>
    </w:p>
  </w:footnote>
  <w:footnote w:id="679">
    <w:p w:rsidR="00252A4C" w:rsidRPr="00ED6163" w:rsidP="00D60B92" w14:paraId="2BDC61B8" w14:textId="77777777">
      <w:pPr>
        <w:pStyle w:val="FootnoteText"/>
      </w:pPr>
      <w:r w:rsidRPr="00ED6163">
        <w:rPr>
          <w:rStyle w:val="FootnoteReference"/>
        </w:rPr>
        <w:footnoteRef/>
      </w:r>
      <w:r w:rsidRPr="00ED6163">
        <w:t xml:space="preserve"> 47 CFR § 76.901(e).</w:t>
      </w:r>
    </w:p>
  </w:footnote>
  <w:footnote w:id="680">
    <w:p w:rsidR="00252A4C" w:rsidRPr="00ED6163" w:rsidP="00D60B92" w14:paraId="409D92C1" w14:textId="77777777">
      <w:pPr>
        <w:pStyle w:val="FootnoteText"/>
      </w:pPr>
      <w:r w:rsidRPr="00ED6163">
        <w:rPr>
          <w:rStyle w:val="FootnoteReference"/>
        </w:rPr>
        <w:footnoteRef/>
      </w:r>
      <w:r w:rsidRPr="00ED6163">
        <w:t xml:space="preserve"> The number of active, registered cable systems comes from the Commission’s Cable Operations and Licensing System (COALS) database on August 15, 2015. </w:t>
      </w:r>
      <w:r w:rsidRPr="00ED6163">
        <w:t xml:space="preserve"> </w:t>
      </w:r>
      <w:r w:rsidRPr="00ED6163">
        <w:rPr>
          <w:i/>
        </w:rPr>
        <w:t>See</w:t>
      </w:r>
      <w:r w:rsidRPr="00ED6163">
        <w:t xml:space="preserve"> FCC, </w:t>
      </w:r>
      <w:r w:rsidRPr="00ED6163">
        <w:rPr>
          <w:i/>
        </w:rPr>
        <w:t>Cable Operations and Licensing System (COALS)</w:t>
      </w:r>
      <w:r w:rsidRPr="00ED6163">
        <w:t xml:space="preserve">, </w:t>
      </w:r>
      <w:hyperlink r:id="rId101" w:history="1">
        <w:r w:rsidRPr="00ED6163">
          <w:rPr>
            <w:rStyle w:val="Hyperlink"/>
          </w:rPr>
          <w:t>www.fcc.gov/coals</w:t>
        </w:r>
      </w:hyperlink>
      <w:r w:rsidRPr="00ED6163">
        <w:t xml:space="preserve"> (last visited Oct. 25, 2016).</w:t>
      </w:r>
    </w:p>
  </w:footnote>
  <w:footnote w:id="681">
    <w:p w:rsidR="00252A4C" w:rsidRPr="00ED6163" w:rsidP="00D60B92" w14:paraId="7813D7D1" w14:textId="77777777">
      <w:pPr>
        <w:pStyle w:val="FootnoteText"/>
      </w:pPr>
      <w:r w:rsidRPr="00ED6163">
        <w:rPr>
          <w:rStyle w:val="FootnoteReference"/>
        </w:rPr>
        <w:footnoteRef/>
      </w:r>
      <w:r w:rsidRPr="00ED6163">
        <w:t xml:space="preserve"> </w:t>
      </w:r>
      <w:r w:rsidRPr="00ED6163">
        <w:rPr>
          <w:i/>
        </w:rPr>
        <w:t xml:space="preserve">See </w:t>
      </w:r>
      <w:r w:rsidRPr="00ED6163">
        <w:t xml:space="preserve">SNL KAGAN, </w:t>
      </w:r>
      <w:r w:rsidRPr="00ED6163">
        <w:rPr>
          <w:i/>
        </w:rPr>
        <w:t xml:space="preserve">Top Cable MSOs, </w:t>
      </w:r>
      <w:hyperlink r:id="rId102" w:history="1">
        <w:r w:rsidRPr="00ED6163">
          <w:rPr>
            <w:rStyle w:val="Hyperlink"/>
            <w:snapToGrid w:val="0"/>
          </w:rPr>
          <w:t>https://www.snl.com/Interactivex/TopCableMSOs.aspx</w:t>
        </w:r>
      </w:hyperlink>
      <w:r w:rsidRPr="00ED6163">
        <w:t>.</w:t>
      </w:r>
    </w:p>
  </w:footnote>
  <w:footnote w:id="682">
    <w:p w:rsidR="00252A4C" w:rsidRPr="00ED6163" w:rsidP="00D60B92" w14:paraId="2C4B67BC" w14:textId="77777777">
      <w:pPr>
        <w:pStyle w:val="FootnoteText"/>
      </w:pPr>
      <w:r w:rsidRPr="00ED6163">
        <w:rPr>
          <w:rStyle w:val="FootnoteReference"/>
        </w:rPr>
        <w:footnoteRef/>
      </w:r>
      <w:r w:rsidRPr="00ED6163">
        <w:t xml:space="preserve"> 47 CFR § 76.901(c).</w:t>
      </w:r>
    </w:p>
  </w:footnote>
  <w:footnote w:id="683">
    <w:p w:rsidR="00252A4C" w:rsidRPr="00ED6163" w:rsidP="00D60B92" w14:paraId="63D7660B" w14:textId="77777777">
      <w:pPr>
        <w:pStyle w:val="FootnoteText"/>
      </w:pPr>
      <w:r w:rsidRPr="00ED6163">
        <w:rPr>
          <w:rStyle w:val="FootnoteReference"/>
        </w:rPr>
        <w:footnoteRef/>
      </w:r>
      <w:r w:rsidRPr="00ED6163">
        <w:t xml:space="preserve"> </w:t>
      </w:r>
      <w:r w:rsidRPr="00ED6163">
        <w:rPr>
          <w:i/>
        </w:rPr>
        <w:t>See March 31, 2013 Broadcast Station Totals Press Release.</w:t>
      </w:r>
    </w:p>
  </w:footnote>
  <w:footnote w:id="684">
    <w:p w:rsidR="00252A4C" w:rsidRPr="00ED6163" w:rsidP="00D60B92" w14:paraId="5972B087" w14:textId="77777777">
      <w:pPr>
        <w:pStyle w:val="FootnoteText"/>
      </w:pPr>
      <w:r w:rsidRPr="00ED6163">
        <w:rPr>
          <w:rStyle w:val="FootnoteReference"/>
        </w:rPr>
        <w:footnoteRef/>
      </w:r>
      <w:r w:rsidRPr="00ED6163">
        <w:t xml:space="preserve"> </w:t>
      </w:r>
      <w:r w:rsidRPr="00ED6163">
        <w:rPr>
          <w:i/>
        </w:rPr>
        <w:t>See</w:t>
      </w:r>
      <w:r w:rsidRPr="00ED6163">
        <w:t xml:space="preserve"> FCC, </w:t>
      </w:r>
      <w:r w:rsidRPr="00ED6163">
        <w:rPr>
          <w:i/>
        </w:rPr>
        <w:t>Cable Operations and Licensing System (COALS)</w:t>
      </w:r>
      <w:r w:rsidRPr="00ED6163">
        <w:t xml:space="preserve">, </w:t>
      </w:r>
      <w:hyperlink r:id="rId101" w:history="1">
        <w:r w:rsidRPr="00ED6163">
          <w:rPr>
            <w:rStyle w:val="Hyperlink"/>
          </w:rPr>
          <w:t>www.fcc.gov/coals</w:t>
        </w:r>
      </w:hyperlink>
      <w:r w:rsidRPr="00ED6163">
        <w:t xml:space="preserve"> (last visited Oct. 25, 2016).</w:t>
      </w:r>
    </w:p>
  </w:footnote>
  <w:footnote w:id="685">
    <w:p w:rsidR="00252A4C" w:rsidRPr="00ED6163" w:rsidP="00D60B92" w14:paraId="1FEB008A" w14:textId="77777777">
      <w:pPr>
        <w:pStyle w:val="FootnoteText"/>
      </w:pPr>
      <w:r w:rsidRPr="00ED6163">
        <w:rPr>
          <w:rStyle w:val="FootnoteReference"/>
        </w:rPr>
        <w:footnoteRef/>
      </w:r>
      <w:r w:rsidRPr="00ED6163">
        <w:t xml:space="preserve"> 47 CFR § 76.90(f) and ns. 1, 2, and 3.</w:t>
      </w:r>
    </w:p>
  </w:footnote>
  <w:footnote w:id="686">
    <w:p w:rsidR="00252A4C" w:rsidRPr="00ED6163" w:rsidP="00D60B92" w14:paraId="15806B47" w14:textId="77777777">
      <w:pPr>
        <w:pStyle w:val="FootnoteText"/>
      </w:pPr>
      <w:r w:rsidRPr="00ED6163">
        <w:rPr>
          <w:rStyle w:val="FootnoteReference"/>
        </w:rPr>
        <w:footnoteRef/>
      </w:r>
      <w:r w:rsidRPr="00ED6163">
        <w:t xml:space="preserve"> </w:t>
      </w:r>
      <w:r w:rsidRPr="00ED6163">
        <w:rPr>
          <w:i/>
        </w:rPr>
        <w:t>See</w:t>
      </w:r>
      <w:r w:rsidRPr="00ED6163">
        <w:t xml:space="preserve"> SNL KAGAN at </w:t>
      </w:r>
      <w:hyperlink r:id="rId88" w:history="1">
        <w:r w:rsidRPr="00ED6163">
          <w:rPr>
            <w:rStyle w:val="Hyperlink"/>
          </w:rPr>
          <w:t>http://www.snl.com/interactivex/MultichannelIndustryBenchmarks.aspx</w:t>
        </w:r>
      </w:hyperlink>
      <w:r w:rsidRPr="00ED6163">
        <w:rPr>
          <w:rStyle w:val="Hyperlink"/>
        </w:rPr>
        <w:t>.</w:t>
      </w:r>
    </w:p>
  </w:footnote>
  <w:footnote w:id="687">
    <w:p w:rsidR="00252A4C" w:rsidRPr="00ED6163" w:rsidP="00D60B92" w14:paraId="7AA03EA8" w14:textId="77777777">
      <w:pPr>
        <w:pStyle w:val="FootnoteText"/>
      </w:pPr>
      <w:r w:rsidRPr="00ED6163">
        <w:rPr>
          <w:rStyle w:val="FootnoteReference"/>
        </w:rPr>
        <w:footnoteRef/>
      </w:r>
      <w:r w:rsidRPr="00ED6163">
        <w:t xml:space="preserve"> 47 CFR § 76.901(f) and ns. 1, 2, and 3.</w:t>
      </w:r>
    </w:p>
  </w:footnote>
  <w:footnote w:id="688">
    <w:p w:rsidR="00252A4C" w:rsidRPr="00ED6163" w:rsidP="00D60B92" w14:paraId="7090B840" w14:textId="77777777">
      <w:pPr>
        <w:pStyle w:val="FootnoteText"/>
      </w:pPr>
      <w:r w:rsidRPr="00ED6163">
        <w:rPr>
          <w:rStyle w:val="FootnoteReference"/>
        </w:rPr>
        <w:footnoteRef/>
      </w:r>
      <w:r w:rsidRPr="00ED6163">
        <w:t xml:space="preserve"> </w:t>
      </w:r>
      <w:r w:rsidRPr="00ED6163">
        <w:rPr>
          <w:i/>
        </w:rPr>
        <w:t>See</w:t>
      </w:r>
      <w:r w:rsidRPr="00ED6163">
        <w:t xml:space="preserve"> SNL KAGAN at </w:t>
      </w:r>
      <w:hyperlink r:id="rId89" w:history="1">
        <w:r w:rsidRPr="00ED6163">
          <w:rPr>
            <w:rStyle w:val="Hyperlink"/>
          </w:rPr>
          <w:t>http://www.snl.com/interactivex/TopCable MSOs.aspx</w:t>
        </w:r>
      </w:hyperlink>
      <w:r w:rsidRPr="00ED6163">
        <w:t>.</w:t>
      </w:r>
    </w:p>
  </w:footnote>
  <w:footnote w:id="689">
    <w:p w:rsidR="00252A4C" w:rsidRPr="00ED6163" w:rsidP="00D60B92" w14:paraId="7AF96DF3" w14:textId="77777777">
      <w:pPr>
        <w:pStyle w:val="FootnoteText"/>
      </w:pPr>
      <w:r w:rsidRPr="00ED6163">
        <w:rPr>
          <w:rStyle w:val="FootnoteReference"/>
        </w:rPr>
        <w:footnoteRef/>
      </w:r>
      <w:r w:rsidRPr="00ED6163">
        <w:t xml:space="preserve"> The Commission does receive such information on a case-by-case basis if a cable operator appeals a local franchise authority’s finding that the operator does not qualify as a sm</w:t>
      </w:r>
      <w:r w:rsidRPr="00ED6163">
        <w:t xml:space="preserve">all cable operator pursuant to section 76.901(f) of the Commission’s rules.  </w:t>
      </w:r>
      <w:r w:rsidRPr="00ED6163">
        <w:rPr>
          <w:i/>
        </w:rPr>
        <w:t>See</w:t>
      </w:r>
      <w:r w:rsidRPr="00ED6163">
        <w:t xml:space="preserve"> 47 CFR § 76.901(f).</w:t>
      </w:r>
    </w:p>
  </w:footnote>
  <w:footnote w:id="690">
    <w:p w:rsidR="00252A4C" w:rsidRPr="00ED6163" w:rsidP="00D60B92" w14:paraId="4DFC0979" w14:textId="77777777">
      <w:pPr>
        <w:pStyle w:val="FootnoteText"/>
      </w:pPr>
      <w:r w:rsidRPr="00ED6163">
        <w:rPr>
          <w:rStyle w:val="FootnoteReference"/>
        </w:rPr>
        <w:footnoteRef/>
      </w:r>
      <w:r w:rsidRPr="00ED6163">
        <w:t xml:space="preserve"> </w:t>
      </w:r>
      <w:r w:rsidRPr="00ED6163">
        <w:rPr>
          <w:i/>
        </w:rPr>
        <w:t xml:space="preserve">See </w:t>
      </w:r>
      <w:r w:rsidRPr="00ED6163">
        <w:t xml:space="preserve">NAICS Association, </w:t>
      </w:r>
      <w:r w:rsidRPr="00ED6163">
        <w:rPr>
          <w:i/>
        </w:rPr>
        <w:t>NAICS Code Description</w:t>
      </w:r>
      <w:r w:rsidRPr="00ED6163">
        <w:t>,</w:t>
      </w:r>
      <w:r w:rsidRPr="00ED6163">
        <w:rPr>
          <w:i/>
        </w:rPr>
        <w:t xml:space="preserve"> </w:t>
      </w:r>
      <w:hyperlink r:id="rId103" w:history="1">
        <w:r w:rsidRPr="00ED6163">
          <w:rPr>
            <w:rStyle w:val="Hyperlink"/>
          </w:rPr>
          <w:t>https://www.naics.com/naics-code</w:t>
        </w:r>
        <w:r w:rsidRPr="00ED6163">
          <w:rPr>
            <w:rStyle w:val="Hyperlink"/>
          </w:rPr>
          <w:t>-description/?code=517919</w:t>
        </w:r>
      </w:hyperlink>
      <w:r w:rsidRPr="00ED6163">
        <w:t>.</w:t>
      </w:r>
    </w:p>
  </w:footnote>
  <w:footnote w:id="691">
    <w:p w:rsidR="00252A4C" w:rsidRPr="00ED6163" w:rsidP="00D60B92" w14:paraId="59044D15" w14:textId="77777777">
      <w:pPr>
        <w:pStyle w:val="FootnoteText"/>
      </w:pPr>
      <w:r w:rsidRPr="00ED6163">
        <w:rPr>
          <w:rStyle w:val="FootnoteReference"/>
        </w:rPr>
        <w:footnoteRef/>
      </w:r>
      <w:r w:rsidRPr="00ED6163">
        <w:t xml:space="preserve"> 13 CFR § 121.201; NAICS Code 517919.</w:t>
      </w:r>
    </w:p>
  </w:footnote>
  <w:footnote w:id="692">
    <w:p w:rsidR="00252A4C" w:rsidRPr="00ED6163" w:rsidP="00D60B92" w14:paraId="150E0E93" w14:textId="77777777">
      <w:pPr>
        <w:pStyle w:val="FootnoteText"/>
        <w:rPr>
          <w:color w:val="0000FF"/>
          <w:u w:val="single"/>
        </w:rPr>
      </w:pPr>
      <w:r w:rsidRPr="00ED6163">
        <w:rPr>
          <w:rStyle w:val="FootnoteReference"/>
        </w:rPr>
        <w:footnoteRef/>
      </w:r>
      <w:r w:rsidRPr="00ED6163">
        <w:t xml:space="preserve"> </w:t>
      </w:r>
      <w:r w:rsidRPr="00ED6163">
        <w:rPr>
          <w:i/>
        </w:rPr>
        <w:t xml:space="preserve">See </w:t>
      </w:r>
      <w:r w:rsidRPr="00ED6163">
        <w:t xml:space="preserve">U.S. Census Bureau, </w:t>
      </w:r>
      <w:r w:rsidRPr="00ED6163">
        <w:rPr>
          <w:i/>
        </w:rPr>
        <w:t>American Fact Finder</w:t>
      </w:r>
      <w:r w:rsidRPr="00ED6163">
        <w:t>,</w:t>
      </w:r>
      <w:r w:rsidRPr="00ED6163">
        <w:rPr>
          <w:i/>
        </w:rPr>
        <w:t xml:space="preserve"> </w:t>
      </w:r>
      <w:hyperlink r:id="rId104" w:history="1">
        <w:r w:rsidRPr="00ED6163">
          <w:rPr>
            <w:rStyle w:val="Hyperlink"/>
            <w:snapToGrid w:val="0"/>
          </w:rPr>
          <w:t>http://</w:t>
        </w:r>
        <w:r w:rsidRPr="00ED6163">
          <w:rPr>
            <w:rStyle w:val="Hyperlink"/>
            <w:snapToGrid w:val="0"/>
          </w:rPr>
          <w:t>factfinder.census.gov/faces/tableservices/jsf/pages/productview.xhtml? pid=ECN_2012_US_51SSSZ4&amp;prodType=table</w:t>
        </w:r>
      </w:hyperlink>
      <w:r w:rsidRPr="00ED6163">
        <w:t>.</w:t>
      </w:r>
    </w:p>
  </w:footnote>
  <w:footnote w:id="693">
    <w:p w:rsidR="00252A4C" w:rsidRPr="00ED6163" w:rsidP="00D60B92" w14:paraId="5751DF1D" w14:textId="77777777">
      <w:pPr>
        <w:pStyle w:val="FootnoteText"/>
      </w:pPr>
      <w:r w:rsidRPr="00ED6163">
        <w:rPr>
          <w:rStyle w:val="FootnoteReference"/>
        </w:rPr>
        <w:footnoteRef/>
      </w:r>
      <w:r w:rsidRPr="00ED6163">
        <w:t xml:space="preserve"> </w:t>
      </w:r>
      <w:r w:rsidRPr="00ED6163">
        <w:rPr>
          <w:i/>
        </w:rPr>
        <w:t xml:space="preserve">See </w:t>
      </w:r>
      <w:r w:rsidRPr="00ED6163">
        <w:t>NTCA Apr. 30, 2019</w:t>
      </w:r>
      <w:r w:rsidRPr="00ED6163">
        <w:rPr>
          <w:i/>
        </w:rPr>
        <w:t xml:space="preserve"> Ex Parte </w:t>
      </w:r>
      <w:r w:rsidRPr="00ED6163">
        <w:t>Letter at 3 (“other than some transitional efforts, the relative ongoing burden of reporting availability via s</w:t>
      </w:r>
      <w:r w:rsidRPr="00ED6163">
        <w:t xml:space="preserve">hapefiles as compared to the current census block-based approach should be reasonable”); NCTA Apr. 10, 2019 </w:t>
      </w:r>
      <w:r w:rsidRPr="00ED6163">
        <w:rPr>
          <w:i/>
        </w:rPr>
        <w:t>Ex Parte</w:t>
      </w:r>
      <w:r w:rsidRPr="00ED6163">
        <w:t xml:space="preserve"> Letter at 6 (“NCTA’s proposal to move to a broadband reporting regime based on shapefiles offers the promise of far more accurate data with</w:t>
      </w:r>
      <w:r w:rsidRPr="00ED6163">
        <w:t>out undue time or expense”).</w:t>
      </w:r>
    </w:p>
  </w:footnote>
  <w:footnote w:id="694">
    <w:p w:rsidR="00252A4C" w:rsidRPr="00ED6163" w:rsidP="00D60B92" w14:paraId="7AE940D6" w14:textId="77777777">
      <w:pPr>
        <w:pStyle w:val="FootnoteText"/>
      </w:pPr>
      <w:r w:rsidRPr="00ED6163">
        <w:rPr>
          <w:rStyle w:val="FootnoteReference"/>
        </w:rPr>
        <w:footnoteRef/>
      </w:r>
      <w:r w:rsidRPr="00ED6163">
        <w:t xml:space="preserve"> Connected Nation July 25, 2019 </w:t>
      </w:r>
      <w:r w:rsidRPr="00ED6163">
        <w:rPr>
          <w:i/>
        </w:rPr>
        <w:t>Ex Parte</w:t>
      </w:r>
      <w:r w:rsidRPr="00ED6163">
        <w:t xml:space="preserve"> Letter at 1-2.</w:t>
      </w:r>
    </w:p>
  </w:footnote>
  <w:footnote w:id="695">
    <w:p w:rsidR="00252A4C" w:rsidRPr="00ED6163" w:rsidP="00D60B92" w14:paraId="616941C2" w14:textId="77777777">
      <w:pPr>
        <w:pStyle w:val="FootnoteText"/>
      </w:pPr>
      <w:r w:rsidRPr="00ED6163">
        <w:rPr>
          <w:rStyle w:val="FootnoteReference"/>
        </w:rPr>
        <w:footnoteRef/>
      </w:r>
      <w:r w:rsidRPr="00ED6163">
        <w:t xml:space="preserve"> ACA July 24, 2019 Ex Parte Letter at 6-7 (advocating that “unless there is a critical mass of submissions that the Commission determines is sufficient to indicate a mat</w:t>
      </w:r>
      <w:r w:rsidRPr="00ED6163">
        <w:t>erial and immediate concern, which requires immediate resolution to prevent harm, a smaller provider should be able to account for this additional information the next time it updates its filing”).</w:t>
      </w:r>
    </w:p>
  </w:footnote>
  <w:footnote w:id="696">
    <w:p w:rsidR="00252A4C" w:rsidRPr="00ED6163" w:rsidP="00D60B92" w14:paraId="1E0C9E99" w14:textId="77777777">
      <w:pPr>
        <w:pStyle w:val="FootnoteText"/>
      </w:pPr>
      <w:r w:rsidRPr="00ED6163">
        <w:rPr>
          <w:rStyle w:val="FootnoteReference"/>
        </w:rPr>
        <w:footnoteRef/>
      </w:r>
      <w:r w:rsidRPr="00ED6163">
        <w:t xml:space="preserve"> 5 U.S.C. § 603(c).</w:t>
      </w:r>
    </w:p>
  </w:footnote>
  <w:footnote w:id="697">
    <w:p w:rsidR="00F1497E" w:rsidP="00F1497E" w14:paraId="652D155E" w14:textId="77777777">
      <w:pPr>
        <w:pStyle w:val="FootnoteText"/>
      </w:pPr>
      <w:r>
        <w:rPr>
          <w:rStyle w:val="FootnoteReference"/>
        </w:rPr>
        <w:footnoteRef/>
      </w:r>
      <w:r>
        <w:t xml:space="preserve"> </w:t>
      </w:r>
      <w:r w:rsidRPr="0090286E">
        <w:rPr>
          <w:i/>
        </w:rPr>
        <w:t xml:space="preserve">Modernizing the FCC Form 477 </w:t>
      </w:r>
      <w:r w:rsidRPr="0090286E">
        <w:rPr>
          <w:i/>
        </w:rPr>
        <w:t>Data Program</w:t>
      </w:r>
      <w:r>
        <w:t>, WC Docket No. 11-10, Report and Order, 28 FCC Rcd 9887, 9904, para. 35 (2013).</w:t>
      </w:r>
    </w:p>
  </w:footnote>
  <w:footnote w:id="698">
    <w:p w:rsidR="004D0465" w:rsidP="004D0465" w14:paraId="0D99A36C" w14:textId="77777777">
      <w:pPr>
        <w:pStyle w:val="FootnoteText"/>
      </w:pPr>
      <w:r>
        <w:rPr>
          <w:rStyle w:val="FootnoteReference"/>
        </w:rPr>
        <w:footnoteRef/>
      </w:r>
      <w:r>
        <w:t xml:space="preserve"> </w:t>
      </w:r>
      <w:r w:rsidRPr="00631146">
        <w:t xml:space="preserve">Letter from Donald L. Herman, Jr. and Clare C. Liedquist, Counsel to Central Texas Telephone Cooperative, Inc., Peoples Telephone Cooperative, Inc. and </w:t>
      </w:r>
      <w:r w:rsidRPr="00631146">
        <w:t>Totelcom Communications, LLC, to Marlene H. Dortch, Secretary, FCC, WC Docket No. 13-184 (filed Nov. 19, 2019).</w:t>
      </w:r>
    </w:p>
  </w:footnote>
  <w:footnote w:id="699">
    <w:p w:rsidR="004D0465" w:rsidRPr="00AD242B" w:rsidP="004D0465" w14:paraId="5A1F2BC4" w14:textId="77777777">
      <w:pPr>
        <w:pStyle w:val="FootnoteText"/>
      </w:pPr>
      <w:r w:rsidRPr="00AD242B">
        <w:rPr>
          <w:rStyle w:val="FootnoteReference"/>
        </w:rPr>
        <w:footnoteRef/>
      </w:r>
      <w:r w:rsidRPr="00AD242B">
        <w:t xml:space="preserve"> </w:t>
      </w:r>
      <w:r w:rsidRPr="00BB467A">
        <w:rPr>
          <w:i/>
        </w:rPr>
        <w:t>See</w:t>
      </w:r>
      <w:r>
        <w:rPr>
          <w:i/>
        </w:rPr>
        <w:t>,</w:t>
      </w:r>
      <w:r w:rsidRPr="00BB467A">
        <w:rPr>
          <w:i/>
        </w:rPr>
        <w:t xml:space="preserve"> e</w:t>
      </w:r>
      <w:r>
        <w:rPr>
          <w:i/>
        </w:rPr>
        <w:t>.</w:t>
      </w:r>
      <w:r w:rsidRPr="00BB467A">
        <w:rPr>
          <w:i/>
        </w:rPr>
        <w:t>g</w:t>
      </w:r>
      <w:r>
        <w:rPr>
          <w:i/>
        </w:rPr>
        <w:t>.</w:t>
      </w:r>
      <w:r>
        <w:t xml:space="preserve">, Valley Telephone Cooperative, Inc. Comments, </w:t>
      </w:r>
      <w:r w:rsidRPr="003E3F62">
        <w:t>WC Docket No</w:t>
      </w:r>
      <w:r>
        <w:t>. 13-184</w:t>
      </w:r>
      <w:r w:rsidRPr="003E3F62">
        <w:t xml:space="preserve">, </w:t>
      </w:r>
      <w:r>
        <w:t>at 2-4 (rec. July 1, 2019); Barry County Telephone Company Comme</w:t>
      </w:r>
      <w:r>
        <w:t xml:space="preserve">nts, </w:t>
      </w:r>
      <w:r w:rsidRPr="00CC0F35">
        <w:t>WC Docket No</w:t>
      </w:r>
      <w:r>
        <w:t xml:space="preserve">. 13-184, at 1-2 (rec. July 1, 2019); The Concerned Rural Carriers Comments, </w:t>
      </w:r>
      <w:r w:rsidRPr="00CC0F35">
        <w:t>WC Docket No</w:t>
      </w:r>
      <w:r>
        <w:t xml:space="preserve">. 13-184, at 2-3 (rec. July 1, 2019); Letter from Chris Reno, Director of Accounting, Union Telephone Company, to Marlene H. Dortch, Secretary, FCC, </w:t>
      </w:r>
      <w:r w:rsidRPr="00CC0F35">
        <w:t>W</w:t>
      </w:r>
      <w:r w:rsidRPr="00CC0F35">
        <w:t>C Docket No</w:t>
      </w:r>
      <w:r>
        <w:t>. 13-184, at 1-2 (filed July 31, 2019).</w:t>
      </w:r>
    </w:p>
  </w:footnote>
  <w:footnote w:id="700">
    <w:p w:rsidR="004D0465" w:rsidRPr="00792066" w:rsidP="004D0465" w14:paraId="78DEED9E" w14:textId="77777777">
      <w:pPr>
        <w:pStyle w:val="FootnoteText"/>
      </w:pPr>
      <w:r w:rsidRPr="00792066">
        <w:rPr>
          <w:rStyle w:val="FootnoteReference"/>
        </w:rPr>
        <w:footnoteRef/>
      </w:r>
      <w:r w:rsidRPr="00792066">
        <w:t xml:space="preserve"> Inquiry Concerning Deployment of Advanced Telecommunications Capability to All Americans in a Reasonable and Timely Fashion, GN Docket No. 18-238, 2019 Broadband Deployment Report. </w:t>
      </w:r>
      <w:r w:rsidRPr="00792066">
        <w:rPr>
          <w:snapToGrid w:val="0"/>
        </w:rPr>
        <w:t xml:space="preserve">(Dissenting Statement </w:t>
      </w:r>
      <w:r w:rsidRPr="00792066">
        <w:rPr>
          <w:snapToGrid w:val="0"/>
        </w:rPr>
        <w:t>of Commissioner Geoffrey Starks).</w:t>
      </w:r>
    </w:p>
  </w:footnote>
  <w:footnote w:id="701">
    <w:p w:rsidR="004D0465" w:rsidRPr="00792066" w:rsidP="004D0465" w14:paraId="1B4ECA6D" w14:textId="77777777">
      <w:pPr>
        <w:pStyle w:val="FootnoteText"/>
      </w:pPr>
      <w:r w:rsidRPr="00792066">
        <w:rPr>
          <w:rStyle w:val="FootnoteReference"/>
        </w:rPr>
        <w:footnoteRef/>
      </w:r>
      <w:r w:rsidRPr="00792066">
        <w:t xml:space="preserve"> See Eggerton, J, (2018, August 16). Sen. Tester: FCC’s Broadband Maps ‘Stink’, https://www.multichannel.com/news/sen-tester-fccs-broadband-maps-stink.</w:t>
      </w:r>
    </w:p>
  </w:footnote>
  <w:footnote w:id="702">
    <w:p w:rsidR="004D0465" w:rsidRPr="00792066" w:rsidP="004D0465" w14:paraId="38B86D2C" w14:textId="77777777">
      <w:pPr>
        <w:pStyle w:val="FootnoteText"/>
      </w:pPr>
      <w:r w:rsidRPr="00792066">
        <w:rPr>
          <w:rStyle w:val="FootnoteReference"/>
        </w:rPr>
        <w:footnoteRef/>
      </w:r>
      <w:r w:rsidRPr="00792066">
        <w:t xml:space="preserve"> Implementing the Agriculture Improvement Act of 2018: Hearing Befor</w:t>
      </w:r>
      <w:r w:rsidRPr="00792066">
        <w:t>e the S. Committee on Agriculture, Nutrition, and Forestry, 116th Cong. At 1:24:25 (statement of Sonny Perdue, Secretary, United States Department of Agriculture), https://www.agriculture.senate.gov/hearings/implementing-the-agriculture-improvement-act-of-</w:t>
      </w:r>
      <w:r w:rsidRPr="00792066">
        <w:t>2018.</w:t>
      </w:r>
    </w:p>
  </w:footnote>
  <w:footnote w:id="703">
    <w:p w:rsidR="004D0465" w:rsidP="004D0465" w14:paraId="164105F5" w14:textId="77777777">
      <w:pPr>
        <w:pStyle w:val="FootnoteText"/>
      </w:pPr>
      <w:r w:rsidRPr="00792066">
        <w:rPr>
          <w:rStyle w:val="FootnoteReference"/>
        </w:rPr>
        <w:footnoteRef/>
      </w:r>
      <w:r w:rsidRPr="00792066">
        <w:t xml:space="preserve"> Modernizing the FCC Form 477 Data Program, WC Docket No. 11-10, Further Notice of Proposed Rulemaking, FCC 17 103 (rel. Aug 4, 2017)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2A4C" w14:paraId="1AF68976" w14:textId="77777777">
    <w:pPr>
      <w:pStyle w:val="Header"/>
    </w:pPr>
  </w:p>
  <w:p w:rsidR="00252A4C" w14:paraId="7F043FD7"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2A4C" w:rsidP="00824C08" w14:paraId="0FBCAB4B" w14:textId="77777777">
    <w:pPr>
      <w:pStyle w:val="Header"/>
      <w:rPr>
        <w:snapToGrid/>
      </w:rPr>
    </w:pPr>
    <w:r>
      <w:rPr>
        <w:noProof/>
      </w:rPr>
      <w:pict>
        <v:rect 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r>
      <w:tab/>
      <w:t>Federal Communications Commission</w:t>
    </w:r>
    <w:r>
      <w:tab/>
    </w:r>
    <w:r>
      <w:rPr>
        <w:spacing w:val="-2"/>
      </w:rPr>
      <w:t>FCC 19-79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2A4C" w:rsidRPr="002F30C6" w14:paraId="0E1BA71B" w14:textId="77777777">
    <w:pPr>
      <w:pStyle w:val="Header"/>
      <w:rPr>
        <w:snapToGrid/>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tab/>
      <w:t>Federal Communications Commission</w:t>
    </w:r>
    <w:r>
      <w:tab/>
    </w:r>
    <w:r>
      <w:rPr>
        <w:spacing w:val="-2"/>
      </w:rPr>
      <w:t>FCC 19-79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31F0D4F" w14:textId="77777777">
    <w:pPr>
      <w:pStyle w:val="Header"/>
      <w:rPr>
        <w:b w:val="0"/>
      </w:rPr>
    </w:pPr>
    <w:r>
      <w:tab/>
      <w:t>Federal Communications Commission</w:t>
    </w:r>
    <w:r>
      <w:tab/>
    </w:r>
    <w:r w:rsidR="00252A4C">
      <w:t>FCC 19-79</w:t>
    </w:r>
  </w:p>
  <w:p w:rsidR="00D25FB5" w14:paraId="094E87D0"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14:paraId="24BCF0A2" w14:textId="77777777">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CACBED5" w14:textId="77777777">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52A4C">
      <w:rPr>
        <w:spacing w:val="-2"/>
      </w:rPr>
      <w:t>FCC 19-79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62AF249" w14:textId="77777777">
    <w:pPr>
      <w:pStyle w:val="Header"/>
      <w:rPr>
        <w:b w:val="0"/>
      </w:rPr>
    </w:pPr>
    <w:r>
      <w:tab/>
      <w:t>Federal Communications Commission</w:t>
    </w:r>
    <w:r>
      <w:tab/>
    </w:r>
    <w:r w:rsidR="00BE2510">
      <w:t>FCC 19-79</w:t>
    </w:r>
  </w:p>
  <w:p w:rsidR="00D25FB5" w14:paraId="689DCD88" w14:textId="77777777">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4144" o:allowincell="f" fillcolor="black" stroked="f" strokeweight="0.05pt">
          <w10:wrap anchorx="margin"/>
        </v:rect>
      </w:pict>
    </w:r>
  </w:p>
  <w:p w:rsidR="00D25FB5" w14:paraId="08E2D3B8" w14:textId="77777777">
    <w:pPr>
      <w:spacing w:after="389" w:line="100" w:lineRule="exact"/>
      <w:rPr>
        <w:sz w:val="1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62402AB" w14:textId="77777777">
    <w:pPr>
      <w:pStyle w:val="Header"/>
      <w:rPr>
        <w:b w:val="0"/>
      </w:rPr>
    </w:pPr>
    <w:r>
      <w:rPr>
        <w:noProof/>
      </w:rPr>
      <w:pict>
        <v:rect id="_x0000_s2054"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sidR="00BE2510">
      <w:rPr>
        <w:spacing w:val="-2"/>
      </w:rPr>
      <w:t>FCC 19-79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DB06804" w14:textId="77777777">
    <w:pPr>
      <w:pStyle w:val="Header"/>
      <w:rPr>
        <w:b w:val="0"/>
      </w:rPr>
    </w:pPr>
    <w:r>
      <w:tab/>
      <w:t>Federal Communications Commission</w:t>
    </w:r>
    <w:r>
      <w:tab/>
    </w:r>
    <w:r w:rsidR="004D0465">
      <w:t>FCC 19-79</w:t>
    </w:r>
  </w:p>
  <w:p w:rsidR="00D25FB5" w14:paraId="63931C7F" w14:textId="77777777">
    <w:pPr>
      <w:tabs>
        <w:tab w:val="left" w:pos="-720"/>
      </w:tabs>
      <w:suppressAutoHyphens/>
      <w:spacing w:line="19" w:lineRule="exact"/>
      <w:rPr>
        <w:spacing w:val="-2"/>
      </w:rPr>
    </w:pPr>
    <w:r>
      <w:rPr>
        <w:noProof/>
      </w:rPr>
      <w:pict>
        <v:rect id="_x0000_s2055" style="width:468pt;height:0.95pt;margin-top:0;margin-left:0;mso-position-horizontal-relative:margin;position:absolute;visibility:visible;z-index:-251652096" o:allowincell="f" fillcolor="black" stroked="f" strokeweight="0.05pt">
          <w10:wrap anchorx="margin"/>
        </v:rect>
      </w:pict>
    </w:r>
  </w:p>
  <w:p w:rsidR="00D25FB5" w14:paraId="1DB91313" w14:textId="77777777">
    <w:pPr>
      <w:spacing w:after="389" w:line="100" w:lineRule="exact"/>
      <w:rPr>
        <w:sz w:val="1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DD168C6" w14:textId="77777777">
    <w:pPr>
      <w:pStyle w:val="Header"/>
      <w:rPr>
        <w:b w:val="0"/>
      </w:rPr>
    </w:pPr>
    <w:r>
      <w:rPr>
        <w:noProof/>
      </w:rPr>
      <w:pict>
        <v:rect id="_x0000_s2056" style="width:468pt;height:0.95pt;margin-top:12.65pt;margin-left:0.6pt;mso-position-horizontal-relative:margin;position:absolute;visibility:visible;z-index:-251651072" o:allowincell="f" fillcolor="black" stroked="f" strokeweight="0.05pt">
          <w10:wrap anchorx="margin"/>
        </v:rect>
      </w:pict>
    </w:r>
    <w:r>
      <w:tab/>
      <w:t>Federal Communications Commission</w:t>
    </w:r>
    <w:r>
      <w:tab/>
    </w:r>
    <w:r w:rsidR="00BE2510">
      <w:rPr>
        <w:spacing w:val="-2"/>
      </w:rPr>
      <w:t>FCC 19-79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AC08A001"/>
    <w:multiLevelType w:val="hybridMultilevel"/>
    <w:tmpl w:val="09C4F161"/>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0787D2B"/>
    <w:multiLevelType w:val="hybridMultilevel"/>
    <w:tmpl w:val="A8EFCBE3"/>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3D60176"/>
    <w:multiLevelType w:val="hybridMultilevel"/>
    <w:tmpl w:val="D29AEC3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091E1AC"/>
    <w:multiLevelType w:val="hybridMultilevel"/>
    <w:tmpl w:val="5D378ED8"/>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3"/>
  </w:num>
  <w:num w:numId="2">
    <w:abstractNumId w:val="10"/>
  </w:num>
  <w:num w:numId="3">
    <w:abstractNumId w:val="5"/>
  </w:num>
  <w:num w:numId="4">
    <w:abstractNumId w:val="8"/>
  </w:num>
  <w:num w:numId="5">
    <w:abstractNumId w:val="4"/>
  </w:num>
  <w:num w:numId="6">
    <w:abstractNumId w:val="2"/>
  </w:num>
  <w:num w:numId="7">
    <w:abstractNumId w:val="10"/>
    <w:lvlOverride w:ilvl="0">
      <w:startOverride w:val="1"/>
    </w:lvlOverride>
  </w:num>
  <w:num w:numId="8">
    <w:abstractNumId w:val="1"/>
  </w:num>
  <w:num w:numId="9">
    <w:abstractNumId w:val="12"/>
  </w:num>
  <w:num w:numId="10">
    <w:abstractNumId w:val="7"/>
  </w:num>
  <w:num w:numId="11">
    <w:abstractNumId w:val="10"/>
    <w:lvlOverride w:ilvl="0">
      <w:startOverride w:val="1"/>
    </w:lvlOverride>
  </w:num>
  <w:num w:numId="1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0"/>
  </w:num>
  <w:num w:numId="16">
    <w:abstractNumId w:val="11"/>
  </w:num>
  <w:num w:numId="17">
    <w:abstractNumId w:val="6"/>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252A4C"/>
    <w:rsid w:val="00036039"/>
    <w:rsid w:val="00037F90"/>
    <w:rsid w:val="00054B91"/>
    <w:rsid w:val="0005500E"/>
    <w:rsid w:val="000875BF"/>
    <w:rsid w:val="00096D8C"/>
    <w:rsid w:val="000A414B"/>
    <w:rsid w:val="000B7690"/>
    <w:rsid w:val="000C0B65"/>
    <w:rsid w:val="000E05FE"/>
    <w:rsid w:val="000E3D42"/>
    <w:rsid w:val="00100482"/>
    <w:rsid w:val="00115977"/>
    <w:rsid w:val="00122BD5"/>
    <w:rsid w:val="00133F79"/>
    <w:rsid w:val="001730F8"/>
    <w:rsid w:val="00194A66"/>
    <w:rsid w:val="001B13DA"/>
    <w:rsid w:val="001D18B0"/>
    <w:rsid w:val="001D6BCF"/>
    <w:rsid w:val="001E01CA"/>
    <w:rsid w:val="001E5766"/>
    <w:rsid w:val="00230ABC"/>
    <w:rsid w:val="00243691"/>
    <w:rsid w:val="00252A4C"/>
    <w:rsid w:val="00275CF5"/>
    <w:rsid w:val="0028301F"/>
    <w:rsid w:val="00285017"/>
    <w:rsid w:val="002A2D2E"/>
    <w:rsid w:val="002B195D"/>
    <w:rsid w:val="002C00E8"/>
    <w:rsid w:val="002C0A15"/>
    <w:rsid w:val="002E75DB"/>
    <w:rsid w:val="002F30C6"/>
    <w:rsid w:val="00343749"/>
    <w:rsid w:val="003660ED"/>
    <w:rsid w:val="00377F2A"/>
    <w:rsid w:val="003B0550"/>
    <w:rsid w:val="003B694F"/>
    <w:rsid w:val="003E3F62"/>
    <w:rsid w:val="003F171C"/>
    <w:rsid w:val="0040438C"/>
    <w:rsid w:val="00410009"/>
    <w:rsid w:val="00412FC5"/>
    <w:rsid w:val="00422276"/>
    <w:rsid w:val="004242F1"/>
    <w:rsid w:val="00445A00"/>
    <w:rsid w:val="00451B0F"/>
    <w:rsid w:val="004779A2"/>
    <w:rsid w:val="004C2EE3"/>
    <w:rsid w:val="004D0465"/>
    <w:rsid w:val="004E4A22"/>
    <w:rsid w:val="004E58DD"/>
    <w:rsid w:val="00511968"/>
    <w:rsid w:val="00552B72"/>
    <w:rsid w:val="0055614C"/>
    <w:rsid w:val="005577AD"/>
    <w:rsid w:val="00562745"/>
    <w:rsid w:val="00566D06"/>
    <w:rsid w:val="00583CD7"/>
    <w:rsid w:val="00594219"/>
    <w:rsid w:val="00596AFC"/>
    <w:rsid w:val="005D5217"/>
    <w:rsid w:val="005E14C2"/>
    <w:rsid w:val="00607BA5"/>
    <w:rsid w:val="0061180A"/>
    <w:rsid w:val="00626EB6"/>
    <w:rsid w:val="00631146"/>
    <w:rsid w:val="00655D03"/>
    <w:rsid w:val="006821D5"/>
    <w:rsid w:val="00683388"/>
    <w:rsid w:val="00683F84"/>
    <w:rsid w:val="006A6A81"/>
    <w:rsid w:val="006A712A"/>
    <w:rsid w:val="006F7393"/>
    <w:rsid w:val="0070224F"/>
    <w:rsid w:val="00704B95"/>
    <w:rsid w:val="007115F7"/>
    <w:rsid w:val="00785689"/>
    <w:rsid w:val="00792066"/>
    <w:rsid w:val="0079518F"/>
    <w:rsid w:val="0079754B"/>
    <w:rsid w:val="007A1E6D"/>
    <w:rsid w:val="007B0EB2"/>
    <w:rsid w:val="007D749F"/>
    <w:rsid w:val="00810B6F"/>
    <w:rsid w:val="00820C43"/>
    <w:rsid w:val="00822CE0"/>
    <w:rsid w:val="00824C08"/>
    <w:rsid w:val="00841AB1"/>
    <w:rsid w:val="00841C45"/>
    <w:rsid w:val="008C68F1"/>
    <w:rsid w:val="009018DC"/>
    <w:rsid w:val="0090286E"/>
    <w:rsid w:val="00921803"/>
    <w:rsid w:val="00926503"/>
    <w:rsid w:val="00934012"/>
    <w:rsid w:val="00947E6A"/>
    <w:rsid w:val="009726D8"/>
    <w:rsid w:val="009738F0"/>
    <w:rsid w:val="009D7308"/>
    <w:rsid w:val="009F76DB"/>
    <w:rsid w:val="00A32C3B"/>
    <w:rsid w:val="00A45F4F"/>
    <w:rsid w:val="00A600A9"/>
    <w:rsid w:val="00A93E91"/>
    <w:rsid w:val="00AA55B7"/>
    <w:rsid w:val="00AA5B9E"/>
    <w:rsid w:val="00AB2407"/>
    <w:rsid w:val="00AB53DF"/>
    <w:rsid w:val="00AD242B"/>
    <w:rsid w:val="00AD6D65"/>
    <w:rsid w:val="00B07E5C"/>
    <w:rsid w:val="00B21E2A"/>
    <w:rsid w:val="00B65CE2"/>
    <w:rsid w:val="00B70C7C"/>
    <w:rsid w:val="00B811F7"/>
    <w:rsid w:val="00BA5DC6"/>
    <w:rsid w:val="00BA6196"/>
    <w:rsid w:val="00BB467A"/>
    <w:rsid w:val="00BC6D8C"/>
    <w:rsid w:val="00BE2510"/>
    <w:rsid w:val="00C34006"/>
    <w:rsid w:val="00C36B4C"/>
    <w:rsid w:val="00C426B1"/>
    <w:rsid w:val="00C46D3C"/>
    <w:rsid w:val="00C5560F"/>
    <w:rsid w:val="00C6107F"/>
    <w:rsid w:val="00C66160"/>
    <w:rsid w:val="00C721AC"/>
    <w:rsid w:val="00C90D6A"/>
    <w:rsid w:val="00CA247E"/>
    <w:rsid w:val="00CA6D21"/>
    <w:rsid w:val="00CB5663"/>
    <w:rsid w:val="00CC0F35"/>
    <w:rsid w:val="00CC72B6"/>
    <w:rsid w:val="00CD66E4"/>
    <w:rsid w:val="00D0218D"/>
    <w:rsid w:val="00D25FB5"/>
    <w:rsid w:val="00D44223"/>
    <w:rsid w:val="00D60B92"/>
    <w:rsid w:val="00DA2529"/>
    <w:rsid w:val="00DB130A"/>
    <w:rsid w:val="00DB2EBB"/>
    <w:rsid w:val="00DB4346"/>
    <w:rsid w:val="00DC0A54"/>
    <w:rsid w:val="00DC10A1"/>
    <w:rsid w:val="00DC655F"/>
    <w:rsid w:val="00DD0B59"/>
    <w:rsid w:val="00DD7EBD"/>
    <w:rsid w:val="00DE72D3"/>
    <w:rsid w:val="00DF62B6"/>
    <w:rsid w:val="00E07225"/>
    <w:rsid w:val="00E5409F"/>
    <w:rsid w:val="00E66161"/>
    <w:rsid w:val="00ED6163"/>
    <w:rsid w:val="00EE6488"/>
    <w:rsid w:val="00F021FA"/>
    <w:rsid w:val="00F1497E"/>
    <w:rsid w:val="00F62E97"/>
    <w:rsid w:val="00F64209"/>
    <w:rsid w:val="00F74A27"/>
    <w:rsid w:val="00F93BF5"/>
    <w:rsid w:val="00FB35E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F6FEC8B"/>
  <w15:chartTrackingRefBased/>
  <w15:docId w15:val="{41504526-09E6-4844-A3D1-FF569E00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w:uiPriority="1" w:qFormat="1"/>
    <w:lsdException w:name="Subtitle" w:qFormat="1"/>
    <w:lsdException w:name="Strong" w:uiPriority="22" w:qFormat="1"/>
    <w:lsdException w:name="Emphasis" w:uiPriority="20" w:qFormat="1"/>
    <w:lsdException w:name="Document Map" w:uiPriority="99"/>
    <w:lsdException w:name="Normal (Web)" w:uiPriority="99"/>
    <w:lsdException w:name="HTML Preformatted"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562745"/>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56274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562745"/>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562745"/>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562745"/>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link w:val="Heading5Char1"/>
    <w:qFormat/>
    <w:rsid w:val="00562745"/>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562745"/>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562745"/>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562745"/>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56274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627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2745"/>
  </w:style>
  <w:style w:type="paragraph" w:customStyle="1" w:styleId="ParaNum">
    <w:name w:val="ParaNum"/>
    <w:basedOn w:val="Normal"/>
    <w:link w:val="ParaNumChar"/>
    <w:rsid w:val="00562745"/>
    <w:pPr>
      <w:numPr>
        <w:numId w:val="2"/>
      </w:numPr>
      <w:tabs>
        <w:tab w:val="clear" w:pos="1080"/>
        <w:tab w:val="num" w:pos="1440"/>
      </w:tabs>
      <w:spacing w:after="120"/>
    </w:pPr>
  </w:style>
  <w:style w:type="paragraph" w:styleId="EndnoteText">
    <w:name w:val="endnote text"/>
    <w:basedOn w:val="Normal"/>
    <w:link w:val="EndnoteTextChar"/>
    <w:semiHidden/>
    <w:rsid w:val="00562745"/>
    <w:rPr>
      <w:sz w:val="20"/>
    </w:rPr>
  </w:style>
  <w:style w:type="character" w:styleId="EndnoteReference">
    <w:name w:val="endnote reference"/>
    <w:semiHidden/>
    <w:rsid w:val="00562745"/>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rsid w:val="00562745"/>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562745"/>
    <w:rPr>
      <w:rFonts w:ascii="Times New Roman" w:hAnsi="Times New Roman"/>
      <w:dstrike w:val="0"/>
      <w:color w:val="auto"/>
      <w:sz w:val="20"/>
      <w:vertAlign w:val="superscript"/>
    </w:rPr>
  </w:style>
  <w:style w:type="paragraph" w:styleId="TOC1">
    <w:name w:val="toc 1"/>
    <w:basedOn w:val="Normal"/>
    <w:next w:val="Normal"/>
    <w:rsid w:val="00562745"/>
    <w:pPr>
      <w:tabs>
        <w:tab w:val="left" w:pos="360"/>
        <w:tab w:val="right" w:leader="dot" w:pos="9360"/>
      </w:tabs>
      <w:suppressAutoHyphens/>
      <w:ind w:left="360" w:right="720" w:hanging="360"/>
    </w:pPr>
    <w:rPr>
      <w:caps/>
      <w:noProof/>
    </w:rPr>
  </w:style>
  <w:style w:type="paragraph" w:styleId="TOC2">
    <w:name w:val="toc 2"/>
    <w:basedOn w:val="Normal"/>
    <w:next w:val="Normal"/>
    <w:rsid w:val="00562745"/>
    <w:pPr>
      <w:tabs>
        <w:tab w:val="left" w:pos="720"/>
        <w:tab w:val="right" w:leader="dot" w:pos="9360"/>
      </w:tabs>
      <w:suppressAutoHyphens/>
      <w:ind w:left="720" w:right="720" w:hanging="360"/>
    </w:pPr>
    <w:rPr>
      <w:noProof/>
    </w:rPr>
  </w:style>
  <w:style w:type="paragraph" w:styleId="TOC3">
    <w:name w:val="toc 3"/>
    <w:basedOn w:val="Normal"/>
    <w:next w:val="Normal"/>
    <w:rsid w:val="0056274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6274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6274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6274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6274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6274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6274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62745"/>
    <w:pPr>
      <w:tabs>
        <w:tab w:val="right" w:pos="9360"/>
      </w:tabs>
      <w:suppressAutoHyphens/>
    </w:pPr>
  </w:style>
  <w:style w:type="character" w:customStyle="1" w:styleId="EquationCaption">
    <w:name w:val="_Equation Caption"/>
    <w:rsid w:val="00562745"/>
  </w:style>
  <w:style w:type="paragraph" w:styleId="Header">
    <w:name w:val="header"/>
    <w:basedOn w:val="Normal"/>
    <w:link w:val="HeaderChar"/>
    <w:autoRedefine/>
    <w:rsid w:val="00562745"/>
    <w:pPr>
      <w:tabs>
        <w:tab w:val="center" w:pos="4680"/>
        <w:tab w:val="right" w:pos="9360"/>
      </w:tabs>
    </w:pPr>
    <w:rPr>
      <w:b/>
    </w:rPr>
  </w:style>
  <w:style w:type="paragraph" w:styleId="Footer">
    <w:name w:val="footer"/>
    <w:basedOn w:val="Normal"/>
    <w:link w:val="FooterChar"/>
    <w:uiPriority w:val="99"/>
    <w:rsid w:val="00562745"/>
    <w:pPr>
      <w:tabs>
        <w:tab w:val="center" w:pos="4320"/>
        <w:tab w:val="right" w:pos="8640"/>
      </w:tabs>
    </w:pPr>
  </w:style>
  <w:style w:type="character" w:styleId="PageNumber">
    <w:name w:val="page number"/>
    <w:basedOn w:val="DefaultParagraphFont"/>
    <w:rsid w:val="00562745"/>
  </w:style>
  <w:style w:type="paragraph" w:styleId="BlockText">
    <w:name w:val="Block Text"/>
    <w:basedOn w:val="Normal"/>
    <w:rsid w:val="00562745"/>
    <w:pPr>
      <w:spacing w:after="240"/>
      <w:ind w:left="1440" w:right="1440"/>
    </w:pPr>
  </w:style>
  <w:style w:type="paragraph" w:customStyle="1" w:styleId="Paratitle">
    <w:name w:val="Para title"/>
    <w:basedOn w:val="Normal"/>
    <w:rsid w:val="00562745"/>
    <w:pPr>
      <w:tabs>
        <w:tab w:val="center" w:pos="9270"/>
      </w:tabs>
      <w:spacing w:after="240"/>
    </w:pPr>
    <w:rPr>
      <w:spacing w:val="-2"/>
    </w:rPr>
  </w:style>
  <w:style w:type="paragraph" w:customStyle="1" w:styleId="Bullet">
    <w:name w:val="Bullet"/>
    <w:basedOn w:val="Normal"/>
    <w:rsid w:val="00562745"/>
    <w:pPr>
      <w:tabs>
        <w:tab w:val="left" w:pos="2160"/>
      </w:tabs>
      <w:spacing w:after="220"/>
      <w:ind w:left="2160" w:hanging="720"/>
    </w:pPr>
  </w:style>
  <w:style w:type="paragraph" w:customStyle="1" w:styleId="TableFormat">
    <w:name w:val="TableFormat"/>
    <w:basedOn w:val="Bullet"/>
    <w:rsid w:val="00562745"/>
    <w:pPr>
      <w:tabs>
        <w:tab w:val="clear" w:pos="2160"/>
        <w:tab w:val="left" w:pos="5040"/>
      </w:tabs>
      <w:ind w:left="5040" w:hanging="3600"/>
    </w:pPr>
  </w:style>
  <w:style w:type="paragraph" w:customStyle="1" w:styleId="TOCTitle">
    <w:name w:val="TOC Title"/>
    <w:basedOn w:val="Normal"/>
    <w:rsid w:val="0056274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62745"/>
    <w:pPr>
      <w:jc w:val="center"/>
    </w:pPr>
    <w:rPr>
      <w:rFonts w:ascii="Times New Roman Bold" w:hAnsi="Times New Roman Bold"/>
      <w:b/>
      <w:bCs/>
      <w:caps/>
      <w:szCs w:val="22"/>
    </w:rPr>
  </w:style>
  <w:style w:type="character" w:styleId="Hyperlink">
    <w:name w:val="Hyperlink"/>
    <w:rsid w:val="00562745"/>
    <w:rPr>
      <w:color w:val="0000FF"/>
      <w:u w:val="single"/>
    </w:rPr>
  </w:style>
  <w:style w:type="character" w:customStyle="1" w:styleId="FooterChar">
    <w:name w:val="Footer Char"/>
    <w:link w:val="Footer"/>
    <w:uiPriority w:val="99"/>
    <w:rsid w:val="00562745"/>
    <w:rPr>
      <w:snapToGrid w:val="0"/>
      <w:kern w:val="28"/>
      <w:sz w:val="22"/>
    </w:rPr>
  </w:style>
  <w:style w:type="character" w:customStyle="1" w:styleId="Heading1Char">
    <w:name w:val="Heading 1 Char"/>
    <w:aliases w:val="Heading 1 Char Char Char Char,Heading 1 Char Char Char Char Char Char Char,Heading 1 Char Char1 Char Char,Heading 1 Char Char1 Char1,Heading 1 Char Char2 Char,Heading 1 Char1 Char Char,Heading 1 Char1 Char Char Char2 Char Char"/>
    <w:link w:val="Heading1"/>
    <w:rsid w:val="00252A4C"/>
    <w:rPr>
      <w:rFonts w:ascii="Times New Roman Bold" w:hAnsi="Times New Roman Bold"/>
      <w:b/>
      <w:caps/>
      <w:snapToGrid w:val="0"/>
      <w:kern w:val="28"/>
      <w:sz w:val="22"/>
    </w:rPr>
  </w:style>
  <w:style w:type="character" w:customStyle="1" w:styleId="Heading2Char">
    <w:name w:val="Heading 2 Char"/>
    <w:aliases w:val="Char Char,Heading 2 Char Char1 Char,Heading 2 Char Char1 Char Char Char Char,Heading 2 Char Char1 Char Char Char Char Char Char,Heading 2 Char Char3 Char Char,Heading 2 Char1 Char Char,Heading 2 Char1 Char1"/>
    <w:link w:val="Heading2"/>
    <w:rsid w:val="00252A4C"/>
    <w:rPr>
      <w:b/>
      <w:snapToGrid w:val="0"/>
      <w:kern w:val="28"/>
      <w:sz w:val="22"/>
    </w:rPr>
  </w:style>
  <w:style w:type="character" w:customStyle="1" w:styleId="Heading3Char">
    <w:name w:val="Heading 3 Char"/>
    <w:aliases w:val="1 Char Char,3 Char Char,Heading 3 Char Char Char Char Char Char,Heading 3 Char Char Char Char Char1,Heading 3 Char Char Char Char1,Heading 3 Char Char Char1,Heading 3 Char Char1 Ch Char,Heading 3 Char1 Char Char1,Heading 3 Char1 Char1"/>
    <w:link w:val="Heading3"/>
    <w:rsid w:val="00252A4C"/>
    <w:rPr>
      <w:b/>
      <w:snapToGrid w:val="0"/>
      <w:kern w:val="28"/>
      <w:sz w:val="22"/>
    </w:rPr>
  </w:style>
  <w:style w:type="character" w:customStyle="1" w:styleId="Heading4Char">
    <w:name w:val="Heading 4 Char"/>
    <w:aliases w:val="Heading 4 Char Char Char Char,Heading 4 Char Char Char1,Heading 4 Char Char1 Char,Heading 4 Char Char1 Char Ch Char,Heading 4 Char1 Char Char,Heading 4 Char1 Char1 Char,Heading 4 Char1 Char1 Char Char Char,Heading 4 Char1 Char2"/>
    <w:link w:val="Heading4"/>
    <w:rsid w:val="00252A4C"/>
    <w:rPr>
      <w:b/>
      <w:snapToGrid w:val="0"/>
      <w:kern w:val="28"/>
      <w:sz w:val="22"/>
    </w:rPr>
  </w:style>
  <w:style w:type="character" w:customStyle="1" w:styleId="Heading5Char">
    <w:name w:val="Heading 5 Char"/>
    <w:uiPriority w:val="9"/>
    <w:rsid w:val="00252A4C"/>
    <w:rPr>
      <w:rFonts w:ascii="Cambria" w:eastAsia="Times New Roman" w:hAnsi="Cambria" w:cs="Times New Roman"/>
      <w:snapToGrid w:val="0"/>
      <w:color w:val="365F91"/>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252A4C"/>
    <w:rPr>
      <w:b/>
      <w:snapToGrid w:val="0"/>
      <w:kern w:val="28"/>
      <w:sz w:val="22"/>
    </w:rPr>
  </w:style>
  <w:style w:type="character" w:customStyle="1" w:styleId="Heading7Char">
    <w:name w:val="Heading 7 Char"/>
    <w:link w:val="Heading7"/>
    <w:rsid w:val="00252A4C"/>
    <w:rPr>
      <w:b/>
      <w:snapToGrid w:val="0"/>
      <w:kern w:val="28"/>
      <w:sz w:val="22"/>
    </w:rPr>
  </w:style>
  <w:style w:type="character" w:customStyle="1" w:styleId="Heading8Char">
    <w:name w:val="Heading 8 Char"/>
    <w:link w:val="Heading8"/>
    <w:rsid w:val="00252A4C"/>
    <w:rPr>
      <w:b/>
      <w:snapToGrid w:val="0"/>
      <w:kern w:val="28"/>
      <w:sz w:val="22"/>
    </w:rPr>
  </w:style>
  <w:style w:type="character" w:customStyle="1" w:styleId="Heading9Char">
    <w:name w:val="Heading 9 Char"/>
    <w:aliases w:val="9 Char,Heading 9.table Char,Titre 9 Char,Topic Char,t Char,table Char"/>
    <w:link w:val="Heading9"/>
    <w:rsid w:val="00252A4C"/>
    <w:rPr>
      <w:b/>
      <w:snapToGrid w:val="0"/>
      <w:kern w:val="28"/>
      <w:sz w:val="22"/>
    </w:rPr>
  </w:style>
  <w:style w:type="character" w:customStyle="1" w:styleId="EndnoteTextChar">
    <w:name w:val="Endnote Text Char"/>
    <w:link w:val="EndnoteText"/>
    <w:semiHidden/>
    <w:rsid w:val="00252A4C"/>
    <w:rPr>
      <w:snapToGrid w:val="0"/>
      <w:kern w:val="28"/>
    </w:rPr>
  </w:style>
  <w:style w:type="character" w:customStyle="1" w:styleId="FootnoteTextChar">
    <w:name w:val="Footnote Text Char"/>
    <w:aliases w:val="ALTS FOOTNOTE Char1 Char,ALTS FOOTNOTE Char2,Footnote Text Char Char Char,Footnote Text Char2 Char,Footnote Text Char2 Char Char Char,Footnote Text Char2 Char1 Char1 Char Char Char,Footnote Text Char3 Char1 Char Char Char,f Char"/>
    <w:link w:val="FootnoteText"/>
    <w:rsid w:val="00252A4C"/>
  </w:style>
  <w:style w:type="character" w:customStyle="1" w:styleId="HeaderChar">
    <w:name w:val="Header Char"/>
    <w:link w:val="Header"/>
    <w:rsid w:val="00252A4C"/>
    <w:rPr>
      <w:b/>
      <w:snapToGrid w:val="0"/>
      <w:kern w:val="28"/>
      <w:sz w:val="22"/>
    </w:rPr>
  </w:style>
  <w:style w:type="character" w:styleId="CommentReference">
    <w:name w:val="annotation reference"/>
    <w:uiPriority w:val="99"/>
    <w:rsid w:val="00252A4C"/>
    <w:rPr>
      <w:sz w:val="16"/>
      <w:szCs w:val="16"/>
    </w:rPr>
  </w:style>
  <w:style w:type="paragraph" w:styleId="CommentText">
    <w:name w:val="annotation text"/>
    <w:basedOn w:val="Normal"/>
    <w:link w:val="CommentTextChar"/>
    <w:uiPriority w:val="99"/>
    <w:rsid w:val="00252A4C"/>
    <w:rPr>
      <w:snapToGrid/>
      <w:sz w:val="20"/>
    </w:rPr>
  </w:style>
  <w:style w:type="character" w:customStyle="1" w:styleId="CommentTextChar">
    <w:name w:val="Comment Text Char"/>
    <w:link w:val="CommentText"/>
    <w:uiPriority w:val="99"/>
    <w:rsid w:val="00252A4C"/>
    <w:rPr>
      <w:kern w:val="28"/>
    </w:rPr>
  </w:style>
  <w:style w:type="paragraph" w:styleId="CommentSubject">
    <w:name w:val="annotation subject"/>
    <w:basedOn w:val="CommentText"/>
    <w:next w:val="CommentText"/>
    <w:link w:val="CommentSubjectChar"/>
    <w:rsid w:val="00252A4C"/>
    <w:rPr>
      <w:b/>
      <w:bCs/>
    </w:rPr>
  </w:style>
  <w:style w:type="character" w:customStyle="1" w:styleId="CommentSubjectChar">
    <w:name w:val="Comment Subject Char"/>
    <w:link w:val="CommentSubject"/>
    <w:rsid w:val="00252A4C"/>
    <w:rPr>
      <w:b/>
      <w:bCs/>
      <w:kern w:val="28"/>
    </w:rPr>
  </w:style>
  <w:style w:type="paragraph" w:styleId="BalloonText">
    <w:name w:val="Balloon Text"/>
    <w:basedOn w:val="Normal"/>
    <w:link w:val="BalloonTextChar"/>
    <w:rsid w:val="00252A4C"/>
    <w:rPr>
      <w:rFonts w:ascii="Segoe UI" w:hAnsi="Segoe UI" w:cs="Segoe UI"/>
      <w:snapToGrid/>
      <w:sz w:val="18"/>
      <w:szCs w:val="18"/>
    </w:rPr>
  </w:style>
  <w:style w:type="character" w:customStyle="1" w:styleId="BalloonTextChar">
    <w:name w:val="Balloon Text Char"/>
    <w:link w:val="BalloonText"/>
    <w:rsid w:val="00252A4C"/>
    <w:rPr>
      <w:rFonts w:ascii="Segoe UI" w:hAnsi="Segoe UI" w:cs="Segoe UI"/>
      <w:kern w:val="28"/>
      <w:sz w:val="18"/>
      <w:szCs w:val="18"/>
    </w:rPr>
  </w:style>
  <w:style w:type="paragraph" w:styleId="ListParagraph">
    <w:name w:val="List Paragraph"/>
    <w:basedOn w:val="Normal"/>
    <w:uiPriority w:val="34"/>
    <w:qFormat/>
    <w:rsid w:val="00252A4C"/>
    <w:pPr>
      <w:ind w:left="720"/>
      <w:contextualSpacing/>
    </w:pPr>
    <w:rPr>
      <w:snapToGrid/>
    </w:rPr>
  </w:style>
  <w:style w:type="character" w:customStyle="1" w:styleId="ParaNumChar">
    <w:name w:val="ParaNum Char"/>
    <w:link w:val="ParaNum"/>
    <w:locked/>
    <w:rsid w:val="00410009"/>
    <w:rPr>
      <w:snapToGrid w:val="0"/>
      <w:kern w:val="28"/>
      <w:sz w:val="22"/>
    </w:rPr>
  </w:style>
  <w:style w:type="character" w:customStyle="1" w:styleId="ParaNumChar2">
    <w:name w:val="ParaNum Char2"/>
    <w:locked/>
    <w:rsid w:val="00252A4C"/>
    <w:rPr>
      <w:snapToGrid w:val="0"/>
      <w:kern w:val="28"/>
      <w:sz w:val="22"/>
    </w:rPr>
  </w:style>
  <w:style w:type="character" w:customStyle="1" w:styleId="ParaNumChar1">
    <w:name w:val="ParaNum Char1"/>
    <w:rsid w:val="00252A4C"/>
    <w:rPr>
      <w:snapToGrid w:val="0"/>
      <w:kern w:val="28"/>
      <w:sz w:val="22"/>
    </w:rPr>
  </w:style>
  <w:style w:type="character" w:customStyle="1" w:styleId="ALTSFOOTNOTEChar">
    <w:name w:val="ALTS FOOTNOTE Char"/>
    <w:aliases w:val="Footnote Text Char Char2 Char Char Char,Footnote Text Char1 Char,Footnote Text Char1 Char Char Char,Footnote Text Char4 Char Char Char Char Char,fn Char1"/>
    <w:rsid w:val="00252A4C"/>
  </w:style>
  <w:style w:type="paragraph" w:styleId="Revision">
    <w:name w:val="Revision"/>
    <w:hidden/>
    <w:uiPriority w:val="99"/>
    <w:semiHidden/>
    <w:rsid w:val="00252A4C"/>
    <w:rPr>
      <w:snapToGrid w:val="0"/>
      <w:kern w:val="28"/>
      <w:sz w:val="22"/>
    </w:rPr>
  </w:style>
  <w:style w:type="character" w:styleId="FollowedHyperlink">
    <w:name w:val="FollowedHyperlink"/>
    <w:rsid w:val="00252A4C"/>
    <w:rPr>
      <w:color w:val="954F72"/>
      <w:u w:val="single"/>
    </w:rPr>
  </w:style>
  <w:style w:type="paragraph" w:styleId="NormalWeb">
    <w:name w:val="Normal (Web)"/>
    <w:basedOn w:val="Normal"/>
    <w:uiPriority w:val="99"/>
    <w:unhideWhenUsed/>
    <w:rsid w:val="00252A4C"/>
    <w:rPr>
      <w:rFonts w:eastAsia="Calibri"/>
    </w:rPr>
  </w:style>
  <w:style w:type="character" w:customStyle="1" w:styleId="UnresolvedMention1">
    <w:name w:val="Unresolved Mention1"/>
    <w:uiPriority w:val="99"/>
    <w:semiHidden/>
    <w:unhideWhenUsed/>
    <w:rsid w:val="00252A4C"/>
    <w:rPr>
      <w:color w:val="808080"/>
      <w:shd w:val="clear" w:color="auto" w:fill="E6E6E6"/>
    </w:rPr>
  </w:style>
  <w:style w:type="paragraph" w:styleId="BodyText">
    <w:name w:val="Body Text"/>
    <w:basedOn w:val="Normal"/>
    <w:link w:val="BodyTextChar"/>
    <w:uiPriority w:val="1"/>
    <w:qFormat/>
    <w:rsid w:val="00252A4C"/>
    <w:pPr>
      <w:autoSpaceDE w:val="0"/>
      <w:autoSpaceDN w:val="0"/>
      <w:adjustRightInd w:val="0"/>
      <w:ind w:left="130"/>
    </w:pPr>
    <w:rPr>
      <w:szCs w:val="22"/>
    </w:rPr>
  </w:style>
  <w:style w:type="character" w:customStyle="1" w:styleId="BodyTextChar">
    <w:name w:val="Body Text Char"/>
    <w:link w:val="BodyText"/>
    <w:uiPriority w:val="1"/>
    <w:rsid w:val="00252A4C"/>
    <w:rPr>
      <w:snapToGrid w:val="0"/>
      <w:kern w:val="28"/>
      <w:sz w:val="22"/>
      <w:szCs w:val="22"/>
    </w:rPr>
  </w:style>
  <w:style w:type="character" w:customStyle="1" w:styleId="ng-binding">
    <w:name w:val="ng-binding"/>
    <w:rsid w:val="00252A4C"/>
  </w:style>
  <w:style w:type="character" w:customStyle="1" w:styleId="Heading5Char1">
    <w:name w:val="Heading 5 Char1"/>
    <w:aliases w:val="Heading 5 Char Char Char Char Char Char,Heading 5 Char Char Char1 Char,Heading 5 Char Char1 Char Char,Heading 5 Char Char2 Char,Heading 5 Char1 Char Char Char Char,Heading 5 Char1 Char Char1 Char,Heading 5 Char1 Char1 Char"/>
    <w:link w:val="Heading5"/>
    <w:rsid w:val="00252A4C"/>
    <w:rPr>
      <w:b/>
      <w:snapToGrid w:val="0"/>
      <w:kern w:val="28"/>
      <w:sz w:val="22"/>
    </w:rPr>
  </w:style>
  <w:style w:type="paragraph" w:customStyle="1" w:styleId="Default">
    <w:name w:val="Default"/>
    <w:rsid w:val="00252A4C"/>
    <w:pPr>
      <w:autoSpaceDE w:val="0"/>
      <w:autoSpaceDN w:val="0"/>
      <w:adjustRightInd w:val="0"/>
    </w:pPr>
    <w:rPr>
      <w:rFonts w:eastAsia="Calibri"/>
      <w:color w:val="000000"/>
      <w:sz w:val="24"/>
      <w:szCs w:val="24"/>
    </w:rPr>
  </w:style>
  <w:style w:type="character" w:customStyle="1" w:styleId="UnresolvedMention2">
    <w:name w:val="Unresolved Mention2"/>
    <w:uiPriority w:val="99"/>
    <w:semiHidden/>
    <w:unhideWhenUsed/>
    <w:rsid w:val="00252A4C"/>
    <w:rPr>
      <w:color w:val="808080"/>
      <w:shd w:val="clear" w:color="auto" w:fill="E6E6E6"/>
    </w:rPr>
  </w:style>
  <w:style w:type="character" w:styleId="Emphasis">
    <w:name w:val="Emphasis"/>
    <w:uiPriority w:val="20"/>
    <w:qFormat/>
    <w:rsid w:val="00252A4C"/>
    <w:rPr>
      <w:i/>
      <w:iCs/>
    </w:rPr>
  </w:style>
  <w:style w:type="character" w:customStyle="1" w:styleId="UnresolvedMention3">
    <w:name w:val="Unresolved Mention3"/>
    <w:uiPriority w:val="99"/>
    <w:rsid w:val="00252A4C"/>
    <w:rPr>
      <w:color w:val="808080"/>
      <w:shd w:val="clear" w:color="auto" w:fill="E6E6E6"/>
    </w:rPr>
  </w:style>
  <w:style w:type="character" w:customStyle="1" w:styleId="UnresolvedMention4">
    <w:name w:val="Unresolved Mention4"/>
    <w:uiPriority w:val="99"/>
    <w:rsid w:val="00252A4C"/>
    <w:rPr>
      <w:color w:val="808080"/>
      <w:shd w:val="clear" w:color="auto" w:fill="E6E6E6"/>
    </w:rPr>
  </w:style>
  <w:style w:type="paragraph" w:styleId="DocumentMap">
    <w:name w:val="Document Map"/>
    <w:basedOn w:val="Normal"/>
    <w:link w:val="DocumentMapChar"/>
    <w:uiPriority w:val="99"/>
    <w:unhideWhenUsed/>
    <w:rsid w:val="00252A4C"/>
    <w:rPr>
      <w:snapToGrid/>
    </w:rPr>
  </w:style>
  <w:style w:type="character" w:customStyle="1" w:styleId="DocumentMapChar">
    <w:name w:val="Document Map Char"/>
    <w:link w:val="DocumentMap"/>
    <w:uiPriority w:val="99"/>
    <w:rsid w:val="00252A4C"/>
    <w:rPr>
      <w:kern w:val="28"/>
      <w:sz w:val="22"/>
    </w:rPr>
  </w:style>
  <w:style w:type="table" w:styleId="TableGrid">
    <w:name w:val="Table Grid"/>
    <w:basedOn w:val="TableNormal"/>
    <w:uiPriority w:val="59"/>
    <w:rsid w:val="00252A4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uiPriority w:val="99"/>
    <w:rsid w:val="00252A4C"/>
    <w:rPr>
      <w:color w:val="808080"/>
      <w:shd w:val="clear" w:color="auto" w:fill="E6E6E6"/>
    </w:rPr>
  </w:style>
  <w:style w:type="character" w:customStyle="1" w:styleId="emphi">
    <w:name w:val="emphi"/>
    <w:rsid w:val="00252A4C"/>
  </w:style>
  <w:style w:type="character" w:customStyle="1" w:styleId="UnresolvedMention6">
    <w:name w:val="Unresolved Mention6"/>
    <w:uiPriority w:val="99"/>
    <w:rsid w:val="00252A4C"/>
    <w:rPr>
      <w:color w:val="808080"/>
      <w:shd w:val="clear" w:color="auto" w:fill="E6E6E6"/>
    </w:rPr>
  </w:style>
  <w:style w:type="character" w:customStyle="1" w:styleId="UnresolvedMention7">
    <w:name w:val="Unresolved Mention7"/>
    <w:uiPriority w:val="99"/>
    <w:rsid w:val="00252A4C"/>
    <w:rPr>
      <w:color w:val="808080"/>
      <w:shd w:val="clear" w:color="auto" w:fill="E6E6E6"/>
    </w:rPr>
  </w:style>
  <w:style w:type="paragraph" w:customStyle="1" w:styleId="psection-2">
    <w:name w:val="psection-2"/>
    <w:basedOn w:val="Normal"/>
    <w:rsid w:val="00252A4C"/>
    <w:pPr>
      <w:spacing w:before="100" w:beforeAutospacing="1" w:after="100" w:afterAutospacing="1"/>
    </w:pPr>
  </w:style>
  <w:style w:type="character" w:customStyle="1" w:styleId="enumxml">
    <w:name w:val="enumxml"/>
    <w:rsid w:val="00252A4C"/>
  </w:style>
  <w:style w:type="paragraph" w:styleId="HTMLPreformatted">
    <w:name w:val="HTML Preformatted"/>
    <w:basedOn w:val="Normal"/>
    <w:link w:val="HTMLPreformattedChar"/>
    <w:uiPriority w:val="99"/>
    <w:unhideWhenUsed/>
    <w:rsid w:val="00252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link w:val="HTMLPreformatted"/>
    <w:uiPriority w:val="99"/>
    <w:rsid w:val="00252A4C"/>
    <w:rPr>
      <w:rFonts w:ascii="Courier New" w:eastAsia="Calibri" w:hAnsi="Courier New" w:cs="Courier New"/>
      <w:snapToGrid w:val="0"/>
      <w:kern w:val="28"/>
    </w:rPr>
  </w:style>
  <w:style w:type="character" w:customStyle="1" w:styleId="cosearchterm">
    <w:name w:val="co_searchterm"/>
    <w:rsid w:val="00252A4C"/>
  </w:style>
  <w:style w:type="character" w:customStyle="1" w:styleId="copinpointicon">
    <w:name w:val="co_pinpointicon"/>
    <w:rsid w:val="00252A4C"/>
  </w:style>
  <w:style w:type="character" w:customStyle="1" w:styleId="displayhltext">
    <w:name w:val="display_hl_text"/>
    <w:rsid w:val="00252A4C"/>
  </w:style>
  <w:style w:type="character" w:customStyle="1" w:styleId="UnresolvedMention8">
    <w:name w:val="Unresolved Mention8"/>
    <w:uiPriority w:val="99"/>
    <w:rsid w:val="00252A4C"/>
    <w:rPr>
      <w:color w:val="808080"/>
      <w:shd w:val="clear" w:color="auto" w:fill="E6E6E6"/>
    </w:rPr>
  </w:style>
  <w:style w:type="character" w:customStyle="1" w:styleId="UnresolvedMention9">
    <w:name w:val="Unresolved Mention9"/>
    <w:uiPriority w:val="99"/>
    <w:rsid w:val="00252A4C"/>
    <w:rPr>
      <w:color w:val="808080"/>
      <w:shd w:val="clear" w:color="auto" w:fill="E6E6E6"/>
    </w:rPr>
  </w:style>
  <w:style w:type="character" w:customStyle="1" w:styleId="UnresolvedMention10">
    <w:name w:val="Unresolved Mention10"/>
    <w:uiPriority w:val="99"/>
    <w:rsid w:val="00252A4C"/>
    <w:rPr>
      <w:color w:val="808080"/>
      <w:shd w:val="clear" w:color="auto" w:fill="E6E6E6"/>
    </w:rPr>
  </w:style>
  <w:style w:type="character" w:customStyle="1" w:styleId="UnresolvedMention11">
    <w:name w:val="Unresolved Mention11"/>
    <w:uiPriority w:val="99"/>
    <w:rsid w:val="00252A4C"/>
    <w:rPr>
      <w:color w:val="808080"/>
      <w:shd w:val="clear" w:color="auto" w:fill="E6E6E6"/>
    </w:rPr>
  </w:style>
  <w:style w:type="character" w:customStyle="1" w:styleId="UnresolvedMention12">
    <w:name w:val="Unresolved Mention12"/>
    <w:uiPriority w:val="99"/>
    <w:unhideWhenUsed/>
    <w:rsid w:val="00252A4C"/>
    <w:rPr>
      <w:color w:val="808080"/>
      <w:shd w:val="clear" w:color="auto" w:fill="E6E6E6"/>
    </w:rPr>
  </w:style>
  <w:style w:type="character" w:customStyle="1" w:styleId="UnresolvedMention13">
    <w:name w:val="Unresolved Mention13"/>
    <w:uiPriority w:val="99"/>
    <w:semiHidden/>
    <w:unhideWhenUsed/>
    <w:rsid w:val="00252A4C"/>
    <w:rPr>
      <w:color w:val="605E5C"/>
      <w:shd w:val="clear" w:color="auto" w:fill="E1DFDD"/>
    </w:rPr>
  </w:style>
  <w:style w:type="character" w:customStyle="1" w:styleId="ParaNumCharChar1">
    <w:name w:val="ParaNum Char Char1"/>
    <w:locked/>
    <w:rsid w:val="00252A4C"/>
    <w:rPr>
      <w:snapToGrid w:val="0"/>
      <w:kern w:val="28"/>
      <w:sz w:val="22"/>
    </w:rPr>
  </w:style>
  <w:style w:type="character" w:customStyle="1" w:styleId="Footnote">
    <w:name w:val="Footnote"/>
    <w:rsid w:val="00252A4C"/>
  </w:style>
  <w:style w:type="character" w:customStyle="1" w:styleId="FootnoteTextCharCharCharChar3CharCharChar1">
    <w:name w:val="Footnote Text Char Char Char Char3 Char Char Char1"/>
    <w:aliases w:val="Footnote Text Char Char Char Char3 Char,Footnote Text Char Char3 Char,Footnote Text Char1 Char Char3 Char,Footnote Text Char1 Char Char3 Char Char Char,Footnote Text Char3 Char1"/>
    <w:rsid w:val="00252A4C"/>
    <w:rPr>
      <w:lang w:val="en-US" w:eastAsia="en-US"/>
    </w:rPr>
  </w:style>
  <w:style w:type="character" w:styleId="Strong">
    <w:name w:val="Strong"/>
    <w:uiPriority w:val="22"/>
    <w:qFormat/>
    <w:rsid w:val="00252A4C"/>
    <w:rPr>
      <w:b/>
    </w:rPr>
  </w:style>
  <w:style w:type="character" w:customStyle="1" w:styleId="FootnoteTextChar4">
    <w:name w:val="Footnote Text Char4"/>
    <w:aliases w:val="Footnote Text Char Char Char Char Char Char4,Footnote Text Char Char4 Char3,Footnote Text Char1 Char Char Char Char Char Char1,Footnote Text Char1 Char1 Char Char Char4,Footnote Text Char2 Char Char Char3,Footnote Text Char2 Char3"/>
    <w:rsid w:val="00252A4C"/>
    <w:rPr>
      <w:rFonts w:cs="Times New Roman"/>
      <w:lang w:val="en-US" w:eastAsia="en-US" w:bidi="ar-SA"/>
    </w:rPr>
  </w:style>
  <w:style w:type="character" w:customStyle="1" w:styleId="documentbody1">
    <w:name w:val="documentbody1"/>
    <w:rsid w:val="00252A4C"/>
    <w:rPr>
      <w:rFonts w:ascii="Verdana" w:hAnsi="Verdana" w:hint="default"/>
      <w:sz w:val="19"/>
      <w:szCs w:val="19"/>
      <w:shd w:val="clear" w:color="auto" w:fill="FFFFFF"/>
    </w:rPr>
  </w:style>
  <w:style w:type="character" w:customStyle="1" w:styleId="normaltextrun">
    <w:name w:val="normaltextrun"/>
    <w:rsid w:val="00252A4C"/>
  </w:style>
  <w:style w:type="character" w:customStyle="1" w:styleId="UnresolvedMention130">
    <w:name w:val="Unresolved Mention13_0"/>
    <w:uiPriority w:val="99"/>
    <w:semiHidden/>
    <w:unhideWhenUsed/>
    <w:rsid w:val="00252A4C"/>
    <w:rPr>
      <w:color w:val="605E5C"/>
      <w:shd w:val="clear" w:color="auto" w:fill="E1DFDD"/>
    </w:rPr>
  </w:style>
  <w:style w:type="character" w:customStyle="1" w:styleId="scxw79849468">
    <w:name w:val="scxw79849468"/>
    <w:rsid w:val="00252A4C"/>
  </w:style>
  <w:style w:type="character" w:customStyle="1" w:styleId="eop">
    <w:name w:val="eop"/>
    <w:rsid w:val="00252A4C"/>
  </w:style>
  <w:style w:type="paragraph" w:customStyle="1" w:styleId="NormalBold">
    <w:name w:val="Normal + Bold"/>
    <w:aliases w:val="After:  6 pt"/>
    <w:basedOn w:val="Normal"/>
    <w:rsid w:val="00252A4C"/>
    <w:rPr>
      <w:b/>
    </w:rPr>
  </w:style>
  <w:style w:type="paragraph" w:styleId="TOCHeading">
    <w:name w:val="TOC Heading"/>
    <w:basedOn w:val="Heading1"/>
    <w:next w:val="Normal"/>
    <w:uiPriority w:val="39"/>
    <w:unhideWhenUsed/>
    <w:qFormat/>
    <w:rsid w:val="00252A4C"/>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F5496"/>
      <w:kern w:val="0"/>
      <w:sz w:val="32"/>
      <w:szCs w:val="32"/>
    </w:rPr>
  </w:style>
  <w:style w:type="character" w:styleId="LineNumber">
    <w:name w:val="line number"/>
    <w:rsid w:val="00252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header" Target="header5.xml" /><Relationship Id="rId19" Type="http://schemas.openxmlformats.org/officeDocument/2006/relationships/footer" Target="footer6.xml" /><Relationship Id="rId2" Type="http://schemas.openxmlformats.org/officeDocument/2006/relationships/settings" Target="settings.xml" /><Relationship Id="rId20" Type="http://schemas.openxmlformats.org/officeDocument/2006/relationships/header" Target="header6.xml" /><Relationship Id="rId21" Type="http://schemas.openxmlformats.org/officeDocument/2006/relationships/footer" Target="footer7.xml" /><Relationship Id="rId22" Type="http://schemas.openxmlformats.org/officeDocument/2006/relationships/footer" Target="footer8.xml" /><Relationship Id="rId23" Type="http://schemas.openxmlformats.org/officeDocument/2006/relationships/header" Target="header7.xml" /><Relationship Id="rId24" Type="http://schemas.openxmlformats.org/officeDocument/2006/relationships/footer" Target="footer9.xml" /><Relationship Id="rId25" Type="http://schemas.openxmlformats.org/officeDocument/2006/relationships/header" Target="header8.xml" /><Relationship Id="rId26" Type="http://schemas.openxmlformats.org/officeDocument/2006/relationships/footer" Target="footer10.xml" /><Relationship Id="rId27" Type="http://schemas.openxmlformats.org/officeDocument/2006/relationships/footer" Target="footer11.xml" /><Relationship Id="rId28" Type="http://schemas.openxmlformats.org/officeDocument/2006/relationships/header" Target="header9.xml" /><Relationship Id="rId29" Type="http://schemas.openxmlformats.org/officeDocument/2006/relationships/footer" Target="footer12.xml" /><Relationship Id="rId3" Type="http://schemas.openxmlformats.org/officeDocument/2006/relationships/webSettings" Target="webSettings.xml" /><Relationship Id="rId30" Type="http://schemas.openxmlformats.org/officeDocument/2006/relationships/hyperlink" Target="mailto:broadbandfail@fcc.gov" TargetMode="Externa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Kirk.Burgee@fcc.gov" TargetMode="External" /><Relationship Id="rId8" Type="http://schemas.openxmlformats.org/officeDocument/2006/relationships/hyperlink" Target="mailto:Garnet.Hanly@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DOC-355447A1.pdf" TargetMode="External" /><Relationship Id="rId10" Type="http://schemas.openxmlformats.org/officeDocument/2006/relationships/hyperlink" Target="https://www.fcc.gov/wireless/systems-utilities/universal-licensing-system" TargetMode="External" /><Relationship Id="rId100" Type="http://schemas.openxmlformats.org/officeDocument/2006/relationships/hyperlink" Target="https://factfinder.census.gov/bkmk/table/1.0/en/ECN/2012_US/51SSSZ4/naics~515210" TargetMode="External" /><Relationship Id="rId101" Type="http://schemas.openxmlformats.org/officeDocument/2006/relationships/hyperlink" Target="https://fccoffice-my.sharepoint.com/personal/michael_ray_fcc_gov/Documents/www.fcc.gov/coals" TargetMode="External" /><Relationship Id="rId102" Type="http://schemas.openxmlformats.org/officeDocument/2006/relationships/hyperlink" Target="https://platform.spgi.spglobal.com/web/client?auth=inherit&amp;bmctx=1305DE25F219961752D2443C2563A499&amp;contextType=external&amp;username=string&amp;enablePersistentLogin=true&amp;OverrideRetryLimit=0&amp;SwitchGetToPostLimit=50000&amp;contextValue=%2Foam&amp;password=secure_string&amp;challenge_url=https%3A%2F%2Fplatform.spgi.spglobal.com%2Fweb%2Fclient%3Fauth%3Dinherit&amp;request_id=-7827818824734432167&amp;authn_try_count=0&amp;locale=en_US&amp;resource_url=https%253A%252F%252Fwww.snl.com%252FInteractiveX%252Fdefault.aspx%253FReturnURL%253D%25252fInteractivex%25252fTopCableMSOs.aspx%2526" TargetMode="External" /><Relationship Id="rId103" Type="http://schemas.openxmlformats.org/officeDocument/2006/relationships/hyperlink" Target="https://www.naics.com/naics-code-description/?code=517919" TargetMode="External" /><Relationship Id="rId104" Type="http://schemas.openxmlformats.org/officeDocument/2006/relationships/hyperlink" Target="http://factfinder.census.gov/faces/tableservices/jsf/pages/productview.xhtml?%20pid=ECN_2012_US_51SSSZ4&amp;prodType=table" TargetMode="External" /><Relationship Id="rId11" Type="http://schemas.openxmlformats.org/officeDocument/2006/relationships/hyperlink" Target="https://www.fiercewireless.com/wireless/exclusive-spectrum-bands-carrying-most-data-broken-down-by-carrier" TargetMode="External" /><Relationship Id="rId12" Type="http://schemas.openxmlformats.org/officeDocument/2006/relationships/hyperlink" Target="https://www.fiercewireless.com/5g/sprint-turns-true-mobile-5g-using-massive-mimo-and-endc" TargetMode="External" /><Relationship Id="rId13" Type="http://schemas.openxmlformats.org/officeDocument/2006/relationships/hyperlink" Target="https://www.theverge.com/2019/4/3/18293773/verizon-5g-wireless-network-rollout-chicago-minneapolis" TargetMode="External" /><Relationship Id="rId14" Type="http://schemas.openxmlformats.org/officeDocument/2006/relationships/hyperlink" Target="https://www.lightreading.com/5g-in-the-usa-more-mobile-steps/d/d-id/751436" TargetMode="External" /><Relationship Id="rId15" Type="http://schemas.openxmlformats.org/officeDocument/2006/relationships/hyperlink" Target="https://www.3gpp.org/about-3gpp" TargetMode="External" /><Relationship Id="rId16" Type="http://schemas.openxmlformats.org/officeDocument/2006/relationships/hyperlink" Target="https://www.itu.int/dms_pubrec/itu-r/rec/m/R-REC-M.2083-0-201509-I!!PDF-E.pdf" TargetMode="External" /><Relationship Id="rId17" Type="http://schemas.openxmlformats.org/officeDocument/2006/relationships/hyperlink" Target="https://www.3gpp.org/release-15" TargetMode="External" /><Relationship Id="rId18" Type="http://schemas.openxmlformats.org/officeDocument/2006/relationships/hyperlink" Target="https://spectrum.ieee.org/telecom/wireless/3gpp-release-15-overview" TargetMode="External" /><Relationship Id="rId19" Type="http://schemas.openxmlformats.org/officeDocument/2006/relationships/hyperlink" Target="https://www.3gpp.org/specifications/releases/72-release-8" TargetMode="External" /><Relationship Id="rId2" Type="http://schemas.openxmlformats.org/officeDocument/2006/relationships/hyperlink" Target="https://transition.fcc.gov/form477/477inst.pdf" TargetMode="External" /><Relationship Id="rId20" Type="http://schemas.openxmlformats.org/officeDocument/2006/relationships/hyperlink" Target="https://www.3gpp.org/specifications/releases/71-release-9" TargetMode="External" /><Relationship Id="rId21" Type="http://schemas.openxmlformats.org/officeDocument/2006/relationships/hyperlink" Target="https://www.3gpp.org/specifications/releases/70-release-10" TargetMode="External" /><Relationship Id="rId22" Type="http://schemas.openxmlformats.org/officeDocument/2006/relationships/hyperlink" Target="https://www.3gpp.org/specifications/releases/69-release-11" TargetMode="External" /><Relationship Id="rId23" Type="http://schemas.openxmlformats.org/officeDocument/2006/relationships/hyperlink" Target="https://www.3gpp.org/specifications/releases/68-release-12" TargetMode="External" /><Relationship Id="rId24" Type="http://schemas.openxmlformats.org/officeDocument/2006/relationships/hyperlink" Target="https://www.3gpp.org/release-13" TargetMode="External" /><Relationship Id="rId25" Type="http://schemas.openxmlformats.org/officeDocument/2006/relationships/hyperlink" Target="https://www.3gpp.org/release-14" TargetMode="External" /><Relationship Id="rId26" Type="http://schemas.openxmlformats.org/officeDocument/2006/relationships/hyperlink" Target="https://arstechnica.com/uncategorized/2008/02/can-you-hear-me-now-analog-cellular-networks-shutting-down-next-week/" TargetMode="External" /><Relationship Id="rId27" Type="http://schemas.openxmlformats.org/officeDocument/2006/relationships/hyperlink" Target="https://www.rcrwireless.com/20160331/network-infrastructure/today-last-day-sprint-wimax-service-tag17" TargetMode="External" /><Relationship Id="rId28" Type="http://schemas.openxmlformats.org/officeDocument/2006/relationships/hyperlink" Target="https://www.fiercewireless.com/wireless/verizon-stops-activating-cdma-3g-devices-as-network-shutdown-looms" TargetMode="External" /><Relationship Id="rId29" Type="http://schemas.openxmlformats.org/officeDocument/2006/relationships/hyperlink" Target="https://www.wsj.com/articles/at-t-gives-3g-service-three-years-to-live-11550765221" TargetMode="External" /><Relationship Id="rId3" Type="http://schemas.openxmlformats.org/officeDocument/2006/relationships/hyperlink" Target="https://broadbandsearch.sc.egov.usda.gov/bsa/servlet/resources/BSAHelp.pdf" TargetMode="External" /><Relationship Id="rId30" Type="http://schemas.openxmlformats.org/officeDocument/2006/relationships/hyperlink" Target="https://www.verizonwireless.com/support/knowledge-base-218813/" TargetMode="External" /><Relationship Id="rId31" Type="http://schemas.openxmlformats.org/officeDocument/2006/relationships/hyperlink" Target="https://transition.fcc.gov/form477/MVD/formatting_mvd.pdf" TargetMode="External" /><Relationship Id="rId32" Type="http://schemas.openxmlformats.org/officeDocument/2006/relationships/hyperlink" Target="http://www.ciobulletin.com/telecom/sprint-launches-volte" TargetMode="External" /><Relationship Id="rId33" Type="http://schemas.openxmlformats.org/officeDocument/2006/relationships/hyperlink" Target="https://data.fcc.gov/download/measuring-broadband-america/2018/2018-Fixed-Measuring-Broadband-America-Report.pdf" TargetMode="External" /><Relationship Id="rId34" Type="http://schemas.openxmlformats.org/officeDocument/2006/relationships/hyperlink" Target="https://consumercomplaints.fcc.gov/hc/en-us" TargetMode="External" /><Relationship Id="rId35" Type="http://schemas.openxmlformats.org/officeDocument/2006/relationships/hyperlink" Target="https://docs.fcc.gov/public/attachments/DOC-357269A1.pdf" TargetMode="External" /><Relationship Id="rId36" Type="http://schemas.openxmlformats.org/officeDocument/2006/relationships/hyperlink" Target="https://1.next.westlaw.com/Link/Document/FullText?findType=Y&amp;serNum=2026548225&amp;pubNum=0004493&amp;originatingDoc=I3f13db7d88aa11e280719c3f0e80bdd0&amp;refType=CA&amp;originationContext=document&amp;transitionType=DocumentItem&amp;contextData=(sc.Search)" TargetMode="External" /><Relationship Id="rId37" Type="http://schemas.openxmlformats.org/officeDocument/2006/relationships/hyperlink" Target="https://ecfsapi.fcc.gov/file/60001041943.pdf" TargetMode="External" /><Relationship Id="rId38" Type="http://schemas.openxmlformats.org/officeDocument/2006/relationships/hyperlink" Target="https://www.census.gov/housing/hvs/definitions.pdf" TargetMode="External" /><Relationship Id="rId39" Type="http://schemas.openxmlformats.org/officeDocument/2006/relationships/hyperlink" Target="https://www.census.gov/ec17faqs%23par_textimage_0" TargetMode="External" /><Relationship Id="rId4" Type="http://schemas.openxmlformats.org/officeDocument/2006/relationships/hyperlink" Target="https://www.usac.org/hc/annual-requirements/hubb.aspx" TargetMode="External" /><Relationship Id="rId40" Type="http://schemas.openxmlformats.org/officeDocument/2006/relationships/hyperlink" Target="https://www.census.gov/data/tables/time-series/demo/popest/2010s-total-housing-units.html" TargetMode="External" /><Relationship Id="rId41" Type="http://schemas.openxmlformats.org/officeDocument/2006/relationships/hyperlink" Target="https://www.transportation.gov/gis/national-address-database/national-address-database-0" TargetMode="External" /><Relationship Id="rId42" Type="http://schemas.openxmlformats.org/officeDocument/2006/relationships/hyperlink" Target="https://openaddresses.io/" TargetMode="External" /><Relationship Id="rId43" Type="http://schemas.openxmlformats.org/officeDocument/2006/relationships/hyperlink" Target="https://www.techopedia.com/definition/12809/geocoding" TargetMode="External" /><Relationship Id="rId44" Type="http://schemas.openxmlformats.org/officeDocument/2006/relationships/hyperlink" Target="https://www.ofcom.org.uk/consultations-and-statements/category-2/coverage-obligations-in-the-700-mhz-and-3.6-3.8-ghz-spectrum-award" TargetMode="External" /><Relationship Id="rId45" Type="http://schemas.openxmlformats.org/officeDocument/2006/relationships/hyperlink" Target="http://desktop.arcgis.com/en/arcmap/10.3/manage-data/geodatabases/raster-basics.htm" TargetMode="External" /><Relationship Id="rId46" Type="http://schemas.openxmlformats.org/officeDocument/2006/relationships/hyperlink" Target="https://gisgeography.com/spatial-data-types-vector-raster/" TargetMode="External" /><Relationship Id="rId47" Type="http://schemas.openxmlformats.org/officeDocument/2006/relationships/hyperlink" Target="http://support.pitneybowes.com/SearchArticles/VFP05_KnowledgeWithSidebarHowTo?id=kA180000000Cu9DCAS&amp;popup=false;&amp;lang=en_US" TargetMode="External" /><Relationship Id="rId48" Type="http://schemas.openxmlformats.org/officeDocument/2006/relationships/hyperlink" Target="https://www.nielsen.com/us/en/solutions/capabilities/nielsen-mobile-performance/%20" TargetMode="External" /><Relationship Id="rId49" Type="http://schemas.openxmlformats.org/officeDocument/2006/relationships/hyperlink" Target="https://www.mosaik.com/network-experience-solutions/network-qoe/" TargetMode="External" /><Relationship Id="rId5" Type="http://schemas.openxmlformats.org/officeDocument/2006/relationships/hyperlink" Target="https://data.usac.org/publicreports/caf-map/" TargetMode="External" /><Relationship Id="rId50" Type="http://schemas.openxmlformats.org/officeDocument/2006/relationships/hyperlink" Target="http://www.speedtest.net/mobile/" TargetMode="External" /><Relationship Id="rId51" Type="http://schemas.openxmlformats.org/officeDocument/2006/relationships/hyperlink" Target="https://www.speedtest.net/insights/blog/testing-methods-sampling/" TargetMode="External" /><Relationship Id="rId52" Type="http://schemas.openxmlformats.org/officeDocument/2006/relationships/hyperlink" Target="https://www.opensignal.com/apps" TargetMode="External" /><Relationship Id="rId53" Type="http://schemas.openxmlformats.org/officeDocument/2006/relationships/hyperlink" Target="http://rootmetrics.com/en-US/methodology" TargetMode="External" /><Relationship Id="rId54" Type="http://schemas.openxmlformats.org/officeDocument/2006/relationships/hyperlink" Target="https://enterpriseiotinsights.com/20170906/news/AT%26T-drones-tag4" TargetMode="External" /><Relationship Id="rId55" Type="http://schemas.openxmlformats.org/officeDocument/2006/relationships/hyperlink" Target="https://dronelife.com/2018/11/06/what-exactly-can-drone-geospatial-data-do-disaster-response-to-hurricane-michael-provides-a-demonstration/" TargetMode="External" /><Relationship Id="rId56" Type="http://schemas.openxmlformats.org/officeDocument/2006/relationships/hyperlink" Target="https://www.digitaltrends.com/cool-tech/drones-with-super-long-flight-times/" TargetMode="External" /><Relationship Id="rId57" Type="http://schemas.openxmlformats.org/officeDocument/2006/relationships/hyperlink" Target="https://webcache.googleusercontent.com/search?q=cache:h5ChdsOj7bYJ:https://www.usac.org/_res/documents/about/pdf/rfp/RFP-Puerto-Rico-USVI-Mobile-Assessment.pdf+&amp;cd=1&amp;hl=en&amp;ct=clnk&amp;gl=us" TargetMode="External" /><Relationship Id="rId58" Type="http://schemas.openxmlformats.org/officeDocument/2006/relationships/hyperlink" Target="https://www.qualcomm.com/news/onq/2017/05/03/qualcomm-technologies-releases-lte-drone-trial-results" TargetMode="External" /><Relationship Id="rId59" Type="http://schemas.openxmlformats.org/officeDocument/2006/relationships/hyperlink" Target="https://www.ericsson.com/en/blog/2019/1/drones-and-networks-mobility-support" TargetMode="External" /><Relationship Id="rId6" Type="http://schemas.openxmlformats.org/officeDocument/2006/relationships/hyperlink" Target="https://www.usac.org/hc/tools/hubb/caf-verification.aspx" TargetMode="External" /><Relationship Id="rId60" Type="http://schemas.openxmlformats.org/officeDocument/2006/relationships/hyperlink" Target="https://thewiredshopper.com/top-5-latest-technology-drone/" TargetMode="External" /><Relationship Id="rId61" Type="http://schemas.openxmlformats.org/officeDocument/2006/relationships/hyperlink" Target="https://www.soapboxmedia.com/features/06031-uc-drone-technology.aspx" TargetMode="External" /><Relationship Id="rId62" Type="http://schemas.openxmlformats.org/officeDocument/2006/relationships/hyperlink" Target="https://www.forbes.com/sites/colinsnow/2019/01/07/seven-trends-that-will-shape-the-commercial-drone-industry-in-2019/" TargetMode="External" /><Relationship Id="rId63" Type="http://schemas.openxmlformats.org/officeDocument/2006/relationships/hyperlink" Target="https://thenextweb.com/contributors/2018/02/04/4-ways-drone-scene-will-change-2018/" TargetMode="External" /><Relationship Id="rId64" Type="http://schemas.openxmlformats.org/officeDocument/2006/relationships/hyperlink" Target="https://www.fcc.gov/mobile-deployment-form-477-data" TargetMode="External" /><Relationship Id="rId65" Type="http://schemas.openxmlformats.org/officeDocument/2006/relationships/hyperlink" Target="https://www.fcc.gov/reports-research/maps/lte-coverage-number-providers-ye-2017" TargetMode="External" /><Relationship Id="rId66" Type="http://schemas.openxmlformats.org/officeDocument/2006/relationships/hyperlink" Target="https://www.fcc.gov/reports-research/maps/nationwide-mobile-wireless-coverage-ye-2017/" TargetMode="External" /><Relationship Id="rId67" Type="http://schemas.openxmlformats.org/officeDocument/2006/relationships/hyperlink" Target="https://www.wisegeek.com/what-is-a-gis-shapefile.htm" TargetMode="External" /><Relationship Id="rId68" Type="http://schemas.openxmlformats.org/officeDocument/2006/relationships/hyperlink" Target="https://www.sba.gov/sites/default/files/advocacy/SB-FAQ-2016_WEB.pdf" TargetMode="External" /><Relationship Id="rId69" Type="http://schemas.openxmlformats.org/officeDocument/2006/relationships/hyperlink" Target="http://nccs.urban.org/sites/all/nccs-archive/html/tablewiz/tw.php" TargetMode="External" /><Relationship Id="rId7" Type="http://schemas.openxmlformats.org/officeDocument/2006/relationships/hyperlink" Target="https://www.usac.org/_res/documents/about/pdf/annual-reports/usac-annual-report-2018.pdf" TargetMode="External" /><Relationship Id="rId70" Type="http://schemas.openxmlformats.org/officeDocument/2006/relationships/hyperlink" Target="http://www2.census.gov/library/publications/2011/compendia/statab/131ed/2012-statab.pdf" TargetMode="External" /><Relationship Id="rId71" Type="http://schemas.openxmlformats.org/officeDocument/2006/relationships/hyperlink" Target="https://www.census.gov/data/tables/time-series/demo/popest/2010s-total-cities-and-towns.html" TargetMode="External" /><Relationship Id="rId72" Type="http://schemas.openxmlformats.org/officeDocument/2006/relationships/hyperlink" Target="https://www.census.gov/cgi-bin/sssd/naics/naicsrch?code=517311&amp;search=2017" TargetMode="External" /><Relationship Id="rId73" Type="http://schemas.openxmlformats.org/officeDocument/2006/relationships/hyperlink" Target="https://factfinder.census.gov/faces/tableservices/jsf/pages/productview.xhtml?pid=ECN_2012_US_22SSSZ2&amp;prodType=table" TargetMode="External" /><Relationship Id="rId74" Type="http://schemas.openxmlformats.org/officeDocument/2006/relationships/hyperlink" Target="https://factfinder.census.gov/faces/tableservices/jsf/pages/productview.xhtml?src=bkmk" TargetMode="External" /><Relationship Id="rId75" Type="http://schemas.openxmlformats.org/officeDocument/2006/relationships/hyperlink" Target="https://factfinder.census.gov/bkmk/table/1.0/en/ECN/2012_US/51SSSZ5/naics~517110" TargetMode="External" /><Relationship Id="rId76" Type="http://schemas.openxmlformats.org/officeDocument/2006/relationships/hyperlink" Target="https://factfinder.census.gov/faces/affhelp/jsf/pages/metadata.xhtml?lang=en&amp;type=ib&amp;id=ib.en./ECN.NAICS2012.517210" TargetMode="External" /><Relationship Id="rId77" Type="http://schemas.openxmlformats.org/officeDocument/2006/relationships/hyperlink" Target="https://factfinder.census.gov/bkmk/table/1.0/en/ECN/2012_US/51SSSZ5//naics~517210" TargetMode="External" /><Relationship Id="rId78" Type="http://schemas.openxmlformats.org/officeDocument/2006/relationships/hyperlink" Target="https://ecfsapi.fcc.gov/file/6006142119.pdf%20" TargetMode="External" /><Relationship Id="rId79" Type="http://schemas.openxmlformats.org/officeDocument/2006/relationships/hyperlink" Target="http://www.census.gov/cgi-bin/sssd/naics/naicsrch?code=517311&amp;search=20171" TargetMode="External" /><Relationship Id="rId8" Type="http://schemas.openxmlformats.org/officeDocument/2006/relationships/hyperlink" Target="https://ecfsapi.fcc.gov/file/10624097909042/Copy%20of%20PC%2025_3%20Unserved%20Rural%20HU%20Analysis_061919_PUBLIC_1%20(004).pdf" TargetMode="External" /><Relationship Id="rId80" Type="http://schemas.openxmlformats.org/officeDocument/2006/relationships/hyperlink" Target="https://www.census.gov/cgi-bin/sssd/naics/naicsrch?input=517311&amp;search=2017+NAICS+Search&amp;search=2017" TargetMode="External" /><Relationship Id="rId81" Type="http://schemas.openxmlformats.org/officeDocument/2006/relationships/hyperlink" Target="https://www.census.gov/cgi-bin/sssd/naics/naicsrch?input=517410&amp;search=2017+NAICS+Search&amp;search=2017" TargetMode="External" /><Relationship Id="rId82" Type="http://schemas.openxmlformats.org/officeDocument/2006/relationships/hyperlink" Target="http://factfinder.census.gov/faces/tableservices/jsf/pages/productview.xhtml?pid=ECN_2012_US_51SSSZ4&amp;prodType=table" TargetMode="External" /><Relationship Id="rId83" Type="http://schemas.openxmlformats.org/officeDocument/2006/relationships/hyperlink" Target="https://www.census.gov/cgi-bin/sssd/naics/naicsrch?input=517919&amp;search=2017+NAICS+Search&amp;search=2017" TargetMode="External" /><Relationship Id="rId84" Type="http://schemas.openxmlformats.org/officeDocument/2006/relationships/hyperlink" Target="https://factfinder.census.gov/bkmk/table/1.0/en/ECN/2012_US/51SSSZ4//naics~517919" TargetMode="External" /><Relationship Id="rId85" Type="http://schemas.openxmlformats.org/officeDocument/2006/relationships/hyperlink" Target="https://factfinder.census.gov/faces/affhelp/jsf/pages/metadata.xhtml?lang=en&amp;type=ib&amp;id=ib.en./ECN.NAICS2012.515210" TargetMode="External" /><Relationship Id="rId86" Type="http://schemas.openxmlformats.org/officeDocument/2006/relationships/hyperlink" Target="https://factfinder.census.gov/bkmk/table/1.0/en/ECN/2012_US/51SSSZ4//naics~515210" TargetMode="External" /><Relationship Id="rId87" Type="http://schemas.openxmlformats.org/officeDocument/2006/relationships/hyperlink" Target="https://apps.fcc.gov/coals/" TargetMode="External" /><Relationship Id="rId88" Type="http://schemas.openxmlformats.org/officeDocument/2006/relationships/hyperlink" Target="http://www.snl.com/interactivex/MultichannelIndustryBenchmarks.aspx" TargetMode="External" /><Relationship Id="rId89" Type="http://schemas.openxmlformats.org/officeDocument/2006/relationships/hyperlink" Target="http://www.snl.com/interactivex/TopCable%20MSOs.aspx" TargetMode="External" /><Relationship Id="rId9" Type="http://schemas.openxmlformats.org/officeDocument/2006/relationships/hyperlink" Target="https://www.fcc.gov/general/mobile-broadband-deployment-data-provider-form-477" TargetMode="External" /><Relationship Id="rId90" Type="http://schemas.openxmlformats.org/officeDocument/2006/relationships/hyperlink" Target="http://www.census.gov/cgi-bin/ssssd/naics/naicsrch" TargetMode="External" /><Relationship Id="rId91" Type="http://schemas.openxmlformats.org/officeDocument/2006/relationships/hyperlink" Target="http://nccs.urban.org/sites/all/nccs-archive/html//tablewiz/tw.php" TargetMode="External" /><Relationship Id="rId92" Type="http://schemas.openxmlformats.org/officeDocument/2006/relationships/hyperlink" Target="https://factfinder.census.gov/faces/affhelp/jsf/pages/metadata.xhtml?lang=en&amp;type=program&amp;id=program.en.COG" TargetMode="External" /><Relationship Id="rId93" Type="http://schemas.openxmlformats.org/officeDocument/2006/relationships/hyperlink" Target="https://factfinder.census.gov/bkmk/table/1.0/en/COG/2012/ORG02.US01" TargetMode="External" /><Relationship Id="rId94" Type="http://schemas.openxmlformats.org/officeDocument/2006/relationships/hyperlink" Target="https://factfinder.census.gov/bkmk/table/1.0/en/ECN/2012_US/51SSSZ4/naics~517919" TargetMode="External" /><Relationship Id="rId95" Type="http://schemas.openxmlformats.org/officeDocument/2006/relationships/hyperlink" Target="https://www.wispa.org/About-Us/Mission-and-Goals" TargetMode="External" /><Relationship Id="rId96" Type="http://schemas.openxmlformats.org/officeDocument/2006/relationships/hyperlink" Target="https://www.census.gov/cgi-bin/sssd/naics/naicsrch?code=517110&amp;search=2012" TargetMode="External" /><Relationship Id="rId97" Type="http://schemas.openxmlformats.org/officeDocument/2006/relationships/hyperlink" Target="http://www.census.gov/naics/2007/def/ND517410.HTM" TargetMode="External" /><Relationship Id="rId98" Type="http://schemas.openxmlformats.org/officeDocument/2006/relationships/hyperlink" Target="https://factfinder.census.gov/bkmk/table/1.0/en/ECN/2012_US/51SSSZ4//naics~517410" TargetMode="External" /><Relationship Id="rId99" Type="http://schemas.openxmlformats.org/officeDocument/2006/relationships/hyperlink" Target="https://factfinder.census.gov/faces/affhelp/jsf/pages/metadata.xhtml?lang=en&amp;type=ib&amp;id=ib.en./ECN.NAICS2012.515210%23"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