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47FE1" w:rsidP="00934012">
      <w:pPr>
        <w:jc w:val="center"/>
        <w:rPr>
          <w:b/>
          <w:bCs/>
          <w:caps/>
          <w:szCs w:val="22"/>
        </w:rPr>
      </w:pPr>
      <w:r w:rsidRPr="00282E3B">
        <w:rPr>
          <w:b/>
          <w:bCs/>
          <w:caps/>
          <w:szCs w:val="22"/>
        </w:rPr>
        <w:t>COMMISSIONER MICHAEL O’RIELLY</w:t>
      </w:r>
    </w:p>
    <w:p w:rsidR="00282E3B"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421C65"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A83604" w:rsidRPr="00A83604" w:rsidP="00A83604">
      <w:pPr>
        <w:widowControl/>
        <w:ind w:firstLine="720"/>
        <w:rPr>
          <w:szCs w:val="22"/>
        </w:rPr>
      </w:pPr>
      <w:r w:rsidRPr="00A83604">
        <w:rPr>
          <w:szCs w:val="22"/>
        </w:rPr>
        <w:t xml:space="preserve">As I’ve stated many times since we began the media modernization effort, the video marketplace is changing dramatically, and each step we have taken to </w:t>
      </w:r>
      <w:r w:rsidRPr="00A83604">
        <w:rPr>
          <w:szCs w:val="22"/>
        </w:rPr>
        <w:t>update anachronistic and clunky regulations makes it slightly easier for regulated industries to compete with their unregulated competitors.  Though much work remains, I look forward to continuing the effort.  At the same time, and as we see in the backgro</w:t>
      </w:r>
      <w:r w:rsidRPr="00A83604">
        <w:rPr>
          <w:szCs w:val="22"/>
        </w:rPr>
        <w:t>und of today’s item, it is unsurprising that other stakeholders, such as franchise authorities, also feel their own pressures due to the changing market dynamics, whether budgetary or political.  They too seek ways to either continue their past practices u</w:t>
      </w:r>
      <w:r w:rsidRPr="00A83604">
        <w:rPr>
          <w:szCs w:val="22"/>
        </w:rPr>
        <w:t>nabated or seek ways to maximize returns on their regulatory roles.  However, Title VI of the Communications Act places important restraints on their reach, and unauthorized expansion of the statute is flatly wrong and must be held in check.  The courts ha</w:t>
      </w:r>
      <w:r w:rsidRPr="00A83604">
        <w:rPr>
          <w:szCs w:val="22"/>
        </w:rPr>
        <w:t xml:space="preserve">ve agreed, and I am pleased that today we make strides toward answering the Sixth Circuit, by addressing three main areas raised in or affected by its remand.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First, the Order rightly counts cable-related “in-kind” contributions against the statutory cap</w:t>
      </w:r>
      <w:r w:rsidRPr="00A83604">
        <w:rPr>
          <w:szCs w:val="22"/>
        </w:rPr>
        <w:t>.  Failing to do so would effectively render the statute’s restraints meaningless, or nearly so.  Critics may argue that local franchise authorities have the weaker position when dealing at arm’s length with video providers, but the record and experience s</w:t>
      </w:r>
      <w:r w:rsidRPr="00A83604">
        <w:rPr>
          <w:szCs w:val="22"/>
        </w:rPr>
        <w:t>how otherwise.  There are numerous examples of where video providers lack the ability to say no to “voluntary” waivers of the five percent cap, having no recourse but to agree to all manner of in-kind contributions, ranging from providing all the necessary</w:t>
      </w:r>
      <w:r w:rsidRPr="00A83604">
        <w:rPr>
          <w:szCs w:val="22"/>
        </w:rPr>
        <w:t xml:space="preserve"> equipment to produce PEG programming in New York City, to supplying transport lines to cover ice cream socials in Minnesota.  There are many examples in the record, but the point is: failure to agree to such terms could result in jeopardizing the franchis</w:t>
      </w:r>
      <w:r w:rsidRPr="00A83604">
        <w:rPr>
          <w:szCs w:val="22"/>
        </w:rPr>
        <w:t>e, and that is a risk many companies simply cannot afford to take.  The Commission’s role is to interpret and enforce the statute based on the record, and today we appropriately define cable-related in-kind contributions to prevent end-runs around the stat</w:t>
      </w:r>
      <w:r w:rsidRPr="00A83604">
        <w:rPr>
          <w:szCs w:val="22"/>
        </w:rPr>
        <w:t xml:space="preserve">utory cap. </w:t>
      </w:r>
    </w:p>
    <w:p w:rsidR="00A83604" w:rsidRPr="00A83604" w:rsidP="00A83604">
      <w:pPr>
        <w:widowControl/>
        <w:ind w:firstLine="720"/>
        <w:rPr>
          <w:szCs w:val="22"/>
        </w:rPr>
      </w:pPr>
      <w:r w:rsidRPr="00A83604">
        <w:rPr>
          <w:szCs w:val="22"/>
        </w:rPr>
        <w:tab/>
      </w:r>
    </w:p>
    <w:p w:rsidR="00A83604" w:rsidRPr="00A83604" w:rsidP="00A83604">
      <w:pPr>
        <w:widowControl/>
        <w:ind w:firstLine="720"/>
        <w:rPr>
          <w:szCs w:val="22"/>
        </w:rPr>
      </w:pPr>
      <w:r w:rsidRPr="00A83604">
        <w:rPr>
          <w:szCs w:val="22"/>
        </w:rPr>
        <w:t>Second, the Order also correctly preempts state-level franchise authorities who would seek to obliterate the statutory boundaries that are in place.  Unfair and unreasonable fees and contributions beyond five percent of gross revenues for cab</w:t>
      </w:r>
      <w:r w:rsidRPr="00A83604">
        <w:rPr>
          <w:szCs w:val="22"/>
        </w:rPr>
        <w:t xml:space="preserve">le services conflict with the law, whether the franchisor is a state or local actor.  The statute itself explicitly refuses to restrict states from exercising jurisdiction over cable services.  In fact, about half of all states have authorized state-level </w:t>
      </w:r>
      <w:r w:rsidRPr="00A83604">
        <w:rPr>
          <w:szCs w:val="22"/>
        </w:rPr>
        <w:t>franchise authorities.  There is no good legal or policy reason for restraining the activities of local franchisors while allowing state authorities to continue unbounded, and I thank the Chairman for including this matter in the NPRM so that we could go t</w:t>
      </w:r>
      <w:r w:rsidRPr="00A83604">
        <w:rPr>
          <w:szCs w:val="22"/>
        </w:rPr>
        <w:t xml:space="preserve">o Order today on it.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Third, there are two issues regarding PEG contributions that could receive further attention as the record more fully develops.  While I would have preferred a narrower definition of “capital costs,” limiting such contributions to c</w:t>
      </w:r>
      <w:r w:rsidRPr="00A83604">
        <w:rPr>
          <w:szCs w:val="22"/>
        </w:rPr>
        <w:t>onstruction-related costs for PEG facilities, the item does acknowledge today that the current record has room to grow, leaving us the option to revisit this matter in the future.  Similarly, we clearly acknowledge the need to resolve the PEG channel capac</w:t>
      </w:r>
      <w:r w:rsidRPr="00A83604">
        <w:rPr>
          <w:szCs w:val="22"/>
        </w:rPr>
        <w:t xml:space="preserve">ity cost question and expressly commit to doing so within the next year.  This is a vital endeavor, so I thank the Chairman for working with me on this matter and look forward to the admittedly complex and rigorous undertaking.  </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Separately, and perhaps m</w:t>
      </w:r>
      <w:r w:rsidRPr="00A83604">
        <w:rPr>
          <w:szCs w:val="22"/>
        </w:rPr>
        <w:t>ost significantly, the item properly rejects the ability of state or local governments to impose franchise fees on non-cable services.  Inappropriate court determinations, such as the Eugene, Oregon, franchise case, have wrongly tried to open the door to t</w:t>
      </w:r>
      <w:r w:rsidRPr="00A83604">
        <w:rPr>
          <w:szCs w:val="22"/>
        </w:rPr>
        <w:t xml:space="preserve">he imposition of such fees on other services offered by what have traditionally been called cable operators.  However, the statute is quite clear on the matter and the item appropriately clarifies that franchises authorities can only regulate </w:t>
      </w:r>
      <w:r w:rsidRPr="00A83604">
        <w:rPr>
          <w:szCs w:val="22"/>
        </w:rPr>
        <w:t>cable service</w:t>
      </w:r>
      <w:r w:rsidRPr="00A83604">
        <w:rPr>
          <w:szCs w:val="22"/>
        </w:rPr>
        <w:t>s.  Today’s action closes off potential revenues for franchise authorities from non-cable services, which is the right statutory reading.  Further, allowing these entities to usurp the statute by imposing fees on the offering of broadband services would ig</w:t>
      </w:r>
      <w:r w:rsidRPr="00A83604">
        <w:rPr>
          <w:szCs w:val="22"/>
        </w:rPr>
        <w:t>nore the resulting harm to consumers.  For instance, Congress has recognized multiple times that allowing governmental fees and taxes does affect Internet adoption rates.  Given that almost everyone recognizes the importance of broadband availability, dete</w:t>
      </w:r>
      <w:r w:rsidRPr="00A83604">
        <w:rPr>
          <w:szCs w:val="22"/>
        </w:rPr>
        <w:t>rring its use would be at best, counterproductive.  Moreover, without such a limitation, there appears to be no outer limit to the types of non-cable services for which a cable operator could be forced to pay fees.  Today, it’s broadband in the cross-hairs</w:t>
      </w:r>
      <w:r w:rsidRPr="00A83604">
        <w:rPr>
          <w:szCs w:val="22"/>
        </w:rPr>
        <w:t>, but tomorrow it could be cloud services or over-the-top video services, for example.</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Finally, I’ll end with two points regarding the judicial and legislative implications of today’s item.  On the matter of applying today’s Order to existing franchise ag</w:t>
      </w:r>
      <w:r w:rsidRPr="00A83604">
        <w:rPr>
          <w:szCs w:val="22"/>
        </w:rPr>
        <w:t>reements, I worry that we are punting too much of the burden to the overworked courts and would be better served by delineating a clear process under the Commission’s purview.  However, I support the efforts of my colleague Commissioner Carr to make Sectio</w:t>
      </w:r>
      <w:r w:rsidRPr="00A83604">
        <w:rPr>
          <w:szCs w:val="22"/>
        </w:rPr>
        <w:t>n 636 controlling, which will at a minimum provide a clearer starting point for negotiations.  I would also note that I support my colleague’s effort to clarify that the provisions of this Order cannot be waived.  We will be closely watching to ensure that</w:t>
      </w:r>
      <w:r w:rsidRPr="00A83604">
        <w:rPr>
          <w:szCs w:val="22"/>
        </w:rPr>
        <w:t xml:space="preserve"> no franchise authorities seek to make an end run around the reforms contained in this Order by demanding that franchisees waive any of the provisions.  Regarding the need for legislation, I hope that Congress will take note of our effort today and conside</w:t>
      </w:r>
      <w:r w:rsidRPr="00A83604">
        <w:rPr>
          <w:szCs w:val="22"/>
        </w:rPr>
        <w:t>r launching an ambitious, but much needed, review of Title VI in its entirety.  We are bringing the regulations more in line with the statute today, but the whole ecosystem would be well-served by a wholesale rewrite of the statute and an acknowledgement o</w:t>
      </w:r>
      <w:r w:rsidRPr="00A83604">
        <w:rPr>
          <w:szCs w:val="22"/>
        </w:rPr>
        <w:t>f the current market realities.</w:t>
      </w:r>
    </w:p>
    <w:p w:rsidR="00A83604" w:rsidRPr="00A83604" w:rsidP="00A83604">
      <w:pPr>
        <w:widowControl/>
        <w:ind w:firstLine="720"/>
        <w:rPr>
          <w:szCs w:val="22"/>
        </w:rPr>
      </w:pPr>
    </w:p>
    <w:p w:rsidR="00A83604" w:rsidRPr="00A83604" w:rsidP="00A83604">
      <w:pPr>
        <w:widowControl/>
        <w:ind w:firstLine="720"/>
        <w:rPr>
          <w:szCs w:val="22"/>
        </w:rPr>
      </w:pPr>
      <w:r w:rsidRPr="00A83604">
        <w:rPr>
          <w:szCs w:val="22"/>
        </w:rPr>
        <w:t>But, this item shouldn’t and won’t be the end of our work to eliminate outdated rules and scale back inappropriate actions by state and local franchise authorities.  For our media modernization initiative, I will be submitt</w:t>
      </w:r>
      <w:r w:rsidRPr="00A83604">
        <w:rPr>
          <w:szCs w:val="22"/>
        </w:rPr>
        <w:t>ing soon a new round of ideas for the Chairman’s consideration.  On a larger scale, I am hard at work on a blog outlining the fundamental overhaul needed to address our outdated franchising regime and the need to further curtail “creatively harmful” effort</w:t>
      </w:r>
      <w:r w:rsidRPr="00A83604">
        <w:rPr>
          <w:szCs w:val="22"/>
        </w:rPr>
        <w:t xml:space="preserve">s by franchise authorities.   </w:t>
      </w:r>
    </w:p>
    <w:p w:rsidR="00A83604" w:rsidRPr="00A83604" w:rsidP="00A83604">
      <w:pPr>
        <w:widowControl/>
        <w:ind w:firstLine="720"/>
        <w:rPr>
          <w:szCs w:val="22"/>
        </w:rPr>
      </w:pPr>
    </w:p>
    <w:p w:rsidR="002C00E8" w:rsidRPr="00A83604" w:rsidP="00A83604">
      <w:pPr>
        <w:widowControl/>
        <w:ind w:firstLine="720"/>
        <w:rPr>
          <w:szCs w:val="22"/>
        </w:rPr>
      </w:pPr>
      <w:r w:rsidRPr="00A83604">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2E3B"/>
    <w:rsid w:val="0028301F"/>
    <w:rsid w:val="00285017"/>
    <w:rsid w:val="00290905"/>
    <w:rsid w:val="002A2D2E"/>
    <w:rsid w:val="002B7EDD"/>
    <w:rsid w:val="002C00E8"/>
    <w:rsid w:val="00343749"/>
    <w:rsid w:val="003660ED"/>
    <w:rsid w:val="003B0550"/>
    <w:rsid w:val="003B694F"/>
    <w:rsid w:val="003F171C"/>
    <w:rsid w:val="00412FC5"/>
    <w:rsid w:val="00421C65"/>
    <w:rsid w:val="00422276"/>
    <w:rsid w:val="004242F1"/>
    <w:rsid w:val="00445A00"/>
    <w:rsid w:val="00451B0F"/>
    <w:rsid w:val="004550E6"/>
    <w:rsid w:val="004C2EE3"/>
    <w:rsid w:val="004E4A22"/>
    <w:rsid w:val="004F4916"/>
    <w:rsid w:val="00511968"/>
    <w:rsid w:val="0055614C"/>
    <w:rsid w:val="005577AD"/>
    <w:rsid w:val="005E14C2"/>
    <w:rsid w:val="00607BA5"/>
    <w:rsid w:val="0061180A"/>
    <w:rsid w:val="00626EB6"/>
    <w:rsid w:val="00643DBB"/>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3604"/>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