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Ocean Adrian Hinson,</w:t>
            </w:r>
          </w:p>
          <w:p w:rsidR="00EC0B35" w:rsidRPr="007115F7" w:rsidP="007115F7">
            <w:pPr>
              <w:tabs>
                <w:tab w:val="center" w:pos="4680"/>
              </w:tabs>
              <w:suppressAutoHyphens/>
              <w:rPr>
                <w:spacing w:val="-2"/>
              </w:rPr>
            </w:pPr>
            <w:r>
              <w:rPr>
                <w:spacing w:val="-2"/>
              </w:rPr>
              <w:t>Surry County, North Carolina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051458">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File No.: EB-FIELDSCR-17-00025734</w:t>
            </w:r>
          </w:p>
          <w:p w:rsidR="00EC0B35">
            <w:pPr>
              <w:tabs>
                <w:tab w:val="center" w:pos="4680"/>
              </w:tabs>
              <w:suppressAutoHyphens/>
              <w:rPr>
                <w:spacing w:val="-2"/>
              </w:rPr>
            </w:pPr>
            <w:r>
              <w:rPr>
                <w:spacing w:val="-2"/>
              </w:rPr>
              <w:t>NAL/Acct. No.: 201832020001</w:t>
            </w:r>
          </w:p>
          <w:p w:rsidR="00EC0B35">
            <w:pPr>
              <w:tabs>
                <w:tab w:val="center" w:pos="4680"/>
              </w:tabs>
              <w:suppressAutoHyphens/>
              <w:rPr>
                <w:spacing w:val="-2"/>
              </w:rPr>
            </w:pPr>
            <w:r>
              <w:rPr>
                <w:spacing w:val="-2"/>
              </w:rPr>
              <w:t xml:space="preserve">FRN: </w:t>
            </w:r>
            <w:r w:rsidRPr="00EC0B35">
              <w:rPr>
                <w:spacing w:val="-2"/>
              </w:rPr>
              <w:t>0027726454</w:t>
            </w:r>
          </w:p>
        </w:tc>
      </w:tr>
    </w:tbl>
    <w:p w:rsidR="004C2EE3" w:rsidP="0070224F"/>
    <w:p w:rsidR="00841AB1" w:rsidP="00F021FA">
      <w:pPr>
        <w:pStyle w:val="StyleBoldCentered"/>
      </w:pPr>
      <w:r>
        <w:t>Forfeiture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46111A">
        <w:rPr>
          <w:b/>
          <w:spacing w:val="-2"/>
        </w:rPr>
        <w:t>August 6,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6111A">
        <w:rPr>
          <w:b/>
          <w:spacing w:val="-2"/>
        </w:rPr>
        <w:t>August 7, 2019</w:t>
      </w:r>
    </w:p>
    <w:p w:rsidR="00822CE0"/>
    <w:p w:rsidR="004C2EE3">
      <w:pPr>
        <w:rPr>
          <w:spacing w:val="-2"/>
        </w:rPr>
      </w:pPr>
      <w:r>
        <w:t xml:space="preserve">By </w:t>
      </w:r>
      <w:r w:rsidR="004E4A22">
        <w:t>the</w:t>
      </w:r>
      <w:r w:rsidR="00051458">
        <w:t xml:space="preserve"> Commission</w:t>
      </w:r>
      <w:r>
        <w:rPr>
          <w:spacing w:val="-2"/>
        </w:rPr>
        <w:t>:</w:t>
      </w:r>
    </w:p>
    <w:p w:rsidR="00822CE0">
      <w:pPr>
        <w:rPr>
          <w:spacing w:val="-2"/>
        </w:rPr>
      </w:pPr>
    </w:p>
    <w:p w:rsidR="00412FC5" w:rsidP="00C36B4C">
      <w:pPr>
        <w:pStyle w:val="Heading1"/>
      </w:pPr>
      <w:r>
        <w:t>Introduction</w:t>
      </w:r>
    </w:p>
    <w:p w:rsidR="002A3640" w:rsidP="00C20340">
      <w:pPr>
        <w:pStyle w:val="ParaNum"/>
        <w:widowControl/>
        <w:tabs>
          <w:tab w:val="clear" w:pos="1080"/>
          <w:tab w:val="num" w:pos="1440"/>
        </w:tabs>
      </w:pPr>
      <w:r w:rsidRPr="003D4098">
        <w:rPr>
          <w:rFonts w:ascii="TimesNewRomanPSMT" w:hAnsi="TimesNewRomanPSMT" w:cs="TimesNewRomanPSMT"/>
          <w:snapToGrid/>
          <w:kern w:val="0"/>
          <w:szCs w:val="22"/>
        </w:rPr>
        <w:t xml:space="preserve">The Commission licenses dedicated spectrum to public safety entities to ensure that first responders </w:t>
      </w:r>
      <w:r w:rsidR="00053762">
        <w:t>can efficiently and accurately communicate during emergencies</w:t>
      </w:r>
      <w:r>
        <w:t>.  U</w:t>
      </w:r>
      <w:r w:rsidR="00053762">
        <w:t xml:space="preserve">nauthorized operation </w:t>
      </w:r>
      <w:r>
        <w:t xml:space="preserve">on </w:t>
      </w:r>
      <w:r w:rsidR="009C0A65">
        <w:t xml:space="preserve">public safety </w:t>
      </w:r>
      <w:r>
        <w:t xml:space="preserve">spectrum carries the risk of substantial harm, both to the first responders themselves and to the public that they serve.  </w:t>
      </w:r>
      <w:r w:rsidR="008301EE">
        <w:rPr>
          <w:rFonts w:ascii="TimesNewRomanPSMT" w:hAnsi="TimesNewRomanPSMT" w:cs="TimesNewRomanPSMT"/>
          <w:snapToGrid/>
          <w:kern w:val="0"/>
          <w:szCs w:val="22"/>
        </w:rPr>
        <w:t>Accordingly, we impose the maximum fine permissible under statute against Ocean Adrian Hinson for his unauthorized operation on the public safety frequency used by the Westfield Volunteer Fire Department in Surry County, North Carolina.</w:t>
      </w:r>
    </w:p>
    <w:p w:rsidR="00051458" w:rsidP="00C20340">
      <w:pPr>
        <w:pStyle w:val="ParaNum"/>
        <w:widowControl/>
        <w:tabs>
          <w:tab w:val="clear" w:pos="1080"/>
          <w:tab w:val="num" w:pos="1440"/>
        </w:tabs>
      </w:pPr>
      <w:r>
        <w:t>To be specific, w</w:t>
      </w:r>
      <w:r>
        <w:t xml:space="preserve">e impose a penalty of $39,278 against </w:t>
      </w:r>
      <w:r w:rsidR="0004003B">
        <w:t>Mr.</w:t>
      </w:r>
      <w:r w:rsidR="00DB504F">
        <w:t xml:space="preserve"> </w:t>
      </w:r>
      <w:r>
        <w:t>Hinson</w:t>
      </w:r>
      <w:r>
        <w:rPr>
          <w:rStyle w:val="FootnoteReference"/>
        </w:rPr>
        <w:footnoteReference w:id="3"/>
      </w:r>
      <w:r>
        <w:t xml:space="preserve"> for </w:t>
      </w:r>
      <w:r w:rsidR="002A3640">
        <w:t xml:space="preserve">twice </w:t>
      </w:r>
      <w:r w:rsidRPr="00051458">
        <w:t>operating, without authorization from the Commission, a radio on a frequency licensed to the County of Surry, North Carolina (Surry County) and used by the Surry County Communications Center to communicate with local first responders</w:t>
      </w:r>
      <w:r w:rsidR="00C20340">
        <w:t xml:space="preserve">, including the </w:t>
      </w:r>
      <w:r w:rsidRPr="00051458">
        <w:t>Westfield Volunteer Fire Department.</w:t>
      </w:r>
      <w:r>
        <w:rPr>
          <w:rStyle w:val="FootnoteReference"/>
        </w:rPr>
        <w:footnoteReference w:id="4"/>
      </w:r>
      <w:r w:rsidRPr="00051458">
        <w:t xml:space="preserve"> </w:t>
      </w:r>
      <w:r w:rsidR="00917EBA">
        <w:t xml:space="preserve"> </w:t>
      </w:r>
      <w:r w:rsidRPr="00051458">
        <w:t xml:space="preserve">Through his actions, Mr. Hinson has demonstrated deliberate disregard not only for the Commission’s authority and rules, but also for the safety of first responders and the public that they are called to serve and protect. </w:t>
      </w:r>
      <w:r w:rsidR="00053762">
        <w:t xml:space="preserve"> </w:t>
      </w:r>
      <w:r w:rsidRPr="00C20340" w:rsidR="00053762">
        <w:rPr>
          <w:rFonts w:ascii="TimesNewRomanPSMT" w:hAnsi="TimesNewRomanPSMT" w:cs="TimesNewRomanPSMT"/>
          <w:snapToGrid/>
          <w:kern w:val="0"/>
          <w:szCs w:val="22"/>
        </w:rPr>
        <w:t>Although</w:t>
      </w:r>
      <w:r w:rsidR="00053762">
        <w:t xml:space="preserve"> Mr. Hinson has requested a reduction</w:t>
      </w:r>
      <w:r w:rsidR="005B6408">
        <w:t xml:space="preserve"> or cancellation</w:t>
      </w:r>
      <w:r w:rsidR="00053762">
        <w:t xml:space="preserve"> of the forfeiture, after reviewing </w:t>
      </w:r>
      <w:r w:rsidR="0004003B">
        <w:t>his</w:t>
      </w:r>
      <w:r w:rsidR="00B74BE2">
        <w:t xml:space="preserve"> </w:t>
      </w:r>
      <w:r w:rsidR="00053762">
        <w:t xml:space="preserve">request and the undisputed facts set forth in the </w:t>
      </w:r>
      <w:r>
        <w:rPr>
          <w:i/>
        </w:rPr>
        <w:t>Notice</w:t>
      </w:r>
      <w:r w:rsidR="00053762">
        <w:t xml:space="preserve">, </w:t>
      </w:r>
      <w:r w:rsidRPr="00BC6870" w:rsidR="00BC6870">
        <w:t>we find no reason to cancel, withdraw, or reduce the proposed penalty.</w:t>
      </w:r>
    </w:p>
    <w:p w:rsidR="00051458" w:rsidP="00051458">
      <w:pPr>
        <w:pStyle w:val="Heading1"/>
      </w:pPr>
      <w:r>
        <w:t>Background</w:t>
      </w:r>
    </w:p>
    <w:p w:rsidR="000579C1" w:rsidRPr="00A0354C" w:rsidP="00A0354C">
      <w:pPr>
        <w:pStyle w:val="ParaNum"/>
        <w:widowControl/>
        <w:tabs>
          <w:tab w:val="clear" w:pos="1080"/>
          <w:tab w:val="num" w:pos="1440"/>
        </w:tabs>
      </w:pPr>
      <w:r>
        <w:t>Section 301 of the Communications Act of 1934, as amended (Act) states that no person shall use or operate any communications transmission equipment within the United States without a license granted by the Commission.</w:t>
      </w:r>
      <w:r>
        <w:rPr>
          <w:rStyle w:val="FootnoteReference"/>
        </w:rPr>
        <w:footnoteReference w:id="5"/>
      </w:r>
      <w:r>
        <w:t xml:space="preserve">  </w:t>
      </w:r>
      <w:r w:rsidR="00194343">
        <w:t>O</w:t>
      </w:r>
      <w:r w:rsidR="009A1C63">
        <w:t xml:space="preserve">n October 17, 2017, Mr. Hinson made </w:t>
      </w:r>
      <w:r w:rsidR="00A0354C">
        <w:t>two separate</w:t>
      </w:r>
      <w:r w:rsidR="009A1C63">
        <w:t xml:space="preserve"> unauthorized transmissions on spectrum licensed to Surry County in response to a radio call by a dispatcher at the </w:t>
      </w:r>
      <w:r w:rsidR="009A1C63">
        <w:t>Surry County Communications Center.</w:t>
      </w:r>
      <w:r>
        <w:rPr>
          <w:rStyle w:val="FootnoteReference"/>
        </w:rPr>
        <w:footnoteReference w:id="6"/>
      </w:r>
      <w:r w:rsidR="009A1C63">
        <w:t xml:space="preserve">  After the dispatcher requested </w:t>
      </w:r>
      <w:r w:rsidR="00087C69">
        <w:t xml:space="preserve">that </w:t>
      </w:r>
      <w:r w:rsidR="009A1C63">
        <w:t xml:space="preserve">the Westfield </w:t>
      </w:r>
      <w:r w:rsidR="00586F2A">
        <w:t xml:space="preserve">Volunteer Fire Department </w:t>
      </w:r>
      <w:r w:rsidR="009A1C63">
        <w:t xml:space="preserve">respond to a </w:t>
      </w:r>
      <w:r w:rsidR="00A72409">
        <w:t xml:space="preserve">triggered </w:t>
      </w:r>
      <w:r w:rsidR="009A1C63">
        <w:t xml:space="preserve">residential fire alarm, Mr. Hinson used a radio </w:t>
      </w:r>
      <w:r w:rsidR="006D561D">
        <w:t xml:space="preserve">first </w:t>
      </w:r>
      <w:r w:rsidR="009A1C63">
        <w:t>to</w:t>
      </w:r>
      <w:r w:rsidR="006D561D">
        <w:t xml:space="preserve"> </w:t>
      </w:r>
      <w:r w:rsidR="009A1C63">
        <w:t xml:space="preserve">transmit a response in which he impersonated a Westfield </w:t>
      </w:r>
      <w:r w:rsidR="00D30DA8">
        <w:t xml:space="preserve">Volunteer Fire Department </w:t>
      </w:r>
      <w:r w:rsidR="009A1C63">
        <w:t>unit.</w:t>
      </w:r>
      <w:r>
        <w:rPr>
          <w:rStyle w:val="FootnoteReference"/>
        </w:rPr>
        <w:footnoteReference w:id="7"/>
      </w:r>
      <w:r w:rsidR="009A1C63">
        <w:t xml:space="preserve">  Approximately four minutes later, Mr. Hinson made a second radio transmission in which he cancelled the call,</w:t>
      </w:r>
      <w:r w:rsidR="006D561D">
        <w:t xml:space="preserve"> </w:t>
      </w:r>
      <w:r w:rsidR="00E57943">
        <w:t>communicating</w:t>
      </w:r>
      <w:r w:rsidR="00C34CC6">
        <w:t xml:space="preserve"> </w:t>
      </w:r>
      <w:r w:rsidR="009A1C63">
        <w:t xml:space="preserve">that no other unit of the Westfield </w:t>
      </w:r>
      <w:r w:rsidR="00586F2A">
        <w:t xml:space="preserve">Volunteer Fire Department </w:t>
      </w:r>
      <w:r w:rsidR="0004003B">
        <w:t>need</w:t>
      </w:r>
      <w:r w:rsidR="00B74BE2">
        <w:t xml:space="preserve">ed to </w:t>
      </w:r>
      <w:r w:rsidR="009A1C63">
        <w:t>respond</w:t>
      </w:r>
      <w:r w:rsidR="003D4098">
        <w:t xml:space="preserve"> to the triggered residential fire alarm</w:t>
      </w:r>
      <w:r w:rsidR="009A1C63">
        <w:t xml:space="preserve">.  Fortunately, there was </w:t>
      </w:r>
      <w:r w:rsidR="008301EE">
        <w:t xml:space="preserve">no </w:t>
      </w:r>
      <w:r w:rsidR="009A1C63">
        <w:t>fire</w:t>
      </w:r>
      <w:r w:rsidR="008301EE">
        <w:t xml:space="preserve"> at the residence</w:t>
      </w:r>
      <w:r w:rsidR="009A1C63">
        <w:t xml:space="preserve">. </w:t>
      </w:r>
    </w:p>
    <w:p w:rsidR="009A1C63" w:rsidP="005E0445">
      <w:pPr>
        <w:pStyle w:val="ParaNum"/>
        <w:widowControl/>
        <w:tabs>
          <w:tab w:val="clear" w:pos="1080"/>
          <w:tab w:val="num" w:pos="1440"/>
        </w:tabs>
      </w:pPr>
      <w:r>
        <w:rPr>
          <w:rFonts w:ascii="TimesNewRomanPSMT" w:hAnsi="TimesNewRomanPSMT" w:cs="TimesNewRomanPSMT"/>
          <w:snapToGrid/>
          <w:kern w:val="0"/>
          <w:szCs w:val="22"/>
        </w:rPr>
        <w:t xml:space="preserve">On October 11, 2018, the Commission issued the </w:t>
      </w:r>
      <w:r w:rsidR="00CF2F36">
        <w:rPr>
          <w:rFonts w:ascii="TimesNewRomanPSMT" w:hAnsi="TimesNewRomanPSMT" w:cs="TimesNewRomanPSMT"/>
          <w:i/>
          <w:snapToGrid/>
          <w:kern w:val="0"/>
          <w:szCs w:val="22"/>
        </w:rPr>
        <w:t>Notice</w:t>
      </w:r>
      <w:r>
        <w:t xml:space="preserve">, proposing a forfeiture in the amount of $39,278 against Mr. Hinson for his apparent willful and repeated </w:t>
      </w:r>
      <w:r w:rsidR="002A3640">
        <w:t xml:space="preserve">unauthorized transmissions </w:t>
      </w:r>
      <w:r w:rsidR="006D561D">
        <w:t>in violation of</w:t>
      </w:r>
      <w:r>
        <w:t xml:space="preserve"> </w:t>
      </w:r>
      <w:r w:rsidR="00D30DA8">
        <w:t>s</w:t>
      </w:r>
      <w:r>
        <w:t>ection 301 of the Act.</w:t>
      </w:r>
      <w:r>
        <w:rPr>
          <w:rStyle w:val="FootnoteReference"/>
        </w:rPr>
        <w:footnoteReference w:id="8"/>
      </w:r>
      <w:r>
        <w:t xml:space="preserve">  </w:t>
      </w:r>
      <w:r w:rsidRPr="005E0445" w:rsidR="00D72EA2">
        <w:rPr>
          <w:rFonts w:ascii="TimesNewRomanPSMT" w:hAnsi="TimesNewRomanPSMT" w:cs="TimesNewRomanPSMT"/>
          <w:snapToGrid/>
          <w:kern w:val="0"/>
          <w:szCs w:val="22"/>
        </w:rPr>
        <w:t>On</w:t>
      </w:r>
      <w:r w:rsidR="00D72EA2">
        <w:t xml:space="preserve"> </w:t>
      </w:r>
      <w:r w:rsidR="00793EAA">
        <w:t xml:space="preserve">November 9, 2018, </w:t>
      </w:r>
      <w:r w:rsidR="00D72EA2">
        <w:t xml:space="preserve">Mr. Hinson submitted a written response to the </w:t>
      </w:r>
      <w:r w:rsidR="00CF2F36">
        <w:rPr>
          <w:rFonts w:ascii="TimesNewRomanPSMT" w:hAnsi="TimesNewRomanPSMT" w:cs="TimesNewRomanPSMT"/>
          <w:i/>
          <w:snapToGrid/>
          <w:kern w:val="0"/>
          <w:szCs w:val="22"/>
        </w:rPr>
        <w:t>Notice</w:t>
      </w:r>
      <w:r w:rsidR="00D72EA2">
        <w:t>.</w:t>
      </w:r>
      <w:r>
        <w:rPr>
          <w:rStyle w:val="FootnoteReference"/>
        </w:rPr>
        <w:footnoteReference w:id="9"/>
      </w:r>
      <w:r w:rsidR="00D72EA2">
        <w:t xml:space="preserve">  In his response, </w:t>
      </w:r>
      <w:r>
        <w:t xml:space="preserve">Mr. Hinson neither </w:t>
      </w:r>
      <w:r w:rsidR="00D72EA2">
        <w:t>contest</w:t>
      </w:r>
      <w:r w:rsidR="003C26A7">
        <w:t>ed</w:t>
      </w:r>
      <w:r w:rsidR="00D72EA2">
        <w:t xml:space="preserve"> </w:t>
      </w:r>
      <w:r w:rsidR="003D4098">
        <w:t xml:space="preserve">the Commission’s </w:t>
      </w:r>
      <w:r w:rsidR="002A3640">
        <w:t>findings of fact or law</w:t>
      </w:r>
      <w:r w:rsidR="00D72EA2">
        <w:t xml:space="preserve"> </w:t>
      </w:r>
      <w:r w:rsidR="003D4098">
        <w:t xml:space="preserve">in the </w:t>
      </w:r>
      <w:r w:rsidR="00CF2F36">
        <w:rPr>
          <w:rFonts w:ascii="TimesNewRomanPSMT" w:hAnsi="TimesNewRomanPSMT" w:cs="TimesNewRomanPSMT"/>
          <w:i/>
          <w:snapToGrid/>
          <w:kern w:val="0"/>
          <w:szCs w:val="22"/>
        </w:rPr>
        <w:t>Notice</w:t>
      </w:r>
      <w:r w:rsidR="003D4098">
        <w:t xml:space="preserve"> </w:t>
      </w:r>
      <w:r w:rsidR="00D72EA2">
        <w:t xml:space="preserve">that he twice violated </w:t>
      </w:r>
      <w:r w:rsidR="00D30DA8">
        <w:t>s</w:t>
      </w:r>
      <w:r w:rsidR="00D72EA2">
        <w:t>ection 301 of the Act</w:t>
      </w:r>
      <w:r w:rsidR="002A3640">
        <w:t xml:space="preserve"> by engaging in unauthorized operations on public safety frequencies</w:t>
      </w:r>
      <w:r w:rsidR="00D72EA2">
        <w:t xml:space="preserve">, </w:t>
      </w:r>
      <w:r>
        <w:t>nor offer</w:t>
      </w:r>
      <w:r w:rsidR="003C26A7">
        <w:t>ed</w:t>
      </w:r>
      <w:r>
        <w:t xml:space="preserve"> any explanation for his conduct.</w:t>
      </w:r>
      <w:r>
        <w:rPr>
          <w:rStyle w:val="FootnoteReference"/>
        </w:rPr>
        <w:footnoteReference w:id="10"/>
      </w:r>
      <w:r>
        <w:t xml:space="preserve">  Instead, Mr. Hinson recite</w:t>
      </w:r>
      <w:r w:rsidR="003C26A7">
        <w:t>d</w:t>
      </w:r>
      <w:r>
        <w:t xml:space="preserve"> his financial condition and request</w:t>
      </w:r>
      <w:r w:rsidR="00563689">
        <w:t>ed</w:t>
      </w:r>
      <w:r>
        <w:t xml:space="preserve"> that we reduce </w:t>
      </w:r>
      <w:r w:rsidR="00B90114">
        <w:t xml:space="preserve">or cancel </w:t>
      </w:r>
      <w:r>
        <w:t>the forfeiture in light of his limited financial means.</w:t>
      </w:r>
      <w:r>
        <w:rPr>
          <w:rStyle w:val="FootnoteReference"/>
        </w:rPr>
        <w:footnoteReference w:id="11"/>
      </w:r>
      <w:r>
        <w:t xml:space="preserve"> </w:t>
      </w:r>
    </w:p>
    <w:p w:rsidR="00051458" w:rsidP="00051458">
      <w:pPr>
        <w:pStyle w:val="Heading1"/>
      </w:pPr>
      <w:r>
        <w:t>Discussion</w:t>
      </w:r>
    </w:p>
    <w:p w:rsidR="00C20340" w:rsidP="00991495">
      <w:pPr>
        <w:pStyle w:val="ParaNum"/>
        <w:widowControl/>
        <w:tabs>
          <w:tab w:val="clear" w:pos="1080"/>
          <w:tab w:val="num" w:pos="1440"/>
        </w:tabs>
      </w:pPr>
      <w:r w:rsidRPr="00035C5C">
        <w:rPr>
          <w:rFonts w:ascii="TimesNewRomanPSMT" w:hAnsi="TimesNewRomanPSMT" w:cs="TimesNewRomanPSMT"/>
          <w:snapToGrid/>
          <w:kern w:val="0"/>
          <w:szCs w:val="22"/>
        </w:rPr>
        <w:t>The</w:t>
      </w:r>
      <w:r>
        <w:t xml:space="preserve"> Commission proposed a forfeiture in this case in accordance with </w:t>
      </w:r>
      <w:r w:rsidR="00D30DA8">
        <w:t>s</w:t>
      </w:r>
      <w:r>
        <w:t>ection 503(b) of the Act,</w:t>
      </w:r>
      <w:r>
        <w:rPr>
          <w:rStyle w:val="FootnoteReference"/>
        </w:rPr>
        <w:footnoteReference w:id="12"/>
      </w:r>
      <w:r>
        <w:t xml:space="preserve"> </w:t>
      </w:r>
      <w:r w:rsidR="00D30DA8">
        <w:t>s</w:t>
      </w:r>
      <w:r>
        <w:t>ection 1.80 of the Commission’s rules,</w:t>
      </w:r>
      <w:r>
        <w:rPr>
          <w:rStyle w:val="FootnoteReference"/>
        </w:rPr>
        <w:footnoteReference w:id="13"/>
      </w:r>
      <w:r>
        <w:t xml:space="preserve"> and the Commission’s </w:t>
      </w:r>
      <w:r w:rsidRPr="00035C5C">
        <w:rPr>
          <w:i/>
        </w:rPr>
        <w:t>Forfeiture Policy Statement</w:t>
      </w:r>
      <w:r>
        <w:t>.</w:t>
      </w:r>
      <w:r>
        <w:rPr>
          <w:rStyle w:val="FootnoteReference"/>
        </w:rPr>
        <w:footnoteReference w:id="14"/>
      </w:r>
      <w:r>
        <w:t xml:space="preserve">  When we assess forfeitures, </w:t>
      </w:r>
      <w:r w:rsidR="00D30DA8">
        <w:t>s</w:t>
      </w:r>
      <w:r>
        <w:t>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5"/>
      </w:r>
      <w:r>
        <w:t xml:space="preserve">  </w:t>
      </w:r>
      <w:r w:rsidR="00035C5C">
        <w:t>W</w:t>
      </w:r>
      <w:r w:rsidRPr="00035C5C" w:rsidR="00035C5C">
        <w:rPr>
          <w:szCs w:val="22"/>
        </w:rPr>
        <w:t xml:space="preserve">e have fully considered </w:t>
      </w:r>
      <w:r w:rsidR="00035C5C">
        <w:rPr>
          <w:szCs w:val="22"/>
        </w:rPr>
        <w:t>Mr. Hinson’s</w:t>
      </w:r>
      <w:r w:rsidRPr="0007571D" w:rsidR="00035C5C">
        <w:t xml:space="preserve"> </w:t>
      </w:r>
      <w:r w:rsidR="00CF2F36">
        <w:t>NAL R</w:t>
      </w:r>
      <w:r w:rsidRPr="00035C5C" w:rsidR="00035C5C">
        <w:rPr>
          <w:szCs w:val="22"/>
        </w:rPr>
        <w:t>esponse, which include</w:t>
      </w:r>
      <w:r w:rsidR="008D075A">
        <w:rPr>
          <w:szCs w:val="22"/>
        </w:rPr>
        <w:t xml:space="preserve">d only a request to reduce or cancel the proposed forfeiture, </w:t>
      </w:r>
      <w:r w:rsidR="006B42E5">
        <w:rPr>
          <w:szCs w:val="22"/>
        </w:rPr>
        <w:t xml:space="preserve">and </w:t>
      </w:r>
      <w:r w:rsidR="008D075A">
        <w:rPr>
          <w:szCs w:val="22"/>
        </w:rPr>
        <w:t xml:space="preserve">do not find </w:t>
      </w:r>
      <w:r w:rsidR="006B42E5">
        <w:rPr>
          <w:szCs w:val="22"/>
        </w:rPr>
        <w:t xml:space="preserve">it </w:t>
      </w:r>
      <w:r w:rsidRPr="00035C5C" w:rsidR="00035C5C">
        <w:rPr>
          <w:szCs w:val="22"/>
        </w:rPr>
        <w:t>persuasive</w:t>
      </w:r>
      <w:r w:rsidR="003C26A7">
        <w:rPr>
          <w:szCs w:val="22"/>
        </w:rPr>
        <w:t xml:space="preserve">; it neither disputes the facts </w:t>
      </w:r>
      <w:r w:rsidR="00C636DA">
        <w:rPr>
          <w:szCs w:val="22"/>
        </w:rPr>
        <w:t xml:space="preserve">or legal conclusions </w:t>
      </w:r>
      <w:r w:rsidR="003C26A7">
        <w:rPr>
          <w:szCs w:val="22"/>
        </w:rPr>
        <w:t>advanced in the NAL nor establishes his entitlement to a reduction of the forfeiture</w:t>
      </w:r>
      <w:r w:rsidRPr="00035C5C" w:rsidR="00035C5C">
        <w:rPr>
          <w:szCs w:val="22"/>
        </w:rPr>
        <w:t>.  We therefore affirm the $</w:t>
      </w:r>
      <w:r w:rsidR="00834B24">
        <w:t xml:space="preserve">39,278 </w:t>
      </w:r>
      <w:r w:rsidRPr="00035C5C" w:rsidR="00035C5C">
        <w:rPr>
          <w:szCs w:val="22"/>
        </w:rPr>
        <w:t xml:space="preserve">forfeiture proposed in the </w:t>
      </w:r>
      <w:r w:rsidR="008301EE">
        <w:rPr>
          <w:i/>
          <w:szCs w:val="22"/>
        </w:rPr>
        <w:t>Notice</w:t>
      </w:r>
      <w:r w:rsidRPr="00035C5C" w:rsidR="00035C5C">
        <w:rPr>
          <w:i/>
          <w:szCs w:val="22"/>
        </w:rPr>
        <w:t>.</w:t>
      </w:r>
      <w:r w:rsidRPr="0007571D" w:rsidR="005E750B">
        <w:t xml:space="preserve"> </w:t>
      </w:r>
    </w:p>
    <w:p w:rsidR="00410127" w:rsidP="00487A9D">
      <w:pPr>
        <w:pStyle w:val="ParaNum"/>
        <w:widowControl/>
        <w:tabs>
          <w:tab w:val="clear" w:pos="1080"/>
          <w:tab w:val="num" w:pos="1440"/>
        </w:tabs>
      </w:pPr>
      <w:r>
        <w:t xml:space="preserve">We </w:t>
      </w:r>
      <w:r w:rsidR="00B455FC">
        <w:t xml:space="preserve">find, consistent with </w:t>
      </w:r>
      <w:r>
        <w:t xml:space="preserve">the Commission’s </w:t>
      </w:r>
      <w:r w:rsidR="00CF2F36">
        <w:rPr>
          <w:rFonts w:ascii="TimesNewRomanPSMT" w:hAnsi="TimesNewRomanPSMT" w:cs="TimesNewRomanPSMT"/>
          <w:i/>
          <w:snapToGrid/>
          <w:kern w:val="0"/>
          <w:szCs w:val="22"/>
        </w:rPr>
        <w:t>Notice</w:t>
      </w:r>
      <w:r w:rsidR="00B455FC">
        <w:t>,</w:t>
      </w:r>
      <w:r>
        <w:t xml:space="preserve"> that </w:t>
      </w:r>
      <w:r w:rsidR="005E750B">
        <w:t xml:space="preserve">Mr. Hinson willfully and repeatedly violated </w:t>
      </w:r>
      <w:r w:rsidR="00D30DA8">
        <w:t>s</w:t>
      </w:r>
      <w:r w:rsidR="005E750B">
        <w:t xml:space="preserve">ection 301 of the Act by making two transmissions on public safety frequencies for which he had no authority to operate.  </w:t>
      </w:r>
      <w:r>
        <w:t>Mr. Hinson is not a Commission licensee and has admitted</w:t>
      </w:r>
      <w:r w:rsidR="00586F2A">
        <w:t xml:space="preserve"> to local law enforcement</w:t>
      </w:r>
      <w:r>
        <w:t xml:space="preserve"> that on October 17, 2017, he made two separate radio transmissions on a frequency for which a license from the Commission was required.</w:t>
      </w:r>
      <w:r>
        <w:rPr>
          <w:rStyle w:val="FootnoteReference"/>
        </w:rPr>
        <w:footnoteReference w:id="16"/>
      </w:r>
      <w:r>
        <w:t xml:space="preserve">  </w:t>
      </w:r>
    </w:p>
    <w:p w:rsidR="00487A9D" w:rsidP="00487A9D">
      <w:pPr>
        <w:pStyle w:val="ParaNum"/>
        <w:widowControl/>
        <w:tabs>
          <w:tab w:val="clear" w:pos="1080"/>
          <w:tab w:val="num" w:pos="1440"/>
        </w:tabs>
      </w:pPr>
      <w:r>
        <w:t xml:space="preserve">We </w:t>
      </w:r>
      <w:r w:rsidR="00E86CE0">
        <w:t xml:space="preserve">also </w:t>
      </w:r>
      <w:r w:rsidR="00E4712F">
        <w:t xml:space="preserve">find, consistent with </w:t>
      </w:r>
      <w:r>
        <w:t xml:space="preserve">the Commission’s </w:t>
      </w:r>
      <w:r w:rsidR="00CF2F36">
        <w:rPr>
          <w:rFonts w:ascii="TimesNewRomanPSMT" w:hAnsi="TimesNewRomanPSMT" w:cs="TimesNewRomanPSMT"/>
          <w:i/>
          <w:snapToGrid/>
          <w:kern w:val="0"/>
          <w:szCs w:val="22"/>
        </w:rPr>
        <w:t>Notice</w:t>
      </w:r>
      <w:r w:rsidR="00E4712F">
        <w:t>,</w:t>
      </w:r>
      <w:r w:rsidR="00C20340">
        <w:t xml:space="preserve"> </w:t>
      </w:r>
      <w:r>
        <w:t xml:space="preserve">that an upward adjustment </w:t>
      </w:r>
      <w:r w:rsidR="006B42E5">
        <w:t>from the base forfeiture of $10,000</w:t>
      </w:r>
      <w:r>
        <w:rPr>
          <w:rStyle w:val="FootnoteReference"/>
        </w:rPr>
        <w:footnoteReference w:id="17"/>
      </w:r>
      <w:r w:rsidR="006B42E5">
        <w:t xml:space="preserve"> </w:t>
      </w:r>
      <w:r>
        <w:t xml:space="preserve">to the statutory maximum </w:t>
      </w:r>
      <w:r w:rsidR="006B42E5">
        <w:t xml:space="preserve">of $19,639 </w:t>
      </w:r>
      <w:r>
        <w:t xml:space="preserve">for each of the two violations of </w:t>
      </w:r>
      <w:r w:rsidR="00D30DA8">
        <w:t>s</w:t>
      </w:r>
      <w:r>
        <w:t>ection 301 of the Act is warranted due to Mr. Hinson’s egregious conduct.</w:t>
      </w:r>
      <w:r>
        <w:rPr>
          <w:rStyle w:val="FootnoteReference"/>
        </w:rPr>
        <w:footnoteReference w:id="18"/>
      </w:r>
      <w:r>
        <w:t xml:space="preserve"> </w:t>
      </w:r>
      <w:r w:rsidR="00414CCA">
        <w:t xml:space="preserve"> </w:t>
      </w:r>
      <w:r w:rsidR="00C20340">
        <w:t xml:space="preserve">Mr. Hinson’s conduct was egregious because of (a) the disruption of Westfield </w:t>
      </w:r>
      <w:r w:rsidR="00586F2A">
        <w:t xml:space="preserve">Volunteer Fire Department </w:t>
      </w:r>
      <w:r w:rsidR="00C20340">
        <w:t>members’ ability to communicate effectively with emergency dispatchers and (b) the consumption of limited local resources through the criminal investigation prompted by his transmissions.</w:t>
      </w:r>
      <w:r>
        <w:rPr>
          <w:rStyle w:val="FootnoteReference"/>
        </w:rPr>
        <w:footnoteReference w:id="19"/>
      </w:r>
      <w:r w:rsidR="00C20340">
        <w:t xml:space="preserve">  Mr. Hinson’s conduct </w:t>
      </w:r>
      <w:r w:rsidR="0004003B">
        <w:t xml:space="preserve">also </w:t>
      </w:r>
      <w:r w:rsidR="00C20340">
        <w:t xml:space="preserve">had the potential to cause substantial harm to life and </w:t>
      </w:r>
      <w:r w:rsidR="002C72EE">
        <w:t>property</w:t>
      </w:r>
      <w:r w:rsidR="00C20340">
        <w:t>.</w:t>
      </w:r>
      <w:r>
        <w:rPr>
          <w:rStyle w:val="FootnoteReference"/>
        </w:rPr>
        <w:footnoteReference w:id="20"/>
      </w:r>
      <w:r w:rsidR="00C20340">
        <w:t xml:space="preserve">  Specifically, b</w:t>
      </w:r>
      <w:r w:rsidR="005E0445">
        <w:t xml:space="preserve">y impersonating a unit of the Westfield </w:t>
      </w:r>
      <w:r w:rsidR="00586F2A">
        <w:t>Volunteer Fire Department</w:t>
      </w:r>
      <w:r w:rsidR="005E0445">
        <w:t xml:space="preserve">, Mr. Hinson created a </w:t>
      </w:r>
      <w:r w:rsidR="00952FB5">
        <w:t xml:space="preserve">false </w:t>
      </w:r>
      <w:r w:rsidR="005E0445">
        <w:t xml:space="preserve">perception within the Surry County Communications Center that the Westfield </w:t>
      </w:r>
      <w:r w:rsidR="00586F2A">
        <w:t xml:space="preserve">Volunteer Fire Department </w:t>
      </w:r>
      <w:r w:rsidR="005E0445">
        <w:t xml:space="preserve">was taking appropriate steps to investigate a residential fire alarm.  </w:t>
      </w:r>
      <w:r w:rsidR="00C20340">
        <w:t xml:space="preserve">  </w:t>
      </w:r>
    </w:p>
    <w:p w:rsidR="00991495" w:rsidP="00487A9D">
      <w:pPr>
        <w:pStyle w:val="ParaNum"/>
        <w:widowControl/>
        <w:tabs>
          <w:tab w:val="clear" w:pos="1080"/>
          <w:tab w:val="num" w:pos="1440"/>
        </w:tabs>
      </w:pPr>
      <w:bookmarkStart w:id="1" w:name="_Hlk7170748"/>
      <w:r>
        <w:t xml:space="preserve">In the NAL Response, </w:t>
      </w:r>
      <w:r>
        <w:t xml:space="preserve">Mr. Hinson </w:t>
      </w:r>
      <w:r w:rsidRPr="0007571D">
        <w:t xml:space="preserve">seeks a reduction </w:t>
      </w:r>
      <w:r>
        <w:t xml:space="preserve">or cancellation </w:t>
      </w:r>
      <w:r w:rsidRPr="0007571D">
        <w:t>of the proposed forfeiture b</w:t>
      </w:r>
      <w:r w:rsidRPr="009A2403">
        <w:t>ased on an asserted inability to pay.</w:t>
      </w:r>
      <w:r>
        <w:rPr>
          <w:rStyle w:val="FootnoteReference"/>
        </w:rPr>
        <w:footnoteReference w:id="21"/>
      </w:r>
      <w:r w:rsidRPr="009A2403">
        <w:t xml:space="preserve">  We decline to reduce the proposed forfeiture</w:t>
      </w:r>
      <w:r>
        <w:t xml:space="preserve"> on that basis</w:t>
      </w:r>
      <w:r w:rsidRPr="009A2403">
        <w:t xml:space="preserve">.  </w:t>
      </w:r>
      <w:r>
        <w:t>A</w:t>
      </w:r>
      <w:r w:rsidRPr="009A2403">
        <w:t xml:space="preserve"> violator’s “ability to pay” is only one of several factors the Commission must </w:t>
      </w:r>
      <w:r w:rsidR="00337D6A">
        <w:t>take into account</w:t>
      </w:r>
      <w:r w:rsidRPr="009A2403" w:rsidR="00337D6A">
        <w:t xml:space="preserve"> </w:t>
      </w:r>
      <w:r w:rsidRPr="009A2403">
        <w:t xml:space="preserve">when determining an appropriate forfeiture under </w:t>
      </w:r>
      <w:r w:rsidR="00D30DA8">
        <w:t>s</w:t>
      </w:r>
      <w:r w:rsidRPr="009A2403">
        <w:t>ection 503 of the Act and our forfeiture guidelines</w:t>
      </w:r>
      <w:r w:rsidR="00337D6A">
        <w:t xml:space="preserve">, together with </w:t>
      </w:r>
      <w:r w:rsidRPr="009A2403">
        <w:t>“the nature, circumstances, extent, and gravity of the violation and, with respect to the violator, the degree of culpability, any history of prior offenses, . . . and such other matters as justice may require.”</w:t>
      </w:r>
      <w:r>
        <w:rPr>
          <w:rStyle w:val="FootnoteReference"/>
        </w:rPr>
        <w:footnoteReference w:id="22"/>
      </w:r>
    </w:p>
    <w:p w:rsidR="005E0445" w:rsidRPr="005E0445" w:rsidP="00487A9D">
      <w:pPr>
        <w:pStyle w:val="ParaNum"/>
        <w:widowControl/>
        <w:tabs>
          <w:tab w:val="clear" w:pos="1080"/>
          <w:tab w:val="num" w:pos="1440"/>
        </w:tabs>
      </w:pPr>
      <w:r>
        <w:t>Mr. Hinson assert</w:t>
      </w:r>
      <w:r w:rsidR="00487A9D">
        <w:t>s</w:t>
      </w:r>
      <w:r>
        <w:t xml:space="preserve"> no argument and provid</w:t>
      </w:r>
      <w:r w:rsidR="00487A9D">
        <w:t>es</w:t>
      </w:r>
      <w:r>
        <w:t xml:space="preserve"> no evidence </w:t>
      </w:r>
      <w:r w:rsidR="00E86CE0">
        <w:t xml:space="preserve">to refute </w:t>
      </w:r>
      <w:r w:rsidR="00487A9D">
        <w:t xml:space="preserve">that </w:t>
      </w:r>
      <w:r w:rsidR="00E86CE0">
        <w:t>his conduct was egregious</w:t>
      </w:r>
      <w:r w:rsidR="008301EE">
        <w:t>,</w:t>
      </w:r>
      <w:r w:rsidR="00E86CE0">
        <w:t xml:space="preserve"> including </w:t>
      </w:r>
      <w:r w:rsidR="00487A9D">
        <w:t>the impact that his actions could have</w:t>
      </w:r>
      <w:r w:rsidR="00194343">
        <w:t xml:space="preserve"> had</w:t>
      </w:r>
      <w:r w:rsidR="00487A9D">
        <w:t xml:space="preserve"> on first responders and the public.  Therefore, </w:t>
      </w:r>
      <w:r w:rsidRPr="0007571D" w:rsidR="00487A9D">
        <w:t xml:space="preserve">notwithstanding </w:t>
      </w:r>
      <w:r w:rsidR="00487A9D">
        <w:t xml:space="preserve">Mr. Hinson’s assertion that he lacks the ability to pay the forfeiture, </w:t>
      </w:r>
      <w:r w:rsidRPr="0007571D" w:rsidR="005E750B">
        <w:t xml:space="preserve">we decline to </w:t>
      </w:r>
      <w:r w:rsidR="00487A9D">
        <w:t>grant Mr. Hinson’s request for a downward adjustment of the</w:t>
      </w:r>
      <w:r w:rsidRPr="0007571D" w:rsidR="005E750B">
        <w:t xml:space="preserve"> forfeiture</w:t>
      </w:r>
      <w:r w:rsidR="00487A9D">
        <w:t xml:space="preserve"> proposed in the </w:t>
      </w:r>
      <w:r w:rsidR="00CF2F36">
        <w:rPr>
          <w:rFonts w:ascii="TimesNewRomanPSMT" w:hAnsi="TimesNewRomanPSMT" w:cs="TimesNewRomanPSMT"/>
          <w:i/>
          <w:snapToGrid/>
          <w:kern w:val="0"/>
          <w:szCs w:val="22"/>
        </w:rPr>
        <w:t>Notice</w:t>
      </w:r>
      <w:r w:rsidRPr="0007571D" w:rsidR="005E750B">
        <w:t>.</w:t>
      </w:r>
      <w:r>
        <w:rPr>
          <w:rStyle w:val="FootnoteReference"/>
        </w:rPr>
        <w:footnoteReference w:id="23"/>
      </w:r>
      <w:r>
        <w:t xml:space="preserve"> </w:t>
      </w:r>
      <w:r w:rsidR="00487A9D">
        <w:t xml:space="preserve"> </w:t>
      </w:r>
      <w:r w:rsidR="00562F3F">
        <w:t xml:space="preserve">We find that Mr. Hinson’s argument about his inability to pay the forfeiture is greatly outweighed by other </w:t>
      </w:r>
      <w:r w:rsidR="002C72EE">
        <w:t xml:space="preserve">considerations </w:t>
      </w:r>
      <w:r w:rsidR="00562F3F">
        <w:t xml:space="preserve">that militate in favor of a </w:t>
      </w:r>
      <w:r w:rsidR="00EF1D07">
        <w:t>significant</w:t>
      </w:r>
      <w:r w:rsidR="00562F3F">
        <w:t xml:space="preserve"> forfeiture. </w:t>
      </w:r>
      <w:r w:rsidR="002C72EE">
        <w:t xml:space="preserve"> </w:t>
      </w:r>
      <w:r w:rsidR="00337D6A">
        <w:t xml:space="preserve">His conduct in impersonating a critical public-safety agency in connection with his unauthorized use of the frequency was particularly egregious.  </w:t>
      </w:r>
      <w:r w:rsidR="002C72EE">
        <w:t xml:space="preserve">This violation was </w:t>
      </w:r>
      <w:r w:rsidR="00337D6A">
        <w:t xml:space="preserve">also </w:t>
      </w:r>
      <w:r w:rsidR="002C72EE">
        <w:t>especially dangerous</w:t>
      </w:r>
      <w:r w:rsidR="00706C5A">
        <w:t xml:space="preserve">, posing potentially grave consequences, and we have no reason to doubt Mr. Hinson’s culpability.  </w:t>
      </w:r>
      <w:r w:rsidR="00706C5A">
        <w:rPr>
          <w:rFonts w:ascii="TimesNewRomanPSMT" w:hAnsi="TimesNewRomanPSMT" w:cs="TimesNewRomanPSMT"/>
          <w:snapToGrid/>
          <w:kern w:val="0"/>
          <w:szCs w:val="22"/>
        </w:rPr>
        <w:t>W</w:t>
      </w:r>
      <w:r w:rsidRPr="00487A9D">
        <w:rPr>
          <w:rFonts w:ascii="TimesNewRomanPSMT" w:hAnsi="TimesNewRomanPSMT" w:cs="TimesNewRomanPSMT"/>
          <w:snapToGrid/>
          <w:kern w:val="0"/>
          <w:szCs w:val="22"/>
        </w:rPr>
        <w:t xml:space="preserve">e conclude, based upon the evidence before us, that the </w:t>
      </w:r>
      <w:r w:rsidR="00CF2F36">
        <w:rPr>
          <w:rFonts w:ascii="TimesNewRomanPSMT" w:hAnsi="TimesNewRomanPSMT" w:cs="TimesNewRomanPSMT"/>
          <w:i/>
          <w:snapToGrid/>
          <w:kern w:val="0"/>
          <w:szCs w:val="22"/>
        </w:rPr>
        <w:t>Notice’s</w:t>
      </w:r>
      <w:r w:rsidR="00CF2F36">
        <w:rPr>
          <w:rFonts w:ascii="TimesNewRomanPSMT" w:hAnsi="TimesNewRomanPSMT" w:cs="TimesNewRomanPSMT"/>
          <w:snapToGrid/>
          <w:kern w:val="0"/>
          <w:szCs w:val="22"/>
        </w:rPr>
        <w:t xml:space="preserve"> </w:t>
      </w:r>
      <w:r w:rsidRPr="00487A9D">
        <w:rPr>
          <w:rFonts w:ascii="TimesNewRomanPSMT" w:hAnsi="TimesNewRomanPSMT" w:cs="TimesNewRomanPSMT"/>
          <w:snapToGrid/>
          <w:kern w:val="0"/>
          <w:szCs w:val="22"/>
        </w:rPr>
        <w:t xml:space="preserve">proposed forfeiture of $39,278 properly reflects </w:t>
      </w:r>
      <w:r w:rsidRPr="00487A9D" w:rsidR="00706C5A">
        <w:rPr>
          <w:rFonts w:ascii="TimesNewRomanPSMT" w:hAnsi="TimesNewRomanPSMT" w:cs="TimesNewRomanPSMT"/>
          <w:snapToGrid/>
          <w:kern w:val="0"/>
          <w:szCs w:val="22"/>
        </w:rPr>
        <w:t xml:space="preserve">the relevant statutory factors and our own forfeiture guidelines </w:t>
      </w:r>
      <w:r w:rsidR="00706C5A">
        <w:rPr>
          <w:rFonts w:ascii="TimesNewRomanPSMT" w:hAnsi="TimesNewRomanPSMT" w:cs="TimesNewRomanPSMT"/>
          <w:snapToGrid/>
          <w:kern w:val="0"/>
          <w:szCs w:val="22"/>
        </w:rPr>
        <w:t xml:space="preserve">as they relate to </w:t>
      </w:r>
      <w:r w:rsidRPr="00487A9D">
        <w:rPr>
          <w:rFonts w:ascii="TimesNewRomanPSMT" w:hAnsi="TimesNewRomanPSMT" w:cs="TimesNewRomanPSMT"/>
          <w:snapToGrid/>
          <w:kern w:val="0"/>
          <w:szCs w:val="22"/>
        </w:rPr>
        <w:t xml:space="preserve">Mr. Hinson’s violations of </w:t>
      </w:r>
      <w:r w:rsidR="00D30DA8">
        <w:rPr>
          <w:rFonts w:ascii="TimesNewRomanPSMT" w:hAnsi="TimesNewRomanPSMT" w:cs="TimesNewRomanPSMT"/>
          <w:snapToGrid/>
          <w:kern w:val="0"/>
          <w:szCs w:val="22"/>
        </w:rPr>
        <w:t>s</w:t>
      </w:r>
      <w:r w:rsidRPr="00487A9D">
        <w:rPr>
          <w:rFonts w:ascii="TimesNewRomanPSMT" w:hAnsi="TimesNewRomanPSMT" w:cs="TimesNewRomanPSMT"/>
          <w:snapToGrid/>
          <w:kern w:val="0"/>
          <w:szCs w:val="22"/>
        </w:rPr>
        <w:t>ection 301 of the Act.</w:t>
      </w:r>
    </w:p>
    <w:bookmarkEnd w:id="1"/>
    <w:p w:rsidR="00051458" w:rsidP="00051458">
      <w:pPr>
        <w:pStyle w:val="Heading1"/>
      </w:pPr>
      <w:r>
        <w:t>Conclusion</w:t>
      </w:r>
    </w:p>
    <w:p w:rsidR="00051458" w:rsidRPr="005E0445" w:rsidP="005E0445">
      <w:pPr>
        <w:pStyle w:val="ParaNum"/>
        <w:widowControl/>
        <w:tabs>
          <w:tab w:val="clear" w:pos="1080"/>
          <w:tab w:val="num" w:pos="1440"/>
        </w:tabs>
        <w:rPr>
          <w:rFonts w:ascii="TimesNewRomanPSMT" w:hAnsi="TimesNewRomanPSMT" w:cs="TimesNewRomanPSMT"/>
          <w:snapToGrid/>
          <w:kern w:val="0"/>
          <w:szCs w:val="22"/>
        </w:rPr>
      </w:pPr>
      <w:r>
        <w:rPr>
          <w:rFonts w:ascii="TimesNewRomanPSMT" w:hAnsi="TimesNewRomanPSMT" w:cs="TimesNewRomanPSMT"/>
          <w:snapToGrid/>
          <w:kern w:val="0"/>
          <w:szCs w:val="22"/>
        </w:rPr>
        <w:t xml:space="preserve">Based on our review of the record, we find that Ocean Adrian Hinson </w:t>
      </w:r>
      <w:r w:rsidRPr="005E0445">
        <w:rPr>
          <w:rFonts w:ascii="TimesNewRomanPSMT" w:hAnsi="TimesNewRomanPSMT" w:cs="TimesNewRomanPSMT"/>
          <w:snapToGrid/>
          <w:kern w:val="0"/>
          <w:szCs w:val="22"/>
        </w:rPr>
        <w:t xml:space="preserve">willfully and repeatedly violated </w:t>
      </w:r>
      <w:r w:rsidR="00D30DA8">
        <w:rPr>
          <w:rFonts w:ascii="TimesNewRomanPSMT" w:hAnsi="TimesNewRomanPSMT" w:cs="TimesNewRomanPSMT"/>
          <w:snapToGrid/>
          <w:kern w:val="0"/>
          <w:szCs w:val="22"/>
        </w:rPr>
        <w:t>s</w:t>
      </w:r>
      <w:r w:rsidRPr="005E0445">
        <w:rPr>
          <w:rFonts w:ascii="TimesNewRomanPSMT" w:hAnsi="TimesNewRomanPSMT" w:cs="TimesNewRomanPSMT"/>
          <w:snapToGrid/>
          <w:kern w:val="0"/>
          <w:szCs w:val="22"/>
        </w:rPr>
        <w:t>ection 301 of the Act</w:t>
      </w:r>
      <w:r w:rsidR="009D4D9C">
        <w:rPr>
          <w:rFonts w:ascii="TimesNewRomanPSMT" w:hAnsi="TimesNewRomanPSMT" w:cs="TimesNewRomanPSMT"/>
          <w:snapToGrid/>
          <w:kern w:val="0"/>
          <w:szCs w:val="22"/>
        </w:rPr>
        <w:t xml:space="preserve"> by twice transmitting without authorization on Surry County’s </w:t>
      </w:r>
      <w:r w:rsidR="009D4D9C">
        <w:rPr>
          <w:rFonts w:ascii="TimesNewRomanPSMT" w:hAnsi="TimesNewRomanPSMT" w:cs="TimesNewRomanPSMT"/>
          <w:snapToGrid/>
          <w:kern w:val="0"/>
          <w:szCs w:val="22"/>
        </w:rPr>
        <w:t>public safety frequency</w:t>
      </w:r>
      <w:r w:rsidRPr="005E0445">
        <w:rPr>
          <w:rFonts w:ascii="TimesNewRomanPSMT" w:hAnsi="TimesNewRomanPSMT" w:cs="TimesNewRomanPSMT"/>
          <w:snapToGrid/>
          <w:kern w:val="0"/>
          <w:szCs w:val="22"/>
        </w:rPr>
        <w:t xml:space="preserve">. </w:t>
      </w:r>
      <w:r w:rsidR="00194343">
        <w:rPr>
          <w:rFonts w:ascii="TimesNewRomanPSMT" w:hAnsi="TimesNewRomanPSMT" w:cs="TimesNewRomanPSMT"/>
          <w:snapToGrid/>
          <w:kern w:val="0"/>
          <w:szCs w:val="22"/>
        </w:rPr>
        <w:t xml:space="preserve"> </w:t>
      </w:r>
      <w:r w:rsidRPr="005E0445">
        <w:rPr>
          <w:rFonts w:ascii="TimesNewRomanPSMT" w:hAnsi="TimesNewRomanPSMT" w:cs="TimesNewRomanPSMT"/>
          <w:snapToGrid/>
          <w:kern w:val="0"/>
          <w:szCs w:val="22"/>
        </w:rPr>
        <w:t>After evaluating the entire record,</w:t>
      </w:r>
      <w:r>
        <w:rPr>
          <w:rFonts w:ascii="TimesNewRomanPSMT" w:hAnsi="TimesNewRomanPSMT" w:cs="TimesNewRomanPSMT"/>
          <w:snapToGrid/>
          <w:kern w:val="0"/>
          <w:szCs w:val="22"/>
        </w:rPr>
        <w:t xml:space="preserve"> </w:t>
      </w:r>
      <w:r w:rsidRPr="005E0445">
        <w:rPr>
          <w:rFonts w:ascii="TimesNewRomanPSMT" w:hAnsi="TimesNewRomanPSMT" w:cs="TimesNewRomanPSMT"/>
          <w:snapToGrid/>
          <w:kern w:val="0"/>
          <w:szCs w:val="22"/>
        </w:rPr>
        <w:t xml:space="preserve">including </w:t>
      </w:r>
      <w:r>
        <w:rPr>
          <w:rFonts w:ascii="TimesNewRomanPSMT" w:hAnsi="TimesNewRomanPSMT" w:cs="TimesNewRomanPSMT"/>
          <w:snapToGrid/>
          <w:kern w:val="0"/>
          <w:szCs w:val="22"/>
        </w:rPr>
        <w:t xml:space="preserve">Mr. Hinson’s </w:t>
      </w:r>
      <w:r w:rsidRPr="005E0445">
        <w:rPr>
          <w:rFonts w:ascii="TimesNewRomanPSMT" w:hAnsi="TimesNewRomanPSMT" w:cs="TimesNewRomanPSMT"/>
          <w:snapToGrid/>
          <w:kern w:val="0"/>
          <w:szCs w:val="22"/>
        </w:rPr>
        <w:t>response</w:t>
      </w:r>
      <w:r>
        <w:rPr>
          <w:rFonts w:ascii="TimesNewRomanPSMT" w:hAnsi="TimesNewRomanPSMT" w:cs="TimesNewRomanPSMT"/>
          <w:snapToGrid/>
          <w:kern w:val="0"/>
          <w:szCs w:val="22"/>
        </w:rPr>
        <w:t xml:space="preserve"> </w:t>
      </w:r>
      <w:r w:rsidRPr="005E0445">
        <w:rPr>
          <w:rFonts w:ascii="TimesNewRomanPSMT" w:hAnsi="TimesNewRomanPSMT" w:cs="TimesNewRomanPSMT"/>
          <w:snapToGrid/>
          <w:kern w:val="0"/>
          <w:szCs w:val="22"/>
        </w:rPr>
        <w:t xml:space="preserve">to the </w:t>
      </w:r>
      <w:r w:rsidR="00F87A5F">
        <w:rPr>
          <w:rFonts w:ascii="TimesNewRomanPS-ItalicMT" w:hAnsi="TimesNewRomanPS-ItalicMT" w:cs="TimesNewRomanPS-ItalicMT"/>
          <w:i/>
          <w:iCs/>
          <w:snapToGrid/>
          <w:kern w:val="0"/>
          <w:szCs w:val="22"/>
        </w:rPr>
        <w:t>Notice</w:t>
      </w:r>
      <w:r w:rsidRPr="005E0445">
        <w:rPr>
          <w:rFonts w:ascii="TimesNewRomanPSMT" w:hAnsi="TimesNewRomanPSMT" w:cs="TimesNewRomanPSMT"/>
          <w:snapToGrid/>
          <w:kern w:val="0"/>
          <w:szCs w:val="22"/>
        </w:rPr>
        <w:t>, we affirm the findings made in the</w:t>
      </w:r>
      <w:r>
        <w:rPr>
          <w:rFonts w:ascii="TimesNewRomanPSMT" w:hAnsi="TimesNewRomanPSMT" w:cs="TimesNewRomanPSMT"/>
          <w:snapToGrid/>
          <w:kern w:val="0"/>
          <w:szCs w:val="22"/>
        </w:rPr>
        <w:t xml:space="preserve"> </w:t>
      </w:r>
      <w:r w:rsidR="00CF2F36">
        <w:rPr>
          <w:rFonts w:ascii="TimesNewRomanPSMT" w:hAnsi="TimesNewRomanPSMT" w:cs="TimesNewRomanPSMT"/>
          <w:i/>
          <w:snapToGrid/>
          <w:kern w:val="0"/>
          <w:szCs w:val="22"/>
        </w:rPr>
        <w:t xml:space="preserve">Notice </w:t>
      </w:r>
      <w:r w:rsidRPr="005E0445">
        <w:rPr>
          <w:rFonts w:ascii="TimesNewRomanPSMT" w:hAnsi="TimesNewRomanPSMT" w:cs="TimesNewRomanPSMT"/>
          <w:snapToGrid/>
          <w:kern w:val="0"/>
          <w:szCs w:val="22"/>
        </w:rPr>
        <w:t>and decline to cancel, withdraw, or reduce the $</w:t>
      </w:r>
      <w:r>
        <w:rPr>
          <w:rFonts w:ascii="TimesNewRomanPSMT" w:hAnsi="TimesNewRomanPSMT" w:cs="TimesNewRomanPSMT"/>
          <w:snapToGrid/>
          <w:kern w:val="0"/>
          <w:szCs w:val="22"/>
        </w:rPr>
        <w:t>39,278</w:t>
      </w:r>
      <w:r w:rsidRPr="005E0445">
        <w:rPr>
          <w:rFonts w:ascii="TimesNewRomanPSMT" w:hAnsi="TimesNewRomanPSMT" w:cs="TimesNewRomanPSMT"/>
          <w:snapToGrid/>
          <w:kern w:val="0"/>
          <w:szCs w:val="22"/>
        </w:rPr>
        <w:t xml:space="preserve"> forfeiture proposed in the </w:t>
      </w:r>
      <w:r w:rsidR="00CF2F36">
        <w:rPr>
          <w:rFonts w:ascii="TimesNewRomanPSMT" w:hAnsi="TimesNewRomanPSMT" w:cs="TimesNewRomanPSMT"/>
          <w:i/>
          <w:snapToGrid/>
          <w:kern w:val="0"/>
          <w:szCs w:val="22"/>
        </w:rPr>
        <w:t>Notice</w:t>
      </w:r>
      <w:r w:rsidRPr="005E0445">
        <w:rPr>
          <w:rFonts w:ascii="TimesNewRomanPSMT" w:hAnsi="TimesNewRomanPSMT" w:cs="TimesNewRomanPSMT"/>
          <w:snapToGrid/>
          <w:kern w:val="0"/>
          <w:szCs w:val="22"/>
        </w:rPr>
        <w:t>.</w:t>
      </w:r>
    </w:p>
    <w:p w:rsidR="00051458" w:rsidP="00051458">
      <w:pPr>
        <w:pStyle w:val="Heading1"/>
      </w:pPr>
      <w:bookmarkStart w:id="2" w:name="_Hlk7537705"/>
      <w:r>
        <w:t>Ordering Clauses</w:t>
      </w:r>
    </w:p>
    <w:p w:rsidR="00051458" w:rsidRPr="00051458" w:rsidP="0070498B">
      <w:pPr>
        <w:pStyle w:val="ParaNum"/>
        <w:widowControl/>
        <w:tabs>
          <w:tab w:val="clear" w:pos="1080"/>
          <w:tab w:val="num" w:pos="1440"/>
        </w:tabs>
      </w:pPr>
      <w:r w:rsidRPr="005E0445">
        <w:rPr>
          <w:rFonts w:ascii="TimesNewRomanPSMT" w:hAnsi="TimesNewRomanPSMT" w:cs="TimesNewRomanPSMT"/>
          <w:snapToGrid/>
          <w:kern w:val="0"/>
          <w:szCs w:val="22"/>
        </w:rPr>
        <w:t>Accordingly</w:t>
      </w:r>
      <w:r w:rsidRPr="00051458">
        <w:t xml:space="preserve">, </w:t>
      </w:r>
      <w:r w:rsidRPr="00051458">
        <w:rPr>
          <w:b/>
        </w:rPr>
        <w:t xml:space="preserve">IT IS ORDERED </w:t>
      </w:r>
      <w:r w:rsidRPr="00051458">
        <w:t xml:space="preserve">that, pursuant to </w:t>
      </w:r>
      <w:r w:rsidR="00D30DA8">
        <w:t>s</w:t>
      </w:r>
      <w:r w:rsidRPr="00051458">
        <w:t>ection 503(b) of the Act,</w:t>
      </w:r>
      <w:r>
        <w:rPr>
          <w:vertAlign w:val="superscript"/>
        </w:rPr>
        <w:footnoteReference w:id="24"/>
      </w:r>
      <w:r w:rsidRPr="00051458">
        <w:t xml:space="preserve"> and </w:t>
      </w:r>
      <w:r w:rsidR="00D30DA8">
        <w:t>s</w:t>
      </w:r>
      <w:r w:rsidRPr="00051458">
        <w:t xml:space="preserve">ection 1.80 of the </w:t>
      </w:r>
      <w:r w:rsidR="007C5C6D">
        <w:t>Commission’s r</w:t>
      </w:r>
      <w:r w:rsidRPr="00051458">
        <w:t>ules,</w:t>
      </w:r>
      <w:r>
        <w:rPr>
          <w:vertAlign w:val="superscript"/>
        </w:rPr>
        <w:footnoteReference w:id="25"/>
      </w:r>
      <w:r w:rsidRPr="00051458">
        <w:t xml:space="preserve"> </w:t>
      </w:r>
      <w:r>
        <w:t xml:space="preserve">Ocean Adrian Hinson </w:t>
      </w:r>
      <w:r w:rsidRPr="00051458">
        <w:rPr>
          <w:b/>
        </w:rPr>
        <w:t>IS LIABLE FOR A MONETARY FORFEITURE</w:t>
      </w:r>
      <w:r w:rsidRPr="00051458">
        <w:t xml:space="preserve"> in the amount of </w:t>
      </w:r>
      <w:r>
        <w:t>Thirty-Nine Thousand, Two Hundred, Seventy-Eight Dollars ($39,278)</w:t>
      </w:r>
      <w:r w:rsidRPr="00051458">
        <w:t xml:space="preserve"> for willfully and repeatedly violating </w:t>
      </w:r>
      <w:r w:rsidR="00D30DA8">
        <w:t>s</w:t>
      </w:r>
      <w:r>
        <w:t>ection 301 of the Act.</w:t>
      </w:r>
      <w:r>
        <w:rPr>
          <w:rStyle w:val="FootnoteReference"/>
        </w:rPr>
        <w:footnoteReference w:id="26"/>
      </w:r>
    </w:p>
    <w:p w:rsidR="00051458" w:rsidRPr="00051458" w:rsidP="005E0445">
      <w:pPr>
        <w:pStyle w:val="ParaNum"/>
        <w:widowControl/>
        <w:tabs>
          <w:tab w:val="clear" w:pos="1080"/>
          <w:tab w:val="num" w:pos="1440"/>
        </w:tabs>
      </w:pPr>
      <w:r w:rsidRPr="005E0445">
        <w:rPr>
          <w:rFonts w:ascii="TimesNewRomanPSMT" w:hAnsi="TimesNewRomanPSMT" w:cs="TimesNewRomanPSMT"/>
          <w:snapToGrid/>
          <w:kern w:val="0"/>
          <w:szCs w:val="22"/>
        </w:rPr>
        <w:t>Payment</w:t>
      </w:r>
      <w:r w:rsidRPr="00051458">
        <w:t xml:space="preserve"> of the forfeiture shall be made in the manner provided for in </w:t>
      </w:r>
      <w:r w:rsidR="00D30DA8">
        <w:t>s</w:t>
      </w:r>
      <w:r w:rsidRPr="00051458">
        <w:t xml:space="preserve">ection 1.80 of the </w:t>
      </w:r>
      <w:r w:rsidR="007C5C6D">
        <w:t>Commission’s r</w:t>
      </w:r>
      <w:r w:rsidRPr="00051458">
        <w:t>ules within thirty (30) calendar days after the release of this Forfeiture Order.</w:t>
      </w:r>
      <w:r>
        <w:rPr>
          <w:vertAlign w:val="superscript"/>
        </w:rPr>
        <w:footnoteReference w:id="27"/>
      </w:r>
      <w:r w:rsidRPr="00051458">
        <w:t xml:space="preserve">  If the forfeiture is not paid within the period specified, the case may be referred to the U.S. Department of Justice for enforcement of the forfeiture pursuant to </w:t>
      </w:r>
      <w:r w:rsidR="00D30DA8">
        <w:t>s</w:t>
      </w:r>
      <w:r w:rsidRPr="00051458">
        <w:t>ection 504(a) of the Act.</w:t>
      </w:r>
      <w:r>
        <w:rPr>
          <w:vertAlign w:val="superscript"/>
        </w:rPr>
        <w:footnoteReference w:id="28"/>
      </w:r>
      <w:r w:rsidRPr="00051458">
        <w:t xml:space="preserve">  </w:t>
      </w:r>
    </w:p>
    <w:p w:rsidR="00051458" w:rsidRPr="00051458" w:rsidP="005E0445">
      <w:pPr>
        <w:pStyle w:val="ParaNum"/>
        <w:widowControl/>
        <w:tabs>
          <w:tab w:val="clear" w:pos="1080"/>
          <w:tab w:val="num" w:pos="1440"/>
        </w:tabs>
      </w:pPr>
      <w:r w:rsidRPr="00AD0726">
        <w:t xml:space="preserve">Payment of the </w:t>
      </w:r>
      <w:r w:rsidR="00DB504F">
        <w:t xml:space="preserve">forfeiture </w:t>
      </w:r>
      <w:r w:rsidRPr="00AD0726">
        <w:t xml:space="preserve">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29"/>
      </w:r>
      <w:r w:rsidRPr="00AD0726">
        <w:t xml:space="preserve"> or by wire transfer.  </w:t>
      </w:r>
      <w:r>
        <w:t xml:space="preserve">The Commission no longer accepts Civil Penalty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30"/>
      </w:r>
    </w:p>
    <w:p w:rsidR="001B68EA" w:rsidRPr="00AD0726" w:rsidP="001B68EA">
      <w:pPr>
        <w:numPr>
          <w:ilvl w:val="0"/>
          <w:numId w:val="28"/>
        </w:numPr>
        <w:spacing w:after="120"/>
      </w:pPr>
      <w:r w:rsidRPr="00AD0726">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9659FC" w:rsidR="00DB504F">
          <w:rPr>
            <w:rStyle w:val="Hyperlink"/>
          </w:rPr>
          <w:t>RROGWireFaxes@fcc.gov</w:t>
        </w:r>
      </w:hyperlink>
      <w:r w:rsidRPr="00AD0726">
        <w:t xml:space="preserve">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31"/>
      </w:r>
      <w:r w:rsidRPr="00AD0726">
        <w:t xml:space="preserve">  For additional detail and wire transfer instructions</w:t>
      </w:r>
      <w:r>
        <w:t>,</w:t>
      </w:r>
      <w:r w:rsidRPr="00AD0726">
        <w:t xml:space="preserve"> go to </w:t>
      </w:r>
      <w:hyperlink r:id="rId6" w:history="1">
        <w:r w:rsidRPr="00AD0726">
          <w:rPr>
            <w:rStyle w:val="Hyperlink"/>
          </w:rPr>
          <w:t>https://www.fcc.gov/licensing-databases/fees/wire-transfer</w:t>
        </w:r>
      </w:hyperlink>
      <w:r w:rsidRPr="00AD0726">
        <w:t xml:space="preserve">.  </w:t>
      </w:r>
    </w:p>
    <w:p w:rsidR="001B68EA" w:rsidRPr="00AD0726" w:rsidP="00DB504F">
      <w:pPr>
        <w:widowControl/>
        <w:numPr>
          <w:ilvl w:val="0"/>
          <w:numId w:val="28"/>
        </w:numPr>
        <w:spacing w:after="120"/>
      </w:pPr>
      <w:r w:rsidRPr="00AD0726">
        <w:t xml:space="preserve">Payment by credit card must be made by using the </w:t>
      </w:r>
      <w:r>
        <w:t xml:space="preserve">Commission’s </w:t>
      </w:r>
      <w:r w:rsidRPr="00AD0726">
        <w:t>Fee Filer website at</w:t>
      </w:r>
      <w:r w:rsidR="00DB504F">
        <w:t xml:space="preserve"> </w:t>
      </w:r>
      <w:hyperlink r:id="rId7" w:history="1">
        <w:r w:rsidRPr="009659FC" w:rsidR="00DB504F">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NAL Account – the bill number is the NAL Account number with the first two digits excluded</w:t>
      </w:r>
      <w:r>
        <w:t xml:space="preserve"> – and then choose </w:t>
      </w:r>
      <w:r w:rsidRPr="00AD0726">
        <w:t>the “Pay by Credit Card” option.  Please note</w:t>
      </w:r>
      <w:r>
        <w:t xml:space="preserve"> that</w:t>
      </w:r>
      <w:r w:rsidRPr="00AD0726">
        <w:t xml:space="preserve"> there is a dollar limitation on credit card transactions, which cannot exceed $24,999.99.</w:t>
      </w:r>
    </w:p>
    <w:p w:rsidR="00051458" w:rsidRPr="00051458" w:rsidP="00051458">
      <w:pPr>
        <w:numPr>
          <w:ilvl w:val="0"/>
          <w:numId w:val="8"/>
        </w:numPr>
        <w:spacing w:after="120"/>
      </w:pPr>
      <w:r w:rsidRPr="00AD0726">
        <w:t>Payment by ACH</w:t>
      </w:r>
      <w:r>
        <w:t xml:space="preserve"> </w:t>
      </w:r>
      <w:r w:rsidRPr="00AD0726">
        <w:t xml:space="preserve">must be made by using the Commission’s Fee Filer website at </w:t>
      </w:r>
      <w:hyperlink r:id="rId7" w:history="1">
        <w:r w:rsidRPr="009659FC" w:rsidR="00DB504F">
          <w:rPr>
            <w:rStyle w:val="Hyperlink"/>
          </w:rPr>
          <w:t>https://apps.fcc.gov/FeeFiler/login.cfm</w:t>
        </w:r>
      </w:hyperlink>
      <w:r w:rsidRPr="00AD0726">
        <w:t>.</w:t>
      </w:r>
      <w:r w:rsidR="00DB504F">
        <w:t xml:space="preserve"> </w:t>
      </w:r>
      <w:r w:rsidRPr="00AD0726">
        <w:t xml:space="preserve"> </w:t>
      </w:r>
      <w:r>
        <w:t>To pay by ACH,</w:t>
      </w:r>
      <w:r w:rsidRPr="00AD0726">
        <w:t xml:space="preserve"> log</w:t>
      </w:r>
      <w:r>
        <w:t xml:space="preserve"> </w:t>
      </w:r>
      <w:r w:rsidRPr="00AD0726">
        <w:t xml:space="preserve">in using the FRN captioned </w:t>
      </w:r>
      <w:r w:rsidRPr="00AD0726">
        <w:t>above.  If payment must be split across FRNs</w:t>
      </w:r>
      <w:r>
        <w:t>,</w:t>
      </w:r>
      <w:r w:rsidRPr="00AD0726">
        <w:t xml:space="preserve"> complete this process for each FRN. </w:t>
      </w:r>
      <w:r>
        <w:t xml:space="preserve"> Next, </w:t>
      </w:r>
      <w:r w:rsidRPr="00AD0726">
        <w:t>select “Pay bills” on the Fee Filer Menu and then select the bill number associated to the NAL Account – the bill number is the NAL Account number with the first two digits excluded</w:t>
      </w:r>
      <w:r>
        <w:t xml:space="preserve"> -- 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p w:rsidR="00051458" w:rsidRPr="00051458" w:rsidP="005E0445">
      <w:pPr>
        <w:pStyle w:val="ParaNum"/>
        <w:widowControl/>
        <w:tabs>
          <w:tab w:val="clear" w:pos="1080"/>
          <w:tab w:val="num" w:pos="1440"/>
        </w:tabs>
      </w:pPr>
      <w:r w:rsidRPr="005E0445">
        <w:rPr>
          <w:rFonts w:ascii="TimesNewRomanPSMT" w:hAnsi="TimesNewRomanPSMT" w:cs="TimesNewRomanPSMT"/>
          <w:snapToGrid/>
          <w:kern w:val="0"/>
          <w:szCs w:val="22"/>
        </w:rPr>
        <w:t>Any</w:t>
      </w:r>
      <w:r w:rsidRPr="00051458">
        <w:t xml:space="preserve"> request for making full payment over time under an installment plan should be sent to:  Chief Financial Officer – Financial Operations, Federal Communications Commission, 445 12th Street, SW, Room 1</w:t>
      </w:r>
      <w:r w:rsidRPr="00051458">
        <w:noBreakHyphen/>
        <w:t>A625, Washington, DC 20554.</w:t>
      </w:r>
      <w:r>
        <w:rPr>
          <w:vertAlign w:val="superscript"/>
        </w:rPr>
        <w:footnoteReference w:id="32"/>
      </w:r>
      <w:r w:rsidRPr="00051458">
        <w:t xml:space="preserve">  Questions regarding payment procedures should be directed to the Financial Operations Group Help Desk by telephone, 1-877-480-3201, or by e-mail, ARINQUIRIES@fcc.gov.</w:t>
      </w:r>
    </w:p>
    <w:bookmarkEnd w:id="2"/>
    <w:p w:rsidR="00051458" w:rsidP="00836D02">
      <w:pPr>
        <w:pStyle w:val="ParaNum"/>
        <w:keepNext/>
        <w:widowControl/>
        <w:tabs>
          <w:tab w:val="clear" w:pos="1080"/>
          <w:tab w:val="num" w:pos="1440"/>
        </w:tabs>
      </w:pPr>
      <w:r w:rsidRPr="00051458">
        <w:rPr>
          <w:b/>
        </w:rPr>
        <w:t>IT IS FURTHER ORDERED</w:t>
      </w:r>
      <w:r w:rsidRPr="00051458">
        <w:t xml:space="preserve"> that a copy of this Forfeiture Order shall be sent by first class mail and </w:t>
      </w:r>
      <w:r w:rsidRPr="005E0445">
        <w:rPr>
          <w:rFonts w:ascii="TimesNewRomanPSMT" w:hAnsi="TimesNewRomanPSMT" w:cs="TimesNewRomanPSMT"/>
          <w:snapToGrid/>
          <w:kern w:val="0"/>
          <w:szCs w:val="22"/>
        </w:rPr>
        <w:t>certified</w:t>
      </w:r>
      <w:r w:rsidRPr="00051458">
        <w:t xml:space="preserve"> mail, return receipt requested, to </w:t>
      </w:r>
      <w:r>
        <w:t>Ocean Adrian Hinson at his address of record and to Andrew G. Brown, Esq., Finger, Roemer, Brown &amp; Mariani, L.L.P., 105 South Bridge Street, Post Office Drawer 8, Jonesville, North Carolina 28642.</w:t>
      </w:r>
    </w:p>
    <w:p w:rsidR="005E0445" w:rsidP="00836D02">
      <w:pPr>
        <w:pStyle w:val="ParaNum"/>
        <w:keepNext/>
        <w:widowControl/>
        <w:numPr>
          <w:ilvl w:val="0"/>
          <w:numId w:val="0"/>
        </w:numPr>
        <w:ind w:left="720"/>
      </w:pPr>
    </w:p>
    <w:p w:rsidR="005E0445" w:rsidP="00533379">
      <w:r>
        <w:tab/>
      </w:r>
      <w:r>
        <w:tab/>
      </w:r>
      <w:r>
        <w:tab/>
      </w:r>
      <w:r>
        <w:tab/>
      </w:r>
      <w:r>
        <w:tab/>
      </w:r>
      <w:r>
        <w:tab/>
        <w:t>FEDERAL COMMUNICATIONS COMMISSION</w:t>
      </w:r>
    </w:p>
    <w:p w:rsidR="005E0445" w:rsidP="00533379"/>
    <w:p w:rsidR="005E0445" w:rsidP="00533379"/>
    <w:p w:rsidR="005E0445" w:rsidP="00533379"/>
    <w:p w:rsidR="005E0445" w:rsidP="00533379"/>
    <w:p w:rsidR="005E0445" w:rsidP="00533379">
      <w:r>
        <w:tab/>
      </w:r>
      <w:r>
        <w:tab/>
      </w:r>
      <w:r>
        <w:tab/>
      </w:r>
      <w:r>
        <w:tab/>
      </w:r>
      <w:r>
        <w:tab/>
      </w:r>
      <w:r>
        <w:tab/>
        <w:t>Marlene H. Dortch</w:t>
      </w:r>
    </w:p>
    <w:p w:rsidR="005E0445" w:rsidP="00533379">
      <w:r>
        <w:tab/>
      </w:r>
      <w:r>
        <w:tab/>
      </w:r>
      <w:r>
        <w:tab/>
      </w:r>
      <w:r>
        <w:tab/>
      </w:r>
      <w:r>
        <w:tab/>
      </w:r>
      <w:r>
        <w:tab/>
        <w:t>Secretary</w:t>
      </w:r>
    </w:p>
    <w:p w:rsidR="005E0445" w:rsidRPr="00051458" w:rsidP="005E0445"/>
    <w:sectPr w:rsidSect="0055614C">
      <w:headerReference w:type="default" r:id="rId8"/>
      <w:footerReference w:type="even" r:id="rId9"/>
      <w:footerReference w:type="default" r:id="rId10"/>
      <w:head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22872">
    <w:pPr>
      <w:pStyle w:val="Footer"/>
      <w:jc w:val="center"/>
    </w:pPr>
    <w:r>
      <w:fldChar w:fldCharType="begin"/>
    </w:r>
    <w:r>
      <w:instrText xml:space="preserve"> PAGE   \* MERGEFORMAT </w:instrText>
    </w:r>
    <w:r>
      <w:fldChar w:fldCharType="separate"/>
    </w:r>
    <w:r w:rsidR="00362E1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6B53">
      <w:r>
        <w:separator/>
      </w:r>
    </w:p>
  </w:footnote>
  <w:footnote w:type="continuationSeparator" w:id="1">
    <w:p w:rsidR="00F66B53" w:rsidP="00C721AC">
      <w:pPr>
        <w:spacing w:before="120"/>
        <w:rPr>
          <w:sz w:val="20"/>
        </w:rPr>
      </w:pPr>
      <w:r>
        <w:rPr>
          <w:sz w:val="20"/>
        </w:rPr>
        <w:t xml:space="preserve">(Continued from previous page)  </w:t>
      </w:r>
      <w:r>
        <w:rPr>
          <w:sz w:val="20"/>
        </w:rPr>
        <w:separator/>
      </w:r>
    </w:p>
  </w:footnote>
  <w:footnote w:type="continuationNotice" w:id="2">
    <w:p w:rsidR="00F66B53" w:rsidP="00C721AC">
      <w:pPr>
        <w:jc w:val="right"/>
        <w:rPr>
          <w:sz w:val="20"/>
        </w:rPr>
      </w:pPr>
      <w:r>
        <w:rPr>
          <w:sz w:val="20"/>
        </w:rPr>
        <w:t>(continued….)</w:t>
      </w:r>
    </w:p>
  </w:footnote>
  <w:footnote w:id="3">
    <w:p w:rsidR="00053762" w:rsidP="00053762">
      <w:pPr>
        <w:pStyle w:val="FootnoteText"/>
      </w:pPr>
      <w:r>
        <w:rPr>
          <w:rStyle w:val="FootnoteReference"/>
        </w:rPr>
        <w:footnoteRef/>
      </w:r>
      <w:r>
        <w:t xml:space="preserve"> </w:t>
      </w:r>
      <w:r w:rsidRPr="00BC6870">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917EBA" w:rsidRPr="00917EBA" w:rsidP="00917EBA">
      <w:pPr>
        <w:pStyle w:val="FootnoteText"/>
      </w:pPr>
      <w:r>
        <w:rPr>
          <w:rStyle w:val="FootnoteReference"/>
        </w:rPr>
        <w:footnoteRef/>
      </w:r>
      <w:r>
        <w:t xml:space="preserve"> </w:t>
      </w:r>
      <w:r>
        <w:rPr>
          <w:i/>
        </w:rPr>
        <w:t>See</w:t>
      </w:r>
      <w:r>
        <w:t xml:space="preserve"> </w:t>
      </w:r>
      <w:r>
        <w:rPr>
          <w:i/>
        </w:rPr>
        <w:t>Ocean Adrian Hinson, Surry County, North Carolina</w:t>
      </w:r>
      <w:r>
        <w:t>, No</w:t>
      </w:r>
      <w:bookmarkStart w:id="0" w:name="_GoBack"/>
      <w:bookmarkEnd w:id="0"/>
      <w:r>
        <w:t>tice of Apparent Liability for Forfeiture, 33 FCC Rcd 9977 (2018) (</w:t>
      </w:r>
      <w:r w:rsidR="00CF2F36">
        <w:rPr>
          <w:i/>
        </w:rPr>
        <w:t>Notice</w:t>
      </w:r>
      <w:r>
        <w:t xml:space="preserve">).  </w:t>
      </w:r>
      <w:r w:rsidRPr="00917EBA">
        <w:rPr>
          <w:iCs/>
        </w:rPr>
        <w:t xml:space="preserve">The </w:t>
      </w:r>
      <w:r w:rsidR="008301EE">
        <w:rPr>
          <w:i/>
          <w:iCs/>
        </w:rPr>
        <w:t xml:space="preserve">Notice </w:t>
      </w:r>
      <w:r w:rsidRPr="00917EBA">
        <w:rPr>
          <w:iCs/>
        </w:rPr>
        <w:t>includes a more complete discussion of the facts and history of this case and is incorporated herein by reference</w:t>
      </w:r>
      <w:r>
        <w:rPr>
          <w:iCs/>
        </w:rPr>
        <w:t>.</w:t>
      </w:r>
      <w:r>
        <w:t xml:space="preserve"> </w:t>
      </w:r>
    </w:p>
  </w:footnote>
  <w:footnote w:id="5">
    <w:p w:rsidR="00CF2F36">
      <w:pPr>
        <w:pStyle w:val="FootnoteText"/>
      </w:pPr>
      <w:r>
        <w:rPr>
          <w:rStyle w:val="FootnoteReference"/>
        </w:rPr>
        <w:footnoteRef/>
      </w:r>
      <w:r>
        <w:t xml:space="preserve"> 47 U.S.C. § 301 (“No person shall use or operate any apparatus for the transmission of energy or communications or signals by radio . . . except under an in accordance with this Act and with a license in that behalf granted under the provisions of this Act.”).</w:t>
      </w:r>
    </w:p>
  </w:footnote>
  <w:footnote w:id="6">
    <w:p w:rsidR="009A1C63" w:rsidRPr="00917EBA">
      <w:pPr>
        <w:pStyle w:val="FootnoteText"/>
      </w:pPr>
      <w:r>
        <w:rPr>
          <w:rStyle w:val="FootnoteReference"/>
        </w:rPr>
        <w:footnoteRef/>
      </w:r>
      <w:r>
        <w:t xml:space="preserve"> </w:t>
      </w:r>
      <w:r w:rsidR="008301EE">
        <w:rPr>
          <w:i/>
        </w:rPr>
        <w:t>Notice</w:t>
      </w:r>
      <w:r w:rsidR="005425F1">
        <w:t>, 33 FCC Rcd</w:t>
      </w:r>
      <w:r w:rsidR="00917EBA">
        <w:t xml:space="preserve"> at 9977</w:t>
      </w:r>
      <w:r w:rsidR="00B07F39">
        <w:t>–</w:t>
      </w:r>
      <w:r w:rsidR="00917EBA">
        <w:t>78</w:t>
      </w:r>
      <w:r w:rsidR="00897D52">
        <w:t>, paras. 2</w:t>
      </w:r>
      <w:r w:rsidR="00B07F39">
        <w:t>–</w:t>
      </w:r>
      <w:r w:rsidR="00897D52">
        <w:t>3</w:t>
      </w:r>
      <w:r w:rsidR="00917EBA">
        <w:t xml:space="preserve">. </w:t>
      </w:r>
    </w:p>
  </w:footnote>
  <w:footnote w:id="7">
    <w:p w:rsidR="00586F2A" w:rsidRPr="00586F2A">
      <w:pPr>
        <w:pStyle w:val="FootnoteText"/>
      </w:pPr>
      <w:r>
        <w:rPr>
          <w:rStyle w:val="FootnoteReference"/>
        </w:rPr>
        <w:footnoteRef/>
      </w:r>
      <w:r>
        <w:t xml:space="preserve"> </w:t>
      </w:r>
      <w:r>
        <w:rPr>
          <w:i/>
        </w:rPr>
        <w:t>Id.</w:t>
      </w:r>
    </w:p>
  </w:footnote>
  <w:footnote w:id="8">
    <w:p w:rsidR="00A0354C" w:rsidP="00A0354C">
      <w:pPr>
        <w:pStyle w:val="FootnoteText"/>
      </w:pPr>
      <w:r>
        <w:rPr>
          <w:rStyle w:val="FootnoteReference"/>
        </w:rPr>
        <w:footnoteRef/>
      </w:r>
      <w:r>
        <w:t xml:space="preserve"> 47 U.S.C. § 301</w:t>
      </w:r>
      <w:r w:rsidR="00586F2A">
        <w:t xml:space="preserve">; </w:t>
      </w:r>
      <w:r w:rsidR="008301EE">
        <w:rPr>
          <w:i/>
        </w:rPr>
        <w:t>Notice</w:t>
      </w:r>
      <w:r w:rsidR="00586F2A">
        <w:t>, 33 FCC Rcd at 9978 -79</w:t>
      </w:r>
      <w:r w:rsidR="00897D52">
        <w:t>, paras. 5</w:t>
      </w:r>
      <w:r w:rsidR="00B07F39">
        <w:t>–</w:t>
      </w:r>
      <w:r w:rsidR="00897D52">
        <w:t>6.</w:t>
      </w:r>
    </w:p>
  </w:footnote>
  <w:footnote w:id="9">
    <w:p w:rsidR="00917EBA">
      <w:pPr>
        <w:pStyle w:val="FootnoteText"/>
      </w:pPr>
      <w:r>
        <w:rPr>
          <w:rStyle w:val="FootnoteReference"/>
        </w:rPr>
        <w:footnoteRef/>
      </w:r>
      <w:r>
        <w:t xml:space="preserve"> Ocean Adrian Hinson, Response to Notice of Apparent Liability for Forfeiture (Nov. 9, 2018) (on file in EB-FIELDSCR-</w:t>
      </w:r>
      <w:r w:rsidRPr="00917EBA">
        <w:t>17-00025734</w:t>
      </w:r>
      <w:r>
        <w:t>) (NAL Response).</w:t>
      </w:r>
    </w:p>
  </w:footnote>
  <w:footnote w:id="10">
    <w:p w:rsidR="009A1C63" w:rsidRPr="00917EBA">
      <w:pPr>
        <w:pStyle w:val="FootnoteText"/>
      </w:pPr>
      <w:r>
        <w:rPr>
          <w:rStyle w:val="FootnoteReference"/>
        </w:rPr>
        <w:footnoteRef/>
      </w:r>
      <w:r>
        <w:t xml:space="preserve"> </w:t>
      </w:r>
      <w:r w:rsidR="00917EBA">
        <w:rPr>
          <w:i/>
        </w:rPr>
        <w:t>See</w:t>
      </w:r>
      <w:r w:rsidR="00917EBA">
        <w:t xml:space="preserve"> </w:t>
      </w:r>
      <w:r w:rsidR="00917EBA">
        <w:rPr>
          <w:i/>
        </w:rPr>
        <w:t xml:space="preserve">generally </w:t>
      </w:r>
      <w:r w:rsidR="00917EBA">
        <w:t>NAL Response.</w:t>
      </w:r>
    </w:p>
  </w:footnote>
  <w:footnote w:id="11">
    <w:p w:rsidR="00035C5C" w:rsidRPr="00917EBA" w:rsidP="00035C5C">
      <w:pPr>
        <w:pStyle w:val="FootnoteText"/>
      </w:pPr>
      <w:r>
        <w:rPr>
          <w:rStyle w:val="FootnoteReference"/>
        </w:rPr>
        <w:footnoteRef/>
      </w:r>
      <w:r>
        <w:t xml:space="preserve"> </w:t>
      </w:r>
      <w:r>
        <w:rPr>
          <w:i/>
        </w:rPr>
        <w:t>See</w:t>
      </w:r>
      <w:r>
        <w:t xml:space="preserve"> </w:t>
      </w:r>
      <w:r>
        <w:rPr>
          <w:i/>
        </w:rPr>
        <w:t>id</w:t>
      </w:r>
      <w:r>
        <w:t>.</w:t>
      </w:r>
    </w:p>
  </w:footnote>
  <w:footnote w:id="12">
    <w:p w:rsidR="00193A25">
      <w:pPr>
        <w:pStyle w:val="FootnoteText"/>
      </w:pPr>
      <w:r>
        <w:rPr>
          <w:rStyle w:val="FootnoteReference"/>
        </w:rPr>
        <w:footnoteRef/>
      </w:r>
      <w:r>
        <w:t xml:space="preserve"> 47 U.S.C. § 503(b).</w:t>
      </w:r>
    </w:p>
  </w:footnote>
  <w:footnote w:id="13">
    <w:p w:rsidR="00193A25">
      <w:pPr>
        <w:pStyle w:val="FootnoteText"/>
      </w:pPr>
      <w:r>
        <w:rPr>
          <w:rStyle w:val="FootnoteReference"/>
        </w:rPr>
        <w:footnoteRef/>
      </w:r>
      <w:r>
        <w:t xml:space="preserve"> 47 CFR § 1.80</w:t>
      </w:r>
      <w:r w:rsidR="00BF3385">
        <w:t>.</w:t>
      </w:r>
    </w:p>
  </w:footnote>
  <w:footnote w:id="14">
    <w:p w:rsidR="00193A25">
      <w:pPr>
        <w:pStyle w:val="FootnoteText"/>
      </w:pPr>
      <w:r>
        <w:rPr>
          <w:rStyle w:val="FootnoteReference"/>
        </w:rPr>
        <w:footnoteRef/>
      </w:r>
      <w:r>
        <w:t xml:space="preserve"> </w:t>
      </w:r>
      <w:r w:rsidRPr="00193A25">
        <w:rPr>
          <w:i/>
        </w:rPr>
        <w:t>The Commission’s Forfeiture Policy Statement and Amendment of Section 1.80 of the Rules to Incorporate the Forfeiture Guidelines</w:t>
      </w:r>
      <w:r w:rsidRPr="00193A25">
        <w:t>, Report and Order, 12 FCC Rcd 17087 (1997) (</w:t>
      </w:r>
      <w:r w:rsidRPr="00193A25">
        <w:rPr>
          <w:i/>
        </w:rPr>
        <w:t>Forfeiture Policy Statement</w:t>
      </w:r>
      <w:r w:rsidRPr="00193A25">
        <w:t xml:space="preserve">), </w:t>
      </w:r>
      <w:r w:rsidRPr="00193A25">
        <w:rPr>
          <w:i/>
        </w:rPr>
        <w:t>recons. denied</w:t>
      </w:r>
      <w:r w:rsidRPr="00193A25">
        <w:t>, Memorandum Opinion and Order, 15 FCC Rcd 303 (1999).</w:t>
      </w:r>
    </w:p>
  </w:footnote>
  <w:footnote w:id="15">
    <w:p w:rsidR="00193A25">
      <w:pPr>
        <w:pStyle w:val="FootnoteText"/>
      </w:pPr>
      <w:r>
        <w:rPr>
          <w:rStyle w:val="FootnoteReference"/>
        </w:rPr>
        <w:footnoteRef/>
      </w:r>
      <w:r>
        <w:t xml:space="preserve"> 47 U.S.C. § 503(b)(2)(E).</w:t>
      </w:r>
    </w:p>
  </w:footnote>
  <w:footnote w:id="16">
    <w:p w:rsidR="00410127" w:rsidRPr="00917EBA" w:rsidP="00410127">
      <w:pPr>
        <w:pStyle w:val="FootnoteText"/>
      </w:pPr>
      <w:r>
        <w:rPr>
          <w:rStyle w:val="FootnoteReference"/>
        </w:rPr>
        <w:footnoteRef/>
      </w:r>
      <w:r>
        <w:t xml:space="preserve"> </w:t>
      </w:r>
      <w:r>
        <w:rPr>
          <w:i/>
        </w:rPr>
        <w:t>See</w:t>
      </w:r>
      <w:r>
        <w:t xml:space="preserve"> </w:t>
      </w:r>
      <w:r w:rsidR="008301EE">
        <w:rPr>
          <w:i/>
        </w:rPr>
        <w:t>Notice</w:t>
      </w:r>
      <w:r w:rsidR="00586F2A">
        <w:t>, 33 FCC Rcd at 9978–79, paras. 3 and 6.</w:t>
      </w:r>
    </w:p>
  </w:footnote>
  <w:footnote w:id="17">
    <w:p w:rsidR="006B42E5">
      <w:pPr>
        <w:pStyle w:val="FootnoteText"/>
      </w:pPr>
      <w:r>
        <w:rPr>
          <w:rStyle w:val="FootnoteReference"/>
        </w:rPr>
        <w:footnoteRef/>
      </w:r>
      <w:r>
        <w:t xml:space="preserve"> 47 CFR § 1.80(b)(8).</w:t>
      </w:r>
    </w:p>
  </w:footnote>
  <w:footnote w:id="18">
    <w:p w:rsidR="00D90F18" w:rsidRPr="008301EE" w:rsidP="00D90F18">
      <w:pPr>
        <w:pStyle w:val="FootnoteText"/>
      </w:pPr>
      <w:r>
        <w:rPr>
          <w:rStyle w:val="FootnoteReference"/>
        </w:rPr>
        <w:footnoteRef/>
      </w:r>
      <w:r>
        <w:t xml:space="preserve"> </w:t>
      </w:r>
      <w:r w:rsidR="008301EE">
        <w:rPr>
          <w:i/>
        </w:rPr>
        <w:t>Notice</w:t>
      </w:r>
      <w:r>
        <w:t>, 33 FCC Rcd at 9980–81, para. 10.</w:t>
      </w:r>
      <w:r w:rsidR="008301EE">
        <w:t xml:space="preserve">  The amount of $19,639 represents the statutory maximum in effect when the Commission adopted the </w:t>
      </w:r>
      <w:r w:rsidR="008301EE">
        <w:rPr>
          <w:i/>
        </w:rPr>
        <w:t>Notice.</w:t>
      </w:r>
    </w:p>
  </w:footnote>
  <w:footnote w:id="19">
    <w:p w:rsidR="00C20340" w:rsidRPr="00C20340">
      <w:pPr>
        <w:pStyle w:val="FootnoteText"/>
      </w:pPr>
      <w:r>
        <w:rPr>
          <w:rStyle w:val="FootnoteReference"/>
        </w:rPr>
        <w:footnoteRef/>
      </w:r>
      <w:r>
        <w:t xml:space="preserve"> </w:t>
      </w:r>
      <w:r w:rsidR="00D90F18">
        <w:rPr>
          <w:i/>
        </w:rPr>
        <w:t>See id</w:t>
      </w:r>
      <w:r w:rsidR="00D90F18">
        <w:t>.</w:t>
      </w:r>
      <w:r>
        <w:t xml:space="preserve"> at </w:t>
      </w:r>
      <w:r w:rsidR="00487A9D">
        <w:t xml:space="preserve">9981, </w:t>
      </w:r>
      <w:r>
        <w:t xml:space="preserve">para. </w:t>
      </w:r>
      <w:r w:rsidR="00D90F18">
        <w:t>7</w:t>
      </w:r>
      <w:r>
        <w:t>.</w:t>
      </w:r>
    </w:p>
  </w:footnote>
  <w:footnote w:id="20">
    <w:p w:rsidR="00C20340" w:rsidRPr="00C20340">
      <w:pPr>
        <w:pStyle w:val="FootnoteText"/>
      </w:pPr>
      <w:r>
        <w:rPr>
          <w:rStyle w:val="FootnoteReference"/>
        </w:rPr>
        <w:footnoteRef/>
      </w:r>
      <w:r>
        <w:t xml:space="preserve"> </w:t>
      </w:r>
      <w:r w:rsidR="00D90F18">
        <w:rPr>
          <w:i/>
        </w:rPr>
        <w:t>See i</w:t>
      </w:r>
      <w:r>
        <w:rPr>
          <w:i/>
        </w:rPr>
        <w:t>d.</w:t>
      </w:r>
      <w:r>
        <w:t xml:space="preserve"> at para. 11.</w:t>
      </w:r>
    </w:p>
  </w:footnote>
  <w:footnote w:id="21">
    <w:p w:rsidR="00D90F18" w:rsidRPr="00917EBA" w:rsidP="00D90F18">
      <w:pPr>
        <w:pStyle w:val="FootnoteText"/>
      </w:pPr>
      <w:r>
        <w:rPr>
          <w:rStyle w:val="FootnoteReference"/>
        </w:rPr>
        <w:footnoteRef/>
      </w:r>
      <w:r>
        <w:t xml:space="preserve"> </w:t>
      </w:r>
      <w:r>
        <w:rPr>
          <w:i/>
        </w:rPr>
        <w:t>See</w:t>
      </w:r>
      <w:r>
        <w:t xml:space="preserve"> </w:t>
      </w:r>
      <w:r>
        <w:rPr>
          <w:i/>
        </w:rPr>
        <w:t xml:space="preserve">generally </w:t>
      </w:r>
      <w:r>
        <w:t>NAL Response.</w:t>
      </w:r>
    </w:p>
  </w:footnote>
  <w:footnote w:id="22">
    <w:p w:rsidR="00991495" w:rsidRPr="00344C0B" w:rsidP="00991495">
      <w:pPr>
        <w:pStyle w:val="FootnoteText"/>
      </w:pPr>
      <w:r w:rsidRPr="00344C0B">
        <w:rPr>
          <w:rStyle w:val="FootnoteReference"/>
        </w:rPr>
        <w:footnoteRef/>
      </w:r>
      <w:r w:rsidRPr="00344C0B">
        <w:t xml:space="preserve"> </w:t>
      </w:r>
      <w:r w:rsidR="00D90F18">
        <w:t>47 U.S.C. § 503(b)(2)(E).</w:t>
      </w:r>
    </w:p>
  </w:footnote>
  <w:footnote w:id="23">
    <w:p w:rsidR="005E0445" w:rsidP="005E0445">
      <w:pPr>
        <w:pStyle w:val="FootnoteText"/>
      </w:pPr>
      <w:r>
        <w:rPr>
          <w:rStyle w:val="FootnoteReference"/>
        </w:rPr>
        <w:footnoteRef/>
      </w:r>
      <w:r>
        <w:t xml:space="preserve"> </w:t>
      </w:r>
      <w:r>
        <w:rPr>
          <w:i/>
          <w:iCs/>
        </w:rPr>
        <w:t>See, e.g.</w:t>
      </w:r>
      <w:r>
        <w:t xml:space="preserve">, </w:t>
      </w:r>
      <w:r w:rsidRPr="00D92E78" w:rsidR="00D92E78">
        <w:rPr>
          <w:i/>
        </w:rPr>
        <w:t>Vearl Pennington and Michael Williamson</w:t>
      </w:r>
      <w:r w:rsidR="00D92E78">
        <w:t xml:space="preserve">, Forfeiture Order, </w:t>
      </w:r>
      <w:r w:rsidR="00917EBA">
        <w:t>FCC 19-2, paras. 18</w:t>
      </w:r>
      <w:r w:rsidR="00B07F39">
        <w:t>–</w:t>
      </w:r>
      <w:r w:rsidR="00917EBA">
        <w:t xml:space="preserve">21 </w:t>
      </w:r>
      <w:r w:rsidR="00D92E78">
        <w:t xml:space="preserve">(2019) (declining to reduce forfeiture based on inability to pay); </w:t>
      </w:r>
      <w:r w:rsidRPr="002E3F92" w:rsidR="001433F4">
        <w:rPr>
          <w:i/>
        </w:rPr>
        <w:t>Fabrice Polynice, Harold Sido and Veronise Sido, North Miami, Florida</w:t>
      </w:r>
      <w:r w:rsidR="001433F4">
        <w:t>, 33 FCC Rcd 6852, 6860–62, paras. 21</w:t>
      </w:r>
      <w:r w:rsidR="00B07F39">
        <w:t>–</w:t>
      </w:r>
      <w:r w:rsidR="001433F4">
        <w:t xml:space="preserve">25 (2018) (declining to reduce forfeiture based on an inability to pay where conduct was egregious, intentional, and repeated); </w:t>
      </w:r>
      <w:r w:rsidRPr="00D92E78" w:rsidR="00D92E78">
        <w:rPr>
          <w:i/>
        </w:rPr>
        <w:t>Adrian Abramovich, Marketing Strategy Leaders, Inc., and Marketing Leaders, Inc.</w:t>
      </w:r>
      <w:r w:rsidR="00D92E78">
        <w:t>, Forfeiture Order,</w:t>
      </w:r>
      <w:r w:rsidR="001263A5">
        <w:t xml:space="preserve"> </w:t>
      </w:r>
      <w:r w:rsidRPr="00B90114" w:rsidR="005B6408">
        <w:t>33</w:t>
      </w:r>
      <w:r w:rsidR="001263A5">
        <w:t xml:space="preserve"> FCC Rcd 4663, 4679</w:t>
      </w:r>
      <w:r w:rsidR="00D92E78">
        <w:t xml:space="preserve">, para. 45 (2018) (finding that an inability to pay was “greatly outweighed by the other balancing </w:t>
      </w:r>
      <w:r w:rsidRPr="00D92E78" w:rsidR="00D92E78">
        <w:t>factors that militate in favor of a large forfeiture</w:t>
      </w:r>
      <w:r w:rsidR="00D92E78">
        <w:t xml:space="preserve">”); </w:t>
      </w:r>
      <w:r>
        <w:rPr>
          <w:i/>
          <w:iCs/>
        </w:rPr>
        <w:t>TV Max, Inc., et al</w:t>
      </w:r>
      <w:r>
        <w:t>., Forfeiture Order, 29 FCC Rcd 8648, 8661, para. 25 (2014) (noting that the Commission “has previously rejected inability to pay claims in cases of repeated or otherwise egregious violations”)</w:t>
      </w:r>
      <w:r w:rsidR="002E3F92">
        <w:t>.</w:t>
      </w:r>
      <w:r>
        <w:t xml:space="preserve"> </w:t>
      </w:r>
    </w:p>
  </w:footnote>
  <w:footnote w:id="24">
    <w:p w:rsidR="00051458" w:rsidRPr="00344C0B" w:rsidP="00051458">
      <w:pPr>
        <w:pStyle w:val="FootnoteText"/>
      </w:pPr>
      <w:r w:rsidRPr="00344C0B">
        <w:rPr>
          <w:rStyle w:val="FootnoteReference"/>
        </w:rPr>
        <w:footnoteRef/>
      </w:r>
      <w:r w:rsidRPr="00344C0B">
        <w:t xml:space="preserve"> 47 U.S.C. § 503(b).</w:t>
      </w:r>
    </w:p>
  </w:footnote>
  <w:footnote w:id="25">
    <w:p w:rsidR="00051458" w:rsidRPr="00344C0B" w:rsidP="00051458">
      <w:pPr>
        <w:pStyle w:val="FootnoteText"/>
      </w:pPr>
      <w:r w:rsidRPr="00344C0B">
        <w:rPr>
          <w:rStyle w:val="FootnoteReference"/>
        </w:rPr>
        <w:footnoteRef/>
      </w:r>
      <w:r w:rsidRPr="00344C0B">
        <w:t xml:space="preserve"> 47 CFR § 1.80.</w:t>
      </w:r>
    </w:p>
  </w:footnote>
  <w:footnote w:id="26">
    <w:p w:rsidR="00051458">
      <w:pPr>
        <w:pStyle w:val="FootnoteText"/>
      </w:pPr>
      <w:r>
        <w:rPr>
          <w:rStyle w:val="FootnoteReference"/>
        </w:rPr>
        <w:footnoteRef/>
      </w:r>
      <w:r>
        <w:t xml:space="preserve"> 47 U.S.C. § 301.</w:t>
      </w:r>
    </w:p>
  </w:footnote>
  <w:footnote w:id="27">
    <w:p w:rsidR="00051458" w:rsidRPr="00344C0B" w:rsidP="00051458">
      <w:pPr>
        <w:pStyle w:val="FootnoteText"/>
      </w:pPr>
      <w:r w:rsidRPr="00344C0B">
        <w:rPr>
          <w:rStyle w:val="FootnoteReference"/>
        </w:rPr>
        <w:footnoteRef/>
      </w:r>
      <w:r w:rsidRPr="00344C0B">
        <w:t xml:space="preserve"> </w:t>
      </w:r>
      <w:r w:rsidRPr="00344C0B" w:rsidR="007B04A2">
        <w:t>47 CFR § 1.80.</w:t>
      </w:r>
    </w:p>
  </w:footnote>
  <w:footnote w:id="28">
    <w:p w:rsidR="00051458" w:rsidRPr="00344C0B" w:rsidP="00051458">
      <w:pPr>
        <w:pStyle w:val="FootnoteText"/>
      </w:pPr>
      <w:r w:rsidRPr="00344C0B">
        <w:rPr>
          <w:rStyle w:val="FootnoteReference"/>
        </w:rPr>
        <w:footnoteRef/>
      </w:r>
      <w:r w:rsidRPr="00344C0B">
        <w:t xml:space="preserve"> 47 U.S.C. § 504(a).</w:t>
      </w:r>
    </w:p>
  </w:footnote>
  <w:footnote w:id="29">
    <w:p w:rsidR="001B68EA" w:rsidRPr="005476AB" w:rsidP="001B68EA">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30">
    <w:p w:rsidR="001B68EA" w:rsidRPr="005476AB" w:rsidP="001B68EA">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xml:space="preserve">, or by e mail at </w:t>
      </w:r>
      <w:hyperlink r:id="rId1" w:history="1">
        <w:r w:rsidRPr="005476AB">
          <w:rPr>
            <w:rStyle w:val="Hyperlink"/>
          </w:rPr>
          <w:t>ARINQUIRIES@fcc.gov</w:t>
        </w:r>
      </w:hyperlink>
      <w:r w:rsidRPr="005476AB">
        <w:t>.</w:t>
      </w:r>
    </w:p>
  </w:footnote>
  <w:footnote w:id="31">
    <w:p w:rsidR="001B68EA" w:rsidP="001B68EA">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 w:id="32">
    <w:p w:rsidR="00051458" w:rsidRPr="0030738C" w:rsidP="00051458">
      <w:pPr>
        <w:pStyle w:val="FootnoteText"/>
      </w:pPr>
      <w:r w:rsidRPr="00344C0B">
        <w:rPr>
          <w:rStyle w:val="FootnoteReference"/>
        </w:rPr>
        <w:footnoteRef/>
      </w:r>
      <w:r w:rsidRPr="00344C0B">
        <w:t xml:space="preserve"> </w:t>
      </w:r>
      <w:r w:rsidRPr="00344C0B">
        <w:rPr>
          <w:i/>
        </w:rPr>
        <w:t>See</w:t>
      </w:r>
      <w:r w:rsidRPr="00344C0B">
        <w:t xml:space="preserve"> 47 C</w:t>
      </w:r>
      <w:r w:rsidR="00917EBA">
        <w:t>F</w:t>
      </w:r>
      <w:r w:rsidRPr="00344C0B">
        <w:t>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90114">
      <w:t>FCC 19-</w:t>
    </w:r>
    <w:r w:rsidR="0046111A">
      <w:t>82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6111A">
    <w:pPr>
      <w:pStyle w:val="Header"/>
      <w:tabs>
        <w:tab w:val="left" w:pos="7458"/>
      </w:tabs>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6111A">
      <w:tab/>
    </w:r>
    <w:r w:rsidR="0062373C">
      <w:rPr>
        <w:spacing w:val="-2"/>
      </w:rPr>
      <w:t>FCC 19-</w:t>
    </w:r>
    <w:r w:rsidR="0046111A">
      <w:rPr>
        <w:spacing w:val="-2"/>
      </w:rPr>
      <w:t>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6C29EE"/>
    <w:multiLevelType w:val="hybridMultilevel"/>
    <w:tmpl w:val="14986086"/>
    <w:lvl w:ilvl="0">
      <w:start w:val="1"/>
      <w:numFmt w:val="decimal"/>
      <w:lvlText w:val="%1."/>
      <w:lvlJc w:val="left"/>
      <w:pPr>
        <w:ind w:left="720" w:hanging="360"/>
      </w:pPr>
      <w:rPr>
        <w:rFonts w:ascii="Calibri" w:eastAsia="Calibri" w:hAnsi="Calibri" w:cs="Times New Roman"/>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8">
    <w:nsid w:val="55F4499B"/>
    <w:multiLevelType w:val="hybridMultilevel"/>
    <w:tmpl w:val="EB0235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7"/>
  </w:num>
  <w:num w:numId="8">
    <w:abstractNumId w:val="8"/>
  </w:num>
  <w:num w:numId="9">
    <w:abstractNumId w:val="9"/>
    <w:lvlOverride w:ilvl="0">
      <w:startOverride w:val="1"/>
    </w:lvlOverride>
  </w:num>
  <w:num w:numId="10">
    <w:abstractNumId w:val="9"/>
    <w:lvlOverride w:ilvl="0">
      <w:startOverride w:val="1"/>
    </w:lvlOverride>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lvlOverride w:ilvl="0">
      <w:startOverride w:val="1"/>
    </w:lvlOverride>
  </w:num>
  <w:num w:numId="26">
    <w:abstractNumId w:val="9"/>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11"/>
    <w:rsid w:val="0002280B"/>
    <w:rsid w:val="00032A13"/>
    <w:rsid w:val="00035C5C"/>
    <w:rsid w:val="00036039"/>
    <w:rsid w:val="00037F90"/>
    <w:rsid w:val="0004003B"/>
    <w:rsid w:val="00044975"/>
    <w:rsid w:val="00051458"/>
    <w:rsid w:val="00053762"/>
    <w:rsid w:val="000579C1"/>
    <w:rsid w:val="00065388"/>
    <w:rsid w:val="000654D5"/>
    <w:rsid w:val="0007571D"/>
    <w:rsid w:val="000875BF"/>
    <w:rsid w:val="00087C69"/>
    <w:rsid w:val="00096D8C"/>
    <w:rsid w:val="000C0B65"/>
    <w:rsid w:val="000E05FE"/>
    <w:rsid w:val="000E3D42"/>
    <w:rsid w:val="000F28B3"/>
    <w:rsid w:val="00122BD5"/>
    <w:rsid w:val="001263A5"/>
    <w:rsid w:val="00133F79"/>
    <w:rsid w:val="001433F4"/>
    <w:rsid w:val="00163413"/>
    <w:rsid w:val="001729CD"/>
    <w:rsid w:val="00193A25"/>
    <w:rsid w:val="00194343"/>
    <w:rsid w:val="00194A66"/>
    <w:rsid w:val="001A0EBD"/>
    <w:rsid w:val="001B68EA"/>
    <w:rsid w:val="001D6BCF"/>
    <w:rsid w:val="001E01CA"/>
    <w:rsid w:val="0022248A"/>
    <w:rsid w:val="00226F68"/>
    <w:rsid w:val="0027295E"/>
    <w:rsid w:val="00275CF5"/>
    <w:rsid w:val="0028301F"/>
    <w:rsid w:val="00285017"/>
    <w:rsid w:val="002A2D2E"/>
    <w:rsid w:val="002A3640"/>
    <w:rsid w:val="002B7B63"/>
    <w:rsid w:val="002C00E8"/>
    <w:rsid w:val="002C72EE"/>
    <w:rsid w:val="002E3F92"/>
    <w:rsid w:val="002F73E0"/>
    <w:rsid w:val="0030738C"/>
    <w:rsid w:val="00337D6A"/>
    <w:rsid w:val="00343749"/>
    <w:rsid w:val="00344C0B"/>
    <w:rsid w:val="00362E12"/>
    <w:rsid w:val="003660ED"/>
    <w:rsid w:val="00386FF2"/>
    <w:rsid w:val="003A2A6C"/>
    <w:rsid w:val="003B0550"/>
    <w:rsid w:val="003B694F"/>
    <w:rsid w:val="003C26A7"/>
    <w:rsid w:val="003C5612"/>
    <w:rsid w:val="003D0CCF"/>
    <w:rsid w:val="003D4098"/>
    <w:rsid w:val="003E1FBB"/>
    <w:rsid w:val="003F171C"/>
    <w:rsid w:val="003F1B2F"/>
    <w:rsid w:val="003F4464"/>
    <w:rsid w:val="00410127"/>
    <w:rsid w:val="00412FC5"/>
    <w:rsid w:val="00414CCA"/>
    <w:rsid w:val="00422276"/>
    <w:rsid w:val="004242F1"/>
    <w:rsid w:val="00436644"/>
    <w:rsid w:val="00445A00"/>
    <w:rsid w:val="00451B0F"/>
    <w:rsid w:val="0046111A"/>
    <w:rsid w:val="00471B6F"/>
    <w:rsid w:val="00487A9D"/>
    <w:rsid w:val="004964F9"/>
    <w:rsid w:val="004B6009"/>
    <w:rsid w:val="004C2EE3"/>
    <w:rsid w:val="004E4A22"/>
    <w:rsid w:val="00511298"/>
    <w:rsid w:val="00511968"/>
    <w:rsid w:val="00522872"/>
    <w:rsid w:val="00533379"/>
    <w:rsid w:val="005425F1"/>
    <w:rsid w:val="005441A8"/>
    <w:rsid w:val="00544F62"/>
    <w:rsid w:val="005476AB"/>
    <w:rsid w:val="0055614C"/>
    <w:rsid w:val="00562F3F"/>
    <w:rsid w:val="00563689"/>
    <w:rsid w:val="00566D06"/>
    <w:rsid w:val="00586F2A"/>
    <w:rsid w:val="00593185"/>
    <w:rsid w:val="00595870"/>
    <w:rsid w:val="005B6408"/>
    <w:rsid w:val="005D26ED"/>
    <w:rsid w:val="005E0445"/>
    <w:rsid w:val="005E14C2"/>
    <w:rsid w:val="005E750B"/>
    <w:rsid w:val="005F2538"/>
    <w:rsid w:val="005F7B4F"/>
    <w:rsid w:val="00603FDF"/>
    <w:rsid w:val="00607BA5"/>
    <w:rsid w:val="0061180A"/>
    <w:rsid w:val="00617049"/>
    <w:rsid w:val="0062373C"/>
    <w:rsid w:val="00626EB6"/>
    <w:rsid w:val="006424A7"/>
    <w:rsid w:val="00655D03"/>
    <w:rsid w:val="00661123"/>
    <w:rsid w:val="006707F8"/>
    <w:rsid w:val="00683388"/>
    <w:rsid w:val="00683F84"/>
    <w:rsid w:val="006A6A81"/>
    <w:rsid w:val="006B42E5"/>
    <w:rsid w:val="006B6390"/>
    <w:rsid w:val="006D561D"/>
    <w:rsid w:val="006E7EF4"/>
    <w:rsid w:val="006F7393"/>
    <w:rsid w:val="0070224F"/>
    <w:rsid w:val="0070498B"/>
    <w:rsid w:val="00706C5A"/>
    <w:rsid w:val="007115F7"/>
    <w:rsid w:val="00721BCF"/>
    <w:rsid w:val="0077788B"/>
    <w:rsid w:val="00785689"/>
    <w:rsid w:val="00793EAA"/>
    <w:rsid w:val="0079754B"/>
    <w:rsid w:val="007A1E6D"/>
    <w:rsid w:val="007A3EDC"/>
    <w:rsid w:val="007B04A2"/>
    <w:rsid w:val="007B0EB2"/>
    <w:rsid w:val="007C5C6D"/>
    <w:rsid w:val="007C6105"/>
    <w:rsid w:val="007D6A43"/>
    <w:rsid w:val="00810B6F"/>
    <w:rsid w:val="00817CCA"/>
    <w:rsid w:val="00822CE0"/>
    <w:rsid w:val="008301EE"/>
    <w:rsid w:val="00834B24"/>
    <w:rsid w:val="00836D02"/>
    <w:rsid w:val="00841AB1"/>
    <w:rsid w:val="00876D3D"/>
    <w:rsid w:val="00897D52"/>
    <w:rsid w:val="008A2184"/>
    <w:rsid w:val="008C68F1"/>
    <w:rsid w:val="008D075A"/>
    <w:rsid w:val="008E4311"/>
    <w:rsid w:val="009049C5"/>
    <w:rsid w:val="00917EBA"/>
    <w:rsid w:val="00920384"/>
    <w:rsid w:val="00921803"/>
    <w:rsid w:val="00926503"/>
    <w:rsid w:val="00952FB5"/>
    <w:rsid w:val="00955C95"/>
    <w:rsid w:val="009659FC"/>
    <w:rsid w:val="0096714A"/>
    <w:rsid w:val="009726D8"/>
    <w:rsid w:val="00991495"/>
    <w:rsid w:val="009A1C63"/>
    <w:rsid w:val="009A2403"/>
    <w:rsid w:val="009B0674"/>
    <w:rsid w:val="009C0A65"/>
    <w:rsid w:val="009C482B"/>
    <w:rsid w:val="009D4891"/>
    <w:rsid w:val="009D4D9C"/>
    <w:rsid w:val="009D54E5"/>
    <w:rsid w:val="009D7308"/>
    <w:rsid w:val="009F600F"/>
    <w:rsid w:val="009F76DB"/>
    <w:rsid w:val="00A00A1C"/>
    <w:rsid w:val="00A0354C"/>
    <w:rsid w:val="00A130EF"/>
    <w:rsid w:val="00A32C3B"/>
    <w:rsid w:val="00A45F4F"/>
    <w:rsid w:val="00A47578"/>
    <w:rsid w:val="00A600A9"/>
    <w:rsid w:val="00A632BA"/>
    <w:rsid w:val="00A67017"/>
    <w:rsid w:val="00A72409"/>
    <w:rsid w:val="00A84D9A"/>
    <w:rsid w:val="00AA55B7"/>
    <w:rsid w:val="00AA5B9E"/>
    <w:rsid w:val="00AB2407"/>
    <w:rsid w:val="00AB53DF"/>
    <w:rsid w:val="00AD0726"/>
    <w:rsid w:val="00AD79E7"/>
    <w:rsid w:val="00AE6235"/>
    <w:rsid w:val="00AF41C0"/>
    <w:rsid w:val="00B07E5C"/>
    <w:rsid w:val="00B07F39"/>
    <w:rsid w:val="00B43D32"/>
    <w:rsid w:val="00B455FC"/>
    <w:rsid w:val="00B62593"/>
    <w:rsid w:val="00B74BE2"/>
    <w:rsid w:val="00B811F7"/>
    <w:rsid w:val="00B90114"/>
    <w:rsid w:val="00B960B5"/>
    <w:rsid w:val="00B96BA8"/>
    <w:rsid w:val="00BA0EE9"/>
    <w:rsid w:val="00BA4A36"/>
    <w:rsid w:val="00BA5DC6"/>
    <w:rsid w:val="00BA6196"/>
    <w:rsid w:val="00BA64EA"/>
    <w:rsid w:val="00BB6158"/>
    <w:rsid w:val="00BC6870"/>
    <w:rsid w:val="00BC6D8C"/>
    <w:rsid w:val="00BF3385"/>
    <w:rsid w:val="00C001EA"/>
    <w:rsid w:val="00C05778"/>
    <w:rsid w:val="00C20340"/>
    <w:rsid w:val="00C302DD"/>
    <w:rsid w:val="00C34006"/>
    <w:rsid w:val="00C34CC6"/>
    <w:rsid w:val="00C36B4C"/>
    <w:rsid w:val="00C426B1"/>
    <w:rsid w:val="00C636DA"/>
    <w:rsid w:val="00C66160"/>
    <w:rsid w:val="00C721AC"/>
    <w:rsid w:val="00C90D6A"/>
    <w:rsid w:val="00CA247E"/>
    <w:rsid w:val="00CA6D21"/>
    <w:rsid w:val="00CB10A0"/>
    <w:rsid w:val="00CB3B11"/>
    <w:rsid w:val="00CC0CDE"/>
    <w:rsid w:val="00CC72B6"/>
    <w:rsid w:val="00CF2F36"/>
    <w:rsid w:val="00CF7353"/>
    <w:rsid w:val="00D01F2F"/>
    <w:rsid w:val="00D0218D"/>
    <w:rsid w:val="00D04483"/>
    <w:rsid w:val="00D12CF3"/>
    <w:rsid w:val="00D25FB5"/>
    <w:rsid w:val="00D30DA8"/>
    <w:rsid w:val="00D44223"/>
    <w:rsid w:val="00D51135"/>
    <w:rsid w:val="00D55AD4"/>
    <w:rsid w:val="00D574B0"/>
    <w:rsid w:val="00D72EA2"/>
    <w:rsid w:val="00D908F2"/>
    <w:rsid w:val="00D90F18"/>
    <w:rsid w:val="00D92E78"/>
    <w:rsid w:val="00DA1B35"/>
    <w:rsid w:val="00DA2529"/>
    <w:rsid w:val="00DA3AAA"/>
    <w:rsid w:val="00DB130A"/>
    <w:rsid w:val="00DB2EBB"/>
    <w:rsid w:val="00DB504F"/>
    <w:rsid w:val="00DB7D8A"/>
    <w:rsid w:val="00DC10A1"/>
    <w:rsid w:val="00DC655F"/>
    <w:rsid w:val="00DD0B59"/>
    <w:rsid w:val="00DD7EBD"/>
    <w:rsid w:val="00DF62B6"/>
    <w:rsid w:val="00E07225"/>
    <w:rsid w:val="00E15683"/>
    <w:rsid w:val="00E206CF"/>
    <w:rsid w:val="00E308D3"/>
    <w:rsid w:val="00E3523D"/>
    <w:rsid w:val="00E45CB1"/>
    <w:rsid w:val="00E4712F"/>
    <w:rsid w:val="00E5409F"/>
    <w:rsid w:val="00E57943"/>
    <w:rsid w:val="00E86CE0"/>
    <w:rsid w:val="00EA61C4"/>
    <w:rsid w:val="00EC0B35"/>
    <w:rsid w:val="00EE6488"/>
    <w:rsid w:val="00EF1D07"/>
    <w:rsid w:val="00F021FA"/>
    <w:rsid w:val="00F364A5"/>
    <w:rsid w:val="00F438DC"/>
    <w:rsid w:val="00F62E97"/>
    <w:rsid w:val="00F64209"/>
    <w:rsid w:val="00F66B53"/>
    <w:rsid w:val="00F80B05"/>
    <w:rsid w:val="00F87A5F"/>
    <w:rsid w:val="00F93BF5"/>
    <w:rsid w:val="00FA0D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6DDF5F3-9DC0-468F-86C4-942A548E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5E750B"/>
  </w:style>
  <w:style w:type="character" w:customStyle="1" w:styleId="ParaNumChar">
    <w:name w:val="ParaNum Char"/>
    <w:link w:val="ParaNum"/>
    <w:locked/>
    <w:rsid w:val="005E750B"/>
    <w:rPr>
      <w:snapToGrid w:val="0"/>
      <w:kern w:val="28"/>
      <w:sz w:val="22"/>
    </w:rPr>
  </w:style>
  <w:style w:type="paragraph" w:styleId="BalloonText">
    <w:name w:val="Balloon Text"/>
    <w:basedOn w:val="Normal"/>
    <w:link w:val="BalloonTextChar"/>
    <w:rsid w:val="00032A13"/>
    <w:rPr>
      <w:rFonts w:ascii="Segoe UI" w:hAnsi="Segoe UI" w:cs="Segoe UI"/>
      <w:sz w:val="18"/>
      <w:szCs w:val="18"/>
    </w:rPr>
  </w:style>
  <w:style w:type="character" w:customStyle="1" w:styleId="BalloonTextChar">
    <w:name w:val="Balloon Text Char"/>
    <w:link w:val="BalloonText"/>
    <w:rsid w:val="00032A13"/>
    <w:rPr>
      <w:rFonts w:ascii="Segoe UI" w:hAnsi="Segoe UI" w:cs="Segoe UI"/>
      <w:snapToGrid w:val="0"/>
      <w:kern w:val="28"/>
      <w:sz w:val="18"/>
      <w:szCs w:val="18"/>
    </w:rPr>
  </w:style>
  <w:style w:type="character" w:styleId="CommentReference">
    <w:name w:val="annotation reference"/>
    <w:rsid w:val="00194343"/>
    <w:rPr>
      <w:sz w:val="16"/>
      <w:szCs w:val="16"/>
    </w:rPr>
  </w:style>
  <w:style w:type="paragraph" w:styleId="CommentText">
    <w:name w:val="annotation text"/>
    <w:basedOn w:val="Normal"/>
    <w:link w:val="CommentTextChar"/>
    <w:rsid w:val="00194343"/>
    <w:rPr>
      <w:sz w:val="20"/>
    </w:rPr>
  </w:style>
  <w:style w:type="character" w:customStyle="1" w:styleId="CommentTextChar">
    <w:name w:val="Comment Text Char"/>
    <w:link w:val="CommentText"/>
    <w:rsid w:val="00194343"/>
    <w:rPr>
      <w:snapToGrid w:val="0"/>
      <w:kern w:val="28"/>
    </w:rPr>
  </w:style>
  <w:style w:type="paragraph" w:styleId="CommentSubject">
    <w:name w:val="annotation subject"/>
    <w:basedOn w:val="CommentText"/>
    <w:next w:val="CommentText"/>
    <w:link w:val="CommentSubjectChar"/>
    <w:rsid w:val="00194343"/>
    <w:rPr>
      <w:b/>
      <w:bCs/>
    </w:rPr>
  </w:style>
  <w:style w:type="character" w:customStyle="1" w:styleId="CommentSubjectChar">
    <w:name w:val="Comment Subject Char"/>
    <w:link w:val="CommentSubject"/>
    <w:rsid w:val="00194343"/>
    <w:rPr>
      <w:b/>
      <w:bCs/>
      <w:snapToGrid w:val="0"/>
      <w:kern w:val="28"/>
    </w:rPr>
  </w:style>
  <w:style w:type="character" w:customStyle="1" w:styleId="UnresolvedMention">
    <w:name w:val="Unresolved Mention"/>
    <w:uiPriority w:val="99"/>
    <w:semiHidden/>
    <w:unhideWhenUsed/>
    <w:rsid w:val="002F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