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B312D" w:rsidRPr="000F2933" w:rsidP="00EB312D">
      <w:pPr>
        <w:widowControl/>
        <w:jc w:val="center"/>
        <w:rPr>
          <w:b/>
          <w:szCs w:val="22"/>
        </w:rPr>
      </w:pPr>
      <w:r w:rsidRPr="000F2933">
        <w:rPr>
          <w:b/>
          <w:kern w:val="0"/>
          <w:szCs w:val="22"/>
        </w:rPr>
        <w:t>Before</w:t>
      </w:r>
      <w:r w:rsidRPr="000F2933">
        <w:rPr>
          <w:b/>
          <w:szCs w:val="22"/>
        </w:rPr>
        <w:t xml:space="preserve"> the</w:t>
      </w:r>
    </w:p>
    <w:p w:rsidR="00EB312D" w:rsidRPr="000F2933" w:rsidP="00EB312D">
      <w:pPr>
        <w:pStyle w:val="StyleBoldCentered"/>
        <w:rPr>
          <w:rFonts w:ascii="Times New Roman" w:hAnsi="Times New Roman"/>
        </w:rPr>
      </w:pPr>
      <w:r w:rsidRPr="000F2933">
        <w:rPr>
          <w:rFonts w:ascii="Times New Roman" w:hAnsi="Times New Roman"/>
        </w:rPr>
        <w:t>F</w:t>
      </w:r>
      <w:r w:rsidRPr="000F2933">
        <w:rPr>
          <w:rFonts w:ascii="Times New Roman" w:hAnsi="Times New Roman"/>
          <w:caps w:val="0"/>
        </w:rPr>
        <w:t>ederal Communications Commission</w:t>
      </w:r>
    </w:p>
    <w:p w:rsidR="00EB312D" w:rsidRPr="000F2933" w:rsidP="00EB312D">
      <w:pPr>
        <w:pStyle w:val="StyleBoldCentered"/>
        <w:rPr>
          <w:rFonts w:ascii="Times New Roman" w:hAnsi="Times New Roman"/>
        </w:rPr>
      </w:pPr>
      <w:r w:rsidRPr="000F2933">
        <w:rPr>
          <w:rFonts w:ascii="Times New Roman" w:hAnsi="Times New Roman"/>
          <w:caps w:val="0"/>
        </w:rPr>
        <w:t>Washington, D.C. 20554</w:t>
      </w:r>
    </w:p>
    <w:p w:rsidR="00EB312D" w:rsidRPr="000F2933" w:rsidP="00EB312D">
      <w:pPr>
        <w:rPr>
          <w:szCs w:val="22"/>
        </w:rPr>
      </w:pPr>
    </w:p>
    <w:tbl>
      <w:tblPr>
        <w:tblW w:w="9576" w:type="dxa"/>
        <w:tblLayout w:type="fixed"/>
        <w:tblLook w:val="0000"/>
      </w:tblPr>
      <w:tblGrid>
        <w:gridCol w:w="4698"/>
        <w:gridCol w:w="630"/>
        <w:gridCol w:w="4248"/>
      </w:tblGrid>
      <w:tr w:rsidTr="002D6012">
        <w:tblPrEx>
          <w:tblW w:w="9576" w:type="dxa"/>
          <w:tblLayout w:type="fixed"/>
          <w:tblLook w:val="0000"/>
        </w:tblPrEx>
        <w:tc>
          <w:tcPr>
            <w:tcW w:w="4698" w:type="dxa"/>
          </w:tcPr>
          <w:p w:rsidR="00EB312D" w:rsidRPr="000F2933" w:rsidP="002D6012">
            <w:pPr>
              <w:tabs>
                <w:tab w:val="center" w:pos="4680"/>
              </w:tabs>
              <w:suppressAutoHyphens/>
              <w:ind w:left="-109"/>
              <w:rPr>
                <w:spacing w:val="-2"/>
                <w:szCs w:val="22"/>
              </w:rPr>
            </w:pPr>
            <w:r w:rsidRPr="000F2933">
              <w:rPr>
                <w:spacing w:val="-2"/>
                <w:szCs w:val="22"/>
              </w:rPr>
              <w:t>In the Matter of</w:t>
            </w:r>
          </w:p>
          <w:p w:rsidR="00EB312D" w:rsidRPr="000F2933" w:rsidP="002D6012">
            <w:pPr>
              <w:tabs>
                <w:tab w:val="center" w:pos="4680"/>
              </w:tabs>
              <w:suppressAutoHyphens/>
              <w:ind w:left="-109"/>
              <w:rPr>
                <w:spacing w:val="-2"/>
                <w:szCs w:val="22"/>
              </w:rPr>
            </w:pPr>
          </w:p>
          <w:p w:rsidR="00EB312D" w:rsidRPr="000F2933" w:rsidP="002D6012">
            <w:pPr>
              <w:tabs>
                <w:tab w:val="center" w:pos="4680"/>
              </w:tabs>
              <w:suppressAutoHyphens/>
              <w:ind w:left="-109"/>
              <w:rPr>
                <w:spacing w:val="-2"/>
                <w:szCs w:val="22"/>
              </w:rPr>
            </w:pPr>
            <w:r w:rsidRPr="000F2933">
              <w:rPr>
                <w:spacing w:val="-2"/>
                <w:szCs w:val="22"/>
              </w:rPr>
              <w:t>Updating the Intercarrier Compensation Regime to Eliminate Access Arbitrage</w:t>
            </w:r>
          </w:p>
        </w:tc>
        <w:tc>
          <w:tcPr>
            <w:tcW w:w="630" w:type="dxa"/>
          </w:tcPr>
          <w:p w:rsidR="00EB312D" w:rsidRPr="000F2933" w:rsidP="002D6012">
            <w:pPr>
              <w:tabs>
                <w:tab w:val="center" w:pos="4680"/>
              </w:tabs>
              <w:suppressAutoHyphens/>
              <w:rPr>
                <w:b/>
                <w:spacing w:val="-2"/>
                <w:szCs w:val="22"/>
              </w:rPr>
            </w:pPr>
            <w:r w:rsidRPr="000F2933">
              <w:rPr>
                <w:b/>
                <w:spacing w:val="-2"/>
                <w:szCs w:val="22"/>
              </w:rPr>
              <w:t>)</w:t>
            </w:r>
          </w:p>
          <w:p w:rsidR="00EB312D" w:rsidRPr="000F2933" w:rsidP="002D6012">
            <w:pPr>
              <w:tabs>
                <w:tab w:val="center" w:pos="4680"/>
              </w:tabs>
              <w:suppressAutoHyphens/>
              <w:rPr>
                <w:b/>
                <w:spacing w:val="-2"/>
                <w:szCs w:val="22"/>
              </w:rPr>
            </w:pPr>
            <w:r w:rsidRPr="000F2933">
              <w:rPr>
                <w:b/>
                <w:spacing w:val="-2"/>
                <w:szCs w:val="22"/>
              </w:rPr>
              <w:t>)</w:t>
            </w:r>
          </w:p>
          <w:p w:rsidR="00EB312D" w:rsidRPr="000F2933" w:rsidP="002D6012">
            <w:pPr>
              <w:tabs>
                <w:tab w:val="center" w:pos="4680"/>
              </w:tabs>
              <w:suppressAutoHyphens/>
              <w:rPr>
                <w:b/>
                <w:spacing w:val="-2"/>
                <w:szCs w:val="22"/>
              </w:rPr>
            </w:pPr>
            <w:r w:rsidRPr="000F2933">
              <w:rPr>
                <w:b/>
                <w:spacing w:val="-2"/>
                <w:szCs w:val="22"/>
              </w:rPr>
              <w:t>)</w:t>
            </w:r>
          </w:p>
          <w:p w:rsidR="00EB312D" w:rsidRPr="000F2933" w:rsidP="002D6012">
            <w:pPr>
              <w:tabs>
                <w:tab w:val="center" w:pos="4680"/>
              </w:tabs>
              <w:suppressAutoHyphens/>
              <w:rPr>
                <w:b/>
                <w:spacing w:val="-2"/>
                <w:szCs w:val="22"/>
              </w:rPr>
            </w:pPr>
            <w:r w:rsidRPr="000F2933">
              <w:rPr>
                <w:b/>
                <w:spacing w:val="-2"/>
                <w:szCs w:val="22"/>
              </w:rPr>
              <w:t>)</w:t>
            </w:r>
          </w:p>
          <w:p w:rsidR="00EB312D" w:rsidP="002D6012">
            <w:pPr>
              <w:tabs>
                <w:tab w:val="center" w:pos="4680"/>
              </w:tabs>
              <w:suppressAutoHyphens/>
              <w:rPr>
                <w:b/>
                <w:spacing w:val="-2"/>
                <w:szCs w:val="22"/>
              </w:rPr>
            </w:pPr>
          </w:p>
          <w:p w:rsidR="009B0DED" w:rsidRPr="000F2933" w:rsidP="002D6012">
            <w:pPr>
              <w:tabs>
                <w:tab w:val="center" w:pos="4680"/>
              </w:tabs>
              <w:suppressAutoHyphens/>
              <w:rPr>
                <w:b/>
                <w:spacing w:val="-2"/>
                <w:szCs w:val="22"/>
              </w:rPr>
            </w:pPr>
          </w:p>
        </w:tc>
        <w:tc>
          <w:tcPr>
            <w:tcW w:w="4248" w:type="dxa"/>
          </w:tcPr>
          <w:p w:rsidR="00EB312D" w:rsidRPr="000F2933" w:rsidP="002D6012">
            <w:pPr>
              <w:pStyle w:val="TOAHeading"/>
              <w:tabs>
                <w:tab w:val="center" w:pos="4680"/>
                <w:tab w:val="clear" w:pos="9360"/>
              </w:tabs>
              <w:rPr>
                <w:spacing w:val="-2"/>
                <w:szCs w:val="22"/>
              </w:rPr>
            </w:pPr>
          </w:p>
          <w:p w:rsidR="00EB312D" w:rsidRPr="000F2933" w:rsidP="002D6012">
            <w:pPr>
              <w:tabs>
                <w:tab w:val="center" w:pos="4680"/>
              </w:tabs>
              <w:suppressAutoHyphens/>
              <w:rPr>
                <w:spacing w:val="-2"/>
                <w:szCs w:val="22"/>
              </w:rPr>
            </w:pPr>
          </w:p>
          <w:p w:rsidR="00EB312D" w:rsidRPr="000F2933" w:rsidP="002D6012">
            <w:pPr>
              <w:tabs>
                <w:tab w:val="center" w:pos="4680"/>
              </w:tabs>
              <w:suppressAutoHyphens/>
              <w:rPr>
                <w:spacing w:val="-2"/>
                <w:szCs w:val="22"/>
              </w:rPr>
            </w:pPr>
            <w:r w:rsidRPr="000F2933">
              <w:rPr>
                <w:spacing w:val="-2"/>
                <w:szCs w:val="22"/>
              </w:rPr>
              <w:t>WC Docket No. 18-155</w:t>
            </w:r>
          </w:p>
        </w:tc>
      </w:tr>
    </w:tbl>
    <w:p w:rsidR="00EB312D" w:rsidRPr="00F068AA" w:rsidP="00EB312D">
      <w:pPr>
        <w:jc w:val="center"/>
        <w:rPr>
          <w:rFonts w:ascii="Times New Roman Bold" w:hAnsi="Times New Roman Bold"/>
          <w:b/>
          <w:caps/>
        </w:rPr>
      </w:pPr>
      <w:r w:rsidRPr="00F068AA">
        <w:rPr>
          <w:rFonts w:ascii="Times New Roman Bold" w:hAnsi="Times New Roman Bold"/>
          <w:b/>
          <w:caps/>
        </w:rPr>
        <w:t>Report and Order and modification of section 214 authorizations</w:t>
      </w:r>
    </w:p>
    <w:p w:rsidR="00EB312D" w:rsidRPr="000F2933" w:rsidP="00EB312D">
      <w:pPr>
        <w:tabs>
          <w:tab w:val="left" w:pos="-720"/>
        </w:tabs>
        <w:suppressAutoHyphens/>
        <w:spacing w:line="227" w:lineRule="auto"/>
        <w:rPr>
          <w:spacing w:val="-2"/>
          <w:szCs w:val="22"/>
        </w:rPr>
      </w:pPr>
    </w:p>
    <w:p w:rsidR="00EB312D" w:rsidRPr="000F2933" w:rsidP="00EB312D">
      <w:pPr>
        <w:tabs>
          <w:tab w:val="right" w:pos="9360"/>
        </w:tabs>
      </w:pPr>
      <w:r w:rsidRPr="00F068AA">
        <w:rPr>
          <w:b/>
        </w:rPr>
        <w:t xml:space="preserve">Adopted:  </w:t>
      </w:r>
      <w:r>
        <w:rPr>
          <w:b/>
        </w:rPr>
        <w:t>September 26, 2019</w:t>
      </w:r>
      <w:r w:rsidRPr="00F068AA">
        <w:rPr>
          <w:b/>
        </w:rPr>
        <w:tab/>
        <w:t xml:space="preserve">Released:  </w:t>
      </w:r>
      <w:r>
        <w:rPr>
          <w:b/>
        </w:rPr>
        <w:t>September 27, 2019</w:t>
      </w:r>
    </w:p>
    <w:p w:rsidR="00EB312D" w:rsidRPr="000F2933" w:rsidP="00EB312D">
      <w:pPr>
        <w:tabs>
          <w:tab w:val="left" w:pos="360"/>
          <w:tab w:val="right" w:leader="dot" w:pos="9360"/>
        </w:tabs>
        <w:rPr>
          <w:szCs w:val="22"/>
        </w:rPr>
      </w:pPr>
    </w:p>
    <w:p w:rsidR="00CB008B" w:rsidRPr="00CB008B" w:rsidP="00CB008B">
      <w:r w:rsidRPr="000F2933">
        <w:t>By the Commission:</w:t>
      </w:r>
      <w:r>
        <w:t xml:space="preserve"> </w:t>
      </w:r>
      <w:r w:rsidRPr="00CB008B">
        <w:t>Chairman Pai and Commissioners O’Rielly, Carr, and Starks issuing separate statements.</w:t>
      </w:r>
    </w:p>
    <w:p w:rsidR="00EB312D" w:rsidP="00EB312D">
      <w:pPr>
        <w:pStyle w:val="TOCTitle"/>
      </w:pPr>
      <w:bookmarkStart w:id="0" w:name="TOChere"/>
      <w:r>
        <w:t>Table of Contents</w:t>
      </w:r>
    </w:p>
    <w:p w:rsidR="00EB312D" w:rsidP="00EB312D">
      <w:pPr>
        <w:pStyle w:val="Paratitle"/>
      </w:pPr>
      <w:r>
        <w:t>Heading</w:t>
      </w:r>
      <w:r>
        <w:tab/>
        <w:t>Paragraph #</w:t>
      </w:r>
      <w:bookmarkStart w:id="1" w:name="start_here"/>
      <w:bookmarkEnd w:id="1"/>
    </w:p>
    <w:p w:rsidR="00EB312D" w:rsidRPr="00235BBC" w:rsidP="00EB312D">
      <w:pPr>
        <w:pStyle w:val="TOC1"/>
        <w:rPr>
          <w:rFonts w:ascii="Calibri" w:hAnsi="Calibri"/>
          <w:caps w:val="0"/>
          <w:snapToGrid/>
          <w:kern w:val="0"/>
          <w:szCs w:val="22"/>
        </w:rPr>
      </w:pPr>
      <w:r>
        <w:t>I.</w:t>
      </w:r>
      <w:r w:rsidRPr="00235BBC">
        <w:rPr>
          <w:rFonts w:ascii="Calibri" w:hAnsi="Calibri"/>
          <w:caps w:val="0"/>
          <w:snapToGrid/>
          <w:kern w:val="0"/>
          <w:szCs w:val="22"/>
        </w:rPr>
        <w:tab/>
      </w:r>
      <w:r>
        <w:t>Introduction</w:t>
      </w:r>
      <w:r>
        <w:tab/>
        <w:t>1</w:t>
      </w:r>
    </w:p>
    <w:p w:rsidR="00EB312D" w:rsidRPr="00235BBC" w:rsidP="00EB312D">
      <w:pPr>
        <w:pStyle w:val="TOC1"/>
        <w:rPr>
          <w:rFonts w:ascii="Calibri" w:hAnsi="Calibri"/>
          <w:caps w:val="0"/>
          <w:snapToGrid/>
          <w:kern w:val="0"/>
          <w:szCs w:val="22"/>
        </w:rPr>
      </w:pPr>
      <w:r>
        <w:t>II.</w:t>
      </w:r>
      <w:r w:rsidRPr="00235BBC">
        <w:rPr>
          <w:rFonts w:ascii="Calibri" w:hAnsi="Calibri"/>
          <w:caps w:val="0"/>
          <w:snapToGrid/>
          <w:kern w:val="0"/>
          <w:szCs w:val="22"/>
        </w:rPr>
        <w:tab/>
      </w:r>
      <w:r>
        <w:t>BACKGROUND</w:t>
      </w:r>
      <w:r>
        <w:tab/>
        <w:t>5</w:t>
      </w:r>
    </w:p>
    <w:p w:rsidR="00EB312D" w:rsidRPr="00235BBC" w:rsidP="00EB312D">
      <w:pPr>
        <w:pStyle w:val="TOC1"/>
        <w:rPr>
          <w:rFonts w:ascii="Calibri" w:hAnsi="Calibri"/>
          <w:caps w:val="0"/>
          <w:snapToGrid/>
          <w:kern w:val="0"/>
          <w:szCs w:val="22"/>
        </w:rPr>
      </w:pPr>
      <w:r>
        <w:t>III.</w:t>
      </w:r>
      <w:r w:rsidRPr="00235BBC">
        <w:rPr>
          <w:rFonts w:ascii="Calibri" w:hAnsi="Calibri"/>
          <w:caps w:val="0"/>
          <w:snapToGrid/>
          <w:kern w:val="0"/>
          <w:szCs w:val="22"/>
        </w:rPr>
        <w:tab/>
      </w:r>
      <w:r>
        <w:t>eliminatING FINANCIAL INCENTIVES TO ENGAGE IN access STIMULATION</w:t>
      </w:r>
      <w:r>
        <w:tab/>
        <w:t>14</w:t>
      </w:r>
    </w:p>
    <w:p w:rsidR="00EB312D" w:rsidRPr="00235BBC" w:rsidP="00EB312D">
      <w:pPr>
        <w:pStyle w:val="TOC2"/>
        <w:tabs>
          <w:tab w:val="left" w:pos="360"/>
        </w:tabs>
        <w:rPr>
          <w:rFonts w:ascii="Calibri" w:hAnsi="Calibri"/>
          <w:snapToGrid/>
          <w:kern w:val="0"/>
          <w:szCs w:val="22"/>
        </w:rPr>
      </w:pPr>
      <w:r>
        <w:t>A.</w:t>
      </w:r>
      <w:r w:rsidRPr="00235BBC">
        <w:rPr>
          <w:rFonts w:ascii="Calibri" w:hAnsi="Calibri"/>
          <w:snapToGrid/>
          <w:kern w:val="0"/>
          <w:szCs w:val="22"/>
        </w:rPr>
        <w:tab/>
      </w:r>
      <w:r>
        <w:t>Access-Stimulating LECs Must Bear Financial Responsibility for the Rates Charged to Terminate Traffic to Their End Office or Functional Equivalent</w:t>
      </w:r>
      <w:r>
        <w:tab/>
        <w:t>17</w:t>
      </w:r>
    </w:p>
    <w:p w:rsidR="00EB312D" w:rsidRPr="00235BBC" w:rsidP="00EB312D">
      <w:pPr>
        <w:pStyle w:val="TOC3"/>
        <w:tabs>
          <w:tab w:val="left" w:pos="360"/>
        </w:tabs>
        <w:rPr>
          <w:rFonts w:ascii="Calibri" w:hAnsi="Calibri"/>
          <w:snapToGrid/>
          <w:kern w:val="0"/>
          <w:szCs w:val="22"/>
        </w:rPr>
      </w:pPr>
      <w:r>
        <w:t>1.</w:t>
      </w:r>
      <w:r w:rsidRPr="00235BBC">
        <w:rPr>
          <w:rFonts w:ascii="Calibri" w:hAnsi="Calibri"/>
          <w:snapToGrid/>
          <w:kern w:val="0"/>
          <w:szCs w:val="22"/>
        </w:rPr>
        <w:tab/>
      </w:r>
      <w:r>
        <w:t>New Requirements for Access-Stimulating LECs</w:t>
      </w:r>
      <w:r>
        <w:tab/>
        <w:t>20</w:t>
      </w:r>
    </w:p>
    <w:p w:rsidR="00EB312D" w:rsidRPr="00235BBC" w:rsidP="00EB312D">
      <w:pPr>
        <w:pStyle w:val="TOC3"/>
        <w:tabs>
          <w:tab w:val="left" w:pos="360"/>
        </w:tabs>
        <w:rPr>
          <w:rFonts w:ascii="Calibri" w:hAnsi="Calibri"/>
          <w:snapToGrid/>
          <w:kern w:val="0"/>
          <w:szCs w:val="22"/>
        </w:rPr>
      </w:pPr>
      <w:r>
        <w:t>2.</w:t>
      </w:r>
      <w:r w:rsidRPr="00235BBC">
        <w:rPr>
          <w:rFonts w:ascii="Calibri" w:hAnsi="Calibri"/>
          <w:snapToGrid/>
          <w:kern w:val="0"/>
          <w:szCs w:val="22"/>
        </w:rPr>
        <w:tab/>
      </w:r>
      <w:r>
        <w:t>Redefining “Access Stimulation”</w:t>
      </w:r>
      <w:r>
        <w:tab/>
        <w:t>43</w:t>
      </w:r>
    </w:p>
    <w:p w:rsidR="00EB312D" w:rsidRPr="00235BBC" w:rsidP="00EB312D">
      <w:pPr>
        <w:pStyle w:val="TOC3"/>
        <w:tabs>
          <w:tab w:val="left" w:pos="360"/>
        </w:tabs>
        <w:rPr>
          <w:rFonts w:ascii="Calibri" w:hAnsi="Calibri"/>
          <w:snapToGrid/>
          <w:kern w:val="0"/>
          <w:szCs w:val="22"/>
        </w:rPr>
      </w:pPr>
      <w:r>
        <w:t>3.</w:t>
      </w:r>
      <w:r w:rsidRPr="00235BBC">
        <w:rPr>
          <w:rFonts w:ascii="Calibri" w:hAnsi="Calibri"/>
          <w:snapToGrid/>
          <w:kern w:val="0"/>
          <w:szCs w:val="22"/>
        </w:rPr>
        <w:tab/>
      </w:r>
      <w:r>
        <w:t>Additional Considerations</w:t>
      </w:r>
      <w:r>
        <w:tab/>
        <w:t>68</w:t>
      </w:r>
    </w:p>
    <w:p w:rsidR="00EB312D" w:rsidRPr="00235BBC" w:rsidP="00EB312D">
      <w:pPr>
        <w:pStyle w:val="TOC2"/>
        <w:tabs>
          <w:tab w:val="left" w:pos="360"/>
        </w:tabs>
        <w:rPr>
          <w:rFonts w:ascii="Calibri" w:hAnsi="Calibri"/>
          <w:snapToGrid/>
          <w:kern w:val="0"/>
          <w:szCs w:val="22"/>
        </w:rPr>
      </w:pPr>
      <w:r>
        <w:t>B.</w:t>
      </w:r>
      <w:r w:rsidRPr="00235BBC">
        <w:rPr>
          <w:rFonts w:ascii="Calibri" w:hAnsi="Calibri"/>
          <w:snapToGrid/>
          <w:kern w:val="0"/>
          <w:szCs w:val="22"/>
        </w:rPr>
        <w:tab/>
      </w:r>
      <w:r>
        <w:t>Implementation Issues</w:t>
      </w:r>
      <w:r>
        <w:tab/>
        <w:t>74</w:t>
      </w:r>
    </w:p>
    <w:p w:rsidR="00EB312D" w:rsidRPr="00235BBC" w:rsidP="00EB312D">
      <w:pPr>
        <w:pStyle w:val="TOC2"/>
        <w:tabs>
          <w:tab w:val="left" w:pos="360"/>
        </w:tabs>
        <w:rPr>
          <w:rFonts w:ascii="Calibri" w:hAnsi="Calibri"/>
          <w:snapToGrid/>
          <w:kern w:val="0"/>
          <w:szCs w:val="22"/>
        </w:rPr>
      </w:pPr>
      <w:r>
        <w:t>C.</w:t>
      </w:r>
      <w:r w:rsidRPr="00235BBC">
        <w:rPr>
          <w:rFonts w:ascii="Calibri" w:hAnsi="Calibri"/>
          <w:snapToGrid/>
          <w:kern w:val="0"/>
          <w:szCs w:val="22"/>
        </w:rPr>
        <w:tab/>
      </w:r>
      <w:r>
        <w:t>Legal Authority</w:t>
      </w:r>
      <w:r>
        <w:tab/>
        <w:t>89</w:t>
      </w:r>
    </w:p>
    <w:p w:rsidR="00EB312D" w:rsidRPr="00235BBC" w:rsidP="00EB312D">
      <w:pPr>
        <w:pStyle w:val="TOC1"/>
        <w:rPr>
          <w:rFonts w:ascii="Calibri" w:hAnsi="Calibri"/>
          <w:caps w:val="0"/>
          <w:snapToGrid/>
          <w:kern w:val="0"/>
          <w:szCs w:val="22"/>
        </w:rPr>
      </w:pPr>
      <w:r>
        <w:t>IV.</w:t>
      </w:r>
      <w:r w:rsidRPr="00235BBC">
        <w:rPr>
          <w:rFonts w:ascii="Calibri" w:hAnsi="Calibri"/>
          <w:caps w:val="0"/>
          <w:snapToGrid/>
          <w:kern w:val="0"/>
          <w:szCs w:val="22"/>
        </w:rPr>
        <w:tab/>
      </w:r>
      <w:r>
        <w:t>Modification of section 214 authorizations for centralized equal access providers</w:t>
      </w:r>
      <w:r>
        <w:tab/>
        <w:t>106</w:t>
      </w:r>
    </w:p>
    <w:p w:rsidR="00EB312D" w:rsidRPr="00235BBC" w:rsidP="00EB312D">
      <w:pPr>
        <w:pStyle w:val="TOC1"/>
        <w:rPr>
          <w:rFonts w:ascii="Calibri" w:hAnsi="Calibri"/>
          <w:caps w:val="0"/>
          <w:snapToGrid/>
          <w:kern w:val="0"/>
          <w:szCs w:val="22"/>
        </w:rPr>
      </w:pPr>
      <w:r>
        <w:t>V.</w:t>
      </w:r>
      <w:r w:rsidRPr="00235BBC">
        <w:rPr>
          <w:rFonts w:ascii="Calibri" w:hAnsi="Calibri"/>
          <w:caps w:val="0"/>
          <w:snapToGrid/>
          <w:kern w:val="0"/>
          <w:szCs w:val="22"/>
        </w:rPr>
        <w:tab/>
      </w:r>
      <w:r>
        <w:t>Procedural Matters</w:t>
      </w:r>
      <w:r>
        <w:tab/>
        <w:t>115</w:t>
      </w:r>
    </w:p>
    <w:p w:rsidR="00EB312D" w:rsidRPr="00235BBC" w:rsidP="00EB312D">
      <w:pPr>
        <w:pStyle w:val="TOC1"/>
        <w:rPr>
          <w:rFonts w:ascii="Calibri" w:hAnsi="Calibri"/>
          <w:caps w:val="0"/>
          <w:snapToGrid/>
          <w:kern w:val="0"/>
          <w:szCs w:val="22"/>
        </w:rPr>
      </w:pPr>
      <w:r>
        <w:t>VI.</w:t>
      </w:r>
      <w:r w:rsidRPr="00235BBC">
        <w:rPr>
          <w:rFonts w:ascii="Calibri" w:hAnsi="Calibri"/>
          <w:caps w:val="0"/>
          <w:snapToGrid/>
          <w:kern w:val="0"/>
          <w:szCs w:val="22"/>
        </w:rPr>
        <w:tab/>
      </w:r>
      <w:r>
        <w:t>Ordering Clauses</w:t>
      </w:r>
      <w:r>
        <w:tab/>
        <w:t>119</w:t>
      </w:r>
    </w:p>
    <w:bookmarkEnd w:id="0"/>
    <w:p w:rsidR="00EB312D" w:rsidP="00EB312D">
      <w:pPr>
        <w:ind w:firstLine="360"/>
      </w:pPr>
      <w:r>
        <w:t>APPENDIX A – Final Rules</w:t>
      </w:r>
    </w:p>
    <w:p w:rsidR="00EB312D" w:rsidP="00EB312D">
      <w:pPr>
        <w:ind w:firstLine="360"/>
      </w:pPr>
      <w:r>
        <w:t>APPENDIX B – Final Regulatory Flexibility Analysis</w:t>
      </w:r>
    </w:p>
    <w:p w:rsidR="00EB312D" w:rsidRPr="000F2933" w:rsidP="00EB312D"/>
    <w:p w:rsidR="00EB312D" w:rsidRPr="000F2933" w:rsidP="00EB312D">
      <w:pPr>
        <w:pStyle w:val="Heading1"/>
      </w:pPr>
      <w:bookmarkStart w:id="2" w:name="_Toc384127372"/>
      <w:bookmarkStart w:id="3" w:name="_Toc384236056"/>
      <w:bookmarkStart w:id="4" w:name="_Toc384996348"/>
      <w:bookmarkStart w:id="5" w:name="_Toc385257442"/>
      <w:bookmarkStart w:id="6" w:name="_Toc385345086"/>
      <w:bookmarkStart w:id="7" w:name="_Toc385422981"/>
      <w:bookmarkStart w:id="8" w:name="_Toc385946362"/>
      <w:bookmarkStart w:id="9" w:name="_Toc385956737"/>
      <w:bookmarkStart w:id="10" w:name="_Toc386119488"/>
      <w:bookmarkStart w:id="11" w:name="_Toc386202205"/>
      <w:bookmarkStart w:id="12" w:name="_Toc386538020"/>
      <w:bookmarkStart w:id="13" w:name="_Toc386628294"/>
      <w:bookmarkStart w:id="14" w:name="_Toc386647680"/>
      <w:bookmarkStart w:id="15" w:name="_Toc386783819"/>
      <w:bookmarkStart w:id="16" w:name="_Toc388511508"/>
      <w:bookmarkStart w:id="17" w:name="_Toc437358142"/>
      <w:bookmarkStart w:id="18" w:name="_Toc437426652"/>
      <w:bookmarkStart w:id="19" w:name="_Toc437526126"/>
      <w:bookmarkStart w:id="20" w:name="_Toc438049496"/>
      <w:bookmarkStart w:id="21" w:name="_Toc440991903"/>
      <w:bookmarkStart w:id="22" w:name="_Toc440993469"/>
      <w:bookmarkStart w:id="23" w:name="_Toc441043890"/>
      <w:bookmarkStart w:id="24" w:name="_Toc442801768"/>
      <w:bookmarkStart w:id="25" w:name="_Toc442888022"/>
      <w:bookmarkStart w:id="26" w:name="_Toc444868831"/>
      <w:bookmarkStart w:id="27" w:name="_Toc446424591"/>
      <w:bookmarkStart w:id="28" w:name="_Toc447036300"/>
      <w:bookmarkStart w:id="29" w:name="_Toc501619884"/>
      <w:bookmarkStart w:id="30" w:name="_Toc387246407"/>
      <w:bookmarkStart w:id="31" w:name="_Toc502754724"/>
      <w:bookmarkStart w:id="32" w:name="_Toc503186585"/>
      <w:bookmarkStart w:id="33" w:name="_Toc503346258"/>
      <w:bookmarkStart w:id="34" w:name="_Toc503392248"/>
      <w:bookmarkStart w:id="35" w:name="_Toc503868222"/>
      <w:bookmarkStart w:id="36" w:name="_Toc504674557"/>
      <w:bookmarkStart w:id="37" w:name="_Toc504675199"/>
      <w:bookmarkStart w:id="38" w:name="_Toc504724535"/>
      <w:bookmarkStart w:id="39" w:name="_Toc504737255"/>
      <w:bookmarkStart w:id="40" w:name="_Toc505273794"/>
      <w:bookmarkStart w:id="41" w:name="_Toc505671953"/>
      <w:bookmarkStart w:id="42" w:name="_Toc506382508"/>
      <w:bookmarkStart w:id="43" w:name="_Toc507683716"/>
      <w:bookmarkStart w:id="44" w:name="_Toc508018618"/>
      <w:bookmarkStart w:id="45" w:name="_Toc510697463"/>
      <w:bookmarkStart w:id="46" w:name="_Toc511389207"/>
      <w:bookmarkStart w:id="47" w:name="_Toc511389257"/>
      <w:bookmarkStart w:id="48" w:name="_Toc511809343"/>
      <w:bookmarkStart w:id="49" w:name="_Toc511829200"/>
      <w:bookmarkStart w:id="50" w:name="_Toc511908578"/>
      <w:bookmarkStart w:id="51" w:name="_Toc512342130"/>
      <w:bookmarkStart w:id="52" w:name="_Toc512432197"/>
      <w:bookmarkStart w:id="53" w:name="_Toc512602222"/>
      <w:bookmarkStart w:id="54" w:name="_Toc512609405"/>
      <w:bookmarkStart w:id="55" w:name="_Toc513022569"/>
      <w:bookmarkStart w:id="56" w:name="_Toc513112759"/>
      <w:bookmarkStart w:id="57" w:name="_Toc515635360"/>
      <w:bookmarkStart w:id="58" w:name="_Toc515868101"/>
      <w:bookmarkStart w:id="59" w:name="_Toc524706690"/>
      <w:bookmarkStart w:id="60" w:name="_Toc525114489"/>
      <w:bookmarkStart w:id="61" w:name="_Toc525114512"/>
      <w:bookmarkStart w:id="62" w:name="_Toc525127932"/>
      <w:bookmarkStart w:id="63" w:name="_Toc525225641"/>
      <w:bookmarkStart w:id="64" w:name="_Toc525230301"/>
      <w:bookmarkStart w:id="65" w:name="_Toc9244537"/>
      <w:bookmarkStart w:id="66" w:name="_Toc12013327"/>
      <w:bookmarkStart w:id="67" w:name="_Toc13237266"/>
      <w:bookmarkStart w:id="68" w:name="_Toc13641409"/>
      <w:bookmarkStart w:id="69" w:name="_Toc13844711"/>
      <w:bookmarkStart w:id="70" w:name="_Toc13844763"/>
      <w:bookmarkStart w:id="71" w:name="_Toc13844852"/>
      <w:bookmarkStart w:id="72" w:name="_Toc14019945"/>
      <w:bookmarkStart w:id="73" w:name="_Toc14096388"/>
      <w:bookmarkStart w:id="74" w:name="_Toc15028066"/>
      <w:bookmarkStart w:id="75" w:name="_Toc15310183"/>
      <w:bookmarkStart w:id="76" w:name="_Toc16756572"/>
      <w:bookmarkStart w:id="77" w:name="_Toc16762064"/>
      <w:bookmarkStart w:id="78" w:name="_Toc16843631"/>
      <w:bookmarkStart w:id="79" w:name="_Toc16863786"/>
      <w:bookmarkStart w:id="80" w:name="_Toc17048642"/>
      <w:bookmarkStart w:id="81" w:name="_Toc18423495"/>
      <w:bookmarkStart w:id="82" w:name="_Toc18423550"/>
      <w:bookmarkStart w:id="83" w:name="_Toc18423626"/>
      <w:bookmarkStart w:id="84" w:name="_Toc18486765"/>
      <w:bookmarkStart w:id="85" w:name="_Toc18487375"/>
      <w:bookmarkStart w:id="86" w:name="_Toc18487880"/>
      <w:bookmarkStart w:id="87" w:name="_Toc18487988"/>
      <w:bookmarkStart w:id="88" w:name="_Toc18488111"/>
      <w:bookmarkStart w:id="89" w:name="_Toc20056851"/>
      <w:bookmarkStart w:id="90" w:name="_Toc20219900"/>
      <w:bookmarkStart w:id="91" w:name="_Toc17364725"/>
      <w:bookmarkStart w:id="92" w:name="_Toc17469821"/>
      <w:bookmarkStart w:id="93" w:name="_Toc17887579"/>
      <w:r w:rsidRPr="000F2933">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0F2933">
        <w:t xml:space="preserve"> </w:t>
      </w:r>
      <w:bookmarkEnd w:id="91"/>
      <w:bookmarkEnd w:id="92"/>
      <w:bookmarkEnd w:id="93"/>
    </w:p>
    <w:p w:rsidR="00EB312D" w:rsidP="00EB312D">
      <w:pPr>
        <w:pStyle w:val="ParaNum"/>
        <w:widowControl/>
      </w:pPr>
      <w:bookmarkStart w:id="94" w:name="_Hlk17059611"/>
      <w:bookmarkStart w:id="95" w:name="_Hlk501532233"/>
      <w:bookmarkStart w:id="96" w:name="_Toc437358143"/>
      <w:bookmarkStart w:id="97" w:name="_Toc437426653"/>
      <w:bookmarkStart w:id="98" w:name="_Toc437526127"/>
      <w:bookmarkStart w:id="99" w:name="_Toc438049497"/>
      <w:bookmarkStart w:id="100" w:name="_Toc437358145"/>
      <w:bookmarkStart w:id="101" w:name="_Toc437426657"/>
      <w:bookmarkStart w:id="102" w:name="_Toc437526131"/>
      <w:r w:rsidRPr="002B74C2">
        <w:t>“Free</w:t>
      </w:r>
      <w:r>
        <w:t xml:space="preserve">” conference calling, chat lines, and certain other services accessed by dialing a domestic telephone number are all types of high-volume calling services that can take advantage of inefficiently high access charges allowed under the current intercarrier compensation (ICC) regime.  The ICC regime was </w:t>
      </w:r>
      <w:r w:rsidRPr="000F2933">
        <w:t xml:space="preserve">designed to </w:t>
      </w:r>
      <w:r>
        <w:t xml:space="preserve">help </w:t>
      </w:r>
      <w:r w:rsidRPr="000F2933">
        <w:t xml:space="preserve">ensure </w:t>
      </w:r>
      <w:r>
        <w:t xml:space="preserve">that </w:t>
      </w:r>
      <w:r w:rsidRPr="000F2933">
        <w:t xml:space="preserve">people living in rural </w:t>
      </w:r>
      <w:r>
        <w:t xml:space="preserve">America </w:t>
      </w:r>
      <w:r w:rsidRPr="000F2933">
        <w:t>had access to affordable telephone service</w:t>
      </w:r>
      <w:r>
        <w:t xml:space="preserve"> through a system of implicit </w:t>
      </w:r>
      <w:r w:rsidRPr="002B74C2">
        <w:t>subsidies.  As</w:t>
      </w:r>
      <w:r>
        <w:t xml:space="preserve"> a result, interexchange carriers (IXCs)</w:t>
      </w:r>
      <w:r>
        <w:rPr>
          <w:rStyle w:val="FootnoteReference"/>
        </w:rPr>
        <w:footnoteReference w:id="3"/>
      </w:r>
      <w:r>
        <w:t xml:space="preserve"> traditionally were required to pay high terminating access rates to local exchange carriers (LECs).  While competition has displaced monopolies, and new, more efficient technologies have replaced legacy technologies, particularly in urban areas, the ability to charge inefficiently high access rates</w:t>
      </w:r>
      <w:r w:rsidRPr="000F2933">
        <w:t xml:space="preserve"> for terminating calls </w:t>
      </w:r>
      <w:r>
        <w:t xml:space="preserve">in certain rural areas has </w:t>
      </w:r>
      <w:r w:rsidRPr="000F2933">
        <w:t xml:space="preserve">encouraged some </w:t>
      </w:r>
      <w:r>
        <w:t>LECs</w:t>
      </w:r>
      <w:r w:rsidRPr="000F2933">
        <w:t xml:space="preserve"> to </w:t>
      </w:r>
      <w:r>
        <w:t xml:space="preserve">engage in access arbitrage.  </w:t>
      </w:r>
      <w:r>
        <w:t xml:space="preserve">Specifically, to artificially increase their access charge revenues, these LECs </w:t>
      </w:r>
      <w:r w:rsidRPr="000F2933">
        <w:t xml:space="preserve">stimulate terminating call volumes through </w:t>
      </w:r>
      <w:r>
        <w:t>arrangements</w:t>
      </w:r>
      <w:r w:rsidRPr="000F2933">
        <w:t xml:space="preserve"> with </w:t>
      </w:r>
      <w:r>
        <w:t>entities</w:t>
      </w:r>
      <w:r w:rsidRPr="000F2933">
        <w:t xml:space="preserve"> that offer high-volume calling services</w:t>
      </w:r>
      <w:r>
        <w:t xml:space="preserve">.  This practice is </w:t>
      </w:r>
      <w:r w:rsidRPr="000F2933">
        <w:t>known as access stimulation</w:t>
      </w:r>
      <w:r>
        <w:t>.</w:t>
      </w:r>
    </w:p>
    <w:p w:rsidR="00EB312D" w:rsidP="00EB312D">
      <w:pPr>
        <w:pStyle w:val="ParaNum"/>
      </w:pPr>
      <w:r>
        <w:t xml:space="preserve">Access </w:t>
      </w:r>
      <w:r w:rsidRPr="000F2933">
        <w:t xml:space="preserve">stimulation </w:t>
      </w:r>
      <w:r>
        <w:t xml:space="preserve">generates </w:t>
      </w:r>
      <w:r w:rsidRPr="000F2933">
        <w:t xml:space="preserve">extraordinary numbers of inbound calls </w:t>
      </w:r>
      <w:r>
        <w:t xml:space="preserve">which </w:t>
      </w:r>
      <w:r w:rsidRPr="000F2933">
        <w:t xml:space="preserve">result in excessive terminating access </w:t>
      </w:r>
      <w:r>
        <w:t>charges that IXCs are forced to pay.  IXCs</w:t>
      </w:r>
      <w:r w:rsidRPr="000F2933">
        <w:t xml:space="preserve"> </w:t>
      </w:r>
      <w:r>
        <w:t xml:space="preserve">that </w:t>
      </w:r>
      <w:r w:rsidRPr="000F2933">
        <w:t xml:space="preserve">pay </w:t>
      </w:r>
      <w:r>
        <w:t>those</w:t>
      </w:r>
      <w:r w:rsidRPr="000F2933">
        <w:t xml:space="preserve"> </w:t>
      </w:r>
      <w:r>
        <w:t xml:space="preserve">access </w:t>
      </w:r>
      <w:r w:rsidRPr="000F2933">
        <w:t>charges</w:t>
      </w:r>
      <w:r>
        <w:t xml:space="preserve"> generally </w:t>
      </w:r>
      <w:r w:rsidRPr="000F2933">
        <w:t>spread th</w:t>
      </w:r>
      <w:r>
        <w:t>ose</w:t>
      </w:r>
      <w:r w:rsidRPr="000F2933">
        <w:t xml:space="preserve"> cost</w:t>
      </w:r>
      <w:r>
        <w:t>s</w:t>
      </w:r>
      <w:r w:rsidRPr="000F2933">
        <w:t xml:space="preserve"> to </w:t>
      </w:r>
      <w:r w:rsidRPr="000F2933">
        <w:t>all of</w:t>
      </w:r>
      <w:r w:rsidRPr="000F2933">
        <w:t xml:space="preserve"> their customers, regardless of which </w:t>
      </w:r>
      <w:r>
        <w:t xml:space="preserve">customers </w:t>
      </w:r>
      <w:r w:rsidRPr="000F2933">
        <w:t>actually ma</w:t>
      </w:r>
      <w:r>
        <w:t>ke</w:t>
      </w:r>
      <w:r w:rsidRPr="000F2933">
        <w:t xml:space="preserve"> calls to high-volume calling services. </w:t>
      </w:r>
      <w:r>
        <w:t xml:space="preserve"> As a result, </w:t>
      </w:r>
      <w:r w:rsidRPr="000F2933">
        <w:t>long</w:t>
      </w:r>
      <w:r>
        <w:t>-</w:t>
      </w:r>
      <w:r w:rsidRPr="000F2933">
        <w:t xml:space="preserve">distance customers </w:t>
      </w:r>
      <w:r>
        <w:t xml:space="preserve">collectively </w:t>
      </w:r>
      <w:r w:rsidRPr="000F2933">
        <w:t>fund the “free” services offered by the high-volume calling service providers</w:t>
      </w:r>
      <w:r>
        <w:t xml:space="preserve"> whether they use the services or not</w:t>
      </w:r>
      <w:r w:rsidRPr="000F2933">
        <w:t xml:space="preserve">. </w:t>
      </w:r>
      <w:r>
        <w:t xml:space="preserve"> In 2011, in the </w:t>
      </w:r>
      <w:r w:rsidRPr="005F6C7A">
        <w:rPr>
          <w:i/>
        </w:rPr>
        <w:t>USF/ICC Transformation Order</w:t>
      </w:r>
      <w:r>
        <w:t>, the Commission sought to eliminate the detrimental effect of access stimulation on all American consumers using two strategies</w:t>
      </w:r>
      <w:r w:rsidRPr="00405A8B">
        <w:t xml:space="preserve">:  </w:t>
      </w:r>
      <w:r>
        <w:t>(1) </w:t>
      </w:r>
      <w:r w:rsidRPr="00405A8B">
        <w:t>ta</w:t>
      </w:r>
      <w:r>
        <w:t>rgeted action aimed at reducing the end office terminating access rates that access-stimulating LECs can collect, and therefore, share with the high-volume calling service providers; and (2) changes to the broader ICC system aimed at moving the entire system to bill-and-keep.</w:t>
      </w:r>
      <w:r>
        <w:rPr>
          <w:rStyle w:val="FootnoteReference"/>
        </w:rPr>
        <w:footnoteReference w:id="4"/>
      </w:r>
    </w:p>
    <w:p w:rsidR="00EB312D" w:rsidP="00EB312D">
      <w:pPr>
        <w:pStyle w:val="ParaNum"/>
      </w:pPr>
      <w:r>
        <w:t xml:space="preserve">In response to Commission action in 2011, access stimulation schemes have adapted to shrinking end office termination charges and now seek to take advantage of access charges that have not yet transitioned or are not transitioning to bill-and-keep.  Today’s schemes are structured to ensure that IXCs pay high tandem switching and tandem switched transport charges to access-stimulating LECs and to the intermediate access providers chosen by those access-stimulating LECs.  And, while the direct cost to IXCs of access stimulation has dropped, the number of access stimulated minutes has not.  Indeed, arbitragers are </w:t>
      </w:r>
      <w:r w:rsidRPr="000F2933">
        <w:t>“openly promoting opportunities to get paid for generating minutes by dialing telephone numbers owned by access stimulator LECs.”</w:t>
      </w:r>
      <w:r>
        <w:rPr>
          <w:rStyle w:val="FootnoteReference"/>
        </w:rPr>
        <w:footnoteReference w:id="5"/>
      </w:r>
      <w:r w:rsidRPr="000F2933">
        <w:t xml:space="preserve">  </w:t>
      </w:r>
      <w:r>
        <w:t>Furthermore, in addition to imposing direct access costs on IXCs—and, by extension, their customers—access stimulation imposes other harms.  For example, t</w:t>
      </w:r>
      <w:r w:rsidRPr="000F2933">
        <w:t>he</w:t>
      </w:r>
      <w:r>
        <w:t xml:space="preserve">re is evidence that the </w:t>
      </w:r>
      <w:r w:rsidRPr="000F2933">
        <w:t>staggering volume of minutes generated by these schemes can result in call blocking and dropped calls</w:t>
      </w:r>
      <w:r>
        <w:t>.  Sprint, for instance, describes one scheme it uncovered using</w:t>
      </w:r>
      <w:r w:rsidRPr="00713179">
        <w:t xml:space="preserve"> </w:t>
      </w:r>
      <w:r w:rsidRPr="00713179">
        <w:t xml:space="preserve">33 phones at a single cell site in Tampa, Florida that were each placing </w:t>
      </w:r>
      <w:r>
        <w:t xml:space="preserve">calls lasting </w:t>
      </w:r>
      <w:r w:rsidRPr="00713179">
        <w:t xml:space="preserve">more than 1,000 minutes per day </w:t>
      </w:r>
      <w:r w:rsidRPr="00713179">
        <w:t>to</w:t>
      </w:r>
      <w:r>
        <w:t xml:space="preserve"> a k</w:t>
      </w:r>
      <w:r w:rsidRPr="00713179">
        <w:t>nown access arbitrage carrier</w:t>
      </w:r>
      <w:r>
        <w:t xml:space="preserve">.  In that case, access stimulation meant that </w:t>
      </w:r>
      <w:r w:rsidRPr="000F2933">
        <w:t>“other customers were unable to make regular calls and may not have been able to reach 911.”</w:t>
      </w:r>
      <w:r>
        <w:rPr>
          <w:rStyle w:val="FootnoteReference"/>
        </w:rPr>
        <w:footnoteReference w:id="6"/>
      </w:r>
      <w:r w:rsidRPr="000F2933">
        <w:t xml:space="preserve">  </w:t>
      </w:r>
      <w:r>
        <w:t>Sprint also offers an example o</w:t>
      </w:r>
      <w:r w:rsidRPr="00EA4930">
        <w:t>f</w:t>
      </w:r>
      <w:r>
        <w:t xml:space="preserve"> </w:t>
      </w:r>
      <w:r w:rsidRPr="000F2933">
        <w:t xml:space="preserve">1.4 million minutes </w:t>
      </w:r>
      <w:r>
        <w:t>being “</w:t>
      </w:r>
      <w:r w:rsidRPr="000F2933">
        <w:t xml:space="preserve">sent from a single number (951-373-54XX) to a Boost Mobile phone (951-448-51XX) that was subsequently forwarded to </w:t>
      </w:r>
      <w:r w:rsidRPr="000F2933">
        <w:t>Pac</w:t>
      </w:r>
      <w:r>
        <w:t>o</w:t>
      </w:r>
      <w:r w:rsidRPr="000F2933">
        <w:t>ptic</w:t>
      </w:r>
      <w:r w:rsidRPr="000F2933">
        <w:t xml:space="preserve"> terminating telephone numbers, a carrier that has filed a traffic-pumping </w:t>
      </w:r>
      <w:r w:rsidRPr="009251AA">
        <w:t>tariff. . . .</w:t>
      </w:r>
      <w:r w:rsidRPr="000F2933">
        <w:t xml:space="preserve"> </w:t>
      </w:r>
      <w:r>
        <w:t xml:space="preserve"> </w:t>
      </w:r>
      <w:r w:rsidRPr="000F2933">
        <w:t>The traffic increased to six times the normal call volume in a single day.”</w:t>
      </w:r>
      <w:r>
        <w:rPr>
          <w:rStyle w:val="FootnoteReference"/>
        </w:rPr>
        <w:footnoteReference w:id="7"/>
      </w:r>
      <w:r w:rsidRPr="000F2933">
        <w:t xml:space="preserve">  </w:t>
      </w:r>
    </w:p>
    <w:p w:rsidR="00EB312D" w:rsidP="009B0DED">
      <w:pPr>
        <w:pStyle w:val="ParaNum"/>
        <w:widowControl/>
      </w:pPr>
      <w:r>
        <w:t xml:space="preserve">Consistent with the goals of the Commission’s 2011 ICC reform, in this </w:t>
      </w:r>
      <w:r w:rsidRPr="007579BB">
        <w:rPr>
          <w:i/>
        </w:rPr>
        <w:t>Order</w:t>
      </w:r>
      <w:r>
        <w:t xml:space="preserve"> we</w:t>
      </w:r>
      <w:r w:rsidRPr="00165EE5">
        <w:t xml:space="preserve"> </w:t>
      </w:r>
      <w:r>
        <w:t xml:space="preserve">take further action to broaden the scope and effectiveness of our anti-arbitrage rules.  </w:t>
      </w:r>
      <w:bookmarkStart w:id="105" w:name="_Hlk20234013"/>
      <w:r w:rsidRPr="00AF334A">
        <w:t xml:space="preserve">To </w:t>
      </w:r>
      <w:r>
        <w:t xml:space="preserve">reduce </w:t>
      </w:r>
      <w:r w:rsidRPr="00AF334A">
        <w:t xml:space="preserve">the </w:t>
      </w:r>
      <w:r w:rsidRPr="00772C92">
        <w:t xml:space="preserve">use of the </w:t>
      </w:r>
      <w:r w:rsidRPr="00772C92">
        <w:t>ICC system to subsidize services</w:t>
      </w:r>
      <w:r>
        <w:t>,</w:t>
      </w:r>
      <w:r w:rsidRPr="00772C92">
        <w:t xml:space="preserve"> including the many </w:t>
      </w:r>
      <w:r>
        <w:t>“</w:t>
      </w:r>
      <w:r w:rsidRPr="00772C92">
        <w:t>free</w:t>
      </w:r>
      <w:r>
        <w:t>”</w:t>
      </w:r>
      <w:r w:rsidRPr="00772C92">
        <w:t xml:space="preserve"> </w:t>
      </w:r>
      <w:r w:rsidRPr="00AF334A">
        <w:t xml:space="preserve">services </w:t>
      </w:r>
      <w:r w:rsidRPr="00772C92">
        <w:t>offered through access</w:t>
      </w:r>
      <w:r>
        <w:t xml:space="preserve"> </w:t>
      </w:r>
      <w:r w:rsidRPr="00772C92">
        <w:t>stimulation schemes, we adopt rules making access-stimulating LECs</w:t>
      </w:r>
      <w:r>
        <w:t>—</w:t>
      </w:r>
      <w:r w:rsidRPr="00772C92">
        <w:t>rather than IXCs</w:t>
      </w:r>
      <w:r>
        <w:t>—</w:t>
      </w:r>
      <w:r w:rsidRPr="00772C92">
        <w:t xml:space="preserve">financially responsible for the tandem switching and transport service access charges associated with the delivery of traffic from </w:t>
      </w:r>
      <w:r>
        <w:t>an</w:t>
      </w:r>
      <w:r w:rsidRPr="00772C92">
        <w:t xml:space="preserve"> IXC to the access-stimulating LEC end office or its functional equivalent.</w:t>
      </w:r>
      <w:r>
        <w:rPr>
          <w:rStyle w:val="FootnoteReference"/>
        </w:rPr>
        <w:footnoteReference w:id="8"/>
      </w:r>
      <w:r w:rsidRPr="00AF334A">
        <w:t xml:space="preserve">  </w:t>
      </w:r>
      <w:bookmarkEnd w:id="105"/>
      <w:r>
        <w:t xml:space="preserve">By adopting these rules, we will reduce the incentive to inefficiently route </w:t>
      </w:r>
      <w:r w:rsidRPr="00AF334A">
        <w:t>high</w:t>
      </w:r>
      <w:r w:rsidRPr="00772C92">
        <w:t>-volume, purposely</w:t>
      </w:r>
      <w:r>
        <w:t xml:space="preserve"> </w:t>
      </w:r>
      <w:r w:rsidRPr="00772C92">
        <w:t xml:space="preserve">inflated, call traffic.  </w:t>
      </w:r>
      <w:r>
        <w:t>Re</w:t>
      </w:r>
      <w:r w:rsidRPr="00772C92">
        <w:t>cognizing that access stimulation may occur even when there is no access revenue</w:t>
      </w:r>
      <w:r>
        <w:t xml:space="preserve"> </w:t>
      </w:r>
      <w:r w:rsidRPr="00772C92">
        <w:t>sharing agreement</w:t>
      </w:r>
      <w:r>
        <w:t>, we</w:t>
      </w:r>
      <w:r w:rsidRPr="00772C92">
        <w:t xml:space="preserve"> also modify our definition of access stimulation</w:t>
      </w:r>
      <w:r>
        <w:t>—which currently is based on traffic volumes and access revenue sharing—</w:t>
      </w:r>
      <w:r w:rsidRPr="00772C92">
        <w:t xml:space="preserve">to include </w:t>
      </w:r>
      <w:r>
        <w:t>two</w:t>
      </w:r>
      <w:r w:rsidRPr="00772C92">
        <w:t xml:space="preserve"> alternative traffic trigger</w:t>
      </w:r>
      <w:r>
        <w:t xml:space="preserve">s without a revenue sharing component.  We adopt different alternative triggers for competitive LECs and rate-of-return LECs </w:t>
      </w:r>
      <w:r>
        <w:t>in light of</w:t>
      </w:r>
      <w:r>
        <w:t xml:space="preserve"> the different incentives each has to engage in access stimulation.</w:t>
      </w:r>
    </w:p>
    <w:p w:rsidR="00EB312D" w:rsidRPr="000F2933" w:rsidP="00EB312D">
      <w:pPr>
        <w:pStyle w:val="Heading1"/>
      </w:pPr>
      <w:bookmarkStart w:id="106" w:name="_Toc524706691"/>
      <w:bookmarkStart w:id="107" w:name="_Toc525114490"/>
      <w:bookmarkStart w:id="108" w:name="_Toc525114513"/>
      <w:bookmarkStart w:id="109" w:name="_Toc525127933"/>
      <w:bookmarkStart w:id="110" w:name="_Toc525225642"/>
      <w:bookmarkStart w:id="111" w:name="_Toc525230302"/>
      <w:bookmarkStart w:id="112" w:name="_Toc501619885"/>
      <w:bookmarkStart w:id="113" w:name="_Toc502754725"/>
      <w:bookmarkStart w:id="114" w:name="_Toc503186586"/>
      <w:bookmarkStart w:id="115" w:name="_Toc503346259"/>
      <w:bookmarkStart w:id="116" w:name="_Toc503392249"/>
      <w:bookmarkStart w:id="117" w:name="_Toc503868223"/>
      <w:bookmarkStart w:id="118" w:name="_Toc504674558"/>
      <w:bookmarkStart w:id="119" w:name="_Toc504675200"/>
      <w:bookmarkStart w:id="120" w:name="_Toc504724536"/>
      <w:bookmarkStart w:id="121" w:name="_Toc504737256"/>
      <w:bookmarkStart w:id="122" w:name="_Toc505273795"/>
      <w:bookmarkStart w:id="123" w:name="_Toc505671954"/>
      <w:bookmarkStart w:id="124" w:name="_Toc506382509"/>
      <w:bookmarkStart w:id="125" w:name="_Toc9244538"/>
      <w:bookmarkStart w:id="126" w:name="_Toc12013328"/>
      <w:bookmarkStart w:id="127" w:name="_Toc13237267"/>
      <w:bookmarkStart w:id="128" w:name="_Toc13641410"/>
      <w:bookmarkStart w:id="129" w:name="_Toc13844712"/>
      <w:bookmarkStart w:id="130" w:name="_Toc13844764"/>
      <w:bookmarkStart w:id="131" w:name="_Toc13844853"/>
      <w:bookmarkStart w:id="132" w:name="_Toc14019946"/>
      <w:bookmarkStart w:id="133" w:name="_Toc14096389"/>
      <w:bookmarkStart w:id="134" w:name="_Toc15028067"/>
      <w:bookmarkStart w:id="135" w:name="_Toc15310184"/>
      <w:bookmarkStart w:id="136" w:name="_Toc16756573"/>
      <w:bookmarkStart w:id="137" w:name="_Toc16762065"/>
      <w:bookmarkStart w:id="138" w:name="_Toc16843632"/>
      <w:bookmarkStart w:id="139" w:name="_Toc16863787"/>
      <w:bookmarkStart w:id="140" w:name="_Toc17048643"/>
      <w:bookmarkStart w:id="141" w:name="_Toc17364726"/>
      <w:bookmarkStart w:id="142" w:name="_Toc17469822"/>
      <w:bookmarkStart w:id="143" w:name="_Toc17887580"/>
      <w:bookmarkStart w:id="144" w:name="_Toc18423496"/>
      <w:bookmarkStart w:id="145" w:name="_Toc18423551"/>
      <w:bookmarkStart w:id="146" w:name="_Toc18423627"/>
      <w:bookmarkStart w:id="147" w:name="_Toc18486766"/>
      <w:bookmarkStart w:id="148" w:name="_Toc18487376"/>
      <w:bookmarkStart w:id="149" w:name="_Toc18487881"/>
      <w:bookmarkStart w:id="150" w:name="_Toc18487989"/>
      <w:bookmarkStart w:id="151" w:name="_Toc18488112"/>
      <w:bookmarkStart w:id="152" w:name="_Toc20056852"/>
      <w:bookmarkStart w:id="153" w:name="_Toc20219901"/>
      <w:bookmarkEnd w:id="94"/>
      <w:bookmarkEnd w:id="95"/>
      <w:r w:rsidRPr="000F2933">
        <w:t>BACKGROUND</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EB312D" w:rsidP="00EB312D">
      <w:pPr>
        <w:pStyle w:val="ParaNum"/>
      </w:pPr>
      <w:bookmarkStart w:id="154" w:name="_Toc524706692"/>
      <w:bookmarkStart w:id="155" w:name="_Toc525114491"/>
      <w:bookmarkStart w:id="156" w:name="_Toc525114514"/>
      <w:bookmarkStart w:id="157" w:name="_Toc525127934"/>
      <w:bookmarkStart w:id="158" w:name="_Toc525225643"/>
      <w:bookmarkStart w:id="159" w:name="_Toc525230303"/>
      <w:bookmarkStart w:id="160" w:name="_Hlk504670256"/>
      <w:r>
        <w:t xml:space="preserve">In the 1980s, after the decision to break up AT&amp;T, the </w:t>
      </w:r>
      <w:r w:rsidRPr="007A4473">
        <w:t>Commission</w:t>
      </w:r>
      <w:r>
        <w:t xml:space="preserve"> adopted regulations detailing how access charges were to be determined and applied by LECs when IXCs connect their networks to the LECs’ networks to carry telephone calls originated by or terminating to the LECs’ customers.</w:t>
      </w:r>
      <w:r>
        <w:rPr>
          <w:rStyle w:val="FootnoteReference"/>
        </w:rPr>
        <w:footnoteReference w:id="9"/>
      </w:r>
      <w:r>
        <w:t xml:space="preserve">  Those regulations also established a tariff system for access charges that mandates the payment of tariffed access charges by IXCs to LECs.</w:t>
      </w:r>
      <w:r>
        <w:rPr>
          <w:rStyle w:val="FootnoteReference"/>
        </w:rPr>
        <w:footnoteReference w:id="10"/>
      </w:r>
      <w:r w:rsidRPr="00FC239B">
        <w:t xml:space="preserve"> </w:t>
      </w:r>
      <w:r>
        <w:t xml:space="preserve"> In passing the Telecommunications Act of 1996 (the 1996 Act), Congress sought to establish “a pro-competitive, deregulatory national policy framework” for the United States’ telecommunications industry in which implicit subsidies for rural areas were replaced by explicit ones in the form of universal service support.</w:t>
      </w:r>
      <w:r>
        <w:rPr>
          <w:rStyle w:val="FootnoteReference"/>
        </w:rPr>
        <w:footnoteReference w:id="11"/>
      </w:r>
      <w:r>
        <w:t xml:space="preserve">  In response, the Commission began the process of reforming its universal service and ICC systems.</w:t>
      </w:r>
      <w:r>
        <w:rPr>
          <w:rStyle w:val="FootnoteReference"/>
        </w:rPr>
        <w:footnoteReference w:id="12"/>
      </w:r>
      <w:r>
        <w:t xml:space="preserve">  </w:t>
      </w:r>
    </w:p>
    <w:p w:rsidR="00EB312D" w:rsidRPr="003F23C7" w:rsidP="00EB312D">
      <w:pPr>
        <w:pStyle w:val="ParaNum"/>
      </w:pPr>
      <w:r w:rsidRPr="00AF334A">
        <w:t xml:space="preserve">In the </w:t>
      </w:r>
      <w:r>
        <w:t xml:space="preserve">2011 </w:t>
      </w:r>
      <w:r w:rsidRPr="007A4473">
        <w:rPr>
          <w:i/>
        </w:rPr>
        <w:t>USF/ICC Transformation Order</w:t>
      </w:r>
      <w:r w:rsidRPr="00772C92">
        <w:t xml:space="preserve">, the Commission </w:t>
      </w:r>
      <w:r>
        <w:t>took further steps to comprehensively reform the ICC regime and established a bill-and-keep methodology as the ultimate end state for all intercarrier compensation.</w:t>
      </w:r>
      <w:r>
        <w:rPr>
          <w:rStyle w:val="FootnoteReference"/>
        </w:rPr>
        <w:footnoteReference w:id="13"/>
      </w:r>
      <w:r>
        <w:t xml:space="preserve">  As part of the transition to bill-and-keep, the Commission capped most ICC access charges and adopted a multi-year schedule for moving terminating end office charges and some tandem switching and transport charges to bill-and-keep.</w:t>
      </w:r>
      <w:r>
        <w:rPr>
          <w:rStyle w:val="FootnoteReference"/>
        </w:rPr>
        <w:footnoteReference w:id="14"/>
      </w:r>
      <w:r>
        <w:t xml:space="preserve">  </w:t>
      </w:r>
    </w:p>
    <w:bookmarkEnd w:id="154"/>
    <w:bookmarkEnd w:id="155"/>
    <w:bookmarkEnd w:id="156"/>
    <w:bookmarkEnd w:id="157"/>
    <w:bookmarkEnd w:id="158"/>
    <w:bookmarkEnd w:id="159"/>
    <w:p w:rsidR="00EB312D" w:rsidRPr="000F2933" w:rsidP="00EB312D">
      <w:pPr>
        <w:pStyle w:val="ParaNum"/>
      </w:pPr>
      <w:r w:rsidRPr="00AF334A">
        <w:t xml:space="preserve">In the </w:t>
      </w:r>
      <w:r w:rsidRPr="007E0F9C">
        <w:rPr>
          <w:i/>
        </w:rPr>
        <w:t>USF/ICC Transformation Order</w:t>
      </w:r>
      <w:r w:rsidRPr="00772C92">
        <w:t xml:space="preserve">, the Commission </w:t>
      </w:r>
      <w:r>
        <w:t>found that the transition to bill-and-keep would help reduce access stimulation, and it also attacked access arbitrage directly.</w:t>
      </w:r>
      <w:r>
        <w:rPr>
          <w:rStyle w:val="FootnoteReference"/>
        </w:rPr>
        <w:footnoteReference w:id="15"/>
      </w:r>
      <w:r>
        <w:t xml:space="preserve">  The Commission </w:t>
      </w:r>
      <w:r w:rsidRPr="00772C92">
        <w:t xml:space="preserve">explained that access stimulation </w:t>
      </w:r>
      <w:r>
        <w:t xml:space="preserve">was </w:t>
      </w:r>
      <w:r w:rsidRPr="00772C92">
        <w:t>occur</w:t>
      </w:r>
      <w:r>
        <w:t>ring</w:t>
      </w:r>
      <w:r w:rsidRPr="00772C92">
        <w:t xml:space="preserve"> in areas where LECs ha</w:t>
      </w:r>
      <w:r>
        <w:t>d</w:t>
      </w:r>
      <w:r w:rsidRPr="00772C92">
        <w:t xml:space="preserve"> high switched </w:t>
      </w:r>
      <w:r w:rsidRPr="00772C92">
        <w:t>access rates</w:t>
      </w:r>
      <w:r>
        <w:t xml:space="preserve"> </w:t>
      </w:r>
      <w:r w:rsidRPr="00772C92">
        <w:t>because LECs entering traffic-inflating revenue</w:t>
      </w:r>
      <w:r>
        <w:t xml:space="preserve"> </w:t>
      </w:r>
      <w:r w:rsidRPr="00772C92">
        <w:t>sharing agreements were not required to reduce their access rates to reflect their increased volume of minutes.</w:t>
      </w:r>
      <w:r>
        <w:rPr>
          <w:rStyle w:val="FootnoteReference"/>
        </w:rPr>
        <w:footnoteReference w:id="16"/>
      </w:r>
      <w:r w:rsidRPr="00AF334A">
        <w:t xml:space="preserve">  The Commission found that</w:t>
      </w:r>
      <w:r>
        <w:t>,</w:t>
      </w:r>
      <w:r w:rsidRPr="00AF334A">
        <w:t xml:space="preserve"> </w:t>
      </w:r>
      <w:r>
        <w:t xml:space="preserve">because </w:t>
      </w:r>
      <w:r w:rsidRPr="00AF334A">
        <w:t>access stimulation</w:t>
      </w:r>
      <w:r w:rsidRPr="00772C92">
        <w:t xml:space="preserve"> increased </w:t>
      </w:r>
      <w:r>
        <w:t>access minutes-of-use and access payments (at constant per-minute-of-use rates that exceed the actual</w:t>
      </w:r>
      <w:r w:rsidRPr="00772C92">
        <w:t xml:space="preserve"> average per-minute cost of </w:t>
      </w:r>
      <w:r>
        <w:t xml:space="preserve">providing </w:t>
      </w:r>
      <w:r w:rsidRPr="00772C92">
        <w:t>access</w:t>
      </w:r>
      <w:r>
        <w:t>),</w:t>
      </w:r>
      <w:r w:rsidRPr="00772C92">
        <w:t xml:space="preserve"> </w:t>
      </w:r>
      <w:r>
        <w:t xml:space="preserve">it also increased </w:t>
      </w:r>
      <w:r w:rsidRPr="00772C92">
        <w:t>the average cost of long-distance calling</w:t>
      </w:r>
      <w:r>
        <w:t>.</w:t>
      </w:r>
      <w:r>
        <w:rPr>
          <w:rStyle w:val="FootnoteReference"/>
        </w:rPr>
        <w:footnoteReference w:id="17"/>
      </w:r>
      <w:r>
        <w:t xml:space="preserve">  The Commission explained that</w:t>
      </w:r>
      <w:r w:rsidRPr="00772C92">
        <w:t xml:space="preserve"> “all customers of these long-distance providers bear these costs, even though many of them do not use the access</w:t>
      </w:r>
      <w:r>
        <w:t xml:space="preserve"> stimulator’s </w:t>
      </w:r>
      <w:r w:rsidRPr="00772C92">
        <w:t xml:space="preserve">services, and, in essence, ultimately support businesses designed to take advantage of </w:t>
      </w:r>
      <w:r>
        <w:t>. </w:t>
      </w:r>
      <w:r w:rsidRPr="009B374F">
        <w:t>. . above</w:t>
      </w:r>
      <w:r w:rsidRPr="00772C92">
        <w:t>-cost intercarrier compensation rates.”</w:t>
      </w:r>
      <w:r>
        <w:rPr>
          <w:rStyle w:val="FootnoteReference"/>
        </w:rPr>
        <w:footnoteReference w:id="18"/>
      </w:r>
      <w:r w:rsidRPr="00AF334A">
        <w:t xml:space="preserve">  </w:t>
      </w:r>
      <w:r>
        <w:t xml:space="preserve">The </w:t>
      </w:r>
      <w:r w:rsidRPr="00F83D4C">
        <w:t>Commission, therefore, found</w:t>
      </w:r>
      <w:r>
        <w:t xml:space="preserve"> that the terminating end office access rates charged by access-stimulating LECs were “almost uniformly” unjust and unreasonable in violation of section 201(b) of the </w:t>
      </w:r>
      <w:r w:rsidRPr="007C77AD">
        <w:t>Communications Act of 1934, as amended (the Act).</w:t>
      </w:r>
      <w:r>
        <w:rPr>
          <w:rStyle w:val="FootnoteReference"/>
        </w:rPr>
        <w:footnoteReference w:id="19"/>
      </w:r>
      <w:r>
        <w:t xml:space="preserve">  </w:t>
      </w:r>
    </w:p>
    <w:p w:rsidR="00EB312D" w:rsidP="00EB312D">
      <w:pPr>
        <w:pStyle w:val="ParaNum"/>
      </w:pPr>
      <w:r w:rsidRPr="00AF334A">
        <w:t xml:space="preserve">To reduce financial incentives to engage in wasteful </w:t>
      </w:r>
      <w:r>
        <w:t>arbitrage</w:t>
      </w:r>
      <w:r w:rsidRPr="00772C92">
        <w:t>, the Commission adopted rules that identify those LECs engaged in access stimulation and require</w:t>
      </w:r>
      <w:r w:rsidRPr="00772C92">
        <w:t>d</w:t>
      </w:r>
      <w:r w:rsidRPr="00772C92">
        <w:t xml:space="preserve"> that such LECs lower their tariffed access charges.</w:t>
      </w:r>
      <w:r>
        <w:rPr>
          <w:rStyle w:val="FootnoteReference"/>
          <w:szCs w:val="22"/>
        </w:rPr>
        <w:footnoteReference w:id="20"/>
      </w:r>
      <w:r w:rsidRPr="00AF334A">
        <w:t xml:space="preserve">  Under our current rules, to be considered a</w:t>
      </w:r>
      <w:r>
        <w:t xml:space="preserve"> LEC engaged in</w:t>
      </w:r>
      <w:r w:rsidRPr="00AF334A">
        <w:t xml:space="preserve"> “access</w:t>
      </w:r>
      <w:r>
        <w:t xml:space="preserve"> </w:t>
      </w:r>
      <w:r w:rsidRPr="00AF334A">
        <w:t>stimulati</w:t>
      </w:r>
      <w:r>
        <w:t>on</w:t>
      </w:r>
      <w:r w:rsidRPr="00AF334A">
        <w:t>,”</w:t>
      </w:r>
      <w:r w:rsidRPr="00AF334A">
        <w:t xml:space="preserve"> a LEC must have a “revenue sharing agreement,” which may be “express, implied, written or oral” that “over the course of the agreement, would directly or indirectly result in a net pa</w:t>
      </w:r>
      <w:r w:rsidRPr="00772C92">
        <w:t>yment to the other party (including affiliates) to the agreement,</w:t>
      </w:r>
      <w:r>
        <w:t>”</w:t>
      </w:r>
      <w:r w:rsidRPr="00772C92">
        <w:t xml:space="preserve"> in which payment by the LEC is “based on the billing or collection of access charges from interexchange carriers or wireless carriers.”</w:t>
      </w:r>
      <w:r>
        <w:rPr>
          <w:rStyle w:val="FootnoteReference"/>
          <w:szCs w:val="22"/>
        </w:rPr>
        <w:footnoteReference w:id="21"/>
      </w:r>
      <w:r w:rsidRPr="00AF334A">
        <w:t xml:space="preserve">  The LEC must also meet one of two traffic </w:t>
      </w:r>
      <w:r>
        <w:t>triggers</w:t>
      </w:r>
      <w:r w:rsidRPr="00AF334A">
        <w:t>.  A</w:t>
      </w:r>
      <w:r w:rsidRPr="00772C92">
        <w:t>n access-stimulating LEC either has “an interstate terminating-to-originating traffic ratio of at least 3:1 in a calendar month</w:t>
      </w:r>
      <w:r>
        <w:t>,</w:t>
      </w:r>
      <w:r w:rsidRPr="00772C92">
        <w:t xml:space="preserve"> or has had more than a 100 percent growth in interstate originating and/or terminating switched access minutes</w:t>
      </w:r>
      <w:r>
        <w:t>-</w:t>
      </w:r>
      <w:r w:rsidRPr="00772C92">
        <w:t>of</w:t>
      </w:r>
      <w:r>
        <w:t>-</w:t>
      </w:r>
      <w:r w:rsidRPr="00772C92">
        <w:t>use in a month compared to the same month in the preceding year.”</w:t>
      </w:r>
      <w:r>
        <w:rPr>
          <w:rStyle w:val="FootnoteReference"/>
          <w:szCs w:val="22"/>
        </w:rPr>
        <w:footnoteReference w:id="22"/>
      </w:r>
      <w:r w:rsidRPr="00AF334A">
        <w:t xml:space="preserve">  </w:t>
      </w:r>
      <w:bookmarkEnd w:id="160"/>
      <w:r w:rsidRPr="00AF334A">
        <w:t>An access-stimulating rate</w:t>
      </w:r>
      <w:r w:rsidRPr="00772C92">
        <w:t xml:space="preserve">-of-return LEC is required by our </w:t>
      </w:r>
      <w:r>
        <w:t xml:space="preserve">current </w:t>
      </w:r>
      <w:r w:rsidRPr="00772C92">
        <w:t xml:space="preserve">rules to reduce its tariffed </w:t>
      </w:r>
      <w:r>
        <w:t xml:space="preserve">terminating </w:t>
      </w:r>
      <w:r w:rsidRPr="00772C92">
        <w:t xml:space="preserve">switched access charges </w:t>
      </w:r>
      <w:r w:rsidRPr="000F2933">
        <w:t xml:space="preserve">by adjusting </w:t>
      </w:r>
      <w:r>
        <w:t>those</w:t>
      </w:r>
      <w:r w:rsidRPr="000F2933">
        <w:t xml:space="preserve"> rates to account for its </w:t>
      </w:r>
      <w:r>
        <w:t xml:space="preserve">projected </w:t>
      </w:r>
      <w:r w:rsidRPr="000F2933">
        <w:t>high traffic volumes.</w:t>
      </w:r>
      <w:r>
        <w:rPr>
          <w:rStyle w:val="FootnoteReference"/>
          <w:szCs w:val="22"/>
        </w:rPr>
        <w:footnoteReference w:id="23"/>
      </w:r>
      <w:r w:rsidRPr="00AF334A">
        <w:t xml:space="preserve"> </w:t>
      </w:r>
      <w:r w:rsidRPr="000F2933">
        <w:t xml:space="preserve"> An access-stimulating competitive LEC must reduce its</w:t>
      </w:r>
      <w:r>
        <w:t xml:space="preserve"> terminating switched</w:t>
      </w:r>
      <w:r w:rsidRPr="000F2933">
        <w:t xml:space="preserve"> access charges to those of the price</w:t>
      </w:r>
      <w:r>
        <w:t xml:space="preserve"> </w:t>
      </w:r>
      <w:r w:rsidRPr="000F2933">
        <w:t>cap carrier with the lowest switched access rates in the state</w:t>
      </w:r>
      <w:r w:rsidRPr="00AF334A">
        <w:t>.</w:t>
      </w:r>
      <w:r>
        <w:rPr>
          <w:rStyle w:val="FootnoteReference"/>
          <w:szCs w:val="22"/>
        </w:rPr>
        <w:footnoteReference w:id="24"/>
      </w:r>
      <w:r w:rsidRPr="00AF334A">
        <w:t xml:space="preserve">  </w:t>
      </w:r>
    </w:p>
    <w:p w:rsidR="00EB312D" w:rsidRPr="007C77AD" w:rsidP="00281AF4">
      <w:pPr>
        <w:pStyle w:val="ParaNum"/>
        <w:widowControl/>
      </w:pPr>
      <w:r w:rsidRPr="007C77AD">
        <w:t>The record makes clear that these rules were an important step toward reducing access</w:t>
      </w:r>
      <w:r w:rsidRPr="00772C92">
        <w:t xml:space="preserve"> stimulation and implicit subsidies in the ICC system.</w:t>
      </w:r>
      <w:r>
        <w:rPr>
          <w:rStyle w:val="FootnoteReference"/>
          <w:szCs w:val="22"/>
        </w:rPr>
        <w:footnoteReference w:id="25"/>
      </w:r>
      <w:r>
        <w:t xml:space="preserve">  Before the rules were adopted, Verizon estimated </w:t>
      </w:r>
      <w:r>
        <w:t xml:space="preserve">that access arbitrage cost IXCs between $330 </w:t>
      </w:r>
      <w:r w:rsidRPr="007C77AD">
        <w:t>million and</w:t>
      </w:r>
      <w:r>
        <w:t xml:space="preserve"> $440 million annually.</w:t>
      </w:r>
      <w:r>
        <w:rPr>
          <w:rStyle w:val="FootnoteReference"/>
        </w:rPr>
        <w:footnoteReference w:id="26"/>
      </w:r>
      <w:r>
        <w:t xml:space="preserve">  By contrast, IXCs estimate that access arbitrage currently costs IXCs between $60 million and $80 million annually.</w:t>
      </w:r>
      <w:r>
        <w:rPr>
          <w:rStyle w:val="FootnoteReference"/>
          <w:snapToGrid/>
          <w:kern w:val="0"/>
        </w:rPr>
        <w:footnoteReference w:id="27"/>
      </w:r>
      <w:r w:rsidRPr="4F0B0093">
        <w:t xml:space="preserve"> </w:t>
      </w:r>
      <w:r>
        <w:t xml:space="preserve"> In addition, the record shows that the current access stimulation rules have effectively discouraged rate-of-return LEC access stimulation activity.  The access-stimulating LECs identified in the record are all competitive LECs.</w:t>
      </w:r>
      <w:r>
        <w:rPr>
          <w:rStyle w:val="FootnoteReference"/>
        </w:rPr>
        <w:footnoteReference w:id="28"/>
      </w:r>
      <w:r>
        <w:t xml:space="preserve">  No rate-of-return LECs have been identified as engaging in an access stimulation scheme.</w:t>
      </w:r>
      <w:r>
        <w:rPr>
          <w:rStyle w:val="FootnoteReference"/>
        </w:rPr>
        <w:footnoteReference w:id="29"/>
      </w:r>
    </w:p>
    <w:p w:rsidR="00EB312D" w:rsidP="00EB312D">
      <w:pPr>
        <w:pStyle w:val="ParaNum"/>
      </w:pPr>
      <w:r w:rsidRPr="007C77AD">
        <w:t>Terminating</w:t>
      </w:r>
      <w:r>
        <w:t xml:space="preserve"> end office access rates have now been transitioned to bill-and-keep for price cap LECs and competitive LECs that benchmark their rates to price cap LECs, and by July 1, 2020, they will transition to bill-and-keep for rate-of-return LECs and the competitive LECs that benchmark </w:t>
      </w:r>
      <w:r w:rsidRPr="007C77AD">
        <w:t>to them.</w:t>
      </w:r>
      <w:r>
        <w:t xml:space="preserve">  Price cap incumbent LEC terminating tandem switching and transport charges likewise have transitioned to bill-and-keep when such a LEC is the tandem provider and it, or an affiliated incumbent LEC, is the terminating end office LEC.  As a result, terminating end office charges are no longer driving access stimulation.  </w:t>
      </w:r>
    </w:p>
    <w:p w:rsidR="00EB312D" w:rsidP="00EB312D">
      <w:pPr>
        <w:pStyle w:val="ParaNum"/>
      </w:pPr>
      <w:r>
        <w:t xml:space="preserve">At issue in this proceeding are arbitrage schemes that take advantage of those access charges that remain in place for those types of terminating tandem switching and transport services which, unlike end office switching charges, have not yet transitioned or are not transitioning to bill-and-keep.  Access stimulators typically operate in those areas of the country where tandem switching and transport charges remain high and are causing intermediate access providers, </w:t>
      </w:r>
      <w:r w:rsidRPr="007C77AD">
        <w:t>including centralized equal access (CEA)</w:t>
      </w:r>
      <w:r>
        <w:t xml:space="preserve"> providers, to be included in the call path.</w:t>
      </w:r>
      <w:r>
        <w:rPr>
          <w:rStyle w:val="FootnoteReference"/>
        </w:rPr>
        <w:footnoteReference w:id="30"/>
      </w:r>
      <w:r>
        <w:t xml:space="preserve">  </w:t>
      </w:r>
    </w:p>
    <w:p w:rsidR="00EB312D" w:rsidP="00EB312D">
      <w:pPr>
        <w:pStyle w:val="ParaNum"/>
      </w:pPr>
      <w:r>
        <w:t>CEA providers are a specialized type of intermediate access provider that were formed about 30 years ago to implement long-distance equal access obligations (i.e., permitting end users to use 1+ dialing to reach the IXC of their choice) and to aggregate traffic for connection between rural incumbent LECs and other networks, particularly those of IXCs.</w:t>
      </w:r>
      <w:r>
        <w:rPr>
          <w:rStyle w:val="FootnoteReference"/>
        </w:rPr>
        <w:footnoteReference w:id="31"/>
      </w:r>
      <w:r>
        <w:t xml:space="preserve">  Three CEA providers are currently in operation—Iowa Network Services, Inc. d/b/a </w:t>
      </w:r>
      <w:r>
        <w:t>Aureon</w:t>
      </w:r>
      <w:r>
        <w:t xml:space="preserve"> Network Services (</w:t>
      </w:r>
      <w:r>
        <w:t>Aureon</w:t>
      </w:r>
      <w:r>
        <w:t xml:space="preserve">), South Dakota </w:t>
      </w:r>
      <w:r>
        <w:t>Network, LLC (SDN), and Minnesota Independent Equal Access Corporation (MIEAC).</w:t>
      </w:r>
      <w:r>
        <w:rPr>
          <w:rStyle w:val="FootnoteReference"/>
        </w:rPr>
        <w:footnoteReference w:id="32"/>
      </w:r>
      <w:r>
        <w:t xml:space="preserve">  When the Commission authorized </w:t>
      </w:r>
      <w:r>
        <w:t>Aureon’s</w:t>
      </w:r>
      <w:r>
        <w:t xml:space="preserve"> creation as a CEA, it adopted a mandatory use requirement that requires IXCs that deliver traffic to the LECs subtending the </w:t>
      </w:r>
      <w:r>
        <w:t>Aureon</w:t>
      </w:r>
      <w:r>
        <w:t xml:space="preserve"> tandem to deliver the traffic to the CEA tandem, rather than indirectly through another intermediate access provider or directly to the subtending LEC.</w:t>
      </w:r>
      <w:r>
        <w:rPr>
          <w:rStyle w:val="FootnoteReference"/>
        </w:rPr>
        <w:footnoteReference w:id="33"/>
      </w:r>
      <w:r>
        <w:t xml:space="preserve">  The SDN authorization also includes a similar mandatory use </w:t>
      </w:r>
      <w:r w:rsidRPr="007C77AD">
        <w:t>requirement.</w:t>
      </w:r>
      <w:r>
        <w:rPr>
          <w:rStyle w:val="FootnoteReference"/>
        </w:rPr>
        <w:footnoteReference w:id="34"/>
      </w:r>
      <w:r>
        <w:t xml:space="preserve">  MIEAC’s authorization does not provide for mandatory use.</w:t>
      </w:r>
      <w:r>
        <w:rPr>
          <w:rStyle w:val="FootnoteReference"/>
        </w:rPr>
        <w:footnoteReference w:id="35"/>
      </w:r>
      <w:r>
        <w:t xml:space="preserve">  </w:t>
      </w:r>
    </w:p>
    <w:p w:rsidR="00EB312D" w:rsidRPr="000F2933" w:rsidP="00281AF4">
      <w:pPr>
        <w:pStyle w:val="ParaNum"/>
        <w:widowControl/>
      </w:pPr>
      <w:r>
        <w:t>In 2018, to address current access stimulation schemes, the Commission adopted</w:t>
      </w:r>
      <w:r w:rsidRPr="00DD1E5F">
        <w:t xml:space="preserve"> the </w:t>
      </w:r>
      <w:r w:rsidRPr="005C1BD0">
        <w:rPr>
          <w:i/>
        </w:rPr>
        <w:t>Access Arbitrage Notice</w:t>
      </w:r>
      <w:r>
        <w:t xml:space="preserve"> and</w:t>
      </w:r>
      <w:r w:rsidRPr="004D2F68">
        <w:t xml:space="preserve"> proposed to reduce access arbitrage by making the party that cho</w:t>
      </w:r>
      <w:r>
        <w:t>o</w:t>
      </w:r>
      <w:r w:rsidRPr="004D2F68">
        <w:t>ses the call path responsible for the cost of delivering the call to the access-stimulating LEC.</w:t>
      </w:r>
      <w:r>
        <w:rPr>
          <w:rStyle w:val="FootnoteReference"/>
        </w:rPr>
        <w:footnoteReference w:id="36"/>
      </w:r>
      <w:r w:rsidRPr="00DD1E5F">
        <w:t xml:space="preserve">  The proposed rules offered a two</w:t>
      </w:r>
      <w:r w:rsidRPr="004D2F68">
        <w:t>-prong solution.  Under the first prong, an access-stimulating LEC could cho</w:t>
      </w:r>
      <w:r>
        <w:t>o</w:t>
      </w:r>
      <w:r w:rsidRPr="004D2F68">
        <w:t>se to be financially responsible for calls delivered to its network so it, rather than IXCs, would pay for the delivery of calls to the LEC’s end office, or the functional equivalent.</w:t>
      </w:r>
      <w:r>
        <w:rPr>
          <w:rStyle w:val="FootnoteReference"/>
          <w:color w:val="000000"/>
          <w:szCs w:val="22"/>
        </w:rPr>
        <w:footnoteReference w:id="37"/>
      </w:r>
      <w:r w:rsidRPr="00DD1E5F">
        <w:t xml:space="preserve">  Under the second prong, an access-stimulating LEC could choose to accept direct connections either from the IXC or from an intermediate access provider of the IXC’s choice, allowing </w:t>
      </w:r>
      <w:r w:rsidRPr="004D2F68">
        <w:t>the IXC to bypass intermediate access providers selected by the access-stimulating LEC.</w:t>
      </w:r>
      <w:r>
        <w:rPr>
          <w:rStyle w:val="FootnoteReference"/>
          <w:color w:val="000000"/>
          <w:szCs w:val="22"/>
        </w:rPr>
        <w:footnoteReference w:id="38"/>
      </w:r>
      <w:r w:rsidRPr="00DD1E5F">
        <w:t xml:space="preserve">  </w:t>
      </w:r>
      <w:r w:rsidRPr="000F2933">
        <w:t xml:space="preserve">The Commission reasoned </w:t>
      </w:r>
      <w:r>
        <w:t xml:space="preserve">that, </w:t>
      </w:r>
      <w:r w:rsidRPr="000F2933">
        <w:t>if the access-stimulating LEC were made responsible for paying the costs of delivering calls to its end office, or if the LEC had to accept a more economically rational direct connection to its end office for high volumes of call</w:t>
      </w:r>
      <w:r>
        <w:t>s</w:t>
      </w:r>
      <w:r w:rsidRPr="000F2933">
        <w:t>,</w:t>
      </w:r>
      <w:r>
        <w:t xml:space="preserve"> it would be incentivized to move traffic more efficiently</w:t>
      </w:r>
      <w:r w:rsidRPr="000F2933">
        <w:t>.</w:t>
      </w:r>
      <w:r>
        <w:rPr>
          <w:rStyle w:val="FootnoteReference"/>
        </w:rPr>
        <w:footnoteReference w:id="39"/>
      </w:r>
      <w:r w:rsidRPr="000F2933">
        <w:t xml:space="preserve">  </w:t>
      </w:r>
      <w:r w:rsidRPr="00DD1E5F">
        <w:t xml:space="preserve">In the </w:t>
      </w:r>
      <w:r w:rsidRPr="005C1BD0">
        <w:rPr>
          <w:i/>
        </w:rPr>
        <w:t>Access Arbitrage Notice</w:t>
      </w:r>
      <w:r w:rsidRPr="004D2F68">
        <w:t xml:space="preserve">, the Commission also sought comment on possible revisions to the definition of access stimulation as well as </w:t>
      </w:r>
      <w:r>
        <w:t xml:space="preserve">on </w:t>
      </w:r>
      <w:r w:rsidRPr="004D2F68">
        <w:t>additional alleged ICC arbitrage schemes and ways to reduce them.</w:t>
      </w:r>
      <w:r>
        <w:rPr>
          <w:rStyle w:val="FootnoteReference"/>
          <w:color w:val="000000"/>
          <w:szCs w:val="22"/>
        </w:rPr>
        <w:footnoteReference w:id="40"/>
      </w:r>
    </w:p>
    <w:p w:rsidR="00EB312D" w:rsidRPr="000F2933" w:rsidP="00EB312D">
      <w:pPr>
        <w:pStyle w:val="Heading1"/>
      </w:pPr>
      <w:bookmarkStart w:id="163" w:name="_Toc524706694"/>
      <w:bookmarkStart w:id="164" w:name="_Toc525114493"/>
      <w:bookmarkStart w:id="165" w:name="_Toc525114516"/>
      <w:bookmarkStart w:id="166" w:name="_Toc525127936"/>
      <w:bookmarkStart w:id="167" w:name="_Toc525225645"/>
      <w:bookmarkStart w:id="168" w:name="_Toc525230305"/>
      <w:bookmarkStart w:id="169" w:name="_Toc9244539"/>
      <w:bookmarkStart w:id="170" w:name="_Toc12013329"/>
      <w:bookmarkStart w:id="171" w:name="_Toc13237268"/>
      <w:bookmarkStart w:id="172" w:name="_Toc13641411"/>
      <w:bookmarkStart w:id="173" w:name="_Toc13844713"/>
      <w:bookmarkStart w:id="174" w:name="_Toc13844765"/>
      <w:bookmarkStart w:id="175" w:name="_Toc13844854"/>
      <w:bookmarkStart w:id="176" w:name="_Toc14019947"/>
      <w:bookmarkStart w:id="177" w:name="_Toc14096390"/>
      <w:bookmarkStart w:id="178" w:name="_Toc15028068"/>
      <w:bookmarkStart w:id="179" w:name="_Toc15310185"/>
      <w:bookmarkStart w:id="180" w:name="_Toc16756574"/>
      <w:bookmarkStart w:id="181" w:name="_Toc16762066"/>
      <w:bookmarkStart w:id="182" w:name="_Toc16843633"/>
      <w:bookmarkStart w:id="183" w:name="_Toc16863788"/>
      <w:bookmarkStart w:id="184" w:name="_Toc17048644"/>
      <w:bookmarkStart w:id="185" w:name="_Toc17364727"/>
      <w:bookmarkStart w:id="186" w:name="_Toc17469823"/>
      <w:bookmarkStart w:id="187" w:name="_Toc17887581"/>
      <w:bookmarkStart w:id="188" w:name="_Toc18423497"/>
      <w:bookmarkStart w:id="189" w:name="_Toc18423552"/>
      <w:bookmarkStart w:id="190" w:name="_Toc18423628"/>
      <w:bookmarkStart w:id="191" w:name="_Toc18486767"/>
      <w:bookmarkStart w:id="192" w:name="_Toc18487377"/>
      <w:bookmarkStart w:id="193" w:name="_Toc18487882"/>
      <w:bookmarkStart w:id="194" w:name="_Toc18487990"/>
      <w:bookmarkStart w:id="195" w:name="_Toc18488113"/>
      <w:bookmarkStart w:id="196" w:name="_Toc20056853"/>
      <w:bookmarkStart w:id="197" w:name="_Toc20219902"/>
      <w:bookmarkStart w:id="198" w:name="_Toc501619887"/>
      <w:bookmarkStart w:id="199" w:name="_Toc502754727"/>
      <w:bookmarkStart w:id="200" w:name="_Toc503186588"/>
      <w:bookmarkStart w:id="201" w:name="_Toc503346261"/>
      <w:bookmarkStart w:id="202" w:name="_Toc503392251"/>
      <w:bookmarkStart w:id="203" w:name="_Toc503868225"/>
      <w:bookmarkStart w:id="204" w:name="_Hlk501532794"/>
      <w:r w:rsidRPr="000F2933">
        <w:t xml:space="preserve">eliminatING FINANCIAL INCENTIVES TO ENGAGE IN access </w:t>
      </w:r>
      <w:bookmarkEnd w:id="163"/>
      <w:bookmarkEnd w:id="164"/>
      <w:bookmarkEnd w:id="165"/>
      <w:bookmarkEnd w:id="166"/>
      <w:bookmarkEnd w:id="167"/>
      <w:bookmarkEnd w:id="168"/>
      <w:r w:rsidRPr="000F2933">
        <w:t>STIMULATION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EB312D" w:rsidP="00EB312D">
      <w:pPr>
        <w:pStyle w:val="ParaNum"/>
      </w:pPr>
      <w:bookmarkStart w:id="205" w:name="_Toc524706695"/>
      <w:bookmarkStart w:id="206" w:name="_Toc525114494"/>
      <w:bookmarkStart w:id="207" w:name="_Toc525114517"/>
      <w:bookmarkStart w:id="208" w:name="_Toc525127937"/>
      <w:bookmarkStart w:id="209" w:name="_Toc525225646"/>
      <w:bookmarkStart w:id="210" w:name="_Toc525230306"/>
      <w:bookmarkStart w:id="211" w:name="_Hlk8893377"/>
      <w:bookmarkStart w:id="212" w:name="_Toc9244540"/>
      <w:bookmarkStart w:id="213" w:name="_Toc12013330"/>
      <w:bookmarkStart w:id="214" w:name="_Toc13237269"/>
      <w:bookmarkStart w:id="215" w:name="_Toc13641412"/>
      <w:bookmarkStart w:id="216" w:name="_Toc13844714"/>
      <w:bookmarkStart w:id="217" w:name="_Toc13844766"/>
      <w:bookmarkStart w:id="218" w:name="_Toc13844855"/>
      <w:bookmarkStart w:id="219" w:name="_Toc14019948"/>
      <w:bookmarkStart w:id="220" w:name="_Toc14096391"/>
      <w:bookmarkStart w:id="221" w:name="_Toc15028069"/>
      <w:bookmarkStart w:id="222" w:name="_Toc15310186"/>
      <w:bookmarkStart w:id="223" w:name="_Toc16756575"/>
      <w:bookmarkStart w:id="224" w:name="_Toc16762067"/>
      <w:bookmarkStart w:id="225" w:name="_Toc16843634"/>
      <w:bookmarkStart w:id="226" w:name="_Toc16863789"/>
      <w:bookmarkStart w:id="227" w:name="_Toc17048645"/>
      <w:bookmarkStart w:id="228" w:name="_Toc501015537"/>
      <w:bookmarkStart w:id="229" w:name="_Toc500949131"/>
      <w:bookmarkStart w:id="230" w:name="_Toc500782492"/>
      <w:bookmarkStart w:id="231" w:name="_Toc500780591"/>
      <w:bookmarkStart w:id="232" w:name="_Toc500768441"/>
      <w:bookmarkStart w:id="233" w:name="_Toc504737263"/>
      <w:bookmarkStart w:id="234" w:name="_Toc504724543"/>
      <w:bookmarkStart w:id="235" w:name="_Toc505273802"/>
      <w:bookmarkStart w:id="236" w:name="_Toc504674565"/>
      <w:bookmarkStart w:id="237" w:name="_Toc504675207"/>
      <w:bookmarkEnd w:id="198"/>
      <w:bookmarkEnd w:id="199"/>
      <w:bookmarkEnd w:id="200"/>
      <w:bookmarkEnd w:id="201"/>
      <w:bookmarkEnd w:id="202"/>
      <w:bookmarkEnd w:id="203"/>
      <w:r>
        <w:t xml:space="preserve">Today, we adopt rules aimed at eliminating the financial incentives to engage in access arbitrage created by our current ICC system.  Under our existing rules, IXCs must pay tandem switching and transport charges to access-stimulating LECs and to intermediate access providers chosen by the access-stimulating LEC to carry the traffic to the </w:t>
      </w:r>
      <w:r w:rsidRPr="000F2933">
        <w:t xml:space="preserve">LEC’s end office </w:t>
      </w:r>
      <w:r w:rsidRPr="00A531AF">
        <w:t>o</w:t>
      </w:r>
      <w:r w:rsidRPr="000F2933">
        <w:t>r functional equivalen</w:t>
      </w:r>
      <w:r w:rsidRPr="00A531AF">
        <w:t>t.</w:t>
      </w:r>
      <w:r>
        <w:rPr>
          <w:rStyle w:val="FootnoteReference"/>
        </w:rPr>
        <w:footnoteReference w:id="41"/>
      </w:r>
      <w:r w:rsidRPr="000F2933">
        <w:t xml:space="preserve">  </w:t>
      </w:r>
      <w:r>
        <w:t>This creates an incentive for intermediate access providers and access-stimulating LECs to increase tandem switching and transport charges.</w:t>
      </w:r>
      <w:r>
        <w:rPr>
          <w:rStyle w:val="FootnoteReference"/>
        </w:rPr>
        <w:footnoteReference w:id="42"/>
      </w:r>
      <w:r>
        <w:t xml:space="preserve">  The result, as AT&amp;T explains, is that </w:t>
      </w:r>
      <w:r w:rsidRPr="000F2933">
        <w:t>“</w:t>
      </w:r>
      <w:r w:rsidRPr="007A4473">
        <w:rPr>
          <w:i/>
        </w:rPr>
        <w:t>billions</w:t>
      </w:r>
      <w:r w:rsidRPr="000F2933">
        <w:t xml:space="preserve"> of minutes of long distance traffic are routed through a handful of rural areas, not for any legitimate engineering or business reasons, but solely to allow the collection and dispersal of inflated intercarrier compensation revenues to access-stimulating LECs and their partners, as well as intermediate providers.”</w:t>
      </w:r>
      <w:r>
        <w:rPr>
          <w:rStyle w:val="FootnoteReference"/>
        </w:rPr>
        <w:footnoteReference w:id="43"/>
      </w:r>
    </w:p>
    <w:p w:rsidR="00EB312D" w:rsidP="00EB312D">
      <w:pPr>
        <w:pStyle w:val="ParaNum"/>
      </w:pPr>
      <w:r w:rsidRPr="000A28B4">
        <w:t xml:space="preserve">Commenters </w:t>
      </w:r>
      <w:r>
        <w:t>offer evidence</w:t>
      </w:r>
      <w:r w:rsidRPr="000A28B4">
        <w:t xml:space="preserve"> </w:t>
      </w:r>
      <w:r w:rsidRPr="000A28B4">
        <w:t>that there are at least 2</w:t>
      </w:r>
      <w:r>
        <w:t>1</w:t>
      </w:r>
      <w:r w:rsidRPr="000A28B4">
        <w:t xml:space="preserve"> </w:t>
      </w:r>
      <w:r>
        <w:t xml:space="preserve">competitive </w:t>
      </w:r>
      <w:r w:rsidRPr="000A28B4">
        <w:t>LECs currently involved in access stimulation.</w:t>
      </w:r>
      <w:r>
        <w:rPr>
          <w:rStyle w:val="FootnoteReference"/>
        </w:rPr>
        <w:footnoteReference w:id="44"/>
      </w:r>
      <w:r w:rsidRPr="000A28B4">
        <w:t xml:space="preserve">  </w:t>
      </w:r>
      <w:r>
        <w:t xml:space="preserve">Although there are access-stimulating LECs operating in at least 11 different states, there is wide agreement that the vast majority of access-stimulation traffic is currently bound for LECs that subtend </w:t>
      </w:r>
      <w:r>
        <w:t>Aureon</w:t>
      </w:r>
      <w:r>
        <w:t xml:space="preserve"> or SDN.</w:t>
      </w:r>
      <w:r>
        <w:rPr>
          <w:rStyle w:val="FootnoteReference"/>
        </w:rPr>
        <w:footnoteReference w:id="45"/>
      </w:r>
      <w:r>
        <w:t xml:space="preserve">  To put the number of access stimulation minutes in perspective, </w:t>
      </w:r>
      <w:r w:rsidRPr="00AF334A">
        <w:t xml:space="preserve">AT&amp;T observes that “twice as many minutes were being routed per month to Redfield, South Dakota (with its population of approximately 2,300 people and its 1 end office) as is routed to </w:t>
      </w:r>
      <w:r w:rsidRPr="005C1BD0">
        <w:rPr>
          <w:i/>
        </w:rPr>
        <w:t xml:space="preserve">all </w:t>
      </w:r>
      <w:r w:rsidRPr="00772C92">
        <w:t>of Verizon’s facilities in New York City (with its population of approximately 8,500,000 people and its 90 end offices).”</w:t>
      </w:r>
      <w:r>
        <w:rPr>
          <w:rStyle w:val="FootnoteReference"/>
          <w:szCs w:val="22"/>
        </w:rPr>
        <w:footnoteReference w:id="46"/>
      </w:r>
      <w:r w:rsidRPr="00AF334A">
        <w:t xml:space="preserve">  Sprint explains, that while Iowa contains less than 1% of the U.S. population, it accounts for 11% of Sprint’s long</w:t>
      </w:r>
      <w:r w:rsidRPr="00772C92">
        <w:t>-distance minutes</w:t>
      </w:r>
      <w:r>
        <w:t>-</w:t>
      </w:r>
      <w:r w:rsidRPr="00772C92">
        <w:t>of</w:t>
      </w:r>
      <w:r>
        <w:t>-</w:t>
      </w:r>
      <w:r w:rsidRPr="00772C92">
        <w:t>use and 48% of Sprint’s total switched access payments across the U</w:t>
      </w:r>
      <w:r>
        <w:t xml:space="preserve">nited </w:t>
      </w:r>
      <w:r w:rsidRPr="00772C92">
        <w:t>S</w:t>
      </w:r>
      <w:r>
        <w:t>tates</w:t>
      </w:r>
      <w:r w:rsidRPr="00772C92">
        <w:t>.</w:t>
      </w:r>
      <w:r>
        <w:rPr>
          <w:rStyle w:val="FootnoteReference"/>
          <w:szCs w:val="22"/>
        </w:rPr>
        <w:footnoteReference w:id="47"/>
      </w:r>
      <w:r w:rsidRPr="00AF334A">
        <w:t xml:space="preserve">  Similarly, South Dakota contains 0.27% of the U.S. population, but accounts for 8% of Sprint’s total switched access payments across the U</w:t>
      </w:r>
      <w:r>
        <w:t xml:space="preserve">nited </w:t>
      </w:r>
      <w:r w:rsidRPr="00AF334A">
        <w:t>S</w:t>
      </w:r>
      <w:r>
        <w:t>tates</w:t>
      </w:r>
      <w:r w:rsidRPr="00AF334A">
        <w:t>.</w:t>
      </w:r>
      <w:r>
        <w:rPr>
          <w:rStyle w:val="FootnoteReference"/>
          <w:color w:val="000000"/>
          <w:szCs w:val="22"/>
        </w:rPr>
        <w:footnoteReference w:id="48"/>
      </w:r>
      <w:r w:rsidRPr="00834879">
        <w:rPr>
          <w:color w:val="000000"/>
        </w:rPr>
        <w:t xml:space="preserve"> </w:t>
      </w:r>
      <w:r w:rsidRPr="00AF334A">
        <w:t xml:space="preserve"> </w:t>
      </w:r>
    </w:p>
    <w:p w:rsidR="00EB312D" w:rsidP="00CB453D">
      <w:pPr>
        <w:pStyle w:val="ParaNum"/>
        <w:widowControl/>
      </w:pPr>
      <w:r w:rsidRPr="00711F03">
        <w:rPr>
          <w:snapToGrid/>
        </w:rPr>
        <w:t xml:space="preserve">The </w:t>
      </w:r>
      <w:r w:rsidRPr="00DD1E5F">
        <w:rPr>
          <w:snapToGrid/>
        </w:rPr>
        <w:t xml:space="preserve">record shows that </w:t>
      </w:r>
      <w:r w:rsidRPr="004D2F68">
        <w:rPr>
          <w:snapToGrid/>
        </w:rPr>
        <w:t xml:space="preserve">CEA providers’ tariffed charges for tandem switching and </w:t>
      </w:r>
      <w:r>
        <w:rPr>
          <w:snapToGrid/>
        </w:rPr>
        <w:t xml:space="preserve">tandem switched </w:t>
      </w:r>
      <w:r w:rsidRPr="004D2F68">
        <w:rPr>
          <w:snapToGrid/>
        </w:rPr>
        <w:t>transport serve as a price umbrella for services offered on the basis of a commercial agreement by other providers</w:t>
      </w:r>
      <w:r w:rsidRPr="4F0B0093">
        <w:t>,</w:t>
      </w:r>
      <w:r w:rsidRPr="00711F03">
        <w:rPr>
          <w:snapToGrid/>
        </w:rPr>
        <w:t xml:space="preserve"> me</w:t>
      </w:r>
      <w:r w:rsidRPr="00DD1E5F">
        <w:rPr>
          <w:snapToGrid/>
        </w:rPr>
        <w:t>aning the commercially negotiated rates need only be slightly under the “umbrella” CEA provider rate to be attractive to those purchasing the service(s)</w:t>
      </w:r>
      <w:r w:rsidRPr="4F0B0093">
        <w:t>.</w:t>
      </w:r>
      <w:r>
        <w:rPr>
          <w:rStyle w:val="FootnoteReference"/>
          <w:snapToGrid/>
          <w:kern w:val="0"/>
        </w:rPr>
        <w:footnoteReference w:id="49"/>
      </w:r>
      <w:r w:rsidRPr="4F0B0093">
        <w:t xml:space="preserve">  </w:t>
      </w:r>
      <w:r>
        <w:t xml:space="preserve">As AT&amp;T explains: </w:t>
      </w:r>
    </w:p>
    <w:p w:rsidR="00EB312D" w:rsidP="00EB312D">
      <w:pPr>
        <w:pStyle w:val="ParaNum"/>
        <w:widowControl/>
        <w:numPr>
          <w:ilvl w:val="0"/>
          <w:numId w:val="0"/>
        </w:numPr>
        <w:ind w:left="720" w:right="720"/>
        <w:jc w:val="both"/>
      </w:pPr>
      <w:r>
        <w:t>S</w:t>
      </w:r>
      <w:r w:rsidRPr="0025781B">
        <w:t xml:space="preserve">ome access stimulation LECs (either directly or via least cost routers) offer commercial arrangements for transport.  The rates in these agreements, however, are well above the economic cost of providing transport.  Because the only other available alternative is the tariffed transport rate of the intermediate provider selected by the LEC (such as a centralized equal access provider), </w:t>
      </w:r>
      <w:r>
        <w:t>that</w:t>
      </w:r>
      <w:r w:rsidRPr="0025781B">
        <w:t xml:space="preserve"> tariffed rate acts as a </w:t>
      </w:r>
      <w:r>
        <w:t>“</w:t>
      </w:r>
      <w:r w:rsidRPr="0025781B">
        <w:t>price umbrella,</w:t>
      </w:r>
      <w:r>
        <w:t>”</w:t>
      </w:r>
      <w:r w:rsidRPr="0025781B">
        <w:t xml:space="preserve"> which permits the access stimulation LEC to overcharge for transport service.</w:t>
      </w:r>
      <w:r>
        <w:t xml:space="preserve">  </w:t>
      </w:r>
      <w:r w:rsidRPr="00F066B9">
        <w:t>The access</w:t>
      </w:r>
      <w:r>
        <w:t xml:space="preserve"> </w:t>
      </w:r>
      <w:r w:rsidRPr="00F066B9">
        <w:t>stimulati</w:t>
      </w:r>
      <w:r>
        <w:t>on</w:t>
      </w:r>
      <w:r w:rsidRPr="00F066B9">
        <w:t xml:space="preserve"> LEC</w:t>
      </w:r>
      <w:r>
        <w:t xml:space="preserve"> or least cost router </w:t>
      </w:r>
      <w:r w:rsidRPr="00F066B9">
        <w:t>can attract business merely by offering a slight discount from the applicable tariffed rate for</w:t>
      </w:r>
      <w:r>
        <w:t xml:space="preserve"> tandem switching and</w:t>
      </w:r>
      <w:r w:rsidRPr="00F066B9">
        <w:t xml:space="preserve"> transport. </w:t>
      </w:r>
      <w:r>
        <w:t xml:space="preserve"> </w:t>
      </w:r>
      <w:r w:rsidRPr="00F066B9">
        <w:t xml:space="preserve">Because the Commission’s rules disrupt accurate price signals, </w:t>
      </w:r>
      <w:r>
        <w:t xml:space="preserve">tandem switching and </w:t>
      </w:r>
      <w:r w:rsidRPr="00F066B9">
        <w:t>transport providers for access stimulation have no economic incentives to meaningfully compete on price.</w:t>
      </w:r>
      <w:r>
        <w:rPr>
          <w:rStyle w:val="FootnoteReference"/>
        </w:rPr>
        <w:footnoteReference w:id="50"/>
      </w:r>
      <w:r>
        <w:t xml:space="preserve">  </w:t>
      </w:r>
    </w:p>
    <w:p w:rsidR="00EB312D" w:rsidRPr="000F2933" w:rsidP="00EB312D">
      <w:pPr>
        <w:pStyle w:val="Heading2"/>
      </w:pPr>
      <w:bookmarkStart w:id="238" w:name="_Toc17364728"/>
      <w:bookmarkStart w:id="239" w:name="_Toc17469824"/>
      <w:bookmarkStart w:id="240" w:name="_Toc17887582"/>
      <w:bookmarkStart w:id="241" w:name="_Toc18423498"/>
      <w:bookmarkStart w:id="242" w:name="_Toc18423553"/>
      <w:bookmarkStart w:id="243" w:name="_Toc18423629"/>
      <w:bookmarkStart w:id="244" w:name="_Toc18486768"/>
      <w:bookmarkStart w:id="245" w:name="_Toc18487378"/>
      <w:bookmarkStart w:id="246" w:name="_Toc18487883"/>
      <w:bookmarkStart w:id="247" w:name="_Toc18487991"/>
      <w:bookmarkStart w:id="248" w:name="_Toc18488114"/>
      <w:bookmarkStart w:id="249" w:name="_Toc20056854"/>
      <w:bookmarkStart w:id="250" w:name="_Toc20219903"/>
      <w:r w:rsidRPr="000F2933">
        <w:t>Access-Stimulating LECs Must Bear Financial Responsibility for the Rates Charged to Terminate Traffic to Their End Office or Functional Equivalent</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38"/>
      <w:bookmarkEnd w:id="239"/>
      <w:bookmarkEnd w:id="240"/>
      <w:bookmarkEnd w:id="241"/>
      <w:bookmarkEnd w:id="242"/>
      <w:bookmarkEnd w:id="243"/>
      <w:bookmarkEnd w:id="244"/>
      <w:bookmarkEnd w:id="245"/>
      <w:bookmarkEnd w:id="246"/>
      <w:bookmarkEnd w:id="247"/>
      <w:bookmarkEnd w:id="248"/>
      <w:bookmarkEnd w:id="249"/>
      <w:bookmarkEnd w:id="250"/>
    </w:p>
    <w:p w:rsidR="00EB312D" w:rsidRPr="000F2933" w:rsidP="00EB312D">
      <w:pPr>
        <w:pStyle w:val="ParaNum"/>
      </w:pPr>
      <w:bookmarkStart w:id="251" w:name="_Hlk17295638"/>
      <w:bookmarkStart w:id="252" w:name="_Toc524706696"/>
      <w:bookmarkStart w:id="253" w:name="_Toc525114495"/>
      <w:bookmarkStart w:id="254" w:name="_Toc525114518"/>
      <w:bookmarkStart w:id="255" w:name="_Toc525127938"/>
      <w:bookmarkStart w:id="256" w:name="_Toc525225647"/>
      <w:bookmarkStart w:id="257" w:name="_Toc525230307"/>
      <w:r w:rsidRPr="000F2933">
        <w:t>To reduce further the financial incentive to engage in access stimulation, we adopt rule</w:t>
      </w:r>
      <w:r>
        <w:t>s</w:t>
      </w:r>
      <w:r w:rsidRPr="000F2933">
        <w:t xml:space="preserve"> requiring </w:t>
      </w:r>
      <w:r>
        <w:t xml:space="preserve">an </w:t>
      </w:r>
      <w:r w:rsidRPr="000F2933">
        <w:t xml:space="preserve">access-stimulating LEC to </w:t>
      </w:r>
      <w:r>
        <w:t xml:space="preserve">designate in </w:t>
      </w:r>
      <w:r w:rsidRPr="005D7A95">
        <w:t xml:space="preserve">the </w:t>
      </w:r>
      <w:r w:rsidRPr="00C408F5">
        <w:t>Local Exchange Routing Guide (</w:t>
      </w:r>
      <w:r w:rsidRPr="005D7A95">
        <w:t>LERG</w:t>
      </w:r>
      <w:r w:rsidRPr="00C408F5">
        <w:t>)</w:t>
      </w:r>
      <w:r w:rsidRPr="005D7A95">
        <w:t xml:space="preserve"> or </w:t>
      </w:r>
      <w:r>
        <w:t>by</w:t>
      </w:r>
      <w:r w:rsidRPr="005D7A95">
        <w:t xml:space="preserve"> contract</w:t>
      </w:r>
      <w:r>
        <w:t xml:space="preserve"> the route through which an IXC can reach the LEC’s end office or functional equivalent and to bear financial responsibility for all </w:t>
      </w:r>
      <w:r w:rsidRPr="000F2933">
        <w:t xml:space="preserve">interstate and intrastate tandem switching and transport charges for terminating traffic to </w:t>
      </w:r>
      <w:r>
        <w:t xml:space="preserve">its own </w:t>
      </w:r>
      <w:r w:rsidRPr="000F2933">
        <w:t>end office</w:t>
      </w:r>
      <w:r>
        <w:t>(s)</w:t>
      </w:r>
      <w:r w:rsidRPr="000F2933">
        <w:t xml:space="preserve"> or functional equivalent </w:t>
      </w:r>
      <w:r w:rsidRPr="002A7F62">
        <w:t>whether terminated directly or indirectly</w:t>
      </w:r>
      <w:bookmarkEnd w:id="251"/>
      <w:r w:rsidRPr="000F2933">
        <w:t>.</w:t>
      </w:r>
      <w:r>
        <w:rPr>
          <w:rStyle w:val="FootnoteReference"/>
        </w:rPr>
        <w:footnoteReference w:id="51"/>
      </w:r>
      <w:r w:rsidRPr="000F2933">
        <w:t xml:space="preserve">  Th</w:t>
      </w:r>
      <w:r>
        <w:t>ese</w:t>
      </w:r>
      <w:r w:rsidRPr="000F2933">
        <w:t xml:space="preserve"> rule</w:t>
      </w:r>
      <w:r>
        <w:t>s</w:t>
      </w:r>
      <w:r w:rsidRPr="000F2933">
        <w:t xml:space="preserve"> </w:t>
      </w:r>
      <w:r>
        <w:t>effectuate</w:t>
      </w:r>
      <w:r w:rsidRPr="000F2933">
        <w:t xml:space="preserve"> a slightly modified version of the first prong of the access</w:t>
      </w:r>
      <w:r>
        <w:t>-</w:t>
      </w:r>
      <w:r w:rsidRPr="000F2933">
        <w:t xml:space="preserve">stimulation rule proposed by the Commission in the </w:t>
      </w:r>
      <w:r w:rsidRPr="005C1BD0">
        <w:rPr>
          <w:i/>
        </w:rPr>
        <w:t>Access Arbitrage Notice</w:t>
      </w:r>
      <w:r w:rsidRPr="000F2933">
        <w:t xml:space="preserve"> and properly align financial incentives by making the access-stimulating LEC responsible for paying for the part of the call path that it dictates.  </w:t>
      </w:r>
    </w:p>
    <w:p w:rsidR="00EB312D" w:rsidP="00CB453D">
      <w:pPr>
        <w:pStyle w:val="ParaNum"/>
        <w:widowControl/>
      </w:pPr>
      <w:r w:rsidRPr="00DD1E5F">
        <w:t xml:space="preserve">After reviewing the record, we decline to adopt the second prong of the Commission’s proposal that would allow an access-stimulating LEC </w:t>
      </w:r>
      <w:r w:rsidRPr="004D2F68">
        <w:t>to avoid paying for tandem switching and</w:t>
      </w:r>
      <w:r>
        <w:t xml:space="preserve"> tandem switched</w:t>
      </w:r>
      <w:r w:rsidRPr="004D2F68">
        <w:t xml:space="preserve"> transport by permitting an IXC to directly </w:t>
      </w:r>
      <w:r>
        <w:t xml:space="preserve">or indirectly </w:t>
      </w:r>
      <w:r w:rsidRPr="004D2F68">
        <w:t>connect to the LEC</w:t>
      </w:r>
      <w:r>
        <w:t xml:space="preserve"> and pay for that connection,</w:t>
      </w:r>
      <w:r w:rsidRPr="004D2F68">
        <w:t xml:space="preserve"> rather than hav</w:t>
      </w:r>
      <w:r>
        <w:t>ing</w:t>
      </w:r>
      <w:r w:rsidRPr="004D2F68">
        <w:t xml:space="preserve"> the LEC pay the cost of receiving traffic.</w:t>
      </w:r>
      <w:r>
        <w:rPr>
          <w:rStyle w:val="FootnoteReference"/>
        </w:rPr>
        <w:footnoteReference w:id="52"/>
      </w:r>
      <w:r w:rsidRPr="00DD1E5F">
        <w:t xml:space="preserve">  We are persuaded by the </w:t>
      </w:r>
      <w:r>
        <w:t xml:space="preserve">substantial number of </w:t>
      </w:r>
      <w:r w:rsidRPr="00DD1E5F">
        <w:t>commenters that argue that adoption of the first prong of the propo</w:t>
      </w:r>
      <w:r w:rsidRPr="004D2F68">
        <w:t xml:space="preserve">sal will better address the problem of access stimulation and that allowing LECs the alternative of permitting direct </w:t>
      </w:r>
      <w:r>
        <w:t xml:space="preserve">or indirect </w:t>
      </w:r>
      <w:r w:rsidRPr="004D2F68">
        <w:t xml:space="preserve">connections </w:t>
      </w:r>
      <w:r>
        <w:t xml:space="preserve">paid for by the IXC </w:t>
      </w:r>
      <w:r w:rsidRPr="004D2F68">
        <w:t>w</w:t>
      </w:r>
      <w:r>
        <w:t>ould</w:t>
      </w:r>
      <w:r w:rsidRPr="004D2F68">
        <w:t xml:space="preserve"> create a substantial risk of stranded investment.</w:t>
      </w:r>
      <w:r>
        <w:rPr>
          <w:rStyle w:val="FootnoteReference"/>
        </w:rPr>
        <w:footnoteReference w:id="53"/>
      </w:r>
      <w:r w:rsidRPr="004D2F68">
        <w:t xml:space="preserve">  </w:t>
      </w:r>
      <w:bookmarkStart w:id="258" w:name="_Toc9244542"/>
      <w:bookmarkStart w:id="259" w:name="_Toc12013332"/>
      <w:bookmarkStart w:id="260" w:name="_Toc13237271"/>
      <w:bookmarkStart w:id="261" w:name="_Toc13641414"/>
      <w:bookmarkStart w:id="262" w:name="_Toc13844716"/>
      <w:bookmarkStart w:id="263" w:name="_Toc13844768"/>
      <w:bookmarkStart w:id="264" w:name="_Toc13844857"/>
      <w:bookmarkStart w:id="265" w:name="_Toc14019950"/>
      <w:bookmarkStart w:id="266" w:name="_Toc14096393"/>
    </w:p>
    <w:p w:rsidR="00EB312D" w:rsidRPr="000F2933" w:rsidP="00EB312D">
      <w:pPr>
        <w:pStyle w:val="ParaNum"/>
      </w:pPr>
      <w:r w:rsidRPr="000F2933">
        <w:t xml:space="preserve">We also modify our definition of access stimulation to capture the possibility of access stimulation </w:t>
      </w:r>
      <w:r>
        <w:t>occurring even without a</w:t>
      </w:r>
      <w:r w:rsidRPr="000F2933">
        <w:t xml:space="preserve"> revenue sharing </w:t>
      </w:r>
      <w:r>
        <w:t xml:space="preserve">agreement </w:t>
      </w:r>
      <w:r w:rsidRPr="000F2933">
        <w:t xml:space="preserve">between a LEC and a high-volume calling service provider.  </w:t>
      </w:r>
    </w:p>
    <w:p w:rsidR="00EB312D" w:rsidRPr="000F2933" w:rsidP="00EB312D">
      <w:pPr>
        <w:pStyle w:val="Heading3"/>
      </w:pPr>
      <w:bookmarkStart w:id="267" w:name="_Toc15028070"/>
      <w:bookmarkStart w:id="268" w:name="_Toc15310187"/>
      <w:bookmarkStart w:id="269" w:name="_Toc16756576"/>
      <w:bookmarkStart w:id="270" w:name="_Toc16762068"/>
      <w:bookmarkStart w:id="271" w:name="_Toc16843635"/>
      <w:bookmarkStart w:id="272" w:name="_Toc16863790"/>
      <w:bookmarkStart w:id="273" w:name="_Toc17048646"/>
      <w:bookmarkStart w:id="274" w:name="_Toc17364729"/>
      <w:bookmarkStart w:id="275" w:name="_Toc17469825"/>
      <w:bookmarkStart w:id="276" w:name="_Toc17887583"/>
      <w:bookmarkStart w:id="277" w:name="_Toc18423499"/>
      <w:bookmarkStart w:id="278" w:name="_Toc18423554"/>
      <w:bookmarkStart w:id="279" w:name="_Toc18423630"/>
      <w:bookmarkStart w:id="280" w:name="_Toc18486769"/>
      <w:bookmarkStart w:id="281" w:name="_Toc18487379"/>
      <w:bookmarkStart w:id="282" w:name="_Toc18487884"/>
      <w:bookmarkStart w:id="283" w:name="_Toc18487992"/>
      <w:bookmarkStart w:id="284" w:name="_Toc18488115"/>
      <w:bookmarkStart w:id="285" w:name="_Toc20056855"/>
      <w:bookmarkStart w:id="286" w:name="_Toc20219904"/>
      <w:r w:rsidRPr="000F2933">
        <w:t>New Requirements for Access-Stimulating LECs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EB312D" w:rsidRPr="000F2933" w:rsidP="00844D1E">
      <w:pPr>
        <w:pStyle w:val="ParaNum"/>
        <w:widowControl/>
      </w:pPr>
      <w:r>
        <w:t>The approach we adopt today—</w:t>
      </w:r>
      <w:r w:rsidRPr="000F2933">
        <w:t>shift</w:t>
      </w:r>
      <w:r>
        <w:t>ing</w:t>
      </w:r>
      <w:r w:rsidRPr="000F2933">
        <w:t xml:space="preserve"> financial responsibility for all tandem switching and transport services </w:t>
      </w:r>
      <w:r>
        <w:t>to</w:t>
      </w:r>
      <w:r w:rsidRPr="000F2933">
        <w:t xml:space="preserve"> access</w:t>
      </w:r>
      <w:r>
        <w:t>-</w:t>
      </w:r>
      <w:r w:rsidRPr="000F2933">
        <w:t>stimulating LECs for the delivery of terminating traffic from the point where the access-stimulating LEC directs an IXC to hand off the LEC’s traffic</w:t>
      </w:r>
      <w:r>
        <w:t>—has broad support in the record</w:t>
      </w:r>
      <w:r w:rsidRPr="000F2933">
        <w:t>.</w:t>
      </w:r>
      <w:r>
        <w:rPr>
          <w:rStyle w:val="FootnoteReference"/>
        </w:rPr>
        <w:footnoteReference w:id="54"/>
      </w:r>
      <w:r>
        <w:t xml:space="preserve">  </w:t>
      </w:r>
      <w:r w:rsidRPr="000F2933">
        <w:t xml:space="preserve">This shift in financial responsibility </w:t>
      </w:r>
      <w:r>
        <w:t xml:space="preserve">from IXCs to access-stimulating LECs </w:t>
      </w:r>
      <w:r w:rsidRPr="000F2933">
        <w:t>for intermediate access provider charges and access-stimulating LEC</w:t>
      </w:r>
      <w:r>
        <w:t>s’ tandem</w:t>
      </w:r>
      <w:r w:rsidRPr="000F2933">
        <w:t xml:space="preserve"> switching and </w:t>
      </w:r>
      <w:r>
        <w:t xml:space="preserve">tandem switched </w:t>
      </w:r>
      <w:r w:rsidRPr="000F2933">
        <w:t xml:space="preserve">transport charges is aimed at addressing the changes that have occurred in access arbitrage since </w:t>
      </w:r>
      <w:r>
        <w:t xml:space="preserve">the </w:t>
      </w:r>
      <w:r w:rsidRPr="000F2933">
        <w:t xml:space="preserve">adoption of the </w:t>
      </w:r>
      <w:r w:rsidRPr="003B1025">
        <w:rPr>
          <w:i/>
        </w:rPr>
        <w:t>USF/ICC Transformation Order</w:t>
      </w:r>
      <w:r w:rsidRPr="000F2933">
        <w:t>.</w:t>
      </w:r>
      <w:r>
        <w:rPr>
          <w:rStyle w:val="FootnoteReference"/>
        </w:rPr>
        <w:footnoteReference w:id="55"/>
      </w:r>
      <w:r w:rsidRPr="000F2933">
        <w:t xml:space="preserve">  The record </w:t>
      </w:r>
      <w:r>
        <w:t xml:space="preserve">shows </w:t>
      </w:r>
      <w:r w:rsidRPr="000F2933">
        <w:t>that billions of minutes of access arbitrage every year are being directed to access</w:t>
      </w:r>
      <w:r>
        <w:t>-</w:t>
      </w:r>
      <w:r w:rsidRPr="000F2933">
        <w:t>stimulating LECs using expensive tandem switching providers for conference calling and other services offered for “free” to the callers, but at an annual cost of $60 million</w:t>
      </w:r>
      <w:r>
        <w:t xml:space="preserve"> to </w:t>
      </w:r>
      <w:r w:rsidRPr="000F2933">
        <w:t xml:space="preserve">$80 million </w:t>
      </w:r>
      <w:r>
        <w:t>in access charges to</w:t>
      </w:r>
      <w:r w:rsidRPr="000F2933">
        <w:t xml:space="preserve"> IXCs</w:t>
      </w:r>
      <w:r>
        <w:t xml:space="preserve"> and their customers</w:t>
      </w:r>
      <w:r w:rsidRPr="000F2933">
        <w:t>.</w:t>
      </w:r>
      <w:r>
        <w:rPr>
          <w:rStyle w:val="FootnoteReference"/>
        </w:rPr>
        <w:footnoteReference w:id="56"/>
      </w:r>
      <w:r w:rsidRPr="000F2933">
        <w:t xml:space="preserve">  </w:t>
      </w:r>
      <w:r>
        <w:t xml:space="preserve">Although only a small proportion of </w:t>
      </w:r>
      <w:r>
        <w:t xml:space="preserve">consumers call access-stimulating LECs, the costs </w:t>
      </w:r>
      <w:r w:rsidRPr="000F2933">
        <w:t>are spread across an IXC’s customers.  As a result, long</w:t>
      </w:r>
      <w:r>
        <w:t>-</w:t>
      </w:r>
      <w:r w:rsidRPr="000F2933">
        <w:t xml:space="preserve">distance customers are forced to bear the costs of </w:t>
      </w:r>
      <w:r>
        <w:t>“</w:t>
      </w:r>
      <w:r w:rsidRPr="000F2933">
        <w:t>free</w:t>
      </w:r>
      <w:r>
        <w:t>”</w:t>
      </w:r>
      <w:r w:rsidRPr="000F2933">
        <w:t xml:space="preserve"> conferencing </w:t>
      </w:r>
      <w:r>
        <w:t xml:space="preserve">and other </w:t>
      </w:r>
      <w:r w:rsidRPr="000F2933">
        <w:t>services that only some customers use.</w:t>
      </w:r>
      <w:r>
        <w:t xml:space="preserve">  In attacking this form of cross-subsidization, we follow the lead set by the Commission in the </w:t>
      </w:r>
      <w:r w:rsidRPr="003B1025">
        <w:rPr>
          <w:i/>
        </w:rPr>
        <w:t xml:space="preserve">USF/ICC </w:t>
      </w:r>
      <w:r w:rsidRPr="288E0FEF">
        <w:rPr>
          <w:i/>
        </w:rPr>
        <w:t>Transformation Order</w:t>
      </w:r>
      <w:r>
        <w:t>.</w:t>
      </w:r>
      <w:r>
        <w:rPr>
          <w:rStyle w:val="FootnoteReference"/>
        </w:rPr>
        <w:footnoteReference w:id="57"/>
      </w:r>
      <w:r>
        <w:t xml:space="preserve">  </w:t>
      </w:r>
    </w:p>
    <w:p w:rsidR="00EB312D" w:rsidP="00EB312D">
      <w:pPr>
        <w:pStyle w:val="ParaNum"/>
      </w:pPr>
      <w:r>
        <w:t xml:space="preserve">Our new rules eliminate the incentives that access-stimulating LECs </w:t>
      </w:r>
      <w:r>
        <w:t>have to</w:t>
      </w:r>
      <w:r>
        <w:t xml:space="preserve"> switch and route stimulated traffic inefficiently, including by using intermediate access providers to do the same.  </w:t>
      </w:r>
      <w:r>
        <w:t>B</w:t>
      </w:r>
      <w:r>
        <w:t xml:space="preserve">ecause IXCs currently pay the LECs’ tandem switching and tandem switched transport charges and </w:t>
      </w:r>
      <w:r>
        <w:t xml:space="preserve">the </w:t>
      </w:r>
      <w:r>
        <w:t>intermediate access provider’s access charges, the terminating LEC has an incentive to inflate its own charges, and is, at a minimum, insulated from the cost implications of its decision to use a given intermediate access provider</w:t>
      </w:r>
      <w:r>
        <w:t xml:space="preserve">.  </w:t>
      </w:r>
      <w:r>
        <w:t>Indeed, in some cases the terminating LEC may</w:t>
      </w:r>
      <w:r>
        <w:t xml:space="preserve"> </w:t>
      </w:r>
      <w:r>
        <w:t>not be merely indifferent to what interconnection option is most efficient but may have incentives to select less efficient alternatives if doing so would lead it to benefit, whether directly or on a corporation-wide basis</w:t>
      </w:r>
      <w:r>
        <w:t>.</w:t>
      </w:r>
      <w:r>
        <w:t xml:space="preserve">  </w:t>
      </w:r>
    </w:p>
    <w:p w:rsidR="00EB312D" w:rsidRPr="000F2933" w:rsidP="00EB312D">
      <w:pPr>
        <w:pStyle w:val="ParaNum"/>
      </w:pPr>
      <w:r w:rsidRPr="00AC6D60">
        <w:t>As</w:t>
      </w:r>
      <w:r>
        <w:t xml:space="preserve"> AT&amp;T observes, making access-stimulating LECs financially responsible for traffic terminating to their end offices will be effective because it will “reduce the ability of terminating LECs and access stimulators to force IXCs, wireless carriers, and their customers [to subsidize], via revenues derived from inefficient transport routes, the costs of access stimulation schemes.”</w:t>
      </w:r>
      <w:r>
        <w:rPr>
          <w:rStyle w:val="FootnoteReference"/>
        </w:rPr>
        <w:footnoteReference w:id="58"/>
      </w:r>
      <w:r>
        <w:t xml:space="preserve">  In addition, the costs of access stimulation are not limited to the access charges paid by IXCs and their customers.  Costs also are incurred by IXCs in trying to avoid payments to access stimulation schemes whether through litigation or seeking regulatory intervention.</w:t>
      </w:r>
      <w:r>
        <w:rPr>
          <w:rStyle w:val="FootnoteReference"/>
        </w:rPr>
        <w:footnoteReference w:id="59"/>
      </w:r>
    </w:p>
    <w:p w:rsidR="00EB312D" w:rsidRPr="000F2933" w:rsidP="00EB312D">
      <w:pPr>
        <w:pStyle w:val="ParaNum"/>
      </w:pPr>
      <w:r>
        <w:t>C</w:t>
      </w:r>
      <w:r w:rsidRPr="000F2933">
        <w:t xml:space="preserve">ommenters argue that placing the financial responsibility on the access-stimulating LEC for delivery of traffic to its end office, or functional equivalent, will reduce inefficiencies created by access-stimulating LECs that subtend intermediate access providers and </w:t>
      </w:r>
      <w:r>
        <w:t xml:space="preserve">choose </w:t>
      </w:r>
      <w:r w:rsidRPr="000F2933">
        <w:t xml:space="preserve">to work with </w:t>
      </w:r>
      <w:r>
        <w:t>high-volume</w:t>
      </w:r>
      <w:r w:rsidRPr="000F2933">
        <w:t xml:space="preserve"> calling </w:t>
      </w:r>
      <w:r>
        <w:t>service</w:t>
      </w:r>
      <w:r w:rsidRPr="000F2933">
        <w:t xml:space="preserve"> </w:t>
      </w:r>
      <w:r>
        <w:t xml:space="preserve">providers that locate </w:t>
      </w:r>
      <w:r w:rsidRPr="000F2933">
        <w:t xml:space="preserve">equipment in remote rural areas without a reason independent of </w:t>
      </w:r>
      <w:r>
        <w:t xml:space="preserve">arbitraging </w:t>
      </w:r>
      <w:r w:rsidRPr="000F2933">
        <w:t>the current ICC system.</w:t>
      </w:r>
      <w:r>
        <w:rPr>
          <w:rStyle w:val="FootnoteReference"/>
        </w:rPr>
        <w:footnoteReference w:id="60"/>
      </w:r>
      <w:r>
        <w:t xml:space="preserve">  We agree with these commenters.  </w:t>
      </w:r>
      <w:r w:rsidRPr="000F2933">
        <w:t xml:space="preserve">As CenturyLink </w:t>
      </w:r>
      <w:r>
        <w:t>explains</w:t>
      </w:r>
      <w:r w:rsidRPr="000F2933">
        <w:t xml:space="preserve">, this change will “properly </w:t>
      </w:r>
      <w:r w:rsidRPr="000F2933">
        <w:t>recognize[</w:t>
      </w:r>
      <w:r w:rsidRPr="000F2933">
        <w:t>] that the responsibility to pay for the traffic delivery should be assigned to the entity that stimulated the traffic in the first place.”</w:t>
      </w:r>
      <w:r>
        <w:rPr>
          <w:rStyle w:val="FootnoteReference"/>
        </w:rPr>
        <w:footnoteReference w:id="61"/>
      </w:r>
      <w:r w:rsidRPr="000F2933">
        <w:t xml:space="preserve">  </w:t>
      </w:r>
    </w:p>
    <w:p w:rsidR="00EB312D" w:rsidP="00EB312D">
      <w:pPr>
        <w:pStyle w:val="ParaNum"/>
      </w:pPr>
      <w:r w:rsidRPr="00770F04">
        <w:t>We</w:t>
      </w:r>
      <w:r w:rsidRPr="00770F04">
        <w:t xml:space="preserve"> </w:t>
      </w:r>
      <w:r>
        <w:t xml:space="preserve">find unpersuasive </w:t>
      </w:r>
      <w:r w:rsidRPr="00770F04">
        <w:t>arguments that</w:t>
      </w:r>
      <w:r>
        <w:t xml:space="preserve"> as a result of</w:t>
      </w:r>
      <w:r>
        <w:t xml:space="preserve"> </w:t>
      </w:r>
      <w:r>
        <w:t xml:space="preserve">the </w:t>
      </w:r>
      <w:r w:rsidRPr="005C1BD0">
        <w:rPr>
          <w:i/>
        </w:rPr>
        <w:t xml:space="preserve">USF/ICC Transformation Order </w:t>
      </w:r>
      <w:r>
        <w:t xml:space="preserve">and the </w:t>
      </w:r>
      <w:r w:rsidRPr="00EC0DE9">
        <w:t>Aureon</w:t>
      </w:r>
      <w:r w:rsidRPr="00EC0DE9">
        <w:t xml:space="preserve"> </w:t>
      </w:r>
      <w:r>
        <w:t>t</w:t>
      </w:r>
      <w:r w:rsidRPr="00EC0DE9">
        <w:t xml:space="preserve">ariff </w:t>
      </w:r>
      <w:r>
        <w:t>i</w:t>
      </w:r>
      <w:r w:rsidRPr="00EC0DE9">
        <w:t>nvestigation</w:t>
      </w:r>
      <w:r w:rsidRPr="005C1BD0">
        <w:rPr>
          <w:i/>
        </w:rPr>
        <w:t xml:space="preserve"> </w:t>
      </w:r>
      <w:r w:rsidRPr="00EC0DE9">
        <w:t>proceeding</w:t>
      </w:r>
      <w:r>
        <w:t xml:space="preserve"> (addressing rate setting by CEA providers), </w:t>
      </w:r>
      <w:r w:rsidRPr="00770F04">
        <w:t xml:space="preserve">there </w:t>
      </w:r>
      <w:r>
        <w:t>are</w:t>
      </w:r>
      <w:r w:rsidRPr="00770F04">
        <w:t xml:space="preserve"> </w:t>
      </w:r>
      <w:r>
        <w:t xml:space="preserve">few to </w:t>
      </w:r>
      <w:r w:rsidRPr="00770F04">
        <w:t xml:space="preserve">no </w:t>
      </w:r>
      <w:r>
        <w:t xml:space="preserve">problems arising from arbitrage </w:t>
      </w:r>
      <w:r w:rsidRPr="00770F04">
        <w:t>that need to be solved</w:t>
      </w:r>
      <w:r>
        <w:t xml:space="preserve"> today</w:t>
      </w:r>
      <w:r w:rsidRPr="00770F04">
        <w:t>.</w:t>
      </w:r>
      <w:r>
        <w:rPr>
          <w:rStyle w:val="FootnoteReference"/>
        </w:rPr>
        <w:footnoteReference w:id="62"/>
      </w:r>
      <w:r>
        <w:t xml:space="preserve">  The record shows that access stimulation schemes are operating in at least 11 states and are costing IXCs between $60 million and $80 </w:t>
      </w:r>
      <w:r>
        <w:t xml:space="preserve">million per year in access charges.  The record also shows that access stimulation is particularly concentrated where CEA providers </w:t>
      </w:r>
      <w:r>
        <w:t>Aureon</w:t>
      </w:r>
      <w:r>
        <w:t xml:space="preserve"> and SDN</w:t>
      </w:r>
      <w:r w:rsidRPr="000F2933">
        <w:t xml:space="preserve"> </w:t>
      </w:r>
      <w:r>
        <w:t>received authority from the Commission to construct their CEA networks.</w:t>
      </w:r>
      <w:r>
        <w:rPr>
          <w:rStyle w:val="FootnoteReference"/>
        </w:rPr>
        <w:footnoteReference w:id="63"/>
      </w:r>
      <w:r>
        <w:t xml:space="preserve">  In granting that authority, the Commission included a mandatory use requirement that </w:t>
      </w:r>
      <w:r w:rsidRPr="000F2933">
        <w:t>require</w:t>
      </w:r>
      <w:r>
        <w:t>s</w:t>
      </w:r>
      <w:r w:rsidRPr="000F2933">
        <w:t xml:space="preserve"> IXCs to route telecommunications traffic through </w:t>
      </w:r>
      <w:r>
        <w:t>the</w:t>
      </w:r>
      <w:r w:rsidRPr="000F2933">
        <w:t xml:space="preserve"> </w:t>
      </w:r>
      <w:r>
        <w:t>CEA</w:t>
      </w:r>
      <w:r w:rsidRPr="000F2933">
        <w:t xml:space="preserve"> tandem</w:t>
      </w:r>
      <w:r>
        <w:t>s</w:t>
      </w:r>
      <w:r w:rsidRPr="000F2933">
        <w:t xml:space="preserve"> to terminate traffic to the </w:t>
      </w:r>
      <w:r>
        <w:t xml:space="preserve">participating </w:t>
      </w:r>
      <w:r w:rsidRPr="000F2933">
        <w:t>LECs</w:t>
      </w:r>
      <w:r>
        <w:t xml:space="preserve"> that subtend those tandems</w:t>
      </w:r>
      <w:r w:rsidRPr="000F2933">
        <w:t>.</w:t>
      </w:r>
      <w:r>
        <w:rPr>
          <w:rStyle w:val="FootnoteReference"/>
        </w:rPr>
        <w:footnoteReference w:id="64"/>
      </w:r>
      <w:r w:rsidRPr="000F2933">
        <w:t xml:space="preserve">  </w:t>
      </w:r>
      <w:r>
        <w:t xml:space="preserve">The </w:t>
      </w:r>
      <w:r w:rsidRPr="000F2933">
        <w:t>CEA provider</w:t>
      </w:r>
      <w:r>
        <w:t>s’</w:t>
      </w:r>
      <w:r w:rsidRPr="000F2933">
        <w:t xml:space="preserve"> tariffed rates to terminate traffic </w:t>
      </w:r>
      <w:r>
        <w:t>“</w:t>
      </w:r>
      <w:r w:rsidRPr="000F2933">
        <w:t>are premised on typical volumes to high-cost rural exchanges.”</w:t>
      </w:r>
      <w:r>
        <w:rPr>
          <w:rStyle w:val="FootnoteReference"/>
        </w:rPr>
        <w:footnoteReference w:id="65"/>
      </w:r>
      <w:r w:rsidRPr="000F2933">
        <w:t xml:space="preserve">  </w:t>
      </w:r>
      <w:r>
        <w:t>We find that t</w:t>
      </w:r>
      <w:r w:rsidRPr="000F2933">
        <w:t xml:space="preserve">hese high CEA rates create a </w:t>
      </w:r>
      <w:r>
        <w:t>price</w:t>
      </w:r>
      <w:r w:rsidRPr="000F2933">
        <w:t xml:space="preserve"> umbrella</w:t>
      </w:r>
      <w:r w:rsidRPr="009C3329">
        <w:t>:  a price</w:t>
      </w:r>
      <w:r w:rsidRPr="000F2933">
        <w:t xml:space="preserve"> that </w:t>
      </w:r>
      <w:r>
        <w:t>other intermediate access providers</w:t>
      </w:r>
      <w:r w:rsidRPr="000F2933">
        <w:t xml:space="preserve"> can “slightly undercut” but still make a profit</w:t>
      </w:r>
      <w:r>
        <w:t>.</w:t>
      </w:r>
      <w:r>
        <w:rPr>
          <w:rStyle w:val="FootnoteReference"/>
        </w:rPr>
        <w:footnoteReference w:id="66"/>
      </w:r>
      <w:r>
        <w:t xml:space="preserve"> </w:t>
      </w:r>
      <w:r w:rsidRPr="000F2933">
        <w:t xml:space="preserve"> As a result, “AT&amp;T and other carriers routinely discover that carriers located in remote areas with long transport distances and high transport rates enter into arrangements with high volume service </w:t>
      </w:r>
      <w:r w:rsidRPr="00064A26">
        <w:t>providers . . . for</w:t>
      </w:r>
      <w:r w:rsidRPr="000F2933">
        <w:t xml:space="preserve"> the sole purpose of extracting inflated ICC rates due to the distance and volume of traffic.”</w:t>
      </w:r>
      <w:r>
        <w:rPr>
          <w:rStyle w:val="FootnoteReference"/>
        </w:rPr>
        <w:footnoteReference w:id="67"/>
      </w:r>
      <w:r w:rsidRPr="000F2933">
        <w:t xml:space="preserve">  The record </w:t>
      </w:r>
      <w:r>
        <w:t xml:space="preserve">shows </w:t>
      </w:r>
      <w:r w:rsidRPr="000F2933">
        <w:t xml:space="preserve">that access stimulation </w:t>
      </w:r>
      <w:r>
        <w:t xml:space="preserve">also </w:t>
      </w:r>
      <w:r w:rsidRPr="000F2933">
        <w:t>occurs in states not served by CEA providers but to a lesser extent.</w:t>
      </w:r>
      <w:r>
        <w:rPr>
          <w:rStyle w:val="FootnoteReference"/>
        </w:rPr>
        <w:footnoteReference w:id="68"/>
      </w:r>
      <w:r w:rsidRPr="000F2933">
        <w:t xml:space="preserve">  </w:t>
      </w:r>
    </w:p>
    <w:p w:rsidR="00EB312D" w:rsidP="00EB312D">
      <w:pPr>
        <w:pStyle w:val="ParaNum"/>
      </w:pPr>
      <w:r>
        <w:t xml:space="preserve">Nor do we find persuasive arguments that access stimulation is </w:t>
      </w:r>
      <w:r w:rsidRPr="000F2933">
        <w:t>beneficial</w:t>
      </w:r>
      <w:r w:rsidRPr="000F2933">
        <w:t>.</w:t>
      </w:r>
      <w:r>
        <w:rPr>
          <w:rStyle w:val="FootnoteReference"/>
        </w:rPr>
        <w:footnoteReference w:id="69"/>
      </w:r>
      <w:r w:rsidRPr="000F2933">
        <w:t xml:space="preserve"> </w:t>
      </w:r>
      <w:r>
        <w:t xml:space="preserve"> </w:t>
      </w:r>
      <w:r w:rsidRPr="000F2933">
        <w:t>The Joint CLECs</w:t>
      </w:r>
      <w:r>
        <w:t>,</w:t>
      </w:r>
      <w:r w:rsidRPr="000F2933">
        <w:t xml:space="preserve"> </w:t>
      </w:r>
      <w:r>
        <w:t>for example, allege t</w:t>
      </w:r>
      <w:r w:rsidRPr="000F2933">
        <w:t xml:space="preserve">hat </w:t>
      </w:r>
      <w:r>
        <w:t xml:space="preserve">more than </w:t>
      </w:r>
      <w:r w:rsidRPr="000F2933">
        <w:t>5 million people “enjoy the benefits</w:t>
      </w:r>
      <w:r>
        <w:t xml:space="preserve">” </w:t>
      </w:r>
      <w:r w:rsidRPr="000F2933">
        <w:t>of high</w:t>
      </w:r>
      <w:r>
        <w:t>-</w:t>
      </w:r>
      <w:r w:rsidRPr="000F2933">
        <w:t>volume services</w:t>
      </w:r>
      <w:r>
        <w:t xml:space="preserve"> hosted by them on a monthly basis</w:t>
      </w:r>
      <w:r w:rsidRPr="000F2933">
        <w:t>.</w:t>
      </w:r>
      <w:r>
        <w:rPr>
          <w:rStyle w:val="FootnoteReference"/>
        </w:rPr>
        <w:footnoteReference w:id="70"/>
      </w:r>
      <w:r w:rsidRPr="000F2933">
        <w:t xml:space="preserve"> </w:t>
      </w:r>
      <w:r>
        <w:t xml:space="preserve"> For its part, HD Tandem claims that “75 million unique users this </w:t>
      </w:r>
      <w:r>
        <w:t>year .</w:t>
      </w:r>
      <w:r>
        <w:t> . . have called voice application services at the rural LECs that HD Tandem terminates to.”</w:t>
      </w:r>
      <w:r>
        <w:rPr>
          <w:rStyle w:val="FootnoteReference"/>
        </w:rPr>
        <w:footnoteReference w:id="71"/>
      </w:r>
      <w:r>
        <w:t xml:space="preserve">  The Joint CLECs argue that </w:t>
      </w:r>
      <w:r w:rsidRPr="000F2933">
        <w:t xml:space="preserve">“nonprofit organizations, small businesses, religious institutions, government agencies, and everyday </w:t>
      </w:r>
      <w:r w:rsidRPr="00064A26">
        <w:t>Americans .</w:t>
      </w:r>
      <w:r w:rsidRPr="00064A26">
        <w:t> . .</w:t>
      </w:r>
      <w:r w:rsidRPr="000F2933">
        <w:t xml:space="preserve"> will undoubtedly suffer if these [access stimulation] services are put out of business.”</w:t>
      </w:r>
      <w:r>
        <w:rPr>
          <w:sz w:val="20"/>
          <w:vertAlign w:val="superscript"/>
        </w:rPr>
        <w:footnoteReference w:id="72"/>
      </w:r>
      <w:r w:rsidRPr="000F2933">
        <w:t xml:space="preserve">  Other parties, including several thousand individual users of </w:t>
      </w:r>
      <w:r>
        <w:t>“</w:t>
      </w:r>
      <w:r w:rsidRPr="000F2933">
        <w:t>free</w:t>
      </w:r>
      <w:r>
        <w:t>”</w:t>
      </w:r>
      <w:r w:rsidRPr="000F2933">
        <w:t xml:space="preserve"> conferencing </w:t>
      </w:r>
      <w:r>
        <w:t xml:space="preserve">and other high-volume calling </w:t>
      </w:r>
      <w:r w:rsidRPr="000F2933">
        <w:t>services</w:t>
      </w:r>
      <w:r>
        <w:t>,</w:t>
      </w:r>
      <w:r w:rsidRPr="000F2933">
        <w:t xml:space="preserve"> have filed comments expressing concern that such </w:t>
      </w:r>
      <w:r>
        <w:t>“</w:t>
      </w:r>
      <w:r w:rsidRPr="000F2933">
        <w:t>free-to-</w:t>
      </w:r>
      <w:r>
        <w:t>the-</w:t>
      </w:r>
      <w:r w:rsidRPr="000F2933">
        <w:t>user</w:t>
      </w:r>
      <w:r>
        <w:t>”</w:t>
      </w:r>
      <w:r w:rsidRPr="000F2933">
        <w:t xml:space="preserve"> services will be eliminated by today’s action and urging us to retain the current regulatory system in light of the purported benefits such </w:t>
      </w:r>
      <w:r>
        <w:t>“</w:t>
      </w:r>
      <w:r w:rsidRPr="000F2933">
        <w:t>free</w:t>
      </w:r>
      <w:r>
        <w:t>”</w:t>
      </w:r>
      <w:r w:rsidRPr="000F2933">
        <w:t xml:space="preserve"> services provide.</w:t>
      </w:r>
      <w:r>
        <w:rPr>
          <w:rStyle w:val="FootnoteReference"/>
        </w:rPr>
        <w:footnoteReference w:id="73"/>
      </w:r>
      <w:r w:rsidRPr="000F2933">
        <w:t xml:space="preserve"> </w:t>
      </w:r>
      <w:r>
        <w:t xml:space="preserve"> As commenters explain, t</w:t>
      </w:r>
      <w:r w:rsidRPr="000F2933">
        <w:t>he</w:t>
      </w:r>
      <w:r>
        <w:t>se arguments are both self-serving and inconsistent with our goals in reforming the ICC system.</w:t>
      </w:r>
      <w:r>
        <w:rPr>
          <w:rStyle w:val="FootnoteReference"/>
        </w:rPr>
        <w:footnoteReference w:id="74"/>
      </w:r>
      <w:r>
        <w:t xml:space="preserve">  The benefits of “free” services enjoyed by an estimated 75 million users of high-volume calling services are paid for by the </w:t>
      </w:r>
      <w:r w:rsidRPr="000F2933">
        <w:t xml:space="preserve">more than </w:t>
      </w:r>
      <w:r>
        <w:t>455</w:t>
      </w:r>
      <w:r w:rsidRPr="000F2933">
        <w:t xml:space="preserve"> million </w:t>
      </w:r>
      <w:bookmarkStart w:id="287" w:name="_Hlk14853771"/>
      <w:r w:rsidRPr="000F2933">
        <w:t xml:space="preserve">subscribers </w:t>
      </w:r>
      <w:r>
        <w:t>of</w:t>
      </w:r>
      <w:r w:rsidRPr="000F2933">
        <w:t xml:space="preserve"> voice services across the United States</w:t>
      </w:r>
      <w:bookmarkEnd w:id="287"/>
      <w:r w:rsidRPr="000F2933">
        <w:t xml:space="preserve">, most of whom do not </w:t>
      </w:r>
      <w:r w:rsidRPr="000F2933">
        <w:t>use high-volume calling services.</w:t>
      </w:r>
      <w:r>
        <w:rPr>
          <w:rStyle w:val="FootnoteReference"/>
        </w:rPr>
        <w:footnoteReference w:id="75"/>
      </w:r>
      <w:r w:rsidRPr="000F2933">
        <w:t xml:space="preserve">  According to Sprint, for example, less than </w:t>
      </w:r>
      <w:r>
        <w:t>0</w:t>
      </w:r>
      <w:r w:rsidRPr="000F2933">
        <w:t xml:space="preserve">.2% of its subscribers place calls to access stimulation numbers, but 56% of Sprint’s </w:t>
      </w:r>
      <w:r>
        <w:t xml:space="preserve">access charge payments are paid to </w:t>
      </w:r>
      <w:r w:rsidRPr="000F2933">
        <w:t>access-stimulating LECs</w:t>
      </w:r>
      <w:r>
        <w:t>—</w:t>
      </w:r>
      <w:r w:rsidRPr="000F2933">
        <w:t>leav</w:t>
      </w:r>
      <w:r>
        <w:t>ing</w:t>
      </w:r>
      <w:r w:rsidRPr="000F2933">
        <w:t xml:space="preserve"> IXC customers paying for services </w:t>
      </w:r>
      <w:r>
        <w:t>that the vast majority will never</w:t>
      </w:r>
      <w:r w:rsidRPr="000F2933">
        <w:t xml:space="preserve"> use.</w:t>
      </w:r>
      <w:r>
        <w:rPr>
          <w:rStyle w:val="FootnoteReference"/>
        </w:rPr>
        <w:footnoteReference w:id="76"/>
      </w:r>
      <w:r w:rsidRPr="000F2933">
        <w:t xml:space="preserve">  We find that while “free” services are of value to some users, </w:t>
      </w:r>
      <w:r w:rsidRPr="00DD1E5F">
        <w:t>these services are available at no charge because of the implicit subsidies paid by IXCs, and their costs are ultimately born by IXC customers whether th</w:t>
      </w:r>
      <w:r w:rsidRPr="004D2F68">
        <w:t>ose customers benefit from the “free” services or not.</w:t>
      </w:r>
      <w:r>
        <w:rPr>
          <w:rStyle w:val="FootnoteReference"/>
        </w:rPr>
        <w:footnoteReference w:id="77"/>
      </w:r>
      <w:r w:rsidRPr="00DD1E5F">
        <w:t xml:space="preserve">  </w:t>
      </w:r>
    </w:p>
    <w:p w:rsidR="00EB312D" w:rsidRPr="000F2933" w:rsidP="00EB312D">
      <w:pPr>
        <w:pStyle w:val="ParaNum"/>
      </w:pPr>
      <w:r>
        <w:t xml:space="preserve">Access-stimulating LECs also </w:t>
      </w:r>
      <w:r w:rsidRPr="000F2933">
        <w:t xml:space="preserve">argue that </w:t>
      </w:r>
      <w:r>
        <w:t xml:space="preserve">the Commission should find beneficial their use of </w:t>
      </w:r>
      <w:r w:rsidRPr="000F2933">
        <w:t xml:space="preserve">access-stimulation revenue </w:t>
      </w:r>
      <w:r>
        <w:t>to</w:t>
      </w:r>
      <w:r w:rsidRPr="000F2933">
        <w:t xml:space="preserve"> subsidiz</w:t>
      </w:r>
      <w:r>
        <w:t>e</w:t>
      </w:r>
      <w:r w:rsidRPr="000F2933">
        <w:t xml:space="preserve"> rural broadband network deployment</w:t>
      </w:r>
      <w:r>
        <w:t>.</w:t>
      </w:r>
      <w:r>
        <w:rPr>
          <w:rStyle w:val="FootnoteReference"/>
        </w:rPr>
        <w:footnoteReference w:id="78"/>
      </w:r>
      <w:r>
        <w:t xml:space="preserve">  </w:t>
      </w:r>
      <w:r w:rsidRPr="00DD1E5F">
        <w:t xml:space="preserve">These implicit subsidies are precisely what the Commission sought to eliminate in the </w:t>
      </w:r>
      <w:r w:rsidRPr="00221DD7">
        <w:rPr>
          <w:i/>
        </w:rPr>
        <w:t>USF/ICC Transformation Order</w:t>
      </w:r>
      <w:r w:rsidRPr="004D2F68">
        <w:t>, as directed by</w:t>
      </w:r>
      <w:r w:rsidRPr="00E954F0">
        <w:t xml:space="preserve"> Congress</w:t>
      </w:r>
      <w:r>
        <w:t xml:space="preserve"> in the 1996 Act</w:t>
      </w:r>
      <w:r w:rsidRPr="00E954F0">
        <w:t>.</w:t>
      </w:r>
      <w:r>
        <w:rPr>
          <w:rStyle w:val="FootnoteReference"/>
          <w:szCs w:val="22"/>
        </w:rPr>
        <w:footnoteReference w:id="79"/>
      </w:r>
      <w:r w:rsidRPr="00E954F0">
        <w:t xml:space="preserve">  </w:t>
      </w:r>
      <w:r>
        <w:t xml:space="preserve">Indeed, the </w:t>
      </w:r>
      <w:r w:rsidRPr="00A67F16">
        <w:t xml:space="preserve">Commission addressed similar arguments in the </w:t>
      </w:r>
      <w:r w:rsidRPr="00A67F16">
        <w:rPr>
          <w:i/>
        </w:rPr>
        <w:t>USF/ICC Transformation Order</w:t>
      </w:r>
      <w:r w:rsidRPr="00A67F16">
        <w:t>, where it found that although “expanding broadband services in rural and Tribal lands is important, we agree with other commenters that how access revenues are used is not relevant in determining whether switched access rates are just and reasonable in accordance with section 201(b).”</w:t>
      </w:r>
      <w:r>
        <w:rPr>
          <w:rStyle w:val="FootnoteReference"/>
        </w:rPr>
        <w:footnoteReference w:id="80"/>
      </w:r>
      <w:r w:rsidRPr="00A67F16">
        <w:t xml:space="preserve">  </w:t>
      </w:r>
      <w:r w:rsidRPr="00456AD0">
        <w:t>As Sprin</w:t>
      </w:r>
      <w:r w:rsidRPr="00537B21">
        <w:t>t</w:t>
      </w:r>
      <w:r w:rsidRPr="0088533F">
        <w:t xml:space="preserve"> explains, “this</w:t>
      </w:r>
      <w:r w:rsidRPr="00A67F16">
        <w:t xml:space="preserve"> sort of implicit cross-subsidy is contrary to the principle that access rates should reasonably reflect the cost of providing access service, and that subsidies, including universal service support, be explicit and ‘specific.’”</w:t>
      </w:r>
      <w:r>
        <w:rPr>
          <w:rStyle w:val="FootnoteReference"/>
          <w:szCs w:val="22"/>
        </w:rPr>
        <w:footnoteReference w:id="81"/>
      </w:r>
      <w:r w:rsidRPr="00A67F16">
        <w:t xml:space="preserve">  </w:t>
      </w:r>
      <w:r w:rsidRPr="00E954F0">
        <w:t xml:space="preserve">Competition </w:t>
      </w:r>
      <w:r w:rsidRPr="00456AD0">
        <w:t xml:space="preserve">also </w:t>
      </w:r>
      <w:r w:rsidRPr="00537B21">
        <w:t>suffe</w:t>
      </w:r>
      <w:r w:rsidRPr="0088533F">
        <w:t>rs because access-stimulation revenues subsidize the costs of high-</w:t>
      </w:r>
      <w:r w:rsidRPr="0009531D">
        <w:t xml:space="preserve">volume </w:t>
      </w:r>
      <w:r w:rsidRPr="00DB2EBF">
        <w:t xml:space="preserve">calling </w:t>
      </w:r>
      <w:r w:rsidRPr="000D7A16">
        <w:t>services, granting providers of t</w:t>
      </w:r>
      <w:r w:rsidRPr="000F2933">
        <w:t xml:space="preserve">hose services a competitive advantage over companies </w:t>
      </w:r>
      <w:r>
        <w:t xml:space="preserve">that </w:t>
      </w:r>
      <w:r w:rsidRPr="000F2933">
        <w:t xml:space="preserve">collect such costs directly from their </w:t>
      </w:r>
      <w:r w:rsidRPr="0095182B">
        <w:t>customers</w:t>
      </w:r>
      <w:r w:rsidRPr="000F2933">
        <w:t xml:space="preserve">.  </w:t>
      </w:r>
    </w:p>
    <w:p w:rsidR="00EB312D" w:rsidP="00EB312D">
      <w:pPr>
        <w:pStyle w:val="ParaNum"/>
      </w:pPr>
      <w:r>
        <w:t>Eliminating the implicit subsidies that allow these “free” services will lead to more efficient provision of the underlying services and eliminate the waste generated by access stimulation.  After the implicit subsidies are eliminated, customers who were using the “free” services, and who value these services by more than the cost of providing them, will continue to purchase these services at a competitive price.  Thus, the value of the services purchased by these customers will exceed the cost of the resources used to produce them, which implies both that customers benefit from purchasing these services and that network resources are used efficiently.  Further, users who do not value these services by as much as the cost of providing them, including those who undertook fraudulent usages designed only to generate access charges, will no longer purchase them in the competitive market.  Thus, valuable network resources that were used to provide services that had little or no value will no longer be assigned to such low-value use, increasing efficient utilization of network resources.</w:t>
      </w:r>
    </w:p>
    <w:p w:rsidR="00EB312D" w:rsidRPr="00E766EA" w:rsidP="00EB312D">
      <w:pPr>
        <w:pStyle w:val="ParaNum"/>
      </w:pPr>
      <w:r>
        <w:t>We find misplaced or, in other cases, simply erroneous, the arguments offered by t</w:t>
      </w:r>
      <w:r w:rsidRPr="00E766EA">
        <w:t xml:space="preserve">he Joint CLECs </w:t>
      </w:r>
      <w:r>
        <w:t xml:space="preserve">in </w:t>
      </w:r>
      <w:r w:rsidRPr="00E766EA">
        <w:t>a</w:t>
      </w:r>
      <w:r w:rsidRPr="007B0A70">
        <w:t xml:space="preserve">n </w:t>
      </w:r>
      <w:r>
        <w:t>e</w:t>
      </w:r>
      <w:r w:rsidRPr="00E766EA">
        <w:t xml:space="preserve">xpert </w:t>
      </w:r>
      <w:r>
        <w:t>r</w:t>
      </w:r>
      <w:r w:rsidRPr="00E766EA">
        <w:t>eport</w:t>
      </w:r>
      <w:r w:rsidRPr="007B0A70">
        <w:t xml:space="preserve"> b</w:t>
      </w:r>
      <w:r w:rsidRPr="00E766EA">
        <w:t xml:space="preserve">y Daniel </w:t>
      </w:r>
      <w:r w:rsidRPr="00E766EA">
        <w:t>Ingberman</w:t>
      </w:r>
      <w:r>
        <w:t xml:space="preserve"> that </w:t>
      </w:r>
      <w:r w:rsidRPr="00E766EA">
        <w:t xml:space="preserve">argues </w:t>
      </w:r>
      <w:r>
        <w:t>economic efficiency is enhanced</w:t>
      </w:r>
      <w:r w:rsidRPr="00E766EA">
        <w:t xml:space="preserve"> </w:t>
      </w:r>
      <w:r>
        <w:t>when</w:t>
      </w:r>
      <w:r w:rsidRPr="00E766EA">
        <w:t xml:space="preserve"> access-stimulated traffic</w:t>
      </w:r>
      <w:r>
        <w:t xml:space="preserve"> is brought to</w:t>
      </w:r>
      <w:r w:rsidRPr="00E766EA">
        <w:t xml:space="preserve"> a network</w:t>
      </w:r>
      <w:r>
        <w:t xml:space="preserve"> with otherwise little traffic volume</w:t>
      </w:r>
      <w:r w:rsidRPr="00E766EA">
        <w:t xml:space="preserve"> </w:t>
      </w:r>
      <w:r>
        <w:t>because this allows the small network to obtain</w:t>
      </w:r>
      <w:r w:rsidRPr="00E766EA">
        <w:t xml:space="preserve"> scale economies</w:t>
      </w:r>
      <w:r>
        <w:t>.</w:t>
      </w:r>
      <w:r>
        <w:rPr>
          <w:sz w:val="20"/>
          <w:vertAlign w:val="superscript"/>
        </w:rPr>
        <w:footnoteReference w:id="82"/>
      </w:r>
      <w:r>
        <w:t xml:space="preserve">  The result, </w:t>
      </w:r>
      <w:r>
        <w:t>Ingberman</w:t>
      </w:r>
      <w:r>
        <w:t xml:space="preserve"> claims, would be substantially lower prices for local end users,</w:t>
      </w:r>
      <w:r w:rsidRPr="00E766EA">
        <w:t xml:space="preserve"> produc</w:t>
      </w:r>
      <w:r>
        <w:t>ing</w:t>
      </w:r>
      <w:r w:rsidRPr="00E766EA">
        <w:t xml:space="preserve"> relatively large increases in consumer surplus</w:t>
      </w:r>
      <w:r>
        <w:t>.</w:t>
      </w:r>
      <w:r>
        <w:rPr>
          <w:sz w:val="20"/>
          <w:vertAlign w:val="superscript"/>
        </w:rPr>
        <w:footnoteReference w:id="83"/>
      </w:r>
      <w:r w:rsidRPr="00E766EA">
        <w:t xml:space="preserve"> </w:t>
      </w:r>
      <w:r>
        <w:t xml:space="preserve"> In contrast, if the traffic were placed on a network that already carries substantial traffic volumes, the scale effects are minimal, and so the benefits to end users of lower prices are also minimal</w:t>
      </w:r>
      <w:r w:rsidRPr="00E766EA">
        <w:t>.</w:t>
      </w:r>
      <w:r>
        <w:rPr>
          <w:sz w:val="20"/>
          <w:vertAlign w:val="superscript"/>
        </w:rPr>
        <w:footnoteReference w:id="84"/>
      </w:r>
      <w:r>
        <w:t xml:space="preserve">  Thus, according to </w:t>
      </w:r>
      <w:r>
        <w:t>Ingberman</w:t>
      </w:r>
      <w:r>
        <w:t>, siting new traffic on smaller (rural) networks, as access stimulators do, must raise economic well-being.</w:t>
      </w:r>
    </w:p>
    <w:p w:rsidR="00EB312D" w:rsidP="00EB312D">
      <w:pPr>
        <w:pStyle w:val="ParaNum"/>
      </w:pPr>
      <w:r>
        <w:t xml:space="preserve">We reject </w:t>
      </w:r>
      <w:r w:rsidRPr="00E766EA">
        <w:t>Ingberman</w:t>
      </w:r>
      <w:r>
        <w:t>’s</w:t>
      </w:r>
      <w:r>
        <w:t xml:space="preserve"> claim that lower consumer prices </w:t>
      </w:r>
      <w:r w:rsidRPr="00E766EA">
        <w:t xml:space="preserve">from siting </w:t>
      </w:r>
      <w:r>
        <w:t>new</w:t>
      </w:r>
      <w:r w:rsidRPr="00E766EA">
        <w:t xml:space="preserve"> traffic on a smaller network are</w:t>
      </w:r>
      <w:r>
        <w:t xml:space="preserve"> </w:t>
      </w:r>
      <w:r w:rsidRPr="00E766EA">
        <w:t>likely to be significant</w:t>
      </w:r>
      <w:r>
        <w:t>, if they arise at all</w:t>
      </w:r>
      <w:r w:rsidRPr="00E766EA">
        <w:t>.</w:t>
      </w:r>
      <w:r>
        <w:t xml:space="preserve">  T</w:t>
      </w:r>
      <w:r w:rsidRPr="00E766EA">
        <w:t>he Commission’s high cost universal service program provides support to carriers in rural, insular, and high cost areas as necessary to ensure that consumers in such areas pay rates that are reasonably comparable to rates in urban areas.  Thus, smaller</w:t>
      </w:r>
      <w:r>
        <w:t xml:space="preserve"> rural </w:t>
      </w:r>
      <w:r w:rsidRPr="00E766EA">
        <w:t xml:space="preserve">carrier rates for end users </w:t>
      </w:r>
      <w:r>
        <w:t xml:space="preserve">will always </w:t>
      </w:r>
      <w:r w:rsidRPr="00E766EA">
        <w:t xml:space="preserve">be comparable to larger carrier rates whether the smaller carrier </w:t>
      </w:r>
      <w:r>
        <w:t xml:space="preserve">is a rural incumbent LEC that </w:t>
      </w:r>
      <w:r w:rsidRPr="00E766EA">
        <w:t xml:space="preserve">receives universal service support or </w:t>
      </w:r>
      <w:r>
        <w:t xml:space="preserve">is a competitive LEC that does not receive such support but </w:t>
      </w:r>
      <w:r w:rsidRPr="00E766EA">
        <w:t xml:space="preserve">competes on price against </w:t>
      </w:r>
      <w:r>
        <w:t xml:space="preserve">a rural incumbent LEC </w:t>
      </w:r>
      <w:r w:rsidRPr="00E766EA">
        <w:t>that does.</w:t>
      </w:r>
      <w:r>
        <w:rPr>
          <w:rStyle w:val="FootnoteReference"/>
        </w:rPr>
        <w:footnoteReference w:id="85"/>
      </w:r>
      <w:r w:rsidRPr="00E766EA">
        <w:t xml:space="preserve">  Given reasonably comparable rates, siting </w:t>
      </w:r>
      <w:r>
        <w:t>new</w:t>
      </w:r>
      <w:r w:rsidRPr="00E766EA">
        <w:t xml:space="preserve"> traffic on a smaller network is not likely to significantly lower</w:t>
      </w:r>
      <w:r>
        <w:t>, and may make no difference to, rates charged to end users of the smaller network</w:t>
      </w:r>
      <w:r w:rsidRPr="00E766EA">
        <w:t xml:space="preserve">.  </w:t>
      </w:r>
    </w:p>
    <w:p w:rsidR="00EB312D" w:rsidRPr="00E766EA" w:rsidP="00EB312D">
      <w:pPr>
        <w:pStyle w:val="ParaNum"/>
      </w:pPr>
      <w:r>
        <w:t>Ingberman</w:t>
      </w:r>
      <w:r w:rsidRPr="00E52A1C">
        <w:t xml:space="preserve"> also fails to </w:t>
      </w:r>
      <w:r>
        <w:t>establish the validity of his claim that increased access traffic on a LEC network would result in lower prices to its end-user customers.  In particular, he has not established that as a practical matter, increasing access traffic on a LEC’s network lowers the LEC’s cost of serving its end-user customers.  Without lowering such costs, a LEC would have no incentive to lower prices to its end-user customers.</w:t>
      </w:r>
      <w:r>
        <w:rPr>
          <w:rStyle w:val="FootnoteReference"/>
        </w:rPr>
        <w:footnoteReference w:id="86"/>
      </w:r>
      <w:r>
        <w:t xml:space="preserve">  </w:t>
      </w:r>
      <w:r w:rsidRPr="00E52A1C">
        <w:t>The access-stimulating LEC would simply continue to charge its profit</w:t>
      </w:r>
      <w:r>
        <w:t>-</w:t>
      </w:r>
      <w:r w:rsidRPr="00E52A1C">
        <w:t>maximizing price to its retail customers, while pocketing the windfall from access arbitrage</w:t>
      </w:r>
      <w:r>
        <w:t>.</w:t>
      </w:r>
    </w:p>
    <w:p w:rsidR="00EB312D" w:rsidP="00281AF4">
      <w:pPr>
        <w:pStyle w:val="ParaNum"/>
        <w:widowControl/>
      </w:pPr>
      <w:r w:rsidRPr="00E766EA">
        <w:t xml:space="preserve">We find </w:t>
      </w:r>
      <w:r>
        <w:t>several</w:t>
      </w:r>
      <w:r w:rsidRPr="00E766EA">
        <w:t xml:space="preserve"> </w:t>
      </w:r>
      <w:r>
        <w:t xml:space="preserve">other </w:t>
      </w:r>
      <w:r w:rsidRPr="00E766EA">
        <w:t xml:space="preserve">fundamental problems </w:t>
      </w:r>
      <w:r>
        <w:t>with</w:t>
      </w:r>
      <w:r w:rsidRPr="00E766EA">
        <w:t xml:space="preserve"> </w:t>
      </w:r>
      <w:r>
        <w:t xml:space="preserve">the </w:t>
      </w:r>
      <w:r w:rsidRPr="00E766EA">
        <w:t>Ingberman</w:t>
      </w:r>
      <w:r w:rsidRPr="00E766EA">
        <w:t xml:space="preserve"> Report.  </w:t>
      </w:r>
      <w:r>
        <w:t>Although</w:t>
      </w:r>
      <w:r w:rsidRPr="00E766EA">
        <w:t xml:space="preserve"> </w:t>
      </w:r>
      <w:r w:rsidRPr="00E766EA">
        <w:t>Ingberman</w:t>
      </w:r>
      <w:r w:rsidRPr="00E766EA">
        <w:t xml:space="preserve"> acknowledges that IXCs pay terminating switched access charges (which are often paid both to intermediate access providers and access-stimulating LECs), his model assumes bill</w:t>
      </w:r>
      <w:r>
        <w:t>-</w:t>
      </w:r>
      <w:r w:rsidRPr="00E766EA">
        <w:t>and</w:t>
      </w:r>
      <w:r>
        <w:t>-</w:t>
      </w:r>
      <w:r w:rsidRPr="00E766EA">
        <w:t>keep pricing</w:t>
      </w:r>
      <w:r>
        <w:t xml:space="preserve">.  That is, </w:t>
      </w:r>
      <w:r>
        <w:t>Ingberman</w:t>
      </w:r>
      <w:r>
        <w:t xml:space="preserve"> assumes away the central issue this proceeding must deal with:  the use of intercarrier compensation charges to fund access stimulators’ operations.  Consequently, his analysis does not </w:t>
      </w:r>
      <w:r>
        <w:t xml:space="preserve">take into </w:t>
      </w:r>
      <w:r w:rsidRPr="00E766EA">
        <w:t>account</w:t>
      </w:r>
      <w:r w:rsidRPr="00E766EA">
        <w:t xml:space="preserve"> </w:t>
      </w:r>
      <w:r>
        <w:t xml:space="preserve">the cost that access stimulators impose on larger networks and their subscribers.  It also fails to model access-stimulating services, beyond assuming they bring traffic to the smaller network.  But these services are delivered in highly inefficient ways, relying on unusually expensive calling paths.  These services also are sold in highly inefficient ways, almost always below the efficient cost of delivery </w:t>
      </w:r>
      <w:r>
        <w:t>of such services.</w:t>
      </w:r>
      <w:r>
        <w:rPr>
          <w:sz w:val="20"/>
          <w:vertAlign w:val="superscript"/>
        </w:rPr>
        <w:footnoteReference w:id="87"/>
      </w:r>
      <w:r>
        <w:t xml:space="preserve">  </w:t>
      </w:r>
      <w:r w:rsidRPr="00E766EA">
        <w:t xml:space="preserve">Nor does </w:t>
      </w:r>
      <w:r>
        <w:t>Ingberman’s</w:t>
      </w:r>
      <w:r w:rsidRPr="00E766EA">
        <w:t xml:space="preserve"> model account for the </w:t>
      </w:r>
      <w:r>
        <w:t xml:space="preserve">time and effort taken to generate traffic, often fraudulent, for access stimulation, and to develop the complex schemes and contracting relationships that generate access-stimulating LEC profits.  Moreover, there is no recognition of the </w:t>
      </w:r>
      <w:r w:rsidRPr="00E766EA">
        <w:t>cost of IXCs engaging in otherwise unnecessary</w:t>
      </w:r>
      <w:r>
        <w:t>,</w:t>
      </w:r>
      <w:r w:rsidRPr="00E766EA">
        <w:t xml:space="preserve"> and </w:t>
      </w:r>
      <w:r>
        <w:t xml:space="preserve">hence, </w:t>
      </w:r>
      <w:r w:rsidRPr="00E766EA">
        <w:t>wasteful</w:t>
      </w:r>
      <w:r>
        <w:t>,</w:t>
      </w:r>
      <w:r w:rsidRPr="00E766EA">
        <w:t xml:space="preserve"> </w:t>
      </w:r>
      <w:r>
        <w:t>efforts</w:t>
      </w:r>
      <w:r w:rsidRPr="00E766EA">
        <w:t xml:space="preserve"> to </w:t>
      </w:r>
      <w:r>
        <w:t>identify fraudulent traffic or to find ways to avoid the abuses of our tariffing regime perpetrated by access stimulators</w:t>
      </w:r>
      <w:r w:rsidRPr="00E766EA">
        <w:t xml:space="preserve">.  </w:t>
      </w:r>
      <w:r>
        <w:t>Similarly</w:t>
      </w:r>
      <w:r w:rsidRPr="00E766EA">
        <w:t xml:space="preserve">, the model provides no means for estimating the efficiency costs of allowing terminating switched access charges that </w:t>
      </w:r>
      <w:r>
        <w:t xml:space="preserve">not only </w:t>
      </w:r>
      <w:r w:rsidRPr="00E766EA">
        <w:t>exceed marginal cost</w:t>
      </w:r>
      <w:r>
        <w:t>, but also total costs</w:t>
      </w:r>
      <w:r w:rsidRPr="00E766EA">
        <w:t>.</w:t>
      </w:r>
      <w:r>
        <w:rPr>
          <w:sz w:val="20"/>
          <w:vertAlign w:val="superscript"/>
        </w:rPr>
        <w:footnoteReference w:id="88"/>
      </w:r>
      <w:r w:rsidRPr="00E766EA">
        <w:t xml:space="preserve">  These are </w:t>
      </w:r>
      <w:r>
        <w:t xml:space="preserve">all </w:t>
      </w:r>
      <w:r w:rsidRPr="00E766EA">
        <w:t xml:space="preserve">significant costs for which any model should account.  </w:t>
      </w:r>
    </w:p>
    <w:p w:rsidR="00EB312D" w:rsidRPr="000F2933" w:rsidP="00EB312D">
      <w:pPr>
        <w:pStyle w:val="ParaNum"/>
      </w:pPr>
      <w:r>
        <w:t>Further, we find misplaced arguments by some commenters that there is no evidence that IXCs’ customers will benefit from reduced access arbitrage.</w:t>
      </w:r>
      <w:r>
        <w:rPr>
          <w:rStyle w:val="FootnoteReference"/>
        </w:rPr>
        <w:footnoteReference w:id="89"/>
      </w:r>
      <w:r>
        <w:t xml:space="preserve">  </w:t>
      </w:r>
      <w:r w:rsidRPr="000F2933">
        <w:t xml:space="preserve">Reducing the costs created by access arbitrage by reducing the incentives that lead carriers to </w:t>
      </w:r>
      <w:r>
        <w:t xml:space="preserve">engage in such arbitrage </w:t>
      </w:r>
      <w:r w:rsidRPr="000F2933">
        <w:t>is a sufficient justification for adopting our rules, regardless of how IXCs elect to use their cost savings.</w:t>
      </w:r>
      <w:r>
        <w:t xml:space="preserve">  The Commission has recognized for many years that long-distance service is competitive, and we generally </w:t>
      </w:r>
      <w:r w:rsidRPr="00257385">
        <w:t xml:space="preserve">expect </w:t>
      </w:r>
      <w:r w:rsidRPr="008D1DA2">
        <w:t>some passthrough of any decline in costs, marginal or otherwise</w:t>
      </w:r>
      <w:r>
        <w:t>.</w:t>
      </w:r>
      <w:r>
        <w:rPr>
          <w:rStyle w:val="FootnoteReference"/>
        </w:rPr>
        <w:footnoteReference w:id="90"/>
      </w:r>
      <w:r>
        <w:t xml:space="preserve">  To the extent passthrough does not occur, IXC shareholders are presently subsidizing users of access-stimulating services, which distorts economic efficiency in the supply of those services.  Even if we cannot precisely quantify the effects of past reforms (given the many simultaneously occurring technological and marketplace developments), as a matter of economic theory, we expect some savings to flow through to IXCs’ customers or the savings to be available for other, beneficial purposes.  For example, IXCs will no longer have to expend resources in trying to defend against access-stimulation schemes, and consumers will be provided with more-accurate pricing signals for high-volume calling services.</w:t>
      </w:r>
      <w:r w:rsidRPr="00834879">
        <w:rPr>
          <w:rFonts w:ascii="Calibri" w:eastAsia="Calibri" w:hAnsi="Calibri"/>
          <w:snapToGrid/>
          <w:kern w:val="0"/>
          <w:szCs w:val="22"/>
        </w:rPr>
        <w:t xml:space="preserve">  </w:t>
      </w:r>
      <w:r w:rsidRPr="00834879">
        <w:rPr>
          <w:rFonts w:eastAsia="Calibri"/>
          <w:snapToGrid/>
          <w:kern w:val="0"/>
          <w:szCs w:val="22"/>
        </w:rPr>
        <w:t>More fundamentally, these commenters fail to explain how a policy that enables a below-cost (sometimes zero) price for services supplied by high-volume calling service providers and general telephone rates that subsidize these high-volume calling services could be expected to produce efficient production and consumption outcomes.</w:t>
      </w:r>
      <w:r>
        <w:rPr>
          <w:rStyle w:val="FootnoteReference"/>
          <w:rFonts w:eastAsia="Calibri"/>
          <w:snapToGrid/>
          <w:kern w:val="0"/>
          <w:szCs w:val="22"/>
        </w:rPr>
        <w:footnoteReference w:id="91"/>
      </w:r>
    </w:p>
    <w:p w:rsidR="00EB312D" w:rsidRPr="000F2933" w:rsidP="00EB312D">
      <w:pPr>
        <w:pStyle w:val="ParaNum"/>
      </w:pPr>
      <w:r>
        <w:t>W</w:t>
      </w:r>
      <w:r w:rsidRPr="000F2933">
        <w:t xml:space="preserve">e </w:t>
      </w:r>
      <w:r>
        <w:t>also find no merit to</w:t>
      </w:r>
      <w:r w:rsidRPr="000F2933">
        <w:t xml:space="preserve"> </w:t>
      </w:r>
      <w:r w:rsidRPr="000F2933">
        <w:t>arguments that IXCs will be able to seize new arbitrage opportunities as a result of the rules we adopt today.</w:t>
      </w:r>
      <w:r>
        <w:rPr>
          <w:rStyle w:val="FootnoteReference"/>
        </w:rPr>
        <w:footnoteReference w:id="92"/>
      </w:r>
      <w:r w:rsidRPr="000F2933">
        <w:t xml:space="preserve">  </w:t>
      </w:r>
      <w:r>
        <w:t>Aureon</w:t>
      </w:r>
      <w:r>
        <w:t xml:space="preserve">, for example, </w:t>
      </w:r>
      <w:r w:rsidRPr="000F2933">
        <w:t>argue</w:t>
      </w:r>
      <w:r>
        <w:t xml:space="preserve">s that </w:t>
      </w:r>
      <w:r w:rsidRPr="000F2933">
        <w:t>IXCs will be “incentivized to increase arbitrage traffic volume</w:t>
      </w:r>
      <w:r>
        <w:t>,</w:t>
      </w:r>
      <w:r w:rsidRPr="000F2933">
        <w:t xml:space="preserve">” </w:t>
      </w:r>
      <w:r>
        <w:t>without explaining how IXCs would accomplish such a task.</w:t>
      </w:r>
      <w:r>
        <w:rPr>
          <w:rStyle w:val="FootnoteReference"/>
        </w:rPr>
        <w:footnoteReference w:id="93"/>
      </w:r>
      <w:r>
        <w:t xml:space="preserve">  The Joint CLECs argue that </w:t>
      </w:r>
      <w:r w:rsidRPr="000F2933">
        <w:t xml:space="preserve">if the new rules decrease the use of </w:t>
      </w:r>
      <w:r>
        <w:t>“</w:t>
      </w:r>
      <w:r w:rsidRPr="000F2933">
        <w:t>free</w:t>
      </w:r>
      <w:r>
        <w:t>”</w:t>
      </w:r>
      <w:r w:rsidRPr="000F2933">
        <w:t xml:space="preserve"> conference calling </w:t>
      </w:r>
      <w:r w:rsidRPr="000F2933">
        <w:t>services</w:t>
      </w:r>
      <w:r>
        <w:t>,</w:t>
      </w:r>
      <w:r w:rsidRPr="000F2933">
        <w:t xml:space="preserve"> IXCs will realize greater use of their own conference calling products and greater revenue while also benefiting from reduced access charges</w:t>
      </w:r>
      <w:r w:rsidRPr="00711810">
        <w:t>.</w:t>
      </w:r>
      <w:r>
        <w:rPr>
          <w:rStyle w:val="FootnoteReference"/>
        </w:rPr>
        <w:footnoteReference w:id="94"/>
      </w:r>
      <w:r w:rsidRPr="00AC6F79">
        <w:t xml:space="preserve">  </w:t>
      </w:r>
      <w:r w:rsidRPr="00711810">
        <w:t>I</w:t>
      </w:r>
      <w:r w:rsidRPr="00B40716">
        <w:t>f</w:t>
      </w:r>
      <w:r>
        <w:t xml:space="preserve"> our amended rules force “free” service providers to compete on the merits of their services, rather than survive on implicit subsidies, that outcome is to be welcomed because it would represent competition driving out inefficient suppliers in favor of efficient ones.  </w:t>
      </w:r>
      <w:r w:rsidRPr="000F2933">
        <w:t>Nothing we do today shifts arbitrage opportunities to the IXCs or to any provider; we are attacking implicit subsidies that allow high-volume calling services to be offered for free, sending incorrect pricing signals and distorting competition.</w:t>
      </w:r>
      <w:r>
        <w:t xml:space="preserve">  In addition, as AT&amp;T explains, IXCs have engaged in a decade-long campaign to end the practice of access arbitrage because they and their customers are the targets of such schemes.</w:t>
      </w:r>
      <w:r>
        <w:rPr>
          <w:rStyle w:val="FootnoteReference"/>
        </w:rPr>
        <w:footnoteReference w:id="95"/>
      </w:r>
    </w:p>
    <w:p w:rsidR="00EB312D" w:rsidRPr="000F2933" w:rsidP="00EB312D">
      <w:pPr>
        <w:pStyle w:val="ParaNum"/>
      </w:pPr>
      <w:bookmarkStart w:id="288" w:name="_Hlk13468496"/>
      <w:r w:rsidRPr="000F2933">
        <w:t>AT&amp;T express</w:t>
      </w:r>
      <w:r>
        <w:t>es</w:t>
      </w:r>
      <w:r w:rsidRPr="000F2933">
        <w:t xml:space="preserve"> </w:t>
      </w:r>
      <w:r>
        <w:t>concern</w:t>
      </w:r>
      <w:r w:rsidRPr="000F2933">
        <w:t xml:space="preserve"> </w:t>
      </w:r>
      <w:r>
        <w:t xml:space="preserve">that </w:t>
      </w:r>
      <w:r w:rsidRPr="000F2933">
        <w:t xml:space="preserve">IXCs will be obligated to deliver access-stimulated traffic to remote tandem locations and to pay the related excessive transport fees </w:t>
      </w:r>
      <w:r>
        <w:t xml:space="preserve">for connecting to that remote tandem </w:t>
      </w:r>
      <w:r w:rsidRPr="000F2933">
        <w:t>if access-stimulating LECs decide to build new end office switches in remote areas, and their affiliates decide to deploy new tandem switches in similarly remote locations.</w:t>
      </w:r>
      <w:r>
        <w:rPr>
          <w:rStyle w:val="FootnoteReference"/>
        </w:rPr>
        <w:footnoteReference w:id="96"/>
      </w:r>
      <w:r w:rsidRPr="000F2933">
        <w:t xml:space="preserve">  AT&amp;T </w:t>
      </w:r>
      <w:r>
        <w:t xml:space="preserve">therefore </w:t>
      </w:r>
      <w:r w:rsidRPr="000F2933">
        <w:t xml:space="preserve">suggests </w:t>
      </w:r>
      <w:r>
        <w:t xml:space="preserve">that </w:t>
      </w:r>
      <w:r w:rsidRPr="000F2933">
        <w:t>we limit</w:t>
      </w:r>
      <w:r>
        <w:t xml:space="preserve"> the</w:t>
      </w:r>
      <w:r w:rsidRPr="000F2933">
        <w:t xml:space="preserve"> IXC</w:t>
      </w:r>
      <w:r>
        <w:t>s</w:t>
      </w:r>
      <w:r w:rsidRPr="000F2933">
        <w:t>’ delivery obligations to only those tandem switches in existence as of January 1, 2019.</w:t>
      </w:r>
      <w:r>
        <w:rPr>
          <w:rStyle w:val="FootnoteReference"/>
        </w:rPr>
        <w:footnoteReference w:id="97"/>
      </w:r>
      <w:r w:rsidRPr="000F2933">
        <w:t xml:space="preserve">  </w:t>
      </w:r>
      <w:bookmarkStart w:id="289" w:name="_Hlk11652332"/>
      <w:r>
        <w:t xml:space="preserve">AT&amp;T does not point to any existing legal requirements that an IXC must agree to a new point of interconnection designated by an access-stimulating LEC should the access-stimulating LEC unilaterally attempt to move the point of interconnection.  As such, we decline to address AT&amp;T’s hypothetical concern </w:t>
      </w:r>
      <w:r>
        <w:t>at this time</w:t>
      </w:r>
      <w:r>
        <w:t>.</w:t>
      </w:r>
    </w:p>
    <w:bookmarkEnd w:id="289"/>
    <w:p w:rsidR="00EB312D" w:rsidP="00EB312D">
      <w:pPr>
        <w:pStyle w:val="ParaNum"/>
      </w:pPr>
      <w:r>
        <w:t>Various commenters have described a practice wherein calls routed to an access-stimulating LEC are blocked or otherwise rejected by the high-volume calling service provider served by the access-stimulating LEC and/or the terminating LEC, but then successfully completed when rerouted.</w:t>
      </w:r>
      <w:r>
        <w:rPr>
          <w:rStyle w:val="FootnoteReference"/>
        </w:rPr>
        <w:footnoteReference w:id="98"/>
      </w:r>
      <w:r>
        <w:t xml:space="preserve">  We make clear that </w:t>
      </w:r>
      <w:bookmarkStart w:id="290" w:name="_Hlk11652418"/>
      <w:r>
        <w:t xml:space="preserve">in the case of traffic destined for an access-stimulating LEC, when the access-stimulating LEC is designating the route to reach its end office and paying for the tandem switching and transport, the IXC or intermediate access provider may consider its call completion duties satisfied once it has delivered the call to the tandem designated by the access-stimulating LEC, </w:t>
      </w:r>
      <w:r w:rsidRPr="005D7A95">
        <w:t xml:space="preserve">either in </w:t>
      </w:r>
      <w:bookmarkStart w:id="291" w:name="_Hlk20125752"/>
      <w:r w:rsidRPr="005D7A95">
        <w:t>the LERG or in a contract</w:t>
      </w:r>
      <w:bookmarkEnd w:id="291"/>
      <w:r>
        <w:t>.</w:t>
      </w:r>
      <w:r>
        <w:rPr>
          <w:rStyle w:val="FootnoteReference"/>
        </w:rPr>
        <w:footnoteReference w:id="99"/>
      </w:r>
      <w:r>
        <w:t xml:space="preserve">  </w:t>
      </w:r>
      <w:bookmarkEnd w:id="290"/>
    </w:p>
    <w:p w:rsidR="00EB312D" w:rsidP="00EB312D">
      <w:pPr>
        <w:pStyle w:val="ParaNum"/>
      </w:pPr>
      <w:r>
        <w:t xml:space="preserve">We also reject several suggestions that we should not move forward with this rulemaking.  For example, commenters suggest </w:t>
      </w:r>
      <w:r w:rsidRPr="000F2933">
        <w:t>that we issue a further notice of proposed rulemaking to seek additional comment on the issues raised in the</w:t>
      </w:r>
      <w:r>
        <w:t xml:space="preserve"> </w:t>
      </w:r>
      <w:r w:rsidRPr="006956AF">
        <w:t>proceeding</w:t>
      </w:r>
      <w:r w:rsidRPr="005276E4">
        <w:t>,</w:t>
      </w:r>
      <w:r>
        <w:t xml:space="preserve"> decline to </w:t>
      </w:r>
      <w:r w:rsidRPr="000F2933">
        <w:t>adopt changes to address access arbitrage</w:t>
      </w:r>
      <w:r>
        <w:t>,</w:t>
      </w:r>
      <w:r w:rsidRPr="000F2933">
        <w:t xml:space="preserve"> </w:t>
      </w:r>
      <w:bookmarkStart w:id="292" w:name="_Hlk13651428"/>
      <w:r w:rsidRPr="000F2933">
        <w:t xml:space="preserve">refocus the proceeding to ensure that tandem </w:t>
      </w:r>
      <w:r>
        <w:t xml:space="preserve">switching </w:t>
      </w:r>
      <w:r w:rsidRPr="000F2933">
        <w:t xml:space="preserve">and </w:t>
      </w:r>
      <w:r>
        <w:t xml:space="preserve">tandem </w:t>
      </w:r>
      <w:r w:rsidRPr="000F2933">
        <w:t xml:space="preserve">switched transport access charges remain available to subsidize their </w:t>
      </w:r>
      <w:r>
        <w:t xml:space="preserve">access stimulation-fueled </w:t>
      </w:r>
      <w:r w:rsidRPr="000F2933">
        <w:t>operations</w:t>
      </w:r>
      <w:r>
        <w:t>, or “revisit” the rule’s trigger and explore a different, mileage-based mechanism</w:t>
      </w:r>
      <w:r w:rsidRPr="000F2933">
        <w:t>.</w:t>
      </w:r>
      <w:r>
        <w:rPr>
          <w:sz w:val="20"/>
          <w:vertAlign w:val="superscript"/>
        </w:rPr>
        <w:footnoteReference w:id="100"/>
      </w:r>
      <w:r w:rsidRPr="000F2933">
        <w:t xml:space="preserve">  The Joint CLECs, a</w:t>
      </w:r>
      <w:r>
        <w:t xml:space="preserve"> </w:t>
      </w:r>
      <w:r w:rsidRPr="000F2933">
        <w:t>set of access</w:t>
      </w:r>
      <w:r>
        <w:t>-stimulating LECs</w:t>
      </w:r>
      <w:r w:rsidRPr="000F2933">
        <w:t>, go as far as arguing that we should close this docket without taking action.</w:t>
      </w:r>
      <w:r>
        <w:rPr>
          <w:sz w:val="20"/>
          <w:vertAlign w:val="superscript"/>
        </w:rPr>
        <w:footnoteReference w:id="101"/>
      </w:r>
      <w:r w:rsidRPr="000F2933">
        <w:t xml:space="preserve">  </w:t>
      </w:r>
      <w:r>
        <w:t xml:space="preserve">For its part, </w:t>
      </w:r>
      <w:r w:rsidRPr="000F2933">
        <w:t>T-Mobile suggest</w:t>
      </w:r>
      <w:r>
        <w:t>s</w:t>
      </w:r>
      <w:r w:rsidRPr="000F2933">
        <w:t xml:space="preserve"> that we address ongoing arbitrage and fraud by enforcing current rules without further rulemaking.</w:t>
      </w:r>
      <w:r>
        <w:rPr>
          <w:rStyle w:val="FootnoteReference"/>
        </w:rPr>
        <w:footnoteReference w:id="102"/>
      </w:r>
      <w:r w:rsidRPr="000F2933">
        <w:t xml:space="preserve">  </w:t>
      </w:r>
      <w:r>
        <w:t>We disagree with these suggestions; t</w:t>
      </w:r>
      <w:r w:rsidRPr="000F2933">
        <w:t xml:space="preserve">he </w:t>
      </w:r>
      <w:r>
        <w:t xml:space="preserve">record shows that </w:t>
      </w:r>
      <w:r w:rsidRPr="000F2933">
        <w:t xml:space="preserve">access arbitrage </w:t>
      </w:r>
      <w:r>
        <w:t>schemes have</w:t>
      </w:r>
      <w:r w:rsidRPr="000F2933">
        <w:t xml:space="preserve"> </w:t>
      </w:r>
      <w:r>
        <w:t>adapted to the</w:t>
      </w:r>
      <w:r w:rsidRPr="000F2933">
        <w:t xml:space="preserve"> reforms adopted in 2011.  We will not </w:t>
      </w:r>
      <w:r>
        <w:t xml:space="preserve">postpone adoption of amendments to our rules that </w:t>
      </w:r>
      <w:r w:rsidRPr="000F2933">
        <w:t xml:space="preserve">address </w:t>
      </w:r>
      <w:r>
        <w:t xml:space="preserve">the way today’s access arbitrage schemes use </w:t>
      </w:r>
      <w:r w:rsidRPr="000F2933">
        <w:t>implicit subsidies</w:t>
      </w:r>
      <w:r>
        <w:t xml:space="preserve"> in our ICC system to </w:t>
      </w:r>
      <w:r w:rsidRPr="000F2933">
        <w:t>warp the economic incentives to provide service in the most efficient manner.</w:t>
      </w:r>
      <w:r>
        <w:rPr>
          <w:sz w:val="20"/>
          <w:vertAlign w:val="superscript"/>
        </w:rPr>
        <w:footnoteReference w:id="103"/>
      </w:r>
      <w:r w:rsidRPr="000F2933">
        <w:t xml:space="preserve">  </w:t>
      </w:r>
    </w:p>
    <w:p w:rsidR="00EB312D" w:rsidRPr="000F2933" w:rsidP="00EB312D">
      <w:pPr>
        <w:pStyle w:val="ParaNum"/>
      </w:pPr>
      <w:r>
        <w:t>We also decline to adopt</w:t>
      </w:r>
      <w:r w:rsidRPr="003B2529">
        <w:t xml:space="preserve"> Wide Voice</w:t>
      </w:r>
      <w:r>
        <w:t>’s</w:t>
      </w:r>
      <w:r w:rsidRPr="003B2529">
        <w:t xml:space="preserve"> </w:t>
      </w:r>
      <w:r>
        <w:t xml:space="preserve">alternative suggestions </w:t>
      </w:r>
      <w:r w:rsidRPr="003B2529">
        <w:t xml:space="preserve">that </w:t>
      </w:r>
      <w:r>
        <w:t xml:space="preserve">we either cap transport miles charged by access-stimulating LECs to 15 miles or hold </w:t>
      </w:r>
      <w:r w:rsidRPr="003B2529">
        <w:t>access-stimulating LEC</w:t>
      </w:r>
      <w:r>
        <w:t xml:space="preserve">s </w:t>
      </w:r>
      <w:r w:rsidRPr="003B2529">
        <w:t>responsible only for transport mileage charges, not switching charges</w:t>
      </w:r>
      <w:r>
        <w:t>.</w:t>
      </w:r>
      <w:r>
        <w:rPr>
          <w:rStyle w:val="FootnoteReference"/>
        </w:rPr>
        <w:footnoteReference w:id="104"/>
      </w:r>
      <w:r>
        <w:t xml:space="preserve">  In support of these positions, Wide Voice alleges, without offering any support, that transport charges are the primary driver of access stimulation.</w:t>
      </w:r>
      <w:r>
        <w:rPr>
          <w:rStyle w:val="FootnoteReference"/>
        </w:rPr>
        <w:footnoteReference w:id="105"/>
      </w:r>
      <w:r>
        <w:t xml:space="preserve">  </w:t>
      </w:r>
      <w:r w:rsidRPr="007545A7">
        <w:t>N</w:t>
      </w:r>
      <w:r>
        <w:t>or does Wide Voice explain how a mileage cap would reduce access arbitrage.  By contrast, the record demonstrates that reversing the financial responsibility for both transport and tandem switching charges will help eliminate access arbitrage.</w:t>
      </w:r>
      <w:r>
        <w:rPr>
          <w:rStyle w:val="FootnoteReference"/>
        </w:rPr>
        <w:footnoteReference w:id="106"/>
      </w:r>
      <w:r>
        <w:t xml:space="preserve">  Either of these proposals would, however, benefit Wide Voice which does</w:t>
      </w:r>
      <w:r w:rsidRPr="003B2529">
        <w:t xml:space="preserve"> </w:t>
      </w:r>
      <w:r>
        <w:t xml:space="preserve">not </w:t>
      </w:r>
      <w:r w:rsidRPr="003B2529">
        <w:t>charge for transport.</w:t>
      </w:r>
      <w:r>
        <w:rPr>
          <w:rStyle w:val="FootnoteReference"/>
        </w:rPr>
        <w:footnoteReference w:id="107"/>
      </w:r>
      <w:r w:rsidRPr="003B2529">
        <w:t xml:space="preserve">  </w:t>
      </w:r>
    </w:p>
    <w:p w:rsidR="00EB312D" w:rsidRPr="000F2933" w:rsidP="00EB312D">
      <w:pPr>
        <w:pStyle w:val="ParaNum"/>
      </w:pPr>
      <w:r>
        <w:t xml:space="preserve">We also decline to adopt </w:t>
      </w:r>
      <w:r w:rsidRPr="000F2933">
        <w:t>Aureon</w:t>
      </w:r>
      <w:r>
        <w:t>’s</w:t>
      </w:r>
      <w:r>
        <w:t xml:space="preserve"> suggestion</w:t>
      </w:r>
      <w:r>
        <w:t xml:space="preserve"> </w:t>
      </w:r>
      <w:r w:rsidRPr="000F2933">
        <w:t>that w</w:t>
      </w:r>
      <w:r>
        <w:t>ould</w:t>
      </w:r>
      <w:r w:rsidRPr="000F2933">
        <w:t xml:space="preserve"> allow IXCs to charge their subscribers an extra penny per minute for calls to access stimulators.</w:t>
      </w:r>
      <w:r>
        <w:rPr>
          <w:rStyle w:val="FootnoteReference"/>
        </w:rPr>
        <w:footnoteReference w:id="108"/>
      </w:r>
      <w:r w:rsidRPr="000F2933">
        <w:t xml:space="preserve">  </w:t>
      </w:r>
      <w:r>
        <w:t>There is no evidence that access-</w:t>
      </w:r>
      <w:r>
        <w:t>stimulating calls currently cost a penny per minute, so the proposal would simply trade one form of inefficiency for another.  We are also concerned that adopting such an overbroad proposal to address the stimulation of tandem switching and transport charges would confuse consumers and unnecessarily spill into, and potentially negatively affect, the operation of the more-competitive wireless marketplace and the choices consumers have made when selecting wireless calling plans</w:t>
      </w:r>
      <w:r w:rsidRPr="000F2933">
        <w:t>.</w:t>
      </w:r>
      <w:r>
        <w:t xml:space="preserve">  </w:t>
      </w:r>
    </w:p>
    <w:p w:rsidR="00EB312D" w:rsidRPr="000F2933" w:rsidP="00EB312D">
      <w:pPr>
        <w:pStyle w:val="ParaNum"/>
      </w:pPr>
      <w:r>
        <w:t>At the same time</w:t>
      </w:r>
      <w:r w:rsidRPr="000F2933">
        <w:t>, we remain unwilling to adopt</w:t>
      </w:r>
      <w:r w:rsidRPr="000F2933">
        <w:t xml:space="preserve"> </w:t>
      </w:r>
      <w:r w:rsidRPr="000F2933">
        <w:t>an outright ban on access stimulation.</w:t>
      </w:r>
      <w:r>
        <w:rPr>
          <w:rStyle w:val="FootnoteReference"/>
        </w:rPr>
        <w:footnoteReference w:id="109"/>
      </w:r>
      <w:r w:rsidRPr="000F2933">
        <w:t xml:space="preserve">  As the Commission concluded in the </w:t>
      </w:r>
      <w:r w:rsidRPr="00E82E0F">
        <w:rPr>
          <w:i/>
        </w:rPr>
        <w:t>USF/ICC Transformation Order</w:t>
      </w:r>
      <w:r w:rsidRPr="000F2933">
        <w:t xml:space="preserve">, prohibiting access stimulation in its entirety </w:t>
      </w:r>
      <w:r>
        <w:t xml:space="preserve">or finding that revenue sharing is a </w:t>
      </w:r>
      <w:r w:rsidRPr="00E82E0F">
        <w:rPr>
          <w:i/>
        </w:rPr>
        <w:t xml:space="preserve">per se </w:t>
      </w:r>
      <w:r>
        <w:t xml:space="preserve">violation of section 201 of the Act </w:t>
      </w:r>
      <w:r w:rsidRPr="000F2933">
        <w:t>would be an overbroad solution</w:t>
      </w:r>
      <w:r>
        <w:t xml:space="preserve"> “and no party has suggested a way to overcome this shortcoming</w:t>
      </w:r>
      <w:r w:rsidRPr="000F2933">
        <w:t>.</w:t>
      </w:r>
      <w:r>
        <w:t>”</w:t>
      </w:r>
      <w:r>
        <w:rPr>
          <w:rStyle w:val="FootnoteReference"/>
        </w:rPr>
        <w:footnoteReference w:id="110"/>
      </w:r>
      <w:r w:rsidRPr="000F2933">
        <w:t xml:space="preserve">  Instead, the Commission chose to prescribe narrow</w:t>
      </w:r>
      <w:r>
        <w:t>ly focused</w:t>
      </w:r>
      <w:r w:rsidRPr="000F2933">
        <w:t xml:space="preserve"> conditions for providers engaged in access stimulation.</w:t>
      </w:r>
      <w:r>
        <w:rPr>
          <w:rStyle w:val="FootnoteReference"/>
        </w:rPr>
        <w:footnoteReference w:id="111"/>
      </w:r>
      <w:r w:rsidRPr="000F2933">
        <w:t xml:space="preserve">  We adhere to that view today</w:t>
      </w:r>
      <w:r>
        <w:t xml:space="preserve"> because there is still no suggestion as to how a blanket prohibition could be tailored to avoid it being overbroad</w:t>
      </w:r>
      <w:r w:rsidRPr="000F2933">
        <w:t>.</w:t>
      </w:r>
      <w:r>
        <w:rPr>
          <w:rStyle w:val="FootnoteReference"/>
        </w:rPr>
        <w:footnoteReference w:id="112"/>
      </w:r>
      <w:bookmarkEnd w:id="288"/>
      <w:bookmarkEnd w:id="292"/>
      <w:r w:rsidRPr="000F2933">
        <w:t xml:space="preserve">  We believe the </w:t>
      </w:r>
      <w:r>
        <w:t xml:space="preserve">rules </w:t>
      </w:r>
      <w:r w:rsidRPr="000F2933">
        <w:t xml:space="preserve">we adopt today strike an appropriate balance between addressing access stimulation and the </w:t>
      </w:r>
      <w:r>
        <w:t>use</w:t>
      </w:r>
      <w:r w:rsidRPr="000F2933">
        <w:t xml:space="preserve"> of intermediate access providers while not affecting those LECs </w:t>
      </w:r>
      <w:r>
        <w:t xml:space="preserve">that are </w:t>
      </w:r>
      <w:r w:rsidRPr="000F2933">
        <w:t xml:space="preserve">not engaged in access stimulation.  The rules adopted today are not overbroad.  They are consistent with the policies adopted in the </w:t>
      </w:r>
      <w:r w:rsidRPr="00E82E0F">
        <w:rPr>
          <w:i/>
        </w:rPr>
        <w:t xml:space="preserve">USF/ICC Transformation Order </w:t>
      </w:r>
      <w:r w:rsidRPr="000F2933">
        <w:t>and are the product of notice and record support.</w:t>
      </w:r>
    </w:p>
    <w:p w:rsidR="00EB312D" w:rsidP="00EB312D">
      <w:pPr>
        <w:pStyle w:val="ParaNum"/>
      </w:pPr>
      <w:r w:rsidRPr="000F2933">
        <w:t xml:space="preserve">Having concluded that a modified version of the first prong of the Commission’s proposal in the </w:t>
      </w:r>
      <w:r w:rsidRPr="00481F35">
        <w:rPr>
          <w:i/>
          <w:iCs/>
        </w:rPr>
        <w:t>Access Arbitrage Notice</w:t>
      </w:r>
      <w:r w:rsidRPr="000F2933">
        <w:t xml:space="preserve"> will adequately address current access arbitrage practices, we decline to adopt the second prong of the proposal.  Prong </w:t>
      </w:r>
      <w:r>
        <w:t>2</w:t>
      </w:r>
      <w:r w:rsidRPr="000F2933">
        <w:t xml:space="preserve"> of that proposal would have provided access-stimulating LECs an opportunity to avoid financial responsibility for the delivery of traffic from an intermediate access provider to the access-stimulating LEC’s end office or functional equivalent by </w:t>
      </w:r>
      <w:r w:rsidRPr="00F06302">
        <w:t>offering to accept direct connections from IXCs or an intermediate access provider of the IXC’s choice.</w:t>
      </w:r>
      <w:r>
        <w:rPr>
          <w:sz w:val="20"/>
          <w:vertAlign w:val="superscript"/>
        </w:rPr>
        <w:footnoteReference w:id="113"/>
      </w:r>
      <w:r w:rsidRPr="00F06302">
        <w:t xml:space="preserve">  </w:t>
      </w:r>
      <w:r w:rsidRPr="0033778E">
        <w:t>The</w:t>
      </w:r>
      <w:r>
        <w:t xml:space="preserve"> record offers</w:t>
      </w:r>
      <w:r w:rsidRPr="0033778E">
        <w:t xml:space="preserve"> no support </w:t>
      </w:r>
      <w:r>
        <w:t>for</w:t>
      </w:r>
      <w:r w:rsidRPr="0033778E">
        <w:t xml:space="preserve"> the</w:t>
      </w:r>
      <w:r>
        <w:t xml:space="preserve"> </w:t>
      </w:r>
      <w:r>
        <w:t xml:space="preserve">adoption of </w:t>
      </w:r>
      <w:r w:rsidRPr="0033778E">
        <w:t>Prong 2 as drafted, and w</w:t>
      </w:r>
      <w:r w:rsidRPr="00F06302">
        <w:t xml:space="preserve">e agree with </w:t>
      </w:r>
      <w:r w:rsidRPr="0033778E">
        <w:t xml:space="preserve">various </w:t>
      </w:r>
      <w:r w:rsidRPr="000F2933">
        <w:t>concerns raised in the record that access-stimulating LECs could nullify any benefits of this approach</w:t>
      </w:r>
      <w:r w:rsidRPr="6BC746F6">
        <w:t>.</w:t>
      </w:r>
      <w:r>
        <w:rPr>
          <w:rStyle w:val="FootnoteReference"/>
        </w:rPr>
        <w:footnoteReference w:id="114"/>
      </w:r>
      <w:r w:rsidRPr="6BC746F6">
        <w:t xml:space="preserve">  </w:t>
      </w:r>
      <w:r w:rsidRPr="000F2933">
        <w:t xml:space="preserve">For example, Prong 2 </w:t>
      </w:r>
      <w:r>
        <w:t>c</w:t>
      </w:r>
      <w:r w:rsidRPr="000F2933">
        <w:t>ould allow access</w:t>
      </w:r>
      <w:r>
        <w:t>-</w:t>
      </w:r>
      <w:r w:rsidRPr="000F2933">
        <w:t>stimulat</w:t>
      </w:r>
      <w:r>
        <w:t>ing LECs</w:t>
      </w:r>
      <w:r w:rsidRPr="000F2933">
        <w:t xml:space="preserve"> to avoid financial responsibility by operating in remote locations where direct connections would be prohibitively expensive or infeasible</w:t>
      </w:r>
      <w:r>
        <w:t xml:space="preserve"> and alternative intermediate access providers may be nonexistent or prohibitively expensive.  Under such circumstances,</w:t>
      </w:r>
      <w:r w:rsidRPr="000F2933">
        <w:t xml:space="preserve"> </w:t>
      </w:r>
      <w:r>
        <w:t xml:space="preserve">Prong 2 would </w:t>
      </w:r>
      <w:r w:rsidRPr="000F2933">
        <w:t xml:space="preserve">be ineffective at curbing the practice </w:t>
      </w:r>
      <w:r>
        <w:t>while</w:t>
      </w:r>
      <w:r w:rsidRPr="000F2933">
        <w:t xml:space="preserve"> increas</w:t>
      </w:r>
      <w:r>
        <w:t>ing</w:t>
      </w:r>
      <w:r w:rsidRPr="000F2933">
        <w:t xml:space="preserve"> disputes over the terms of direct connections before the courts and the Commission.</w:t>
      </w:r>
      <w:r>
        <w:rPr>
          <w:sz w:val="20"/>
          <w:vertAlign w:val="superscript"/>
        </w:rPr>
        <w:footnoteReference w:id="115"/>
      </w:r>
      <w:r w:rsidRPr="000F2933">
        <w:t xml:space="preserve">  </w:t>
      </w:r>
    </w:p>
    <w:p w:rsidR="00EB312D" w:rsidRPr="000F2933" w:rsidP="003674C5">
      <w:pPr>
        <w:pStyle w:val="ParaNum"/>
        <w:widowControl/>
      </w:pPr>
      <w:r w:rsidRPr="000F2933">
        <w:t xml:space="preserve">Likewise, </w:t>
      </w:r>
      <w:r>
        <w:t>even where establishing a direct connection may initially appear cost-effective, the ease with which access stimulation traffic may be shifted from one carrier to another undermines the value of making the investment</w:t>
      </w:r>
      <w:r w:rsidRPr="46F79AC2">
        <w:t>.</w:t>
      </w:r>
      <w:r>
        <w:rPr>
          <w:rStyle w:val="FootnoteReference"/>
        </w:rPr>
        <w:footnoteReference w:id="116"/>
      </w:r>
      <w:r w:rsidRPr="6BC746F6">
        <w:t xml:space="preserve">  </w:t>
      </w:r>
      <w:r w:rsidRPr="000F2933">
        <w:t xml:space="preserve">After </w:t>
      </w:r>
      <w:r>
        <w:t>a direct connection premised on high traffic volume has been established at an access-stimulating LEC’s</w:t>
      </w:r>
      <w:r w:rsidRPr="6BC746F6">
        <w:t xml:space="preserve"> </w:t>
      </w:r>
      <w:r>
        <w:t>original end office, the access-stimulating LEC or providers of access-stimulating services could move traffic to a different and more distant end office, thus stranding the financial investment to build that direct connection with minuscule traffic volume after the access</w:t>
      </w:r>
      <w:r w:rsidRPr="6BC746F6">
        <w:t xml:space="preserve"> </w:t>
      </w:r>
      <w:r>
        <w:t>stimulation activity has shifted locations</w:t>
      </w:r>
      <w:r w:rsidRPr="6BC746F6">
        <w:t>.</w:t>
      </w:r>
      <w:r>
        <w:rPr>
          <w:rStyle w:val="FootnoteReference"/>
        </w:rPr>
        <w:footnoteReference w:id="117"/>
      </w:r>
      <w:r w:rsidRPr="6BC746F6">
        <w:t xml:space="preserve">  </w:t>
      </w:r>
      <w:r w:rsidRPr="00DD1E5F">
        <w:t>We conclude that requiring a shift in financial responsibility for the delivery of traffic from the IXC to the access-stimulating LEC end office or its functional equivalent is suff</w:t>
      </w:r>
      <w:r w:rsidRPr="004D2F68">
        <w:t>icient, at this time, to address the inefficiencies caused by access stimulation relating to intermediate access providers.</w:t>
      </w:r>
      <w:r>
        <w:rPr>
          <w:rStyle w:val="FootnoteReference"/>
        </w:rPr>
        <w:footnoteReference w:id="118"/>
      </w:r>
      <w:r w:rsidRPr="6BC746F6">
        <w:t xml:space="preserve">  </w:t>
      </w:r>
      <w:r w:rsidRPr="000F2933">
        <w:t>The attractiveness of these schemes will necessarily wane once the responsibility of paying for any intermediate access</w:t>
      </w:r>
      <w:r>
        <w:t xml:space="preserve"> provider’s</w:t>
      </w:r>
      <w:r w:rsidRPr="000F2933">
        <w:t xml:space="preserve"> charges is shifted to access-stimulating LECs.  </w:t>
      </w:r>
      <w:r w:rsidRPr="00DD1E5F">
        <w:t>As a general matter, we acknowledge that companies can currently, and will continue to be able to, negotiate individual direct connection agreements</w:t>
      </w:r>
      <w:r>
        <w:rPr>
          <w:rStyle w:val="FootnoteReference"/>
        </w:rPr>
        <w:footnoteReference w:id="119"/>
      </w:r>
      <w:r w:rsidRPr="00DD1E5F">
        <w:t xml:space="preserve"> and leave the possibility of a policy pronouncement regarding direct connections for consideration </w:t>
      </w:r>
      <w:r w:rsidRPr="004D2F68">
        <w:t>as part of our broader intercarrier compensation reform efforts</w:t>
      </w:r>
      <w:r w:rsidRPr="6BC746F6">
        <w:t>.</w:t>
      </w:r>
      <w:r>
        <w:rPr>
          <w:rStyle w:val="FootnoteReference"/>
        </w:rPr>
        <w:footnoteReference w:id="120"/>
      </w:r>
    </w:p>
    <w:p w:rsidR="00EB312D" w:rsidRPr="000F2933" w:rsidP="00EB312D">
      <w:pPr>
        <w:pStyle w:val="ParaNum"/>
      </w:pPr>
      <w:r w:rsidRPr="000F2933">
        <w:t xml:space="preserve">In the </w:t>
      </w:r>
      <w:r w:rsidRPr="00937F6A">
        <w:rPr>
          <w:i/>
        </w:rPr>
        <w:t>Access Arbitrage Notice</w:t>
      </w:r>
      <w:r w:rsidRPr="004E2693">
        <w:t>,</w:t>
      </w:r>
      <w:r w:rsidRPr="00937F6A">
        <w:rPr>
          <w:i/>
        </w:rPr>
        <w:t xml:space="preserve"> </w:t>
      </w:r>
      <w:r w:rsidRPr="000F2933">
        <w:t xml:space="preserve">the Commission sought comment on moving </w:t>
      </w:r>
      <w:r>
        <w:t xml:space="preserve">to a bill-and-keep regime </w:t>
      </w:r>
      <w:r w:rsidRPr="000F2933">
        <w:t>all terminating tandem switching and tandem</w:t>
      </w:r>
      <w:r>
        <w:t xml:space="preserve"> </w:t>
      </w:r>
      <w:r w:rsidRPr="000F2933">
        <w:t xml:space="preserve">switched transport rate elements for access-stimulating LECs </w:t>
      </w:r>
      <w:r>
        <w:t>or the intermediate access providers they choose</w:t>
      </w:r>
      <w:r w:rsidRPr="000F2933">
        <w:t>.</w:t>
      </w:r>
      <w:r>
        <w:rPr>
          <w:rStyle w:val="FootnoteReference"/>
        </w:rPr>
        <w:footnoteReference w:id="121"/>
      </w:r>
      <w:r w:rsidRPr="000F2933">
        <w:t xml:space="preserve">  </w:t>
      </w:r>
      <w:r>
        <w:t>Contrary to the claims of some commenters, the rules we adopt today are consistent with our goal of moving toward bill-and-</w:t>
      </w:r>
      <w:r>
        <w:t>keep.</w:t>
      </w:r>
      <w:r>
        <w:rPr>
          <w:rStyle w:val="FootnoteReference"/>
        </w:rPr>
        <w:footnoteReference w:id="122"/>
      </w:r>
      <w:r>
        <w:t xml:space="preserve">  They prohibit access-stimulating LECs from recovering their tandem switching and transport costs from IXCs, leaving access-stimulating LECs to recover their costs from high-volume calling service providers that use the LECs’ facilities.  Likewise, the rules we adopt treat access-stimulating LECs as the customers of the intermediate access providers they select to terminate their traffic and allow those</w:t>
      </w:r>
      <w:r w:rsidRPr="000F2933">
        <w:t xml:space="preserve"> intermediate access providers </w:t>
      </w:r>
      <w:r>
        <w:t>to recover their costs from</w:t>
      </w:r>
      <w:r w:rsidRPr="000F2933">
        <w:t xml:space="preserve"> access-stimulating </w:t>
      </w:r>
      <w:r w:rsidRPr="007C77AD">
        <w:t>LECs.  Thus</w:t>
      </w:r>
      <w:r>
        <w:t xml:space="preserve">, we allow </w:t>
      </w:r>
      <w:r w:rsidRPr="000F2933">
        <w:t xml:space="preserve">intermediate access providers </w:t>
      </w:r>
      <w:r>
        <w:t xml:space="preserve">to </w:t>
      </w:r>
      <w:r w:rsidRPr="000F2933">
        <w:t xml:space="preserve">continue to apply their </w:t>
      </w:r>
      <w:r>
        <w:t>tandem switching and transport</w:t>
      </w:r>
      <w:r w:rsidRPr="000F2933">
        <w:t xml:space="preserve"> rates to traffic bound for access-stimulating LECs</w:t>
      </w:r>
      <w:r>
        <w:t>, but those rates must be charged to the access-stimulating LEC, not the IXC that delivers the traffic to the intermediate access provider for termination</w:t>
      </w:r>
      <w:r w:rsidRPr="000F2933">
        <w:t xml:space="preserve">.  </w:t>
      </w:r>
    </w:p>
    <w:p w:rsidR="00EB312D" w:rsidRPr="000F2933" w:rsidP="00EB312D">
      <w:pPr>
        <w:pStyle w:val="Heading3"/>
      </w:pPr>
      <w:bookmarkStart w:id="297" w:name="_Toc15028071"/>
      <w:bookmarkStart w:id="298" w:name="_Toc15310188"/>
      <w:bookmarkStart w:id="299" w:name="_Toc16756577"/>
      <w:bookmarkStart w:id="300" w:name="_Toc16762069"/>
      <w:bookmarkStart w:id="301" w:name="_Toc16843636"/>
      <w:bookmarkStart w:id="302" w:name="_Toc16863791"/>
      <w:bookmarkStart w:id="303" w:name="_Toc17048647"/>
      <w:bookmarkStart w:id="304" w:name="_Toc17364730"/>
      <w:bookmarkStart w:id="305" w:name="_Toc17469826"/>
      <w:bookmarkStart w:id="306" w:name="_Toc17887584"/>
      <w:bookmarkStart w:id="307" w:name="_Toc18423500"/>
      <w:bookmarkStart w:id="308" w:name="_Toc18423555"/>
      <w:bookmarkStart w:id="309" w:name="_Toc18423631"/>
      <w:bookmarkStart w:id="310" w:name="_Toc18486770"/>
      <w:bookmarkStart w:id="311" w:name="_Toc18487380"/>
      <w:bookmarkStart w:id="312" w:name="_Toc18487885"/>
      <w:bookmarkStart w:id="313" w:name="_Toc18487993"/>
      <w:bookmarkStart w:id="314" w:name="_Toc18488116"/>
      <w:bookmarkStart w:id="315" w:name="_Toc20056856"/>
      <w:bookmarkStart w:id="316" w:name="_Toc20219905"/>
      <w:bookmarkStart w:id="317" w:name="_Toc13844717"/>
      <w:bookmarkStart w:id="318" w:name="_Toc13844769"/>
      <w:bookmarkStart w:id="319" w:name="_Toc13844858"/>
      <w:bookmarkStart w:id="320" w:name="_Toc14019951"/>
      <w:bookmarkStart w:id="321" w:name="_Toc14096394"/>
      <w:r w:rsidRPr="000F2933">
        <w:t>Redefining “Access</w:t>
      </w:r>
      <w:r>
        <w:t xml:space="preserve"> </w:t>
      </w:r>
      <w:r w:rsidRPr="000F2933">
        <w:t>Stimulati</w:t>
      </w:r>
      <w:r>
        <w:t>on</w:t>
      </w:r>
      <w:r w:rsidRPr="000F2933">
        <w:t>”</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EB312D" w:rsidRPr="000F2933" w:rsidP="00EB312D">
      <w:pPr>
        <w:pStyle w:val="ParaNum"/>
      </w:pPr>
      <w:r w:rsidRPr="00DD1E5F">
        <w:t>In recognition of the evolving nature of access</w:t>
      </w:r>
      <w:r w:rsidRPr="004D2F68">
        <w:t>-stimulation schemes, we amend the definition of “access stimulation” in our rules to include situations in which the access-stimulating LEC does not have a revenue sharing agreement with a third party.</w:t>
      </w:r>
      <w:r>
        <w:rPr>
          <w:rStyle w:val="FootnoteReference"/>
        </w:rPr>
        <w:footnoteReference w:id="123"/>
      </w:r>
      <w:r w:rsidRPr="000F2933">
        <w:t xml:space="preserve"> </w:t>
      </w:r>
      <w:r w:rsidRPr="00DD1E5F">
        <w:t xml:space="preserve"> In so doing, we leave the current test for access stimulation in place.  That </w:t>
      </w:r>
      <w:r w:rsidRPr="004D2F68">
        <w:t xml:space="preserve">test requires, first, that the involved LEC </w:t>
      </w:r>
      <w:r w:rsidRPr="00F63B01">
        <w:t>has a r</w:t>
      </w:r>
      <w:r w:rsidRPr="004D2F68">
        <w:t>evenue</w:t>
      </w:r>
      <w:r>
        <w:t xml:space="preserve"> </w:t>
      </w:r>
      <w:r w:rsidRPr="004D2F68">
        <w:t>sharing agreement and, second, that it me</w:t>
      </w:r>
      <w:r w:rsidRPr="00F63B01">
        <w:t>ets on</w:t>
      </w:r>
      <w:r w:rsidRPr="004D2F68">
        <w:t xml:space="preserve">e of two traffic </w:t>
      </w:r>
      <w:r w:rsidRPr="00DD1E5F">
        <w:t>triggers.</w:t>
      </w:r>
      <w:r>
        <w:rPr>
          <w:rStyle w:val="FootnoteReference"/>
        </w:rPr>
        <w:footnoteReference w:id="124"/>
      </w:r>
      <w:r w:rsidRPr="00DD1E5F">
        <w:t xml:space="preserve">  The LEC must either have an interstate terminating-to-originating traffic ratio of at least 3:1 in a calendar mont</w:t>
      </w:r>
      <w:r w:rsidRPr="004D2F68">
        <w:t>h or have had more than a 100% growth in interstate originating and/or terminating switched access minutes</w:t>
      </w:r>
      <w:r>
        <w:t>-</w:t>
      </w:r>
      <w:r w:rsidRPr="004D2F68">
        <w:t>of</w:t>
      </w:r>
      <w:r>
        <w:t>-</w:t>
      </w:r>
      <w:r w:rsidRPr="004D2F68">
        <w:t>use in a month compared to the same month in the preceding year.</w:t>
      </w:r>
      <w:r>
        <w:rPr>
          <w:rStyle w:val="FootnoteReference"/>
        </w:rPr>
        <w:footnoteReference w:id="125"/>
      </w:r>
      <w:r w:rsidRPr="000F2933">
        <w:t xml:space="preserve"> </w:t>
      </w:r>
      <w:r w:rsidRPr="00DD1E5F">
        <w:t xml:space="preserve"> We add </w:t>
      </w:r>
      <w:r>
        <w:t>two, alternate</w:t>
      </w:r>
      <w:r w:rsidRPr="00DD1E5F">
        <w:t xml:space="preserve"> test</w:t>
      </w:r>
      <w:r>
        <w:t>s</w:t>
      </w:r>
      <w:r w:rsidRPr="00DD1E5F">
        <w:t xml:space="preserve"> </w:t>
      </w:r>
      <w:r>
        <w:t>that</w:t>
      </w:r>
      <w:r w:rsidRPr="00DD1E5F">
        <w:t xml:space="preserve"> require no revenue</w:t>
      </w:r>
      <w:r>
        <w:t xml:space="preserve"> </w:t>
      </w:r>
      <w:r w:rsidRPr="00DD1E5F">
        <w:t>sharing agreement</w:t>
      </w:r>
      <w:r>
        <w:t>.</w:t>
      </w:r>
      <w:r w:rsidRPr="00DD1E5F">
        <w:t xml:space="preserve"> </w:t>
      </w:r>
      <w:r>
        <w:t xml:space="preserve"> First, under our newly amended rules, competitive LECs with</w:t>
      </w:r>
      <w:r w:rsidRPr="00DD1E5F">
        <w:t xml:space="preserve"> </w:t>
      </w:r>
      <w:r w:rsidRPr="004D2F68">
        <w:t>an interstate terminating-to-originating traffic ratio of at least 6:1 in a calendar month</w:t>
      </w:r>
      <w:r>
        <w:t xml:space="preserve"> will be defined as engaging in access stimulation</w:t>
      </w:r>
      <w:r w:rsidRPr="004D2F68">
        <w:t>.</w:t>
      </w:r>
      <w:r>
        <w:rPr>
          <w:rStyle w:val="FootnoteReference"/>
        </w:rPr>
        <w:footnoteReference w:id="126"/>
      </w:r>
      <w:r w:rsidRPr="004D2F68">
        <w:t xml:space="preserve">  </w:t>
      </w:r>
      <w:r>
        <w:t xml:space="preserve">Second, under our newly amended rules, we define a rate-of-return LEC as engaging in access stimulation if it has an interstate terminating-to-originating traffic ratio of at least 10:1 in a three calendar month period and </w:t>
      </w:r>
      <w:r>
        <w:rPr>
          <w:snapToGrid/>
          <w:color w:val="010101"/>
          <w:kern w:val="0"/>
          <w:szCs w:val="22"/>
        </w:rPr>
        <w:t>has 500,000 minutes or more of interstate terminating minutes-of-use per month in an end office in the same three calendar month period.</w:t>
      </w:r>
      <w:r>
        <w:rPr>
          <w:rStyle w:val="FootnoteReference"/>
          <w:snapToGrid/>
          <w:kern w:val="0"/>
          <w:szCs w:val="22"/>
        </w:rPr>
        <w:footnoteReference w:id="127"/>
      </w:r>
      <w:r>
        <w:rPr>
          <w:snapToGrid/>
          <w:color w:val="010101"/>
          <w:kern w:val="0"/>
          <w:szCs w:val="22"/>
        </w:rPr>
        <w:t xml:space="preserve">  These factors will be measured as an average over the same three calendar-month period.</w:t>
      </w:r>
      <w:r>
        <w:rPr>
          <w:rStyle w:val="FootnoteReference"/>
          <w:snapToGrid/>
          <w:kern w:val="0"/>
          <w:szCs w:val="22"/>
        </w:rPr>
        <w:footnoteReference w:id="128"/>
      </w:r>
      <w:r>
        <w:rPr>
          <w:snapToGrid/>
          <w:color w:val="010101"/>
          <w:kern w:val="0"/>
          <w:szCs w:val="22"/>
        </w:rPr>
        <w:t xml:space="preserve">  Our decision to adopt different triggers for competitive LECs as compared to rate-of-return LECs reflects the evidence in the record that there are structural barriers to rate-of-return LECs engaging in access stimulation, and at the same time, a small but significant set of rate-of-return LECs can experience legitimate call patterns that would trip the 6:1 trigger.</w:t>
      </w:r>
      <w:r>
        <w:rPr>
          <w:rStyle w:val="FootnoteReference"/>
          <w:snapToGrid/>
          <w:kern w:val="0"/>
          <w:szCs w:val="22"/>
        </w:rPr>
        <w:footnoteReference w:id="129"/>
      </w:r>
    </w:p>
    <w:p w:rsidR="00EB312D" w:rsidRPr="000F2933" w:rsidP="00EB312D">
      <w:pPr>
        <w:pStyle w:val="ParaNum"/>
      </w:pPr>
      <w:r w:rsidRPr="00DD1E5F">
        <w:t xml:space="preserve">We adopt </w:t>
      </w:r>
      <w:r w:rsidRPr="004D2F68">
        <w:t>th</w:t>
      </w:r>
      <w:r>
        <w:t>e</w:t>
      </w:r>
      <w:r w:rsidRPr="004D2F68">
        <w:t>s</w:t>
      </w:r>
      <w:r>
        <w:t>e</w:t>
      </w:r>
      <w:r w:rsidRPr="004D2F68">
        <w:t xml:space="preserve"> alternate test</w:t>
      </w:r>
      <w:r>
        <w:t>s</w:t>
      </w:r>
      <w:r w:rsidRPr="004D2F68">
        <w:t xml:space="preserve"> for access stimulation because, as one commenter explains, as terminating end office access charges move toward bill-and-keep, </w:t>
      </w:r>
      <w:r w:rsidRPr="004D2F68">
        <w:rPr>
          <w:snapToGrid/>
          <w:kern w:val="0"/>
        </w:rPr>
        <w:t>“many entities engaged in access stimulation have re-arranged their business to circumvent the existing rules by reducing reliance on direct forms of revenue sharing.”</w:t>
      </w:r>
      <w:r>
        <w:rPr>
          <w:sz w:val="20"/>
          <w:vertAlign w:val="superscript"/>
        </w:rPr>
        <w:footnoteReference w:id="130"/>
      </w:r>
      <w:r w:rsidRPr="00DD1E5F">
        <w:rPr>
          <w:snapToGrid/>
          <w:kern w:val="0"/>
        </w:rPr>
        <w:t xml:space="preserve">  Or</w:t>
      </w:r>
      <w:r w:rsidRPr="00A67F16">
        <w:t>,</w:t>
      </w:r>
      <w:r w:rsidRPr="00DD1E5F">
        <w:rPr>
          <w:snapToGrid/>
          <w:kern w:val="0"/>
        </w:rPr>
        <w:t xml:space="preserve"> as another commenter explains, t</w:t>
      </w:r>
      <w:r w:rsidRPr="004D2F68">
        <w:t>he revenue</w:t>
      </w:r>
      <w:r>
        <w:t xml:space="preserve"> </w:t>
      </w:r>
      <w:r w:rsidRPr="004D2F68">
        <w:t xml:space="preserve">sharing trigger is creating </w:t>
      </w:r>
      <w:r w:rsidRPr="004D2F68">
        <w:t>incentives for providers to “become more creative in how they bundle their services to win business and evade” the rules.</w:t>
      </w:r>
      <w:r>
        <w:rPr>
          <w:sz w:val="20"/>
          <w:vertAlign w:val="superscript"/>
        </w:rPr>
        <w:footnoteReference w:id="131"/>
      </w:r>
      <w:r w:rsidRPr="00DD1E5F">
        <w:t xml:space="preserve">  We also are concerned about a prediction in the record that if we were to adopt the rules originally proposed in the </w:t>
      </w:r>
      <w:r w:rsidRPr="00E82E0F">
        <w:rPr>
          <w:i/>
        </w:rPr>
        <w:t>Notice</w:t>
      </w:r>
      <w:r w:rsidRPr="004D2F68">
        <w:t xml:space="preserve">, </w:t>
      </w:r>
      <w:r>
        <w:t xml:space="preserve">without more, </w:t>
      </w:r>
      <w:r w:rsidRPr="004D2F68">
        <w:t>access-stimulating LECs will cease revenue sharing in an effort to avoid triggering the proposed rules, even while continuing conduct that is equivalently problematic.</w:t>
      </w:r>
      <w:r>
        <w:rPr>
          <w:sz w:val="20"/>
          <w:vertAlign w:val="superscript"/>
        </w:rPr>
        <w:footnoteReference w:id="132"/>
      </w:r>
      <w:r w:rsidRPr="00DD1E5F">
        <w:t xml:space="preserve">  </w:t>
      </w:r>
    </w:p>
    <w:p w:rsidR="00EB312D" w:rsidRPr="004E42D2" w:rsidP="00EB312D">
      <w:pPr>
        <w:pStyle w:val="ParaNum"/>
      </w:pPr>
      <w:r w:rsidRPr="00DD1E5F">
        <w:t>A number of</w:t>
      </w:r>
      <w:r w:rsidRPr="00DD1E5F">
        <w:t xml:space="preserve"> commenters describe ways </w:t>
      </w:r>
      <w:r>
        <w:t xml:space="preserve">that carriers and their high-volume calling service partners may be profiting from arbitrage where their actions may not appear to fit the precise provisions of our </w:t>
      </w:r>
      <w:r w:rsidRPr="00DD1E5F">
        <w:t>revenue</w:t>
      </w:r>
      <w:r>
        <w:t xml:space="preserve"> </w:t>
      </w:r>
      <w:r w:rsidRPr="004D2F68">
        <w:t>sharing requirement</w:t>
      </w:r>
      <w:r>
        <w:t>.</w:t>
      </w:r>
      <w:r w:rsidRPr="00DD1E5F">
        <w:t xml:space="preserve">  Fo</w:t>
      </w:r>
      <w:r w:rsidRPr="004D2F68">
        <w:rPr>
          <w:snapToGrid/>
          <w:kern w:val="0"/>
        </w:rPr>
        <w:t xml:space="preserve">r example, </w:t>
      </w:r>
      <w:r w:rsidRPr="004D2F68">
        <w:t>T-Mobile reports that some LECs create “shell companies to serve as their intermediate provider, and then force carriers to send traffic to that intermediate provider, who charges a fee shared with the ILEC.”</w:t>
      </w:r>
      <w:r>
        <w:rPr>
          <w:sz w:val="20"/>
          <w:vertAlign w:val="superscript"/>
        </w:rPr>
        <w:footnoteReference w:id="133"/>
      </w:r>
      <w:r w:rsidRPr="00DD1E5F">
        <w:t xml:space="preserve">  </w:t>
      </w:r>
      <w:r w:rsidRPr="00DD1E5F">
        <w:t>Aureon</w:t>
      </w:r>
      <w:r w:rsidRPr="00DD1E5F">
        <w:t xml:space="preserve"> posits t</w:t>
      </w:r>
      <w:r w:rsidRPr="004D2F68">
        <w:t xml:space="preserve">hat tandem provider HD Tandem could receive payment from a LEC or </w:t>
      </w:r>
      <w:r>
        <w:t xml:space="preserve">an </w:t>
      </w:r>
      <w:r w:rsidRPr="004D2F68">
        <w:t>IXC to provide intermediate access service and then share its revenues directly with its high-volume calling service affiliate without sharing any revenue with the terminating LEC.</w:t>
      </w:r>
      <w:r>
        <w:rPr>
          <w:sz w:val="20"/>
          <w:vertAlign w:val="superscript"/>
        </w:rPr>
        <w:footnoteReference w:id="134"/>
      </w:r>
      <w:r w:rsidRPr="00DD1E5F">
        <w:t xml:space="preserve">  Also, a</w:t>
      </w:r>
      <w:r w:rsidRPr="004D2F68">
        <w:t>n access-stimulating LEC that is co-owned with a high-volume calling service provider could retain the stimulated access revenues for itself, while letting the high-volume calling service provider operate at a loss.</w:t>
      </w:r>
      <w:r>
        <w:rPr>
          <w:sz w:val="20"/>
          <w:vertAlign w:val="superscript"/>
        </w:rPr>
        <w:footnoteReference w:id="135"/>
      </w:r>
      <w:r w:rsidRPr="00DD1E5F">
        <w:t xml:space="preserve">  In </w:t>
      </w:r>
      <w:r>
        <w:t>those</w:t>
      </w:r>
      <w:r w:rsidRPr="00DD1E5F">
        <w:t xml:space="preserve"> situations, the LEC would not</w:t>
      </w:r>
      <w:r w:rsidRPr="004D2F68">
        <w:t xml:space="preserve"> directly share any revenues.  Likewise, </w:t>
      </w:r>
      <w:r w:rsidRPr="004D2F68">
        <w:t>Inteliquent</w:t>
      </w:r>
      <w:r w:rsidRPr="004D2F68">
        <w:t xml:space="preserve"> suggests that there would be no revenue sharing if the same corporate entity that owns a high-volume calling service provider also owns an end office, or if switch management is outsourced to a high-volume calling platform or its affiliate.</w:t>
      </w:r>
      <w:r>
        <w:rPr>
          <w:sz w:val="20"/>
          <w:vertAlign w:val="superscript"/>
        </w:rPr>
        <w:footnoteReference w:id="136"/>
      </w:r>
      <w:r w:rsidRPr="00DD1E5F">
        <w:t xml:space="preserve"> </w:t>
      </w:r>
      <w:r w:rsidRPr="004D2F68">
        <w:rPr>
          <w:snapToGrid/>
          <w:kern w:val="0"/>
        </w:rPr>
        <w:t xml:space="preserve"> In those cases</w:t>
      </w:r>
      <w:r w:rsidRPr="00A67F16">
        <w:t>,</w:t>
      </w:r>
      <w:r w:rsidRPr="004D2F68">
        <w:rPr>
          <w:snapToGrid/>
          <w:kern w:val="0"/>
        </w:rPr>
        <w:t xml:space="preserve"> the revenue would remain under the same corporate entity and not come from </w:t>
      </w:r>
      <w:r>
        <w:rPr>
          <w:snapToGrid/>
          <w:kern w:val="0"/>
        </w:rPr>
        <w:t xml:space="preserve">separate entities sharing </w:t>
      </w:r>
      <w:r w:rsidRPr="00A67F16">
        <w:t>“</w:t>
      </w:r>
      <w:r w:rsidRPr="004D2F68">
        <w:t>billing or collection of access charges from interexchange carriers or wireless carriers</w:t>
      </w:r>
      <w:r w:rsidRPr="00D0752A">
        <w:t>.”</w:t>
      </w:r>
      <w:r>
        <w:rPr>
          <w:snapToGrid/>
          <w:kern w:val="0"/>
          <w:sz w:val="20"/>
          <w:vertAlign w:val="superscript"/>
        </w:rPr>
        <w:footnoteReference w:id="137"/>
      </w:r>
      <w:r w:rsidRPr="00D0752A">
        <w:t xml:space="preserve">  </w:t>
      </w:r>
      <w:r>
        <w:t>Because of these concerns, we find it reasonable and practical to adopt additional triggers in our rules that define access stimulation to exist when a LEC has a highly disproportionate terminating-to-originating traffic ratio.  We, therefore, keep the revenue sharing requirement of section 61.3(</w:t>
      </w:r>
      <w:r>
        <w:t>bbb</w:t>
      </w:r>
      <w:r>
        <w:t>)(1)(</w:t>
      </w:r>
      <w:r>
        <w:t>i</w:t>
      </w:r>
      <w:r>
        <w:t>) as is, and adopt two alternative prongs of the definition of access stimulation that do not require revenue sharing.</w:t>
      </w:r>
      <w:r>
        <w:rPr>
          <w:rStyle w:val="FootnoteReference"/>
        </w:rPr>
        <w:footnoteReference w:id="138"/>
      </w:r>
    </w:p>
    <w:p w:rsidR="00EB312D" w:rsidRPr="000F2933" w:rsidP="00EB312D">
      <w:pPr>
        <w:pStyle w:val="ParaNum"/>
        <w:rPr>
          <w:snapToGrid/>
        </w:rPr>
      </w:pPr>
      <w:r w:rsidRPr="00DD1E5F">
        <w:rPr>
          <w:snapToGrid/>
        </w:rPr>
        <w:t xml:space="preserve">Some commenters have “no </w:t>
      </w:r>
      <w:r w:rsidRPr="004D2F68">
        <w:rPr>
          <w:snapToGrid/>
        </w:rPr>
        <w:t xml:space="preserve">objection if the revenue sharing aspect of the definition is eliminated” and </w:t>
      </w:r>
      <w:r>
        <w:rPr>
          <w:snapToGrid/>
        </w:rPr>
        <w:t xml:space="preserve">if </w:t>
      </w:r>
      <w:r w:rsidRPr="004D2F68">
        <w:rPr>
          <w:snapToGrid/>
        </w:rPr>
        <w:t>the Commission were to rely solely on traffic measurement data.</w:t>
      </w:r>
      <w:r>
        <w:rPr>
          <w:snapToGrid/>
          <w:sz w:val="20"/>
          <w:vertAlign w:val="superscript"/>
        </w:rPr>
        <w:footnoteReference w:id="139"/>
      </w:r>
      <w:r w:rsidRPr="00DD1E5F">
        <w:rPr>
          <w:snapToGrid/>
        </w:rPr>
        <w:t xml:space="preserve">  However, </w:t>
      </w:r>
      <w:bookmarkStart w:id="324" w:name="_Hlk14866381"/>
      <w:r w:rsidRPr="00DD1E5F">
        <w:rPr>
          <w:snapToGrid/>
        </w:rPr>
        <w:t xml:space="preserve">the </w:t>
      </w:r>
      <w:r w:rsidRPr="00DD1E5F">
        <w:rPr>
          <w:snapToGrid/>
        </w:rPr>
        <w:t>record shows that the current definition has accurately identified LECs engaged in access stimulatio</w:t>
      </w:r>
      <w:r w:rsidRPr="004D2F68">
        <w:rPr>
          <w:snapToGrid/>
        </w:rPr>
        <w:t>n.</w:t>
      </w:r>
      <w:bookmarkEnd w:id="324"/>
      <w:r>
        <w:rPr>
          <w:snapToGrid/>
          <w:sz w:val="20"/>
          <w:vertAlign w:val="superscript"/>
        </w:rPr>
        <w:footnoteReference w:id="140"/>
      </w:r>
      <w:r w:rsidRPr="00DD1E5F">
        <w:rPr>
          <w:snapToGrid/>
        </w:rPr>
        <w:t xml:space="preserve">  </w:t>
      </w:r>
      <w:r w:rsidRPr="009A44EB">
        <w:rPr>
          <w:snapToGrid/>
        </w:rPr>
        <w:t>W</w:t>
      </w:r>
      <w:r w:rsidRPr="00470093">
        <w:t>e therefore</w:t>
      </w:r>
      <w:r w:rsidRPr="00DD1E5F">
        <w:rPr>
          <w:snapToGrid/>
        </w:rPr>
        <w:t xml:space="preserve"> </w:t>
      </w:r>
      <w:r w:rsidRPr="004D2F68">
        <w:rPr>
          <w:snapToGrid/>
        </w:rPr>
        <w:t>find that</w:t>
      </w:r>
      <w:r w:rsidRPr="00D0752A">
        <w:t xml:space="preserve"> </w:t>
      </w:r>
      <w:r w:rsidRPr="00DD1E5F">
        <w:rPr>
          <w:snapToGrid/>
        </w:rPr>
        <w:t xml:space="preserve">the better course is to leave the current test in place and add </w:t>
      </w:r>
      <w:r>
        <w:rPr>
          <w:snapToGrid/>
        </w:rPr>
        <w:t>two alternate</w:t>
      </w:r>
      <w:r w:rsidRPr="00DD1E5F">
        <w:rPr>
          <w:snapToGrid/>
        </w:rPr>
        <w:t xml:space="preserve"> test</w:t>
      </w:r>
      <w:r>
        <w:rPr>
          <w:snapToGrid/>
        </w:rPr>
        <w:t>s</w:t>
      </w:r>
      <w:r w:rsidRPr="00DD1E5F">
        <w:rPr>
          <w:snapToGrid/>
        </w:rPr>
        <w:t xml:space="preserve"> for access stimulation that do not include revenue sharing, and ha</w:t>
      </w:r>
      <w:r>
        <w:rPr>
          <w:snapToGrid/>
        </w:rPr>
        <w:t>ve</w:t>
      </w:r>
      <w:r w:rsidRPr="00DD1E5F">
        <w:rPr>
          <w:snapToGrid/>
        </w:rPr>
        <w:t xml:space="preserve"> higher traffic ratio</w:t>
      </w:r>
      <w:r>
        <w:rPr>
          <w:snapToGrid/>
        </w:rPr>
        <w:t>s</w:t>
      </w:r>
      <w:r w:rsidRPr="00DD1E5F">
        <w:rPr>
          <w:snapToGrid/>
        </w:rPr>
        <w:t>.</w:t>
      </w:r>
      <w:r>
        <w:rPr>
          <w:rStyle w:val="FootnoteReference"/>
          <w:snapToGrid/>
        </w:rPr>
        <w:footnoteReference w:id="141"/>
      </w:r>
    </w:p>
    <w:p w:rsidR="00EB312D" w:rsidRPr="000A1A30" w:rsidP="00EB312D">
      <w:pPr>
        <w:pStyle w:val="ParaNum"/>
        <w:rPr>
          <w:snapToGrid/>
        </w:rPr>
      </w:pPr>
      <w:r w:rsidRPr="00E82E0F">
        <w:rPr>
          <w:i/>
          <w:snapToGrid/>
        </w:rPr>
        <w:t>A Higher Traffic Ratio Is Justified When No Revenue Shar</w:t>
      </w:r>
      <w:r w:rsidRPr="000F420B">
        <w:rPr>
          <w:i/>
          <w:snapToGrid/>
        </w:rPr>
        <w:t>ing Agreement Is in Place</w:t>
      </w:r>
      <w:r w:rsidRPr="004D2F68">
        <w:rPr>
          <w:snapToGrid/>
        </w:rPr>
        <w:t xml:space="preserve">.  </w:t>
      </w:r>
      <w:r>
        <w:rPr>
          <w:snapToGrid/>
        </w:rPr>
        <w:t>In adopting two alternative tests for access stimulation that do not include a revenue sharing component, w</w:t>
      </w:r>
      <w:r>
        <w:t>e are mindful of the importance of identifying those LECs engaging in access stimulation while not creating a definition that is overbroad, resulting in costly disputes between carriers and confusion in the market.</w:t>
      </w:r>
      <w:r>
        <w:rPr>
          <w:rStyle w:val="FootnoteReference"/>
        </w:rPr>
        <w:footnoteReference w:id="142"/>
      </w:r>
      <w:r w:rsidRPr="004D2F68">
        <w:rPr>
          <w:snapToGrid/>
        </w:rPr>
        <w:t xml:space="preserve"> </w:t>
      </w:r>
      <w:r>
        <w:rPr>
          <w:snapToGrid/>
        </w:rPr>
        <w:t xml:space="preserve"> First, i</w:t>
      </w:r>
      <w:r w:rsidRPr="004D2F68">
        <w:rPr>
          <w:snapToGrid/>
        </w:rPr>
        <w:t xml:space="preserve">n an effort to be conservative and not overbroad, </w:t>
      </w:r>
      <w:r>
        <w:rPr>
          <w:snapToGrid/>
        </w:rPr>
        <w:t>we adopt an</w:t>
      </w:r>
      <w:r w:rsidRPr="004D2F68">
        <w:rPr>
          <w:snapToGrid/>
        </w:rPr>
        <w:t xml:space="preserve"> </w:t>
      </w:r>
      <w:r>
        <w:rPr>
          <w:snapToGrid/>
        </w:rPr>
        <w:t>alternative test</w:t>
      </w:r>
      <w:r w:rsidRPr="004D2F68">
        <w:rPr>
          <w:snapToGrid/>
        </w:rPr>
        <w:t xml:space="preserve"> of the access-stimulation definition </w:t>
      </w:r>
      <w:r>
        <w:rPr>
          <w:snapToGrid/>
        </w:rPr>
        <w:t xml:space="preserve">for competitive LECs, which </w:t>
      </w:r>
      <w:r w:rsidRPr="004D2F68">
        <w:rPr>
          <w:snapToGrid/>
        </w:rPr>
        <w:t xml:space="preserve">requires a higher terminating-to-originating traffic ratio than the 3:1 ratio currently in place.  We find that a 6:1 </w:t>
      </w:r>
      <w:r>
        <w:rPr>
          <w:snapToGrid/>
        </w:rPr>
        <w:t>or higher</w:t>
      </w:r>
      <w:r w:rsidRPr="004D2F68">
        <w:rPr>
          <w:snapToGrid/>
        </w:rPr>
        <w:t xml:space="preserve"> terminating-to-originating traffic ratio </w:t>
      </w:r>
      <w:r>
        <w:rPr>
          <w:snapToGrid/>
        </w:rPr>
        <w:t xml:space="preserve">for competitive LECs </w:t>
      </w:r>
      <w:r w:rsidRPr="004D2F68">
        <w:rPr>
          <w:snapToGrid/>
        </w:rPr>
        <w:t>provides a clear indication that access stimulation is occurring, even absent a revenue</w:t>
      </w:r>
      <w:r>
        <w:t xml:space="preserve"> </w:t>
      </w:r>
      <w:r w:rsidRPr="004D2F68">
        <w:rPr>
          <w:snapToGrid/>
        </w:rPr>
        <w:t>sharing agreement</w:t>
      </w:r>
      <w:r w:rsidRPr="00D0752A">
        <w:t>.</w:t>
      </w:r>
      <w:r w:rsidRPr="00DD1E5F">
        <w:rPr>
          <w:snapToGrid/>
        </w:rPr>
        <w:t xml:space="preserve">  We could establish a smaller ratio</w:t>
      </w:r>
      <w:r>
        <w:rPr>
          <w:snapToGrid/>
        </w:rPr>
        <w:t>;</w:t>
      </w:r>
      <w:r w:rsidRPr="00DD1E5F">
        <w:rPr>
          <w:snapToGrid/>
        </w:rPr>
        <w:t xml:space="preserve"> </w:t>
      </w:r>
      <w:r>
        <w:rPr>
          <w:snapToGrid/>
        </w:rPr>
        <w:t>h</w:t>
      </w:r>
      <w:r w:rsidRPr="00DD1E5F">
        <w:rPr>
          <w:snapToGrid/>
        </w:rPr>
        <w:t>ow</w:t>
      </w:r>
      <w:r w:rsidRPr="004D2F68">
        <w:rPr>
          <w:snapToGrid/>
        </w:rPr>
        <w:t xml:space="preserve">ever, we agree with </w:t>
      </w:r>
      <w:r w:rsidRPr="004D2F68">
        <w:rPr>
          <w:snapToGrid/>
        </w:rPr>
        <w:t>Teliax</w:t>
      </w:r>
      <w:r w:rsidRPr="004D2F68">
        <w:rPr>
          <w:snapToGrid/>
        </w:rPr>
        <w:t xml:space="preserve"> that </w:t>
      </w:r>
      <w:r w:rsidRPr="004D2F68">
        <w:t>tightening the ratio “would most certainly catch normal increases in traffic volumes</w:t>
      </w:r>
      <w:r>
        <w:t>,</w:t>
      </w:r>
      <w:r w:rsidRPr="004D2F68">
        <w:t>”</w:t>
      </w:r>
      <w:r>
        <w:t xml:space="preserve"> and thus be overinclusive.</w:t>
      </w:r>
      <w:r>
        <w:rPr>
          <w:sz w:val="20"/>
          <w:vertAlign w:val="superscript"/>
        </w:rPr>
        <w:footnoteReference w:id="143"/>
      </w:r>
      <w:r w:rsidRPr="00DD1E5F">
        <w:t xml:space="preserve">  W</w:t>
      </w:r>
      <w:r w:rsidRPr="004D2F68">
        <w:rPr>
          <w:snapToGrid/>
        </w:rPr>
        <w:t xml:space="preserve">e also want to protect non-access-stimulating LECs from being misidentified.  We have selected a 6:1 ratio, which is twice the existing ratio and is the ratio recommended by </w:t>
      </w:r>
      <w:r>
        <w:rPr>
          <w:snapToGrid/>
        </w:rPr>
        <w:t>Inteliquent</w:t>
      </w:r>
      <w:r w:rsidRPr="738C075E">
        <w:t>.</w:t>
      </w:r>
      <w:r>
        <w:rPr>
          <w:snapToGrid/>
          <w:sz w:val="20"/>
          <w:vertAlign w:val="superscript"/>
        </w:rPr>
        <w:footnoteReference w:id="144"/>
      </w:r>
      <w:r w:rsidRPr="00D0752A">
        <w:t xml:space="preserve">  </w:t>
      </w:r>
      <w:r w:rsidRPr="00DD1E5F">
        <w:t xml:space="preserve">The </w:t>
      </w:r>
      <w:r w:rsidRPr="000F2933">
        <w:t xml:space="preserve">6:1 ratio should help to capture any access-stimulating </w:t>
      </w:r>
      <w:r>
        <w:t xml:space="preserve">competitive </w:t>
      </w:r>
      <w:r w:rsidRPr="000F2933">
        <w:t>LECs that decide to cease revenue sharing, as well as any access-stimulating</w:t>
      </w:r>
      <w:r>
        <w:t xml:space="preserve"> competitive</w:t>
      </w:r>
      <w:r w:rsidRPr="000F2933">
        <w:t xml:space="preserve"> LECs that already may have ceased revenue sharing</w:t>
      </w:r>
      <w:r>
        <w:t>, or that currently are not doing so</w:t>
      </w:r>
      <w:r w:rsidRPr="000F2933">
        <w:t>.</w:t>
      </w:r>
    </w:p>
    <w:p w:rsidR="00EB312D" w:rsidRPr="00755B45" w:rsidP="00EB312D">
      <w:pPr>
        <w:pStyle w:val="ParaNum"/>
        <w:rPr>
          <w:snapToGrid/>
          <w:szCs w:val="24"/>
        </w:rPr>
      </w:pPr>
      <w:r w:rsidRPr="004D2F68">
        <w:rPr>
          <w:snapToGrid/>
        </w:rPr>
        <w:t xml:space="preserve">This larger ratio is </w:t>
      </w:r>
      <w:r w:rsidRPr="004D2F68">
        <w:rPr>
          <w:snapToGrid/>
        </w:rPr>
        <w:t>sufficient</w:t>
      </w:r>
      <w:r w:rsidRPr="004D2F68">
        <w:rPr>
          <w:snapToGrid/>
        </w:rPr>
        <w:t xml:space="preserve"> to prevent the definition from ensnaring </w:t>
      </w:r>
      <w:r>
        <w:rPr>
          <w:snapToGrid/>
        </w:rPr>
        <w:t xml:space="preserve">competitive </w:t>
      </w:r>
      <w:r w:rsidRPr="004D2F68">
        <w:rPr>
          <w:snapToGrid/>
        </w:rPr>
        <w:t xml:space="preserve">LECs that have traffic growth solely due to </w:t>
      </w:r>
      <w:r>
        <w:rPr>
          <w:snapToGrid/>
        </w:rPr>
        <w:t xml:space="preserve">the </w:t>
      </w:r>
      <w:r w:rsidRPr="004D2F68">
        <w:rPr>
          <w:snapToGrid/>
        </w:rPr>
        <w:t>development of their communities</w:t>
      </w:r>
      <w:r>
        <w:rPr>
          <w:snapToGrid/>
        </w:rPr>
        <w:t xml:space="preserve">.  </w:t>
      </w:r>
      <w:r>
        <w:t xml:space="preserve">We do not find compelling Wide Voice’s </w:t>
      </w:r>
      <w:r w:rsidRPr="00834879">
        <w:rPr>
          <w:color w:val="000000"/>
        </w:rPr>
        <w:t xml:space="preserve">suggestion that an access-stimulating LEC that </w:t>
      </w:r>
      <w:r>
        <w:rPr>
          <w:color w:val="000000"/>
        </w:rPr>
        <w:t>exceeds</w:t>
      </w:r>
      <w:r w:rsidRPr="00834879">
        <w:rPr>
          <w:color w:val="000000"/>
        </w:rPr>
        <w:t xml:space="preserve"> the 6:1 ratio would have an incentive to try to game the system by obtaining more originating traffic, such as 8YY traffic, to stay below the 6:1 ratio</w:t>
      </w:r>
      <w:r>
        <w:rPr>
          <w:rStyle w:val="FootnoteReference"/>
          <w:color w:val="000000"/>
        </w:rPr>
        <w:footnoteReference w:id="145"/>
      </w:r>
      <w:r w:rsidRPr="00834879">
        <w:rPr>
          <w:color w:val="000000"/>
        </w:rPr>
        <w:t xml:space="preserve"> </w:t>
      </w:r>
      <w:r>
        <w:rPr>
          <w:color w:val="000000"/>
        </w:rPr>
        <w:t>or move traffic to other LECs to avoid tripping the trigger.</w:t>
      </w:r>
      <w:r>
        <w:rPr>
          <w:rStyle w:val="FootnoteReference"/>
        </w:rPr>
        <w:footnoteReference w:id="146"/>
      </w:r>
      <w:r>
        <w:rPr>
          <w:color w:val="000000"/>
        </w:rPr>
        <w:t xml:space="preserve"> </w:t>
      </w:r>
      <w:r w:rsidRPr="00834879">
        <w:rPr>
          <w:color w:val="000000"/>
        </w:rPr>
        <w:t xml:space="preserve"> All LECs, not just access-stimulating LECs, should have an incentive to obtain more traffic, whether it’s originating 8YY traffic or terminating traffic.  However, there is no evidence that access-stimulating LECs are currently </w:t>
      </w:r>
      <w:r w:rsidRPr="00834879">
        <w:rPr>
          <w:color w:val="000000"/>
        </w:rPr>
        <w:t>able to avoid the 3:1 trigger by simply carrying more originating traffic</w:t>
      </w:r>
      <w:r>
        <w:rPr>
          <w:color w:val="000000"/>
        </w:rPr>
        <w:t xml:space="preserve"> or moving traffic</w:t>
      </w:r>
      <w:r w:rsidRPr="00834879">
        <w:rPr>
          <w:color w:val="000000"/>
        </w:rPr>
        <w:t xml:space="preserve">, and Wide Voice offers no evidence that doing so will be a simple matter for LECs seeking to avoid the 6:1 ratio that we are adding to capture </w:t>
      </w:r>
      <w:r>
        <w:t>LECs engaging in this scheme without a revenue sharing agreement.  We do not include a threshold for number of minutes of interstate traffic carried by a competitive LEC to meet the test for an access-stimulating competitive LEC because there is no justification in the record for a specific number.</w:t>
      </w:r>
      <w:r>
        <w:rPr>
          <w:rStyle w:val="FootnoteReference"/>
        </w:rPr>
        <w:footnoteReference w:id="147"/>
      </w:r>
      <w:r>
        <w:t xml:space="preserve">  </w:t>
      </w:r>
    </w:p>
    <w:p w:rsidR="00EB312D" w:rsidRPr="00537449" w:rsidP="00EB312D">
      <w:pPr>
        <w:pStyle w:val="ParaNum"/>
        <w:rPr>
          <w:snapToGrid/>
          <w:szCs w:val="24"/>
        </w:rPr>
      </w:pPr>
      <w:r>
        <w:rPr>
          <w:snapToGrid/>
        </w:rPr>
        <w:t xml:space="preserve">We adopt a separate alternative test for determining whether a rate-of-return LEC is engaged in access stimulation in part to address NTCA and other commenters’ concerns that “eliminating the revenue sharing component of the definition of access </w:t>
      </w:r>
      <w:r>
        <w:rPr>
          <w:snapToGrid/>
        </w:rPr>
        <w:t>stimulation .</w:t>
      </w:r>
      <w:r>
        <w:rPr>
          <w:snapToGrid/>
        </w:rPr>
        <w:t xml:space="preserve"> . . could immediately have the inadvertent effect of treating innocent </w:t>
      </w:r>
      <w:r w:rsidRPr="00FB64E1">
        <w:rPr>
          <w:rStyle w:val="CommentReference"/>
          <w:sz w:val="22"/>
          <w:szCs w:val="22"/>
        </w:rPr>
        <w:t>RLEC</w:t>
      </w:r>
      <w:r>
        <w:rPr>
          <w:rStyle w:val="CommentReference"/>
          <w:sz w:val="22"/>
          <w:szCs w:val="22"/>
        </w:rPr>
        <w:t>s</w:t>
      </w:r>
      <w:r>
        <w:rPr>
          <w:snapToGrid/>
        </w:rPr>
        <w:t xml:space="preserve"> as access stimulators when they do not engage in that practice at all.”</w:t>
      </w:r>
      <w:r>
        <w:rPr>
          <w:rStyle w:val="FootnoteReference"/>
          <w:snapToGrid/>
        </w:rPr>
        <w:footnoteReference w:id="148"/>
      </w:r>
      <w:r>
        <w:rPr>
          <w:snapToGrid/>
        </w:rPr>
        <w:t xml:space="preserve">  </w:t>
      </w:r>
      <w:r>
        <w:t xml:space="preserve">In adopting a second alternate access-stimulation definition applicable only to rate-of-return LECs we recognize that </w:t>
      </w:r>
      <w:r>
        <w:t>the majority of</w:t>
      </w:r>
      <w:r>
        <w:t xml:space="preserve"> those carriers are small, rural carriers with different characteristics than competitive LECs.  For example, unlike access-stimulating LECs that only serve high-volume calling providers, rate-of-return carriers, which serve small communities and have done so for years, would not be able to freely move stimulated traffic to different end offices.</w:t>
      </w:r>
      <w:r>
        <w:rPr>
          <w:rStyle w:val="FootnoteReference"/>
        </w:rPr>
        <w:footnoteReference w:id="149"/>
      </w:r>
      <w:r>
        <w:t xml:space="preserve">  In addition, as NTCA explains, such carriers also may have traffic ratios that are disproportionately weighted toward terminating traffic because their customers have shifted their originating calls to wireless or VoIP technologies.</w:t>
      </w:r>
      <w:r>
        <w:rPr>
          <w:rStyle w:val="FootnoteReference"/>
        </w:rPr>
        <w:footnoteReference w:id="150"/>
      </w:r>
      <w:r>
        <w:t xml:space="preserve">  This trend is reflected in the Commission’s </w:t>
      </w:r>
      <w:r w:rsidRPr="00734F7E">
        <w:rPr>
          <w:i/>
        </w:rPr>
        <w:t>Voice Telephone Services Report–June 2017</w:t>
      </w:r>
      <w:r>
        <w:t>.</w:t>
      </w:r>
      <w:r>
        <w:rPr>
          <w:rStyle w:val="FootnoteReference"/>
        </w:rPr>
        <w:footnoteReference w:id="151"/>
      </w:r>
      <w:r>
        <w:t xml:space="preserve">  We also agree with NTCA that small rate-of-return LECs’ traffic may be more sensitive to seasonal changes in the ratio of their terminating-to-originating access minutes because of the unique geographical areas they serve and thus may have spikes in call volume with a greater impact on traffic ratios than would be experienced by carriers with a larger base of traffic spread over a larger, more populated, geographical area.</w:t>
      </w:r>
      <w:r>
        <w:rPr>
          <w:rStyle w:val="FootnoteReference"/>
        </w:rPr>
        <w:footnoteReference w:id="152"/>
      </w:r>
      <w:r>
        <w:t xml:space="preserve">  </w:t>
      </w:r>
    </w:p>
    <w:p w:rsidR="00EB312D" w:rsidP="00EB312D">
      <w:pPr>
        <w:pStyle w:val="ParaNum"/>
      </w:pPr>
      <w:r>
        <w:t xml:space="preserve">The second alternate definition we adopt strikes an appropriate balance.  It recognizes the potential that small, non-access-stimulating, rate-of-return carriers may have larger terminating-to-originating traffic ratios than competitive LECs </w:t>
      </w:r>
      <w:r>
        <w:rPr>
          <w:snapToGrid/>
        </w:rPr>
        <w:t>and “avoid[s] penalizing innocent LECs that may have increased call volumes due to new economic growth,” for example.</w:t>
      </w:r>
      <w:r>
        <w:rPr>
          <w:snapToGrid/>
          <w:sz w:val="20"/>
          <w:vertAlign w:val="superscript"/>
        </w:rPr>
        <w:footnoteReference w:id="153"/>
      </w:r>
      <w:r>
        <w:t xml:space="preserve">  NTCA shows that application of a 6:1 ratio to rate-of-return LECs would identify as access-stimulating LECs approximately 4% of rate-of-return LECs that participate in the National Exchange Carrier Association (NECA) pool even though they </w:t>
      </w:r>
      <w:r>
        <w:t>are not actually engaged in access stimulation.</w:t>
      </w:r>
      <w:r>
        <w:rPr>
          <w:rStyle w:val="FootnoteReference"/>
        </w:rPr>
        <w:footnoteReference w:id="154"/>
      </w:r>
      <w:r>
        <w:t xml:space="preserve">  NTCA and AT&amp;T therefore recommend that, for rate-of-return carriers, we adopt a second test for access stimulation that is based on a 10:1 traffic ratio combined with traffic volume that exceeds 500,000 terminating interstate minutes per end office per month averaged over three months.</w:t>
      </w:r>
      <w:r>
        <w:rPr>
          <w:rStyle w:val="FootnoteReference"/>
        </w:rPr>
        <w:footnoteReference w:id="155"/>
      </w:r>
      <w:r>
        <w:t xml:space="preserve">  We agree with NTCA and AT&amp;T that their proposed 10:1 trigger is reasonable given that a small but significant number of rate-of-return LECs that are apparently not engaged in access arbitrage would trip the 6:1 trigger; the structural disincentives for rate-of-return LECs to engage in access stimulation; and the lack of evidence that rate-of-return LECs are currently engaged in access stimulation.</w:t>
      </w:r>
      <w:r>
        <w:rPr>
          <w:rStyle w:val="FootnoteReference"/>
        </w:rPr>
        <w:footnoteReference w:id="156"/>
      </w:r>
      <w:r>
        <w:t xml:space="preserve">  We also think that a threshold of 500,000 terminating interstate minutes per month is a reasonable trigger for rate-of-return LECs.  By its very nature, access stimulation involves termination of </w:t>
      </w:r>
      <w:r>
        <w:t>a large number of</w:t>
      </w:r>
      <w:r>
        <w:t xml:space="preserve"> minutes per month, as such, excluding the smallest rate-of-return carriers from the definition is a sensible approach.  Thus, for rate-of-return LECs, we adopt a 10:1 ratio as demonstrating access stimulation activity when combined with more than 500,000</w:t>
      </w:r>
      <w:r>
        <w:t xml:space="preserve"> </w:t>
      </w:r>
      <w:r>
        <w:t>interstate terminating minutes-of-use</w:t>
      </w:r>
      <w:r>
        <w:t xml:space="preserve"> </w:t>
      </w:r>
      <w:r>
        <w:t>per month, per end office,</w:t>
      </w:r>
      <w:r w:rsidRPr="00E44A0C">
        <w:t xml:space="preserve"> </w:t>
      </w:r>
      <w:r>
        <w:t>averaged over three calendar months.</w:t>
      </w:r>
      <w:r>
        <w:rPr>
          <w:rStyle w:val="FootnoteReference"/>
        </w:rPr>
        <w:footnoteReference w:id="157"/>
      </w:r>
      <w:r>
        <w:t xml:space="preserve">  </w:t>
      </w:r>
    </w:p>
    <w:p w:rsidR="00EB312D" w:rsidRPr="008A5B74" w:rsidP="00844D1E">
      <w:pPr>
        <w:pStyle w:val="ParaNum"/>
        <w:widowControl/>
      </w:pPr>
      <w:r>
        <w:t xml:space="preserve">We also agree with NTCA that “any access stimulation trigger be based on </w:t>
      </w:r>
      <w:r>
        <w:rPr>
          <w:i/>
        </w:rPr>
        <w:t>actual</w:t>
      </w:r>
      <w:r>
        <w:t xml:space="preserve"> minutes of use as measured by the LEC</w:t>
      </w:r>
      <w:r>
        <w:t xml:space="preserve"> </w:t>
      </w:r>
      <w:r>
        <w:t>traversing the switch, rather than by reference to billing records.”</w:t>
      </w:r>
      <w:r>
        <w:rPr>
          <w:rStyle w:val="FootnoteReference"/>
        </w:rPr>
        <w:footnoteReference w:id="158"/>
      </w:r>
      <w:r>
        <w:t xml:space="preserve">  This is how the ratio is currently calculated and it should remain the case that when calculating the current 3:1 terminating-to-originating traffic trigger, or the 6:1 or 10:1 triggers adopted in this </w:t>
      </w:r>
      <w:r w:rsidRPr="00D57292">
        <w:rPr>
          <w:i/>
        </w:rPr>
        <w:t>Order</w:t>
      </w:r>
      <w:r>
        <w:t xml:space="preserve">, carriers must look to the actual minutes traversing the LEC switch.  This combination of a traffic ratio and a minutes-of-use threshold for rate-of-return carriers is consistent with the Commission’s approach in the </w:t>
      </w:r>
      <w:r>
        <w:rPr>
          <w:i/>
        </w:rPr>
        <w:t>USF/ICC Transformation Order</w:t>
      </w:r>
      <w:r>
        <w:t xml:space="preserve"> to ensure that the definition is not over-inclusive but is enforceable.</w:t>
      </w:r>
      <w:r>
        <w:rPr>
          <w:rStyle w:val="FootnoteReference"/>
        </w:rPr>
        <w:footnoteReference w:id="159"/>
      </w:r>
      <w:r>
        <w:t xml:space="preserve">  In addition, we find that measuring this ratio and the average monthly minutes-of-use </w:t>
      </w:r>
      <w:r>
        <w:t>threshold over three months will adequately account for the potential seasonal spikes in calling volumes identified by NTCA.</w:t>
      </w:r>
      <w:r>
        <w:rPr>
          <w:rStyle w:val="FootnoteReference"/>
        </w:rPr>
        <w:footnoteReference w:id="160"/>
      </w:r>
      <w:r>
        <w:t xml:space="preserve">  </w:t>
      </w:r>
    </w:p>
    <w:p w:rsidR="00EB312D" w:rsidRPr="004D70A0" w:rsidP="00EB312D">
      <w:pPr>
        <w:pStyle w:val="ParaNum"/>
      </w:pPr>
      <w:r>
        <w:t>Although no party has raised concerns about how the existing 3:1 traffic ratio is calculated, we received specific questions about calculating the 6:1 ratio.</w:t>
      </w:r>
      <w:r>
        <w:rPr>
          <w:rStyle w:val="FootnoteReference"/>
        </w:rPr>
        <w:footnoteReference w:id="161"/>
      </w:r>
      <w:r>
        <w:t xml:space="preserve">  We clarify that all traffic should be counted regardless of how it is routed.</w:t>
      </w:r>
      <w:r>
        <w:rPr>
          <w:rStyle w:val="FootnoteReference"/>
        </w:rPr>
        <w:footnoteReference w:id="162"/>
      </w:r>
      <w:r>
        <w:t xml:space="preserve">  Contrary to Wide Voice’s assertions, originating traffic using tariffed access services counts as does originating traffic using a “least cost router under negotiated billing arrangements outside of the access regime.”</w:t>
      </w:r>
      <w:r>
        <w:rPr>
          <w:rStyle w:val="FootnoteReference"/>
        </w:rPr>
        <w:footnoteReference w:id="163"/>
      </w:r>
      <w:r>
        <w:t xml:space="preserve">  All originating and terminating interstate traffic should be counted in determining the interstate terminating-to-originating traffic ratio.  This also means that all terminating traffic from all sources, not just one IXC, should be counted in determining a traffic ratio.</w:t>
      </w:r>
      <w:r>
        <w:rPr>
          <w:rStyle w:val="FootnoteReference"/>
        </w:rPr>
        <w:footnoteReference w:id="164"/>
      </w:r>
      <w:r>
        <w:t xml:space="preserve">  </w:t>
      </w:r>
    </w:p>
    <w:p w:rsidR="00EB312D" w:rsidRPr="006956AF" w:rsidP="00EB312D">
      <w:pPr>
        <w:pStyle w:val="ParaNum"/>
        <w:rPr>
          <w:snapToGrid/>
          <w:szCs w:val="24"/>
        </w:rPr>
      </w:pPr>
      <w:r>
        <w:t>We recognize the possibility that a LEC may experience significant traffic growth and if, for example, such customers include one or more inbound call centers, the result could be that its traffic exceeds one of the new traffic ratio triggers we adopt.</w:t>
      </w:r>
      <w:r>
        <w:rPr>
          <w:rStyle w:val="FootnoteReference"/>
        </w:rPr>
        <w:footnoteReference w:id="165"/>
      </w:r>
      <w:r>
        <w:t xml:space="preserve">  We are not aware of any similar problems occurring with the existing 3:1 ratio and the record contains no evidence of that happening.  Nonetheless, consistent with the Commission’s decision in the </w:t>
      </w:r>
      <w:r w:rsidRPr="00FE31FA">
        <w:rPr>
          <w:i/>
        </w:rPr>
        <w:t>USF/ICC Transformation Order</w:t>
      </w:r>
      <w:r>
        <w:t>, should a non-access-stimulating LEC experience a change in its traffic mix such that it exceeds one of the ratios we use to define access-stimulating LECs, that LEC will have “an opportunity to show that they are in compliance with the Commission’s rules.”</w:t>
      </w:r>
      <w:r>
        <w:rPr>
          <w:rStyle w:val="FootnoteReference"/>
        </w:rPr>
        <w:footnoteReference w:id="166"/>
      </w:r>
      <w:r>
        <w:t xml:space="preserve">  In addition, as </w:t>
      </w:r>
      <w:r>
        <w:rPr>
          <w:szCs w:val="22"/>
        </w:rPr>
        <w:t xml:space="preserve">Sprint correctly points out </w:t>
      </w:r>
      <w:r>
        <w:t xml:space="preserve">if a LEC, not engaged in arbitrage, finds that its traffic will exceed a prescribed terminating-to-originating traffic ratio, the LEC </w:t>
      </w:r>
      <w:r>
        <w:t>may request a waiver.</w:t>
      </w:r>
      <w:r>
        <w:rPr>
          <w:rStyle w:val="FootnoteReference"/>
        </w:rPr>
        <w:footnoteReference w:id="167"/>
      </w:r>
      <w:r>
        <w:t xml:space="preserve">  We find these alternatives will protect non-access-stimulating LECs from false identification as being engaged in access stimulation.</w:t>
      </w:r>
      <w:r>
        <w:rPr>
          <w:rStyle w:val="FootnoteReference"/>
        </w:rPr>
        <w:footnoteReference w:id="168"/>
      </w:r>
    </w:p>
    <w:p w:rsidR="00EB312D" w:rsidRPr="00D847F2" w:rsidP="00EB312D">
      <w:pPr>
        <w:pStyle w:val="ParaNum"/>
      </w:pPr>
      <w:r w:rsidRPr="00E82E0F">
        <w:rPr>
          <w:i/>
          <w:snapToGrid/>
        </w:rPr>
        <w:t xml:space="preserve">Identifying </w:t>
      </w:r>
      <w:r w:rsidRPr="000F420B">
        <w:rPr>
          <w:i/>
          <w:snapToGrid/>
        </w:rPr>
        <w:t>W</w:t>
      </w:r>
      <w:r w:rsidRPr="35E26B81">
        <w:rPr>
          <w:i/>
          <w:snapToGrid/>
        </w:rPr>
        <w:t>hen a LEC Is No Longer Engaged in Access Stimulation</w:t>
      </w:r>
      <w:r w:rsidRPr="00A67F16">
        <w:t xml:space="preserve">.  </w:t>
      </w:r>
      <w:r w:rsidRPr="00DD1E5F">
        <w:rPr>
          <w:snapToGrid/>
        </w:rPr>
        <w:t xml:space="preserve">Because we are adding </w:t>
      </w:r>
      <w:r>
        <w:rPr>
          <w:snapToGrid/>
        </w:rPr>
        <w:t>two</w:t>
      </w:r>
      <w:r w:rsidRPr="00DD1E5F">
        <w:rPr>
          <w:snapToGrid/>
        </w:rPr>
        <w:t xml:space="preserve"> alternate </w:t>
      </w:r>
      <w:r w:rsidRPr="004D2F68">
        <w:rPr>
          <w:snapToGrid/>
        </w:rPr>
        <w:t>bas</w:t>
      </w:r>
      <w:r>
        <w:rPr>
          <w:snapToGrid/>
        </w:rPr>
        <w:t>e</w:t>
      </w:r>
      <w:r w:rsidRPr="004D2F68">
        <w:rPr>
          <w:snapToGrid/>
        </w:rPr>
        <w:t>s for identifying access stimulation, we also must modify the rule that defines when a LEC is no longer engaged in access stimulation.  The existing rule provides that a LEC is no longer engaged in access stimulation when it ceases revenue sharing.</w:t>
      </w:r>
      <w:r>
        <w:rPr>
          <w:snapToGrid/>
          <w:sz w:val="20"/>
          <w:vertAlign w:val="superscript"/>
        </w:rPr>
        <w:footnoteReference w:id="169"/>
      </w:r>
      <w:r w:rsidRPr="00DD1E5F">
        <w:rPr>
          <w:snapToGrid/>
        </w:rPr>
        <w:t xml:space="preserve">  </w:t>
      </w:r>
      <w:r w:rsidRPr="000F420B">
        <w:rPr>
          <w:snapToGrid/>
        </w:rPr>
        <w:t xml:space="preserve">We </w:t>
      </w:r>
      <w:r>
        <w:rPr>
          <w:snapToGrid/>
        </w:rPr>
        <w:t>amend</w:t>
      </w:r>
      <w:r w:rsidRPr="000F420B">
        <w:rPr>
          <w:snapToGrid/>
        </w:rPr>
        <w:t xml:space="preserve"> our rules to provide that a </w:t>
      </w:r>
      <w:r>
        <w:rPr>
          <w:snapToGrid/>
        </w:rPr>
        <w:t>competitive LEC</w:t>
      </w:r>
      <w:r w:rsidRPr="000F420B">
        <w:rPr>
          <w:snapToGrid/>
        </w:rPr>
        <w:t xml:space="preserve"> </w:t>
      </w:r>
      <w:r>
        <w:rPr>
          <w:snapToGrid/>
        </w:rPr>
        <w:t xml:space="preserve">that has met the first set of triggers for access stimulation </w:t>
      </w:r>
      <w:r w:rsidRPr="000F420B">
        <w:rPr>
          <w:snapToGrid/>
        </w:rPr>
        <w:t xml:space="preserve">will continue to be </w:t>
      </w:r>
      <w:r>
        <w:rPr>
          <w:snapToGrid/>
        </w:rPr>
        <w:t xml:space="preserve">considered to be </w:t>
      </w:r>
      <w:r w:rsidRPr="000F420B">
        <w:rPr>
          <w:snapToGrid/>
        </w:rPr>
        <w:t>engaging in access stimulation until</w:t>
      </w:r>
      <w:r>
        <w:rPr>
          <w:snapToGrid/>
        </w:rPr>
        <w:t xml:space="preserve"> </w:t>
      </w:r>
      <w:r w:rsidRPr="00001CB6">
        <w:rPr>
          <w:snapToGrid/>
        </w:rPr>
        <w:t xml:space="preserve">it terminates all revenue sharing arrangements </w:t>
      </w:r>
      <w:r w:rsidRPr="007F2AF3">
        <w:rPr>
          <w:snapToGrid/>
        </w:rPr>
        <w:t>an</w:t>
      </w:r>
      <w:r w:rsidRPr="00092B6D">
        <w:rPr>
          <w:snapToGrid/>
        </w:rPr>
        <w:t xml:space="preserve">d does not </w:t>
      </w:r>
      <w:r>
        <w:rPr>
          <w:snapToGrid/>
        </w:rPr>
        <w:t xml:space="preserve">meet the 6:1 terminating-to-originating traffic ratio; and a competitive LEC that has met the 6:1 </w:t>
      </w:r>
      <w:r w:rsidRPr="007C723D">
        <w:rPr>
          <w:snapToGrid/>
        </w:rPr>
        <w:t xml:space="preserve">ratio </w:t>
      </w:r>
      <w:r>
        <w:rPr>
          <w:snapToGrid/>
        </w:rPr>
        <w:t xml:space="preserve">will continue to be considered to be engaging in access stimulation until it </w:t>
      </w:r>
      <w:r w:rsidRPr="007C723D">
        <w:rPr>
          <w:snapToGrid/>
        </w:rPr>
        <w:t xml:space="preserve">falls below </w:t>
      </w:r>
      <w:r>
        <w:rPr>
          <w:snapToGrid/>
        </w:rPr>
        <w:t>that ratio</w:t>
      </w:r>
      <w:r w:rsidRPr="007C723D">
        <w:rPr>
          <w:snapToGrid/>
        </w:rPr>
        <w:t xml:space="preserve"> for six consecutive months, and it does not qualify </w:t>
      </w:r>
      <w:r>
        <w:rPr>
          <w:snapToGrid/>
        </w:rPr>
        <w:t>as an access-stimulating LEC under the first set of triggers</w:t>
      </w:r>
      <w:r w:rsidRPr="00356B0B">
        <w:rPr>
          <w:snapToGrid/>
        </w:rPr>
        <w:t>.</w:t>
      </w:r>
      <w:r>
        <w:rPr>
          <w:snapToGrid/>
          <w:sz w:val="20"/>
          <w:vertAlign w:val="superscript"/>
        </w:rPr>
        <w:footnoteReference w:id="170"/>
      </w:r>
      <w:r w:rsidRPr="00DD1E5F">
        <w:rPr>
          <w:snapToGrid/>
        </w:rPr>
        <w:t xml:space="preserve">  </w:t>
      </w:r>
    </w:p>
    <w:p w:rsidR="00EB312D" w:rsidRPr="00742D23" w:rsidP="00EB312D">
      <w:pPr>
        <w:pStyle w:val="ParaNum"/>
      </w:pPr>
      <w:r>
        <w:rPr>
          <w:snapToGrid/>
        </w:rPr>
        <w:t>We amend our rules to provide that a rate-of-return LEC that has met the first set of triggers for access stimulation will continue to be considered to be engaging in access stimulation until it: (1) terminates all revenue sharing arrangements; (2) does not meet the 10:1</w:t>
      </w:r>
      <w:r w:rsidRPr="004A2692">
        <w:rPr>
          <w:snapToGrid/>
        </w:rPr>
        <w:t xml:space="preserve"> </w:t>
      </w:r>
      <w:r>
        <w:rPr>
          <w:snapToGrid/>
        </w:rPr>
        <w:t>terminating-to-originating traffic ratio; and (3) has less than 500,000 minutes of average monthly interstate terminating traffic in an end office (measured over the three-month period).</w:t>
      </w:r>
      <w:r>
        <w:rPr>
          <w:rStyle w:val="FootnoteReference"/>
          <w:snapToGrid/>
        </w:rPr>
        <w:footnoteReference w:id="171"/>
      </w:r>
      <w:r>
        <w:rPr>
          <w:snapToGrid/>
        </w:rPr>
        <w:t xml:space="preserve">  A rate-of-return LEC that has met the 10:1 ratio and 500,000 minutes-per-month threshold will continue to be considered to be engaging in access stimulation until its traffic balance falls below that ratio and that monthly traffic volume for six consecutive months, and it does not qualify as an access-stimulating LEC under the first set of triggers.  </w:t>
      </w:r>
      <w:r w:rsidRPr="00DD1E5F">
        <w:rPr>
          <w:snapToGrid/>
        </w:rPr>
        <w:t xml:space="preserve">We </w:t>
      </w:r>
      <w:r w:rsidRPr="004D2F68">
        <w:rPr>
          <w:snapToGrid/>
        </w:rPr>
        <w:t xml:space="preserve">find that a six-month time frame will accurately signal a change in </w:t>
      </w:r>
      <w:r>
        <w:rPr>
          <w:snapToGrid/>
        </w:rPr>
        <w:t xml:space="preserve">either a competitive LEC’s or a rate-of-return </w:t>
      </w:r>
      <w:r w:rsidRPr="004D2F68">
        <w:rPr>
          <w:snapToGrid/>
        </w:rPr>
        <w:t xml:space="preserve">LEC’s business practices rather than identify a short-term variation in traffic volumes that may not repeat in the following months.  </w:t>
      </w:r>
    </w:p>
    <w:p w:rsidR="00EB312D" w:rsidRPr="000F2933" w:rsidP="00EB312D">
      <w:pPr>
        <w:pStyle w:val="ParaNum"/>
      </w:pPr>
      <w:r w:rsidRPr="004D2F68">
        <w:rPr>
          <w:snapToGrid/>
        </w:rPr>
        <w:t xml:space="preserve">We also make a minor modification </w:t>
      </w:r>
      <w:r w:rsidRPr="00DD1E5F">
        <w:rPr>
          <w:snapToGrid/>
        </w:rPr>
        <w:t xml:space="preserve">to </w:t>
      </w:r>
      <w:r>
        <w:rPr>
          <w:snapToGrid/>
        </w:rPr>
        <w:t>section 61.3(</w:t>
      </w:r>
      <w:r>
        <w:rPr>
          <w:snapToGrid/>
        </w:rPr>
        <w:t>bbb</w:t>
      </w:r>
      <w:r>
        <w:rPr>
          <w:snapToGrid/>
        </w:rPr>
        <w:t>)(4) which states that LECs engaged in access stimulation are subject to revised interstate switched access rates.</w:t>
      </w:r>
      <w:r>
        <w:rPr>
          <w:rStyle w:val="FootnoteReference"/>
          <w:snapToGrid/>
          <w:kern w:val="0"/>
        </w:rPr>
        <w:footnoteReference w:id="172"/>
      </w:r>
      <w:r>
        <w:rPr>
          <w:snapToGrid/>
        </w:rPr>
        <w:t xml:space="preserve">  When the rule was adopted in the </w:t>
      </w:r>
      <w:r w:rsidRPr="00E82E0F">
        <w:rPr>
          <w:i/>
          <w:snapToGrid/>
        </w:rPr>
        <w:t>USF/ICC Transformation Order</w:t>
      </w:r>
      <w:r>
        <w:rPr>
          <w:snapToGrid/>
        </w:rPr>
        <w:t>, the Commission stated that revised interstate switched access rates applied to both rate-of-return LECs and competitive LECs.</w:t>
      </w:r>
      <w:r>
        <w:rPr>
          <w:rStyle w:val="FootnoteReference"/>
          <w:snapToGrid/>
          <w:kern w:val="0"/>
        </w:rPr>
        <w:footnoteReference w:id="173"/>
      </w:r>
      <w:r>
        <w:rPr>
          <w:snapToGrid/>
        </w:rPr>
        <w:t xml:space="preserve">  However, the rule adopted in that Order, section 61.3(</w:t>
      </w:r>
      <w:r>
        <w:rPr>
          <w:snapToGrid/>
        </w:rPr>
        <w:t>bbb</w:t>
      </w:r>
      <w:r>
        <w:rPr>
          <w:snapToGrid/>
        </w:rPr>
        <w:t>)(2), refers to the rate regulations applicable only to rate-of-return carriers.</w:t>
      </w:r>
      <w:r>
        <w:rPr>
          <w:rStyle w:val="FootnoteReference"/>
          <w:snapToGrid/>
          <w:kern w:val="0"/>
        </w:rPr>
        <w:footnoteReference w:id="174"/>
      </w:r>
      <w:r>
        <w:rPr>
          <w:snapToGrid/>
        </w:rPr>
        <w:t xml:space="preserve">  In the </w:t>
      </w:r>
      <w:r w:rsidRPr="00E82E0F">
        <w:rPr>
          <w:i/>
          <w:snapToGrid/>
        </w:rPr>
        <w:t>A</w:t>
      </w:r>
      <w:r w:rsidRPr="000F420B">
        <w:rPr>
          <w:i/>
          <w:snapToGrid/>
        </w:rPr>
        <w:t>ccess A</w:t>
      </w:r>
      <w:r w:rsidRPr="35E26B81">
        <w:rPr>
          <w:i/>
          <w:snapToGrid/>
        </w:rPr>
        <w:t>rbitrage Notice</w:t>
      </w:r>
      <w:r>
        <w:rPr>
          <w:snapToGrid/>
        </w:rPr>
        <w:t>, we asked for comme</w:t>
      </w:r>
      <w:r w:rsidRPr="00594CDC">
        <w:rPr>
          <w:snapToGrid/>
        </w:rPr>
        <w:t>nts</w:t>
      </w:r>
      <w:r>
        <w:rPr>
          <w:snapToGrid/>
        </w:rPr>
        <w:t xml:space="preserve"> on the rules, and received no comments on this </w:t>
      </w:r>
      <w:r>
        <w:rPr>
          <w:snapToGrid/>
        </w:rPr>
        <w:t>issue.</w:t>
      </w:r>
      <w:r>
        <w:rPr>
          <w:rStyle w:val="FootnoteReference"/>
          <w:snapToGrid/>
          <w:kern w:val="0"/>
        </w:rPr>
        <w:footnoteReference w:id="175"/>
      </w:r>
      <w:r>
        <w:rPr>
          <w:snapToGrid/>
        </w:rPr>
        <w:t xml:space="preserve">  W</w:t>
      </w:r>
      <w:r w:rsidRPr="00594CDC">
        <w:rPr>
          <w:snapToGrid/>
        </w:rPr>
        <w:t>e therefore</w:t>
      </w:r>
      <w:r>
        <w:rPr>
          <w:snapToGrid/>
        </w:rPr>
        <w:t xml:space="preserve"> modify (now relabeled) section 61.3(</w:t>
      </w:r>
      <w:r>
        <w:rPr>
          <w:snapToGrid/>
        </w:rPr>
        <w:t>bbb</w:t>
      </w:r>
      <w:r>
        <w:rPr>
          <w:snapToGrid/>
        </w:rPr>
        <w:t>)(4) to refer to the rate regulations for competitive LECs as well as rate-of-return LECs.</w:t>
      </w:r>
      <w:r>
        <w:rPr>
          <w:rStyle w:val="FootnoteReference"/>
          <w:snapToGrid/>
          <w:kern w:val="0"/>
        </w:rPr>
        <w:footnoteReference w:id="176"/>
      </w:r>
      <w:r>
        <w:rPr>
          <w:snapToGrid/>
        </w:rPr>
        <w:t xml:space="preserve">  The revised section 61.3(</w:t>
      </w:r>
      <w:r>
        <w:rPr>
          <w:snapToGrid/>
        </w:rPr>
        <w:t>bbb</w:t>
      </w:r>
      <w:r>
        <w:rPr>
          <w:snapToGrid/>
        </w:rPr>
        <w:t xml:space="preserve">)(4) therefore </w:t>
      </w:r>
      <w:r w:rsidRPr="00DD1E5F">
        <w:rPr>
          <w:snapToGrid/>
        </w:rPr>
        <w:t>specif</w:t>
      </w:r>
      <w:r>
        <w:rPr>
          <w:snapToGrid/>
        </w:rPr>
        <w:t>ies</w:t>
      </w:r>
      <w:r w:rsidRPr="00DD1E5F">
        <w:rPr>
          <w:snapToGrid/>
        </w:rPr>
        <w:t xml:space="preserve"> that a LEC engaging in access stimulation is subject to revised interstate switched access charge rules under se</w:t>
      </w:r>
      <w:r w:rsidRPr="004D2F68">
        <w:rPr>
          <w:snapToGrid/>
        </w:rPr>
        <w:t xml:space="preserve">ction 61.26(g) (for </w:t>
      </w:r>
      <w:r>
        <w:rPr>
          <w:snapToGrid/>
        </w:rPr>
        <w:t>c</w:t>
      </w:r>
      <w:r w:rsidRPr="004D2F68">
        <w:rPr>
          <w:snapToGrid/>
        </w:rPr>
        <w:t>ompetitive</w:t>
      </w:r>
      <w:r w:rsidRPr="004D2F68">
        <w:rPr>
          <w:snapToGrid/>
        </w:rPr>
        <w:t xml:space="preserve"> </w:t>
      </w:r>
      <w:r>
        <w:rPr>
          <w:snapToGrid/>
        </w:rPr>
        <w:t>LECs</w:t>
      </w:r>
      <w:r w:rsidRPr="004D2F68">
        <w:rPr>
          <w:snapToGrid/>
        </w:rPr>
        <w:t>), or sections 61.38 and 69.3(e)(12) (for rate-of-return LECs).</w:t>
      </w:r>
      <w:r>
        <w:rPr>
          <w:snapToGrid/>
          <w:sz w:val="20"/>
          <w:vertAlign w:val="superscript"/>
        </w:rPr>
        <w:footnoteReference w:id="177"/>
      </w:r>
      <w:r>
        <w:rPr>
          <w:snapToGrid/>
        </w:rPr>
        <w:t xml:space="preserve"> </w:t>
      </w:r>
    </w:p>
    <w:p w:rsidR="00EB312D" w:rsidRPr="00E407A9" w:rsidP="00281AF4">
      <w:pPr>
        <w:pStyle w:val="ParaNum"/>
        <w:widowControl/>
      </w:pPr>
      <w:r>
        <w:t>In response to comments, the rule we adopt specifically states that a LEC that is not itself engaged in access stimulation, but is an intermediate access provider for a LEC engaged in access stimulation, shall not itself be deemed a LEC engaged in access stimulation.</w:t>
      </w:r>
      <w:r>
        <w:rPr>
          <w:rStyle w:val="FootnoteReference"/>
          <w:szCs w:val="22"/>
        </w:rPr>
        <w:footnoteReference w:id="178"/>
      </w:r>
      <w:r>
        <w:t xml:space="preserve">  </w:t>
      </w:r>
      <w:r>
        <w:rPr>
          <w:snapToGrid/>
        </w:rPr>
        <w:t>In addition, s</w:t>
      </w:r>
      <w:r w:rsidRPr="004D2F68">
        <w:t xml:space="preserve">ome commenters express concern that the breadth of the proposed rules may pose adverse consequences for non-access-stimulating LECs.  NTCA cautions that “LECs that do not qualify as access stimulators under the Commission’s </w:t>
      </w:r>
      <w:r w:rsidRPr="004D2F68">
        <w:t>rules</w:t>
      </w:r>
      <w:r w:rsidRPr="004D2F68">
        <w:t xml:space="preserve"> but which subtend the same CEA as those who do [may] be inadvertently affected by the Commission’s reforms.”</w:t>
      </w:r>
      <w:r>
        <w:rPr>
          <w:sz w:val="20"/>
          <w:vertAlign w:val="superscript"/>
        </w:rPr>
        <w:footnoteReference w:id="179"/>
      </w:r>
      <w:r w:rsidRPr="00DD1E5F">
        <w:t xml:space="preserve">  We do not foresee such an issue with the rules</w:t>
      </w:r>
      <w:r w:rsidRPr="004D2F68">
        <w:t>.  The rules we adopt today do not alter the financial responsibilities of any LEC that is not engaged in access stimulation regardless of whether it subtends the same CEA provider as an access-stimulating LEC.</w:t>
      </w:r>
      <w:r>
        <w:rPr>
          <w:sz w:val="20"/>
          <w:vertAlign w:val="superscript"/>
        </w:rPr>
        <w:footnoteReference w:id="180"/>
      </w:r>
      <w:r w:rsidRPr="00DD1E5F">
        <w:t xml:space="preserve">  We are nevertheless concerned about arguments that high-volume calling providers may not be considered end users.</w:t>
      </w:r>
      <w:r>
        <w:rPr>
          <w:sz w:val="20"/>
          <w:vertAlign w:val="superscript"/>
        </w:rPr>
        <w:footnoteReference w:id="181"/>
      </w:r>
      <w:r w:rsidRPr="00DD1E5F">
        <w:t xml:space="preserve">  Thus, we make clear that</w:t>
      </w:r>
      <w:r w:rsidRPr="004D2F68">
        <w:t>, for purposes of the definition of access stimulation, a high-volume calling provider, such as a “free” conference calling provider or a chat line provider, is considered an end user</w:t>
      </w:r>
      <w:r>
        <w:t xml:space="preserve"> regardless of how that term is defined in an applicable tariff</w:t>
      </w:r>
      <w:r w:rsidRPr="004D2F68">
        <w:t>.</w:t>
      </w:r>
      <w:r>
        <w:rPr>
          <w:rStyle w:val="FootnoteReference"/>
        </w:rPr>
        <w:footnoteReference w:id="182"/>
      </w:r>
      <w:r w:rsidRPr="004D2F68">
        <w:t xml:space="preserve">  </w:t>
      </w:r>
      <w:r w:rsidRPr="00DD1E5F">
        <w:t>Thus, a LEC that provides service to such a high-volume calling provider will be considered a rate</w:t>
      </w:r>
      <w:r w:rsidRPr="004D2F68">
        <w:rPr>
          <w:snapToGrid/>
        </w:rPr>
        <w:t xml:space="preserve">-of-return local exchange carrier serving end user(s), or a </w:t>
      </w:r>
      <w:r>
        <w:rPr>
          <w:snapToGrid/>
        </w:rPr>
        <w:t>C</w:t>
      </w:r>
      <w:r w:rsidRPr="004D2F68">
        <w:rPr>
          <w:snapToGrid/>
        </w:rPr>
        <w:t>ompetitive Local Exchange Carrier serving end user(s).</w:t>
      </w:r>
      <w:r>
        <w:rPr>
          <w:rStyle w:val="FootnoteReference"/>
          <w:snapToGrid/>
        </w:rPr>
        <w:footnoteReference w:id="183"/>
      </w:r>
    </w:p>
    <w:p w:rsidR="00EB312D" w:rsidRPr="000F2933" w:rsidP="00EB312D">
      <w:pPr>
        <w:pStyle w:val="ParaNum"/>
      </w:pPr>
      <w:r w:rsidRPr="00FB46C2">
        <w:t>Having amended our access stimulation rules as they relate to the relationship among access</w:t>
      </w:r>
      <w:r w:rsidRPr="00A67F16">
        <w:t>-</w:t>
      </w:r>
      <w:r w:rsidRPr="00FB46C2">
        <w:t xml:space="preserve">stimulating LECs, “interexchange carriers,” and “intermediate access providers” for the delivery of access-stimulated traffic, we agree with </w:t>
      </w:r>
      <w:r w:rsidRPr="004D2F68">
        <w:t>AT&amp;T on the need to define those terms to provide clarity.</w:t>
      </w:r>
      <w:r>
        <w:rPr>
          <w:sz w:val="20"/>
          <w:vertAlign w:val="superscript"/>
        </w:rPr>
        <w:footnoteReference w:id="184"/>
      </w:r>
      <w:r w:rsidRPr="00DD1E5F">
        <w:t xml:space="preserve">  </w:t>
      </w:r>
      <w:r w:rsidRPr="009A44EB">
        <w:t>W</w:t>
      </w:r>
      <w:r w:rsidRPr="00FB46C2">
        <w:t>e therefore d</w:t>
      </w:r>
      <w:r w:rsidRPr="009A44EB">
        <w:t>efine</w:t>
      </w:r>
      <w:r w:rsidRPr="00DD1E5F">
        <w:t xml:space="preserve"> “interexchange carrier” to mean “a </w:t>
      </w:r>
      <w:r w:rsidRPr="000F420B">
        <w:rPr>
          <w:i/>
        </w:rPr>
        <w:t>retail or wholesale</w:t>
      </w:r>
      <w:r w:rsidRPr="004D2F68">
        <w:t xml:space="preserve"> telecommunications carrier that uses the exchange access or information access services of another telecommunications carrier for the </w:t>
      </w:r>
      <w:r w:rsidRPr="004D2F68">
        <w:t>provision of telecommunications” (emphasis added).</w:t>
      </w:r>
      <w:r>
        <w:rPr>
          <w:rStyle w:val="FootnoteReference"/>
        </w:rPr>
        <w:footnoteReference w:id="185"/>
      </w:r>
      <w:r w:rsidRPr="004D2F68">
        <w:t xml:space="preserve">  We define “intermediate access provider” to mean “any entity that carries or processes traffic at any point between the final Interexchange Carrier in a call path </w:t>
      </w:r>
      <w:r w:rsidRPr="000F2933">
        <w:t xml:space="preserve">and a local exchange carrier engaged in access stimulation, as defined by </w:t>
      </w:r>
      <w:r>
        <w:t xml:space="preserve">§ </w:t>
      </w:r>
      <w:r w:rsidRPr="000F2933">
        <w:t>61.3(</w:t>
      </w:r>
      <w:r w:rsidRPr="000F2933">
        <w:t>bbb</w:t>
      </w:r>
      <w:r w:rsidRPr="000F2933">
        <w:t>)</w:t>
      </w:r>
      <w:r w:rsidRPr="00DD1E5F">
        <w:t>.”</w:t>
      </w:r>
      <w:r>
        <w:rPr>
          <w:sz w:val="20"/>
          <w:vertAlign w:val="superscript"/>
        </w:rPr>
        <w:footnoteReference w:id="186"/>
      </w:r>
      <w:r w:rsidRPr="00DD1E5F">
        <w:t xml:space="preserve">  In adopting this definition, we recognize the Joint CLECs’ concern that there may</w:t>
      </w:r>
      <w:r w:rsidRPr="004D2F68">
        <w:t xml:space="preserve"> be more than one intermediate access provider in a call path.</w:t>
      </w:r>
      <w:r>
        <w:rPr>
          <w:sz w:val="20"/>
          <w:vertAlign w:val="superscript"/>
        </w:rPr>
        <w:footnoteReference w:id="187"/>
      </w:r>
      <w:r w:rsidRPr="00DD1E5F">
        <w:t xml:space="preserve">  The use of the phrases “any entity” and “any point” </w:t>
      </w:r>
      <w:r>
        <w:t>is</w:t>
      </w:r>
      <w:r w:rsidRPr="00DD1E5F">
        <w:t xml:space="preserve"> broad enough to allow for more than one intermediate access provider between the final </w:t>
      </w:r>
      <w:r w:rsidRPr="004D2F68">
        <w:t xml:space="preserve">IXC and the LEC even though we question the likelihood of this hypothetical.  </w:t>
      </w:r>
      <w:r w:rsidRPr="009A44EB">
        <w:t>A</w:t>
      </w:r>
      <w:r w:rsidRPr="00FB46C2">
        <w:t>nd th</w:t>
      </w:r>
      <w:r w:rsidRPr="009A44EB">
        <w:t>e access</w:t>
      </w:r>
      <w:r w:rsidRPr="004D2F68">
        <w:t>-stimulating LEC will choose the intermediate access provider(s) to deliver the traffic to the LEC.</w:t>
      </w:r>
      <w:r>
        <w:rPr>
          <w:sz w:val="20"/>
          <w:vertAlign w:val="superscript"/>
        </w:rPr>
        <w:footnoteReference w:id="188"/>
      </w:r>
      <w:r w:rsidRPr="00DD1E5F">
        <w:t xml:space="preserve">  The adopted definitions are slightly different than those proposed in the </w:t>
      </w:r>
      <w:r w:rsidRPr="000F420B">
        <w:rPr>
          <w:i/>
        </w:rPr>
        <w:t>Notice</w:t>
      </w:r>
      <w:r w:rsidRPr="004D2F68">
        <w:t xml:space="preserve"> to help ensure clarity going forward.  We </w:t>
      </w:r>
      <w:r w:rsidRPr="000B6E32">
        <w:t xml:space="preserve">have amended our rules under </w:t>
      </w:r>
      <w:r>
        <w:t>p</w:t>
      </w:r>
      <w:r w:rsidRPr="000B6E32">
        <w:t xml:space="preserve">art 51-Interconnection and </w:t>
      </w:r>
      <w:r w:rsidRPr="004D2F68">
        <w:t xml:space="preserve">have also </w:t>
      </w:r>
      <w:r>
        <w:t>added conforming</w:t>
      </w:r>
      <w:r w:rsidRPr="004D2F68">
        <w:t xml:space="preserve"> rules applicable to access-stimulating LECs to the relevant tariffing sections since these rules will require tariff changes.</w:t>
      </w:r>
      <w:r>
        <w:rPr>
          <w:rStyle w:val="FootnoteReference"/>
        </w:rPr>
        <w:footnoteReference w:id="189"/>
      </w:r>
      <w:r w:rsidRPr="00DD1E5F">
        <w:t xml:space="preserve">  We believe </w:t>
      </w:r>
      <w:r>
        <w:t>these changes to the</w:t>
      </w:r>
      <w:r w:rsidRPr="004D2F68">
        <w:t xml:space="preserve"> rules proposed in the </w:t>
      </w:r>
      <w:r w:rsidRPr="000F420B">
        <w:rPr>
          <w:i/>
        </w:rPr>
        <w:t>Notice</w:t>
      </w:r>
      <w:r w:rsidRPr="004D2F68">
        <w:t xml:space="preserve"> will allow better ease of reference.</w:t>
      </w:r>
      <w:r>
        <w:t xml:space="preserve">  </w:t>
      </w:r>
    </w:p>
    <w:p w:rsidR="00EB312D" w:rsidRPr="00940A39" w:rsidP="00EB312D">
      <w:pPr>
        <w:pStyle w:val="ParaNum"/>
        <w:rPr>
          <w:snapToGrid/>
          <w:kern w:val="0"/>
        </w:rPr>
      </w:pPr>
      <w:r>
        <w:t>Moreover</w:t>
      </w:r>
      <w:r w:rsidRPr="00DD1E5F">
        <w:t>, we encourage self-policing of our access</w:t>
      </w:r>
      <w:r>
        <w:t>-</w:t>
      </w:r>
      <w:r w:rsidRPr="00DD1E5F">
        <w:t xml:space="preserve">stimulation definition and rules among carriers.  IXCs and intermediate access providers, including CEA </w:t>
      </w:r>
      <w:r w:rsidRPr="004D2F68">
        <w:t xml:space="preserve">providers, likely will have traffic data to demonstrate infractions of our rules, such as a LEC meeting the conditions for access stimulation but not filing </w:t>
      </w:r>
      <w:r>
        <w:t xml:space="preserve">a </w:t>
      </w:r>
      <w:r w:rsidRPr="004D2F68">
        <w:t>notice or revised tariffs as discussed in the Implementation section below.</w:t>
      </w:r>
      <w:r>
        <w:rPr>
          <w:sz w:val="20"/>
          <w:vertAlign w:val="superscript"/>
        </w:rPr>
        <w:footnoteReference w:id="190"/>
      </w:r>
      <w:r w:rsidRPr="00DD1E5F">
        <w:t xml:space="preserve">  </w:t>
      </w:r>
      <w:r>
        <w:t>If an</w:t>
      </w:r>
      <w:r w:rsidRPr="00DD1E5F">
        <w:t xml:space="preserve"> IXC or intermedia</w:t>
      </w:r>
      <w:r w:rsidRPr="004D2F68">
        <w:t xml:space="preserve">te access provider </w:t>
      </w:r>
      <w:r>
        <w:t xml:space="preserve">has evidence that a LEC has failed to comply with our access-stimulation rules, it </w:t>
      </w:r>
      <w:r w:rsidRPr="004D2F68">
        <w:t>could file information in this docket</w:t>
      </w:r>
      <w:r>
        <w:t>, request that the Commission initiate an investigation, file</w:t>
      </w:r>
      <w:r w:rsidRPr="004D2F68">
        <w:t xml:space="preserve"> a complaint with the Commission</w:t>
      </w:r>
      <w:r>
        <w:t>,</w:t>
      </w:r>
      <w:r w:rsidRPr="004D2F68">
        <w:t xml:space="preserve"> or </w:t>
      </w:r>
      <w:r>
        <w:t>notify the Commission in some other manner</w:t>
      </w:r>
      <w:r w:rsidRPr="004D2F68">
        <w:t>.</w:t>
      </w:r>
      <w:r>
        <w:rPr>
          <w:sz w:val="20"/>
          <w:vertAlign w:val="superscript"/>
        </w:rPr>
        <w:footnoteReference w:id="191"/>
      </w:r>
      <w:r w:rsidRPr="00DD1E5F">
        <w:t xml:space="preserve"> </w:t>
      </w:r>
    </w:p>
    <w:p w:rsidR="00EB312D" w:rsidRPr="000F2933" w:rsidP="00EB312D">
      <w:pPr>
        <w:pStyle w:val="ParaNum"/>
      </w:pPr>
      <w:r>
        <w:t>Finally, we reject several arguments from commenters regarding the definition of access stimulation.  First, w</w:t>
      </w:r>
      <w:r w:rsidRPr="00DD1E5F">
        <w:t>e reject Wide Voice’s suggestion that we abandon the current definition of access stimulation entirely because its usefulness has “largely expired with the sunsetting of the end office.”</w:t>
      </w:r>
      <w:r>
        <w:rPr>
          <w:sz w:val="20"/>
          <w:vertAlign w:val="superscript"/>
        </w:rPr>
        <w:footnoteReference w:id="192"/>
      </w:r>
      <w:r w:rsidRPr="00DD1E5F">
        <w:t xml:space="preserve">  This sentiment is beli</w:t>
      </w:r>
      <w:r w:rsidRPr="004D2F68">
        <w:t>ed by commenters that confirm the current definition has worked as intended to identify LECs engaged in access stimulation.</w:t>
      </w:r>
      <w:r>
        <w:rPr>
          <w:sz w:val="20"/>
          <w:vertAlign w:val="superscript"/>
        </w:rPr>
        <w:footnoteReference w:id="193"/>
      </w:r>
      <w:r w:rsidRPr="00DD1E5F">
        <w:t xml:space="preserve">  We likewise reject Wide Voice’s proposed alternative, </w:t>
      </w:r>
      <w:r w:rsidRPr="004D2F68">
        <w:t>which would define access stimulation as “traffic originating from any LEC behind a CEA tandem with total minutes (inbound + outbound) in excess of 1000 times the number of its subscribers in its service area.”</w:t>
      </w:r>
      <w:r>
        <w:rPr>
          <w:sz w:val="20"/>
          <w:vertAlign w:val="superscript"/>
        </w:rPr>
        <w:footnoteReference w:id="194"/>
      </w:r>
      <w:r w:rsidRPr="00DD1E5F">
        <w:t xml:space="preserve">  We agree with commenters that Wide Voice’s “comments are </w:t>
      </w:r>
      <w:r w:rsidRPr="004D2F68">
        <w:t>obviously intended to further arbitrage activities, rather than stop them.”</w:t>
      </w:r>
      <w:r>
        <w:rPr>
          <w:sz w:val="20"/>
          <w:vertAlign w:val="superscript"/>
        </w:rPr>
        <w:footnoteReference w:id="195"/>
      </w:r>
      <w:r w:rsidRPr="00DD1E5F">
        <w:t xml:space="preserve">  Wide Voice is certified as a competitive LEC in dozens of </w:t>
      </w:r>
      <w:r w:rsidRPr="00DD1E5F">
        <w:t xml:space="preserve">states, </w:t>
      </w:r>
      <w:r>
        <w:t>but has not built out facilities in</w:t>
      </w:r>
      <w:r w:rsidRPr="00DD1E5F">
        <w:t xml:space="preserve"> Iowa</w:t>
      </w:r>
      <w:r>
        <w:t>,</w:t>
      </w:r>
      <w:r w:rsidRPr="00DD1E5F">
        <w:t xml:space="preserve"> South Dakota</w:t>
      </w:r>
      <w:r>
        <w:t>, and Minnesota</w:t>
      </w:r>
      <w:r w:rsidRPr="00DD1E5F">
        <w:t>.</w:t>
      </w:r>
      <w:r>
        <w:rPr>
          <w:sz w:val="20"/>
          <w:vertAlign w:val="superscript"/>
        </w:rPr>
        <w:footnoteReference w:id="196"/>
      </w:r>
      <w:r w:rsidRPr="00DD1E5F">
        <w:t xml:space="preserve">  By suggesting that we abandon our current definition of ac</w:t>
      </w:r>
      <w:r w:rsidRPr="004D2F68">
        <w:t>cess stimulation in favor of one that applies only in the states with CEA tandems, Wide Voice and others would be free to stimulate access charges without federal regulatory restraint in the 47 states that do not have CEA tandems.  Furthermore, the mathematical formula proposed by Wide Voice is too broad because by including originating minutes in the formula, it is not focused on eliminating terminating access stimulation.</w:t>
      </w:r>
      <w:r w:rsidRPr="00DD1E5F">
        <w:t xml:space="preserve"> </w:t>
      </w:r>
    </w:p>
    <w:p w:rsidR="00EB312D" w:rsidRPr="000F2933" w:rsidP="00EB312D">
      <w:pPr>
        <w:pStyle w:val="ParaNum"/>
      </w:pPr>
      <w:r>
        <w:t xml:space="preserve">Second, </w:t>
      </w:r>
      <w:r>
        <w:t>FailSafe</w:t>
      </w:r>
      <w:r>
        <w:t xml:space="preserve"> and Greenway</w:t>
      </w:r>
      <w:r w:rsidRPr="00DD1E5F">
        <w:t xml:space="preserve"> suggest that the current access-stimulation definition be made more</w:t>
      </w:r>
      <w:r w:rsidRPr="004D2F68">
        <w:t xml:space="preserve"> restrictive.</w:t>
      </w:r>
      <w:r>
        <w:rPr>
          <w:sz w:val="20"/>
          <w:vertAlign w:val="superscript"/>
        </w:rPr>
        <w:footnoteReference w:id="197"/>
      </w:r>
      <w:r w:rsidRPr="00DD1E5F">
        <w:t xml:space="preserve">  </w:t>
      </w:r>
      <w:r>
        <w:t>They</w:t>
      </w:r>
      <w:r w:rsidRPr="00DD1E5F">
        <w:t xml:space="preserve"> both argue that the existing traffic growth trigger in the access-stimulation definition—which requires that there is more “than a 100 percent growth in interstate originating and/or terminating switched access minutes</w:t>
      </w:r>
      <w:r>
        <w:t>-</w:t>
      </w:r>
      <w:r w:rsidRPr="004D2F68">
        <w:t>of</w:t>
      </w:r>
      <w:r>
        <w:t>-</w:t>
      </w:r>
      <w:r w:rsidRPr="004D2F68">
        <w:t>use in a month compared to the same month in the preceding year”—could have the unintended consequence of labelling competitive LECs as engaged in access stimulation “simply by beginning to provide services” and thus presumably increasing their volume of traffic from no</w:t>
      </w:r>
      <w:r>
        <w:t xml:space="preserve"> traffic</w:t>
      </w:r>
      <w:r w:rsidRPr="004D2F68">
        <w:t xml:space="preserve"> to some</w:t>
      </w:r>
      <w:r>
        <w:t xml:space="preserve"> traffic</w:t>
      </w:r>
      <w:r w:rsidRPr="004D2F68">
        <w:t>.</w:t>
      </w:r>
      <w:r>
        <w:rPr>
          <w:sz w:val="20"/>
          <w:vertAlign w:val="superscript"/>
        </w:rPr>
        <w:footnoteReference w:id="198"/>
      </w:r>
      <w:r w:rsidRPr="00DD1E5F">
        <w:t xml:space="preserve">  This suggestion and the concern these parties raise fail for at least two reasons.  First, the 100% traffic growth trigger compares a month’s switched access minutes with the minutes</w:t>
      </w:r>
      <w:r>
        <w:t>-</w:t>
      </w:r>
      <w:r w:rsidRPr="00DD1E5F">
        <w:t>of</w:t>
      </w:r>
      <w:r>
        <w:t>-</w:t>
      </w:r>
      <w:r w:rsidRPr="00DD1E5F">
        <w:t>use from the same month in the</w:t>
      </w:r>
      <w:r w:rsidRPr="004D2F68">
        <w:t xml:space="preserve"> previous year.  </w:t>
      </w:r>
      <w:r>
        <w:t xml:space="preserve">A competitive LEC that was not in business the previous year would not qualify because the absence of any monthly demand in the prior year renders this comparison inapposite, and the requisite calculation to satisfy the trigger cannot be performed.  </w:t>
      </w:r>
      <w:r w:rsidRPr="004D2F68">
        <w:t>Second, the 100% traffic growth trigger is only one part of that portion of the definition.  The competitive LEC must also have a revenue</w:t>
      </w:r>
      <w:r>
        <w:t xml:space="preserve"> </w:t>
      </w:r>
      <w:r w:rsidRPr="004D2F68">
        <w:t xml:space="preserve">sharing agreement, which presumably a </w:t>
      </w:r>
      <w:r>
        <w:t xml:space="preserve">new </w:t>
      </w:r>
      <w:r w:rsidRPr="004D2F68">
        <w:t xml:space="preserve">non-access-stimulating competitive LEC in Greenway’s hypothetical would not have.  Neither Greenway nor </w:t>
      </w:r>
      <w:r w:rsidRPr="004D2F68">
        <w:t>Fail</w:t>
      </w:r>
      <w:r>
        <w:t>S</w:t>
      </w:r>
      <w:r w:rsidRPr="004D2F68">
        <w:t>afe</w:t>
      </w:r>
      <w:r w:rsidRPr="004D2F68">
        <w:t xml:space="preserve"> cites any LEC that has been misidentified as engaged in access stimulation under the current definition using the traffic growth trigger.  They also do not suggest how they would revise the current access-stimulation definition to restrict its possible application and avoid the misidentification they suggest might result.  We find that this hypothetical concern is already addressed by the existing rule.</w:t>
      </w:r>
      <w:r>
        <w:rPr>
          <w:sz w:val="20"/>
          <w:vertAlign w:val="superscript"/>
        </w:rPr>
        <w:footnoteReference w:id="199"/>
      </w:r>
      <w:r>
        <w:t xml:space="preserve">  </w:t>
      </w:r>
      <w:r>
        <w:t>FailSafe</w:t>
      </w:r>
      <w:r>
        <w:t xml:space="preserve"> is similarly concerned that this rule would identify emergency traffic to its cloud service as access stimulation traffic.</w:t>
      </w:r>
      <w:r>
        <w:rPr>
          <w:rStyle w:val="FootnoteReference"/>
        </w:rPr>
        <w:footnoteReference w:id="200"/>
      </w:r>
      <w:r>
        <w:t xml:space="preserve">  This concern is unwarranted:  our rules do not define types of traffic, but rather define certain LECs as being engaged in access stimulation.  Additionally, LECs that suffer legitimate traffic spikes from events such as natural disasters will have the opportunity to present relevant evidence if they file waiver requests with the Commission. </w:t>
      </w:r>
    </w:p>
    <w:p w:rsidR="00EB312D" w:rsidRPr="0008079A" w:rsidP="00EB312D">
      <w:pPr>
        <w:pStyle w:val="ParaNum"/>
      </w:pPr>
      <w:r>
        <w:t xml:space="preserve">Third, </w:t>
      </w:r>
      <w:r w:rsidRPr="00DD1E5F">
        <w:t xml:space="preserve">HD Tandem takes the opposite view and argues that the access-stimulation definition should be broadened “to apply to any carrier with a call path that assesses </w:t>
      </w:r>
      <w:r w:rsidRPr="004D2F68">
        <w:t>access charges of any kind (shared or not) and unreasonably refuses to direct connect, or its functional equivalent, with other carriers with reciprocity.”</w:t>
      </w:r>
      <w:r>
        <w:rPr>
          <w:sz w:val="20"/>
          <w:vertAlign w:val="superscript"/>
        </w:rPr>
        <w:footnoteReference w:id="201"/>
      </w:r>
      <w:r w:rsidRPr="00DD1E5F">
        <w:t xml:space="preserve">  </w:t>
      </w:r>
      <w:r>
        <w:t xml:space="preserve">Similarly, </w:t>
      </w:r>
      <w:r w:rsidRPr="00FB469A">
        <w:t>CenturyLink</w:t>
      </w:r>
      <w:r w:rsidRPr="000F2933">
        <w:t xml:space="preserve"> propos</w:t>
      </w:r>
      <w:r>
        <w:t>es</w:t>
      </w:r>
      <w:r w:rsidRPr="000F2933">
        <w:t xml:space="preserve"> that we shift financial responsibility to any LEC, including those not engaged in access stimulation, that declines a request for direct connection for terminating traffic.</w:t>
      </w:r>
      <w:r>
        <w:rPr>
          <w:rStyle w:val="FootnoteReference"/>
          <w:szCs w:val="22"/>
        </w:rPr>
        <w:footnoteReference w:id="202"/>
      </w:r>
      <w:r w:rsidRPr="000F2933">
        <w:t xml:space="preserve">  </w:t>
      </w:r>
      <w:r>
        <w:t>Both of these suggestions</w:t>
      </w:r>
      <w:r w:rsidRPr="000F2933">
        <w:t xml:space="preserve"> go beyond the issue of access stimulation and the current </w:t>
      </w:r>
      <w:r w:rsidRPr="000F2933">
        <w:t xml:space="preserve">record does not provide a sufficient basis to evaluate the impact of </w:t>
      </w:r>
      <w:r>
        <w:t>either</w:t>
      </w:r>
      <w:r w:rsidRPr="000F2933">
        <w:t xml:space="preserve"> proposal on LECs that are not engaged in access stimulation.</w:t>
      </w:r>
      <w:r>
        <w:rPr>
          <w:rStyle w:val="FootnoteReference"/>
        </w:rPr>
        <w:footnoteReference w:id="203"/>
      </w:r>
      <w:r w:rsidRPr="000F2933">
        <w:t xml:space="preserve">  </w:t>
      </w:r>
      <w:r w:rsidRPr="00DD1E5F">
        <w:t>A</w:t>
      </w:r>
      <w:r>
        <w:t>nd, a</w:t>
      </w:r>
      <w:r w:rsidRPr="00DD1E5F">
        <w:t>s discussed above, we do not adopt the</w:t>
      </w:r>
      <w:r>
        <w:t xml:space="preserve"> Commission’s</w:t>
      </w:r>
      <w:r w:rsidRPr="00DD1E5F">
        <w:t xml:space="preserve"> direct connection proposal, at this time, and also find th</w:t>
      </w:r>
      <w:r w:rsidRPr="004D2F68">
        <w:t>at nothing in the record would justify HD Tandem’s suggested expansion of the access-stimulation definition.</w:t>
      </w:r>
    </w:p>
    <w:p w:rsidR="00EB312D" w:rsidP="00EB312D">
      <w:pPr>
        <w:pStyle w:val="ParaNum"/>
      </w:pPr>
      <w:r>
        <w:t xml:space="preserve">Fourth, we reject </w:t>
      </w:r>
      <w:r>
        <w:t>Inteliquent’s</w:t>
      </w:r>
      <w:r>
        <w:t xml:space="preserve"> and HD Tandem’s suggestions that we add a mileage cap to the access-stimulation definition.</w:t>
      </w:r>
      <w:r>
        <w:rPr>
          <w:rStyle w:val="FootnoteReference"/>
        </w:rPr>
        <w:footnoteReference w:id="204"/>
      </w:r>
      <w:r>
        <w:t xml:space="preserve">  When </w:t>
      </w:r>
      <w:r>
        <w:t>Inteliquent</w:t>
      </w:r>
      <w:r>
        <w:t xml:space="preserve"> proposed the 6:1 ratio, it also proposed that the access stimulation definition should require that “[m]</w:t>
      </w:r>
      <w:r>
        <w:t>ore</w:t>
      </w:r>
      <w:r>
        <w:t xml:space="preserve"> than 10 miles [be] billed between the tandem and the serving end office,” and that the end office have interstate terminating minutes-of-use of “at least 1 million in one calendar month.”</w:t>
      </w:r>
      <w:r>
        <w:rPr>
          <w:rStyle w:val="FootnoteReference"/>
        </w:rPr>
        <w:footnoteReference w:id="205"/>
      </w:r>
      <w:r>
        <w:t xml:space="preserve">  We are including a minutes-of-use trigger with the ne</w:t>
      </w:r>
      <w:r w:rsidRPr="000C1E5D">
        <w:rPr>
          <w:szCs w:val="22"/>
        </w:rPr>
        <w:t xml:space="preserve">w </w:t>
      </w:r>
      <w:r>
        <w:rPr>
          <w:szCs w:val="22"/>
        </w:rPr>
        <w:t xml:space="preserve">alternate </w:t>
      </w:r>
      <w:r w:rsidRPr="000C1E5D">
        <w:rPr>
          <w:szCs w:val="22"/>
        </w:rPr>
        <w:t>10:1 traffic ratio for rate-of-return LECs.</w:t>
      </w:r>
      <w:r w:rsidRPr="002C33C2">
        <w:rPr>
          <w:szCs w:val="22"/>
        </w:rPr>
        <w:t xml:space="preserve">  However, we decline to add a cap on transport mileage</w:t>
      </w:r>
      <w:r>
        <w:rPr>
          <w:szCs w:val="22"/>
        </w:rPr>
        <w:t xml:space="preserve"> because as HD Tandem admits, </w:t>
      </w:r>
      <w:r>
        <w:t>a mileage cap “would not eliminate the use of intercarrier compensation to subsidize ‘free’ or ‘pay services.”</w:t>
      </w:r>
      <w:r>
        <w:rPr>
          <w:rStyle w:val="FootnoteReference"/>
        </w:rPr>
        <w:footnoteReference w:id="206"/>
      </w:r>
      <w:r>
        <w:t xml:space="preserve">  In supporting a mileage cap of 15 miles, </w:t>
      </w:r>
      <w:r>
        <w:rPr>
          <w:szCs w:val="22"/>
        </w:rPr>
        <w:t>Wide Voice claims that such a cap would reduce the estimated $80 million cost of access stimulation by about $54 million.</w:t>
      </w:r>
      <w:r>
        <w:rPr>
          <w:rStyle w:val="FootnoteReference"/>
          <w:szCs w:val="22"/>
        </w:rPr>
        <w:footnoteReference w:id="207"/>
      </w:r>
      <w:r>
        <w:rPr>
          <w:szCs w:val="22"/>
        </w:rPr>
        <w:t xml:space="preserve">  However, Wide Voice’s calculations appear to assume that all transport costs are eliminated not just those that exceed 15 miles, and assumes that access-stimulating LECs and the intermediate access providers that serve them would not simply adjust their business practices to take into account such a cap. </w:t>
      </w:r>
    </w:p>
    <w:p w:rsidR="00EB312D" w:rsidRPr="00E0568C" w:rsidP="00EB312D">
      <w:pPr>
        <w:pStyle w:val="ParaNum"/>
      </w:pPr>
      <w:r>
        <w:t>Indeed, a mileage</w:t>
      </w:r>
      <w:r w:rsidRPr="002C33C2">
        <w:rPr>
          <w:szCs w:val="22"/>
        </w:rPr>
        <w:t xml:space="preserve"> cap would invite access stimulation because </w:t>
      </w:r>
      <w:r>
        <w:rPr>
          <w:szCs w:val="22"/>
        </w:rPr>
        <w:t xml:space="preserve">a </w:t>
      </w:r>
      <w:r w:rsidRPr="002C33C2">
        <w:rPr>
          <w:szCs w:val="22"/>
        </w:rPr>
        <w:t xml:space="preserve">LEC could avoid being designated as </w:t>
      </w:r>
      <w:r>
        <w:rPr>
          <w:szCs w:val="22"/>
        </w:rPr>
        <w:t xml:space="preserve">an </w:t>
      </w:r>
      <w:r w:rsidRPr="002C33C2">
        <w:rPr>
          <w:szCs w:val="22"/>
        </w:rPr>
        <w:t>access</w:t>
      </w:r>
      <w:r>
        <w:rPr>
          <w:szCs w:val="22"/>
        </w:rPr>
        <w:t>-</w:t>
      </w:r>
      <w:r w:rsidRPr="002C33C2">
        <w:rPr>
          <w:szCs w:val="22"/>
        </w:rPr>
        <w:t>stimulati</w:t>
      </w:r>
      <w:r>
        <w:rPr>
          <w:szCs w:val="22"/>
        </w:rPr>
        <w:t>ng LEC</w:t>
      </w:r>
      <w:r w:rsidRPr="002C33C2">
        <w:rPr>
          <w:szCs w:val="22"/>
        </w:rPr>
        <w:t xml:space="preserve"> and incurring the corresponding financial responsibly by limiting its transport charges to avoid tripping the mileage cap trigger.  </w:t>
      </w:r>
      <w:r>
        <w:rPr>
          <w:szCs w:val="22"/>
        </w:rPr>
        <w:t>For example, a definition of access stimulation that included a requirement that to fit the definition a LEC bill for 10 miles or more of transport would allow a LEC to bill for just under 10 miles of transport while having a terminating-to-originating traffic ratio of 1000:1.</w:t>
      </w:r>
      <w:r>
        <w:rPr>
          <w:rStyle w:val="FootnoteReference"/>
          <w:szCs w:val="22"/>
        </w:rPr>
        <w:footnoteReference w:id="208"/>
      </w:r>
      <w:r>
        <w:rPr>
          <w:szCs w:val="22"/>
        </w:rPr>
        <w:t xml:space="preserve">  Furthermore,</w:t>
      </w:r>
      <w:r w:rsidRPr="002C33C2">
        <w:rPr>
          <w:szCs w:val="22"/>
        </w:rPr>
        <w:t xml:space="preserve"> a mileage cap would</w:t>
      </w:r>
      <w:r>
        <w:rPr>
          <w:szCs w:val="22"/>
        </w:rPr>
        <w:t xml:space="preserve"> </w:t>
      </w:r>
      <w:r w:rsidRPr="002C33C2">
        <w:rPr>
          <w:szCs w:val="22"/>
        </w:rPr>
        <w:t>n</w:t>
      </w:r>
      <w:r>
        <w:rPr>
          <w:szCs w:val="22"/>
        </w:rPr>
        <w:t>o</w:t>
      </w:r>
      <w:r w:rsidRPr="002C33C2">
        <w:rPr>
          <w:szCs w:val="22"/>
        </w:rPr>
        <w:t>t</w:t>
      </w:r>
      <w:r>
        <w:rPr>
          <w:szCs w:val="22"/>
        </w:rPr>
        <w:t xml:space="preserve"> deter access-stimulating LECs that receive transport from intermediate access providers that do not charge mileage, such as Wide Voice and HD Tandem</w:t>
      </w:r>
      <w:r w:rsidRPr="002C33C2">
        <w:rPr>
          <w:szCs w:val="22"/>
        </w:rPr>
        <w:t>.</w:t>
      </w:r>
      <w:r>
        <w:rPr>
          <w:rStyle w:val="FootnoteReference"/>
          <w:szCs w:val="22"/>
        </w:rPr>
        <w:footnoteReference w:id="209"/>
      </w:r>
      <w:r>
        <w:rPr>
          <w:szCs w:val="22"/>
        </w:rPr>
        <w:t xml:space="preserve">  </w:t>
      </w:r>
    </w:p>
    <w:p w:rsidR="00EB312D" w:rsidP="00EB312D">
      <w:pPr>
        <w:pStyle w:val="ParaNum"/>
      </w:pPr>
      <w:r>
        <w:t>We also reject arguments that there was insufficient notice for the addition of additional triggers for the definition of access stimulation.</w:t>
      </w:r>
      <w:r>
        <w:rPr>
          <w:rStyle w:val="FootnoteReference"/>
        </w:rPr>
        <w:footnoteReference w:id="210"/>
      </w:r>
      <w:r>
        <w:t xml:space="preserve">  The </w:t>
      </w:r>
      <w:r w:rsidRPr="001120BF">
        <w:rPr>
          <w:i/>
        </w:rPr>
        <w:t>Access Arbitrage Notice</w:t>
      </w:r>
      <w:r>
        <w:rPr>
          <w:i/>
        </w:rPr>
        <w:t xml:space="preserve"> </w:t>
      </w:r>
      <w:r>
        <w:t>clearly sought comment on changing the definition of access stimulation.</w:t>
      </w:r>
      <w:r>
        <w:rPr>
          <w:rStyle w:val="FootnoteReference"/>
        </w:rPr>
        <w:footnoteReference w:id="211"/>
      </w:r>
      <w:r>
        <w:t xml:space="preserve">  </w:t>
      </w:r>
      <w:r w:rsidRPr="007545A7">
        <w:t>I</w:t>
      </w:r>
      <w:r>
        <w:t>ndeed, there was express notice that the Commission could adopt a rule “</w:t>
      </w:r>
      <w:r>
        <w:t>remov</w:t>
      </w:r>
      <w:r>
        <w:t>[</w:t>
      </w:r>
      <w:r>
        <w:t>ing</w:t>
      </w:r>
      <w:r>
        <w:t>] the revenue sharing portion of the definition” of access stimulation, leaving a definition triggered by either a 3:1 traffic ratio or 100% year-over-year traffic growth alone.</w:t>
      </w:r>
      <w:r>
        <w:rPr>
          <w:rStyle w:val="FootnoteReference"/>
        </w:rPr>
        <w:footnoteReference w:id="212"/>
      </w:r>
      <w:r>
        <w:t xml:space="preserve">  </w:t>
      </w:r>
      <w:r w:rsidRPr="007545A7">
        <w:t>W</w:t>
      </w:r>
      <w:r>
        <w:t xml:space="preserve">e are not persuaded that commenters have identified concerns about a rule relying on the 6:1 or 10:1 traffic ratios that they should not already have recognized the need to raise in response to that express notice. </w:t>
      </w:r>
    </w:p>
    <w:p w:rsidR="00EB312D" w:rsidP="00EB312D">
      <w:pPr>
        <w:pStyle w:val="ParaNum"/>
      </w:pPr>
      <w:r>
        <w:t>Some commenters have complained that not enough data was submitted in the record in this proceeding.</w:t>
      </w:r>
      <w:r>
        <w:rPr>
          <w:rStyle w:val="FootnoteReference"/>
        </w:rPr>
        <w:footnoteReference w:id="213"/>
      </w:r>
      <w:r>
        <w:t xml:space="preserve">  </w:t>
      </w:r>
      <w:r w:rsidRPr="00FF2F76">
        <w:t>Ho</w:t>
      </w:r>
      <w:r>
        <w:t xml:space="preserve">wever, in the </w:t>
      </w:r>
      <w:r w:rsidRPr="001120BF">
        <w:rPr>
          <w:i/>
        </w:rPr>
        <w:t>Access Arbitrage Notice</w:t>
      </w:r>
      <w:r>
        <w:t>, the Commission asked whether there are “additional, more-current data available to estimate the annual cost of arbitrage schemes to companies, long distance rate payers, and consumers in general”; whether there are “data available to quantify the resources being diverted from infrastructure investment because of arbitrage schemes”; whether “consumers are indirectly affected by potentially inefficient networking and cost recovery due to current regulations and the exploitation of those regulations”; and whether there are “other costs or benefits” the Commission should conside</w:t>
      </w:r>
      <w:r w:rsidRPr="00FF2F76">
        <w:t>r.</w:t>
      </w:r>
      <w:r>
        <w:rPr>
          <w:rStyle w:val="FootnoteReference"/>
        </w:rPr>
        <w:footnoteReference w:id="214"/>
      </w:r>
      <w:r w:rsidRPr="00FF2F76">
        <w:t xml:space="preserve">  Th</w:t>
      </w:r>
      <w:r>
        <w:t>e Commission asked for the costs and benefits of its two-prong approach,</w:t>
      </w:r>
      <w:r>
        <w:rPr>
          <w:rStyle w:val="FootnoteReference"/>
        </w:rPr>
        <w:footnoteReference w:id="215"/>
      </w:r>
      <w:r>
        <w:t xml:space="preserve"> and the “costs and benefits of requiring a terminating provider that requires the use of a specific intermediate access provider to pay the intermediate access provider’s charges.”</w:t>
      </w:r>
      <w:r>
        <w:rPr>
          <w:rStyle w:val="FootnoteReference"/>
        </w:rPr>
        <w:footnoteReference w:id="216"/>
      </w:r>
      <w:r>
        <w:t xml:space="preserve">  </w:t>
      </w:r>
      <w:r w:rsidRPr="00FF2F76">
        <w:t>The</w:t>
      </w:r>
      <w:r>
        <w:t xml:space="preserve"> Commission could not have been more clear in its request for data.  If the commenters are dissatisfied with the amount of data provided to the Commission, it certainly was not due to the Commission not asking for it. </w:t>
      </w:r>
    </w:p>
    <w:p w:rsidR="00EB312D" w:rsidRPr="000F2933" w:rsidP="00EB312D">
      <w:pPr>
        <w:pStyle w:val="ParaNum"/>
      </w:pPr>
      <w:r w:rsidRPr="00FB6745">
        <w:t xml:space="preserve">Contrary to </w:t>
      </w:r>
      <w:r>
        <w:t>several parties’</w:t>
      </w:r>
      <w:r w:rsidRPr="00FB6745">
        <w:t xml:space="preserve"> assertion</w:t>
      </w:r>
      <w:r>
        <w:t>s</w:t>
      </w:r>
      <w:r w:rsidRPr="00FB6745">
        <w:t>, the Commission’s adoption of the 6:1 traffic trigger is not arbitrary and capricious.</w:t>
      </w:r>
      <w:r>
        <w:rPr>
          <w:rStyle w:val="FootnoteReference"/>
        </w:rPr>
        <w:footnoteReference w:id="217"/>
      </w:r>
      <w:r w:rsidRPr="00FB6745">
        <w:t xml:space="preserve">  This section of the </w:t>
      </w:r>
      <w:r w:rsidRPr="00FB6745">
        <w:rPr>
          <w:i/>
        </w:rPr>
        <w:t>Order</w:t>
      </w:r>
      <w:r w:rsidRPr="00FB6745">
        <w:t xml:space="preserve"> reviews the numerous viewpoints expressed by the parties to this proceeding and explains our rationales for our decisions.  We </w:t>
      </w:r>
      <w:r>
        <w:t>have considered and provided</w:t>
      </w:r>
      <w:r w:rsidRPr="00FB6745">
        <w:t xml:space="preserve"> reasons for rejecting a mileage cap, despite the fact that Peerless and West’s emphasis on the mileage cap arguably is self-serving.</w:t>
      </w:r>
      <w:r>
        <w:rPr>
          <w:rStyle w:val="FootnoteReference"/>
        </w:rPr>
        <w:footnoteReference w:id="218"/>
      </w:r>
      <w:r w:rsidRPr="00FF2F76">
        <w:t xml:space="preserve">  </w:t>
      </w:r>
      <w:r>
        <w:t xml:space="preserve">Likewise, </w:t>
      </w:r>
      <w:r w:rsidRPr="00FF2F76">
        <w:t>P</w:t>
      </w:r>
      <w:r w:rsidRPr="00FB6745">
        <w:t xml:space="preserve">eerless and West’s alleged concern </w:t>
      </w:r>
      <w:r w:rsidRPr="00FB6745">
        <w:t xml:space="preserve">for the impact of our decision on “innocent LECs” has been addressed several times in this </w:t>
      </w:r>
      <w:r w:rsidRPr="00FB6745">
        <w:rPr>
          <w:i/>
        </w:rPr>
        <w:t>Order</w:t>
      </w:r>
      <w:r w:rsidRPr="00FB6745">
        <w:t>.</w:t>
      </w:r>
      <w:r>
        <w:rPr>
          <w:rStyle w:val="FootnoteReference"/>
        </w:rPr>
        <w:footnoteReference w:id="219"/>
      </w:r>
      <w:r w:rsidRPr="00FB6745">
        <w:t xml:space="preserve">  Our concern about “innocent rate-of-return LECs” and our review of the data submitted by parties such as NTCA, AT&amp;T</w:t>
      </w:r>
      <w:r>
        <w:t>,</w:t>
      </w:r>
      <w:r w:rsidRPr="00FB6745">
        <w:t xml:space="preserve"> and </w:t>
      </w:r>
      <w:r w:rsidRPr="00FB6745">
        <w:t>Inteliquent</w:t>
      </w:r>
      <w:r w:rsidRPr="00FB6745">
        <w:t xml:space="preserve"> supports the adoption of the 6:1 and 10:1 traffic ratios.  We also have explained ways that “innocent LECs,” </w:t>
      </w:r>
      <w:r>
        <w:t>that</w:t>
      </w:r>
      <w:r w:rsidRPr="00FB6745">
        <w:t xml:space="preserve"> have traffic patterns that would cause them to surpass the traffic ratios, may seek assistance from the Commission.  As Peerless and West admit, a court’s review of an agency’s action is a narrow one.</w:t>
      </w:r>
      <w:r>
        <w:rPr>
          <w:rStyle w:val="FootnoteReference"/>
        </w:rPr>
        <w:footnoteReference w:id="220"/>
      </w:r>
      <w:r w:rsidRPr="00FB6745">
        <w:t xml:space="preserve">  Peerless and West cannot discount our extensive review and consideration of the numerous viewpoints expressed in this proceeding, and our explanation for rejecting or accepting each viewpoint.  The fact that Peerless and West may disagree with this agency’s decision is not dispositive.  The Commission has gone to great lengths to explain the facts found and to articula</w:t>
      </w:r>
      <w:r w:rsidRPr="00D57292">
        <w:t>te</w:t>
      </w:r>
      <w:r w:rsidRPr="00FB6745">
        <w:t xml:space="preserve"> a rational connection with the choices made.</w:t>
      </w:r>
      <w:r>
        <w:rPr>
          <w:rStyle w:val="FootnoteReference"/>
        </w:rPr>
        <w:footnoteReference w:id="221"/>
      </w:r>
      <w:r w:rsidRPr="00FB6745">
        <w:t xml:space="preserve">  </w:t>
      </w:r>
    </w:p>
    <w:p w:rsidR="00EB312D" w:rsidRPr="000F2933" w:rsidP="00EB312D">
      <w:pPr>
        <w:pStyle w:val="Heading3"/>
      </w:pPr>
      <w:bookmarkStart w:id="328" w:name="_Toc15028072"/>
      <w:bookmarkStart w:id="329" w:name="_Toc15310189"/>
      <w:bookmarkStart w:id="330" w:name="_Toc16756578"/>
      <w:bookmarkStart w:id="331" w:name="_Toc16762070"/>
      <w:bookmarkStart w:id="332" w:name="_Toc16843637"/>
      <w:bookmarkStart w:id="333" w:name="_Toc16863792"/>
      <w:bookmarkStart w:id="334" w:name="_Toc17048648"/>
      <w:bookmarkStart w:id="335" w:name="_Toc17364731"/>
      <w:bookmarkStart w:id="336" w:name="_Toc17469827"/>
      <w:bookmarkStart w:id="337" w:name="_Toc17887585"/>
      <w:bookmarkStart w:id="338" w:name="_Toc18423501"/>
      <w:bookmarkStart w:id="339" w:name="_Toc18423556"/>
      <w:bookmarkStart w:id="340" w:name="_Toc18423632"/>
      <w:bookmarkStart w:id="341" w:name="_Toc18486771"/>
      <w:bookmarkStart w:id="342" w:name="_Toc18487381"/>
      <w:bookmarkStart w:id="343" w:name="_Toc18487886"/>
      <w:bookmarkStart w:id="344" w:name="_Toc18487994"/>
      <w:bookmarkStart w:id="345" w:name="_Toc18488117"/>
      <w:bookmarkStart w:id="346" w:name="_Toc20056857"/>
      <w:bookmarkStart w:id="347" w:name="_Toc20219906"/>
      <w:r w:rsidRPr="000F2933">
        <w:t>Additional Considerations</w:t>
      </w:r>
      <w:bookmarkEnd w:id="317"/>
      <w:bookmarkEnd w:id="318"/>
      <w:bookmarkEnd w:id="319"/>
      <w:bookmarkEnd w:id="320"/>
      <w:bookmarkEnd w:id="321"/>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EB312D" w:rsidP="00EB312D">
      <w:pPr>
        <w:pStyle w:val="ParaNum"/>
      </w:pPr>
      <w:r w:rsidRPr="000F420B">
        <w:rPr>
          <w:i/>
        </w:rPr>
        <w:t>Self-Help</w:t>
      </w:r>
      <w:r w:rsidRPr="000F2933">
        <w:t xml:space="preserve">.  </w:t>
      </w:r>
      <w:r>
        <w:t>O</w:t>
      </w:r>
      <w:r w:rsidRPr="000F2933">
        <w:t xml:space="preserve">ur focus here is on reducing access stimulation, and no commenters have argued that limiting self-help remedies will further that goal.  As the Commission did in the </w:t>
      </w:r>
      <w:r w:rsidRPr="000F420B">
        <w:rPr>
          <w:i/>
        </w:rPr>
        <w:t>USF/ICC Transformation Order</w:t>
      </w:r>
      <w:r w:rsidRPr="000F2933">
        <w:t>, we caution parties to be mindful “of their payment obligations under the tariffs and contracts to which they are a party.”</w:t>
      </w:r>
      <w:r>
        <w:rPr>
          <w:rStyle w:val="FootnoteReference"/>
        </w:rPr>
        <w:footnoteReference w:id="222"/>
      </w:r>
      <w:r w:rsidRPr="000F2933">
        <w:t xml:space="preserve">  We </w:t>
      </w:r>
      <w:r>
        <w:t>discourage</w:t>
      </w:r>
      <w:r w:rsidRPr="000F2933">
        <w:t xml:space="preserve"> providers from engaging in self-help </w:t>
      </w:r>
      <w:r>
        <w:t xml:space="preserve">except </w:t>
      </w:r>
      <w:r w:rsidRPr="000F2933">
        <w:t>to the extent that such self-help is consistent with the Act, our regulations, and applicable tariffs.</w:t>
      </w:r>
      <w:r>
        <w:rPr>
          <w:rStyle w:val="FootnoteReference"/>
        </w:rPr>
        <w:footnoteReference w:id="223"/>
      </w:r>
      <w:r w:rsidRPr="000F2933">
        <w:t xml:space="preserve">  Intercarrier compensation disputes involving payment for stimulated traffic have become commonplace, with IXCs engaging in self-help by withholding payment to access-stimulating LECs.</w:t>
      </w:r>
      <w:r>
        <w:rPr>
          <w:rStyle w:val="FootnoteReference"/>
        </w:rPr>
        <w:footnoteReference w:id="224"/>
      </w:r>
      <w:r w:rsidRPr="000F2933">
        <w:t xml:space="preserve">  As a result</w:t>
      </w:r>
      <w:r>
        <w:t>,</w:t>
      </w:r>
      <w:r w:rsidRPr="000F2933">
        <w:t xml:space="preserve"> several commenters request </w:t>
      </w:r>
      <w:r w:rsidRPr="000F2933">
        <w:t xml:space="preserve">that we </w:t>
      </w:r>
      <w:r w:rsidRPr="000F2933">
        <w:t>address self-help remedies in access arbitrage disputes</w:t>
      </w:r>
      <w:r>
        <w:t>,</w:t>
      </w:r>
      <w:r w:rsidRPr="000F2933">
        <w:t xml:space="preserve"> and others would like us to disallow self-help more broadly.</w:t>
      </w:r>
      <w:r>
        <w:rPr>
          <w:rStyle w:val="FootnoteReference"/>
        </w:rPr>
        <w:footnoteReference w:id="225"/>
      </w:r>
      <w:r w:rsidRPr="000F2933">
        <w:t xml:space="preserve">  We decline those requests.  Disallowing self-help, whether in the access</w:t>
      </w:r>
      <w:r>
        <w:t xml:space="preserve"> </w:t>
      </w:r>
      <w:r w:rsidRPr="000F2933">
        <w:t>stimulation context or not, would be inconsistent with existing tariffs, some of which permit customers to withhold payment under certain circumstances.</w:t>
      </w:r>
      <w:r>
        <w:rPr>
          <w:rStyle w:val="FootnoteReference"/>
          <w:szCs w:val="22"/>
        </w:rPr>
        <w:footnoteReference w:id="226"/>
      </w:r>
      <w:r w:rsidRPr="000F2933">
        <w:t xml:space="preserve"> </w:t>
      </w:r>
      <w:r>
        <w:t xml:space="preserve"> </w:t>
      </w:r>
    </w:p>
    <w:p w:rsidR="00EB312D" w:rsidRPr="000F2933" w:rsidP="00EB312D">
      <w:pPr>
        <w:pStyle w:val="ParaNum"/>
      </w:pPr>
      <w:r w:rsidRPr="000F2933">
        <w:t>We also decline to adopt other tariff-related recommendations made by commenters.  AT&amp;T, for example, suggests that we “eliminate tariffing of tandem and transport access services on access stimulation traffic.”</w:t>
      </w:r>
      <w:r>
        <w:rPr>
          <w:rStyle w:val="FootnoteReference"/>
        </w:rPr>
        <w:footnoteReference w:id="227"/>
      </w:r>
      <w:r w:rsidRPr="000F2933">
        <w:t xml:space="preserve">  We believe this suggested solution is unnecessary in light of the more narrowly drawn solutions to access stimulation that we adopt today.</w:t>
      </w:r>
      <w:r>
        <w:rPr>
          <w:rStyle w:val="FootnoteReference"/>
        </w:rPr>
        <w:footnoteReference w:id="228"/>
      </w:r>
      <w:r w:rsidRPr="000F2933">
        <w:t xml:space="preserve">  Furthermore, there are protections </w:t>
      </w:r>
      <w:r w:rsidRPr="000F2933">
        <w:t xml:space="preserve">provided by tariffs—such as the ability to dispute charges described above—that should not be eliminated as </w:t>
      </w:r>
      <w:r>
        <w:t>a</w:t>
      </w:r>
      <w:r w:rsidRPr="000F2933">
        <w:t xml:space="preserve"> result of an unexplored suggestion made in passing in this proceeding.</w:t>
      </w:r>
      <w:r>
        <w:rPr>
          <w:rStyle w:val="FootnoteReference"/>
        </w:rPr>
        <w:footnoteReference w:id="229"/>
      </w:r>
      <w:r w:rsidRPr="000F2933">
        <w:t xml:space="preserve">  AT&amp;T also suggests that we “make clear that LECs can include in their tariffs reasonable provisions that allow the LECs to decline to provide [telephone lines and/or access services] to a chat/conference provider.”</w:t>
      </w:r>
      <w:r>
        <w:rPr>
          <w:rStyle w:val="FootnoteReference"/>
        </w:rPr>
        <w:footnoteReference w:id="230"/>
      </w:r>
      <w:r w:rsidRPr="000F2933">
        <w:t xml:space="preserve">  We </w:t>
      </w:r>
      <w:r>
        <w:t>decline</w:t>
      </w:r>
      <w:r w:rsidRPr="000F2933">
        <w:t xml:space="preserve"> to suggest tariff </w:t>
      </w:r>
      <w:r>
        <w:t xml:space="preserve">language </w:t>
      </w:r>
      <w:r w:rsidRPr="000F2933">
        <w:t>changes in this proceeding</w:t>
      </w:r>
      <w:r>
        <w:t xml:space="preserve"> beyond those necessary to implement our rule changes</w:t>
      </w:r>
      <w:r w:rsidRPr="000F2933">
        <w:t>.  Each carrier is responsible for its own tariffs and tariff changes are subject to the tariff review process.</w:t>
      </w:r>
      <w:r>
        <w:rPr>
          <w:rStyle w:val="FootnoteReference"/>
        </w:rPr>
        <w:footnoteReference w:id="231"/>
      </w:r>
      <w:r w:rsidRPr="000F2933">
        <w:t xml:space="preserve">  </w:t>
      </w:r>
    </w:p>
    <w:p w:rsidR="00EB312D" w:rsidRPr="000F2933" w:rsidP="00EB312D">
      <w:pPr>
        <w:pStyle w:val="ParaNum"/>
      </w:pPr>
      <w:r w:rsidRPr="000F420B">
        <w:rPr>
          <w:i/>
        </w:rPr>
        <w:t>Mileage Pumping and Daisy Chainin</w:t>
      </w:r>
      <w:r w:rsidRPr="004D2F68">
        <w:t xml:space="preserve">g. </w:t>
      </w:r>
      <w:r w:rsidRPr="000F2933">
        <w:t xml:space="preserve"> </w:t>
      </w:r>
      <w:r>
        <w:t>“</w:t>
      </w:r>
      <w:r w:rsidRPr="00DD1E5F">
        <w:t>Mileage</w:t>
      </w:r>
      <w:r w:rsidRPr="000F420B">
        <w:rPr>
          <w:i/>
        </w:rPr>
        <w:t xml:space="preserve"> </w:t>
      </w:r>
      <w:r w:rsidRPr="000F2933">
        <w:t>pumping</w:t>
      </w:r>
      <w:r>
        <w:t>”</w:t>
      </w:r>
      <w:r w:rsidRPr="000F2933">
        <w:t xml:space="preserve"> </w:t>
      </w:r>
      <w:r w:rsidRPr="00DD1E5F">
        <w:t xml:space="preserve">occurs when a LEC moves its </w:t>
      </w:r>
      <w:r>
        <w:t>point of interconnection</w:t>
      </w:r>
      <w:r w:rsidRPr="00DD1E5F">
        <w:t>, on which</w:t>
      </w:r>
      <w:r w:rsidRPr="004D2F68">
        <w:t xml:space="preserve"> its mileage-based, per-minute-of-use transport charges are based</w:t>
      </w:r>
      <w:r>
        <w:t>,</w:t>
      </w:r>
      <w:r w:rsidRPr="004D2F68">
        <w:t xml:space="preserve"> further away from its switch for no reasonable business purpose other than to inflate mileage charges.</w:t>
      </w:r>
      <w:r>
        <w:rPr>
          <w:rStyle w:val="FootnoteReference"/>
        </w:rPr>
        <w:footnoteReference w:id="232"/>
      </w:r>
      <w:r w:rsidRPr="00DD1E5F">
        <w:t xml:space="preserve">  </w:t>
      </w:r>
      <w:r>
        <w:t>“</w:t>
      </w:r>
      <w:r w:rsidRPr="00DD1E5F">
        <w:t>Daisy chaining</w:t>
      </w:r>
      <w:r>
        <w:t>”</w:t>
      </w:r>
      <w:r w:rsidRPr="00DD1E5F">
        <w:t xml:space="preserve"> occurs when a provider adds superfluous network elements so as to reclassify certain network functions as tandem switching </w:t>
      </w:r>
      <w:r>
        <w:t xml:space="preserve">and tandem switched </w:t>
      </w:r>
      <w:r w:rsidRPr="00DD1E5F">
        <w:t xml:space="preserve">transport, for which terminating access is not </w:t>
      </w:r>
      <w:r>
        <w:t xml:space="preserve">yet </w:t>
      </w:r>
      <w:r w:rsidRPr="00DD1E5F">
        <w:t>scheduled to be moved to bill-and-keep.</w:t>
      </w:r>
      <w:r>
        <w:rPr>
          <w:rStyle w:val="FootnoteReference"/>
        </w:rPr>
        <w:footnoteReference w:id="233"/>
      </w:r>
      <w:r w:rsidRPr="00DD1E5F">
        <w:t xml:space="preserve">  </w:t>
      </w:r>
      <w:r w:rsidRPr="000F2933">
        <w:t>Because there is nothing in the record to indicate that mileage pumping and daisy chaining are significant issues outside of the access stimulation context, we decline to adopt a new rule specifically addressing these issues.</w:t>
      </w:r>
      <w:r>
        <w:rPr>
          <w:rStyle w:val="FootnoteReference"/>
        </w:rPr>
        <w:footnoteReference w:id="234"/>
      </w:r>
      <w:r w:rsidRPr="00DD1E5F">
        <w:t xml:space="preserve">  We believe that p</w:t>
      </w:r>
      <w:r w:rsidRPr="004D2F68">
        <w:t xml:space="preserve">lacing the financial obligation for tandem switching and </w:t>
      </w:r>
      <w:r>
        <w:t xml:space="preserve">tandem switched </w:t>
      </w:r>
      <w:r w:rsidRPr="004D2F68">
        <w:t>transport charges on the access-stimulating LEC should eliminate the practice</w:t>
      </w:r>
      <w:r>
        <w:t>s</w:t>
      </w:r>
      <w:r w:rsidRPr="004D2F68">
        <w:t xml:space="preserve"> of mileage pumping and daisy chaining.  </w:t>
      </w:r>
    </w:p>
    <w:p w:rsidR="00EB312D" w:rsidRPr="000F2933" w:rsidP="00EB312D">
      <w:pPr>
        <w:pStyle w:val="ParaNum"/>
      </w:pPr>
      <w:r w:rsidRPr="000F2933">
        <w:t>Because our new rules</w:t>
      </w:r>
      <w:r>
        <w:t xml:space="preserve"> will encourage access-stimulating LECs to make more efficient decisions, the rules</w:t>
      </w:r>
      <w:r w:rsidRPr="000F2933">
        <w:t xml:space="preserve"> should negate the need for T-Mobile’s proposal </w:t>
      </w:r>
      <w:r>
        <w:t>that</w:t>
      </w:r>
      <w:r w:rsidRPr="000F2933">
        <w:t xml:space="preserve"> would establish multiple interconnection points nationwide where providers could choose to connect either directly or indirectly</w:t>
      </w:r>
      <w:r>
        <w:t>,</w:t>
      </w:r>
      <w:r w:rsidRPr="000F2933">
        <w:t xml:space="preserve"> and HD Tandem’s suggestion that LECs engaged in access stimulation be required to offer </w:t>
      </w:r>
      <w:r>
        <w:t xml:space="preserve">what HD </w:t>
      </w:r>
      <w:r>
        <w:t xml:space="preserve">Tandem terms </w:t>
      </w:r>
      <w:r w:rsidRPr="000F2933">
        <w:t xml:space="preserve">an </w:t>
      </w:r>
      <w:r>
        <w:t>“</w:t>
      </w:r>
      <w:r w:rsidRPr="000F2933">
        <w:t>Internet Protocol Homing Tandem</w:t>
      </w:r>
      <w:r>
        <w:t>.”</w:t>
      </w:r>
      <w:r>
        <w:rPr>
          <w:rStyle w:val="FootnoteReference"/>
        </w:rPr>
        <w:footnoteReference w:id="235"/>
      </w:r>
      <w:r w:rsidRPr="000F2933">
        <w:t xml:space="preserve"> </w:t>
      </w:r>
      <w:r>
        <w:t xml:space="preserve"> Both proposals would require us to decide what would be efficient for affected providers </w:t>
      </w:r>
      <w:r w:rsidRPr="00404008">
        <w:t xml:space="preserve">without the benefit of </w:t>
      </w:r>
      <w:r>
        <w:t xml:space="preserve">specific, </w:t>
      </w:r>
      <w:r w:rsidRPr="00404008">
        <w:t>relevant information about their networks.</w:t>
      </w:r>
      <w:r>
        <w:t xml:space="preserve">  Therefore, </w:t>
      </w:r>
      <w:r w:rsidRPr="000F2933">
        <w:t>we decline to adopt these proposal</w:t>
      </w:r>
      <w:r>
        <w:t>s</w:t>
      </w:r>
      <w:r w:rsidRPr="000F2933">
        <w:t xml:space="preserve">.  Any remaining abuses </w:t>
      </w:r>
      <w:r>
        <w:t xml:space="preserve">of illegitimate mileage pumping or daisy chaining activities after the implementation of our new and modified access-stimulation rules </w:t>
      </w:r>
      <w:r w:rsidRPr="000F2933">
        <w:t>can be addressed on a case-by-case basis in complaints brought pursuant to section 208 of the Act.</w:t>
      </w:r>
      <w:r>
        <w:rPr>
          <w:rStyle w:val="FootnoteReference"/>
        </w:rPr>
        <w:footnoteReference w:id="236"/>
      </w:r>
      <w:r w:rsidRPr="000F2933">
        <w:t xml:space="preserve">  </w:t>
      </w:r>
    </w:p>
    <w:p w:rsidR="00EB312D" w:rsidP="00EB312D">
      <w:pPr>
        <w:pStyle w:val="ParaNum"/>
      </w:pPr>
      <w:r>
        <w:t xml:space="preserve">Finally, </w:t>
      </w:r>
      <w:r w:rsidRPr="000F2933">
        <w:t xml:space="preserve">we do not address </w:t>
      </w:r>
      <w:r>
        <w:t xml:space="preserve">the merits of several other issues raised in the record </w:t>
      </w:r>
      <w:r w:rsidRPr="000F2933">
        <w:t xml:space="preserve">because they </w:t>
      </w:r>
      <w:r>
        <w:t xml:space="preserve">are outside the scope of this proceeding </w:t>
      </w:r>
      <w:r w:rsidRPr="000F2933">
        <w:t>or are insufficiently supported with data and analysis.</w:t>
      </w:r>
      <w:r>
        <w:t xml:space="preserve">  For example, s</w:t>
      </w:r>
      <w:r w:rsidRPr="00DD1E5F">
        <w:t xml:space="preserve">ome parties used this proceeding as an opportunity to air grievances related to a dispute that was twice before the South Dakota Public Utilities </w:t>
      </w:r>
      <w:r w:rsidRPr="004D2F68">
        <w:t>Commission.</w:t>
      </w:r>
      <w:r>
        <w:rPr>
          <w:rStyle w:val="FootnoteReference"/>
        </w:rPr>
        <w:footnoteReference w:id="237"/>
      </w:r>
      <w:r w:rsidRPr="000F2933">
        <w:t xml:space="preserve"> </w:t>
      </w:r>
      <w:r w:rsidRPr="00DD1E5F">
        <w:t xml:space="preserve"> We agree with the South Dakota 9</w:t>
      </w:r>
      <w:r>
        <w:noBreakHyphen/>
      </w:r>
      <w:r w:rsidRPr="00DD1E5F">
        <w:t>1</w:t>
      </w:r>
      <w:r>
        <w:noBreakHyphen/>
      </w:r>
      <w:r w:rsidRPr="00DD1E5F">
        <w:t xml:space="preserve">1 Coordination Board and SDN that it is not appropriate to raise a state dispute regarding efforts to implement next generation 911 service in this rulemaking proceeding in the hope that the Commission will </w:t>
      </w:r>
      <w:r w:rsidRPr="004D2F68">
        <w:t xml:space="preserve">include language in this </w:t>
      </w:r>
      <w:r w:rsidRPr="000F420B">
        <w:rPr>
          <w:i/>
        </w:rPr>
        <w:t>Order</w:t>
      </w:r>
      <w:r w:rsidRPr="004D2F68">
        <w:t xml:space="preserve"> to address that particular dispute.</w:t>
      </w:r>
      <w:r>
        <w:rPr>
          <w:rStyle w:val="FootnoteReference"/>
        </w:rPr>
        <w:footnoteReference w:id="238"/>
      </w:r>
      <w:r w:rsidRPr="00DD1E5F">
        <w:t xml:space="preserve">  </w:t>
      </w:r>
    </w:p>
    <w:p w:rsidR="00EB312D" w:rsidRPr="000F2933" w:rsidP="00EB312D">
      <w:pPr>
        <w:pStyle w:val="ParaNum"/>
      </w:pPr>
      <w:r w:rsidRPr="004F0963">
        <w:t xml:space="preserve">A few parties </w:t>
      </w:r>
      <w:r w:rsidRPr="00D57292">
        <w:t xml:space="preserve">argue that we </w:t>
      </w:r>
      <w:r w:rsidRPr="004F0963">
        <w:t xml:space="preserve">should </w:t>
      </w:r>
      <w:r w:rsidRPr="00D57292">
        <w:t>adopt rules regarding the rates providers charge for certain services</w:t>
      </w:r>
      <w:r w:rsidRPr="004F0963">
        <w:t>.</w:t>
      </w:r>
      <w:r>
        <w:rPr>
          <w:rStyle w:val="FootnoteReference"/>
        </w:rPr>
        <w:footnoteReference w:id="239"/>
      </w:r>
      <w:r>
        <w:t xml:space="preserve">  For</w:t>
      </w:r>
      <w:r w:rsidRPr="004D2F68">
        <w:t xml:space="preserve"> example, t</w:t>
      </w:r>
      <w:r w:rsidRPr="000F2933">
        <w:t>he Joint CLECs suggest that we adopt a “uniform rate for access</w:t>
      </w:r>
      <w:r>
        <w:t>-</w:t>
      </w:r>
      <w:r w:rsidRPr="000F2933">
        <w:t>stimulating traffic</w:t>
      </w:r>
      <w:r>
        <w:t>.</w:t>
      </w:r>
      <w:r w:rsidRPr="000F2933">
        <w:t>”</w:t>
      </w:r>
      <w:r>
        <w:rPr>
          <w:rStyle w:val="FootnoteReference"/>
        </w:rPr>
        <w:footnoteReference w:id="240"/>
      </w:r>
      <w:r w:rsidRPr="000F2933">
        <w:t xml:space="preserve"> </w:t>
      </w:r>
      <w:r>
        <w:t xml:space="preserve"> Y</w:t>
      </w:r>
      <w:r w:rsidRPr="000F2933">
        <w:t xml:space="preserve">et </w:t>
      </w:r>
      <w:r>
        <w:t>those carriers</w:t>
      </w:r>
      <w:r w:rsidRPr="000F2933">
        <w:t xml:space="preserve"> provide no </w:t>
      </w:r>
      <w:r>
        <w:t xml:space="preserve">justification for adopting a </w:t>
      </w:r>
      <w:r w:rsidRPr="000F2933">
        <w:t>specific rate,</w:t>
      </w:r>
      <w:r>
        <w:t xml:space="preserve"> nor does the record otherwise provide a basis to fill that void.</w:t>
      </w:r>
      <w:r>
        <w:rPr>
          <w:rStyle w:val="FootnoteReference"/>
        </w:rPr>
        <w:footnoteReference w:id="241"/>
      </w:r>
      <w:r w:rsidRPr="000F2933">
        <w:t xml:space="preserve">  </w:t>
      </w:r>
      <w:r>
        <w:t xml:space="preserve">The Commission previously adopted rate caps for access-stimulating LECs and the result was a reduction in the cost of arbitrage but not its elimination.  We therefore take a different approach in this </w:t>
      </w:r>
      <w:r w:rsidRPr="006956AF">
        <w:rPr>
          <w:i/>
        </w:rPr>
        <w:t>Order</w:t>
      </w:r>
      <w:r>
        <w:t>.  The rules we adopt today do not affect the rates charged for tandem switching and transport.  HD Tandem and Wide Voice’s arguments that we do not address “rate disparities” or “equalize compensation” are misplaced.</w:t>
      </w:r>
      <w:r>
        <w:rPr>
          <w:rStyle w:val="FootnoteReference"/>
        </w:rPr>
        <w:footnoteReference w:id="242"/>
      </w:r>
      <w:r>
        <w:t xml:space="preserve">  Our goal is to eliminate the incentive for access-stimulation schemes to take advantage of rate disparities and unequal compensation opportunities, and we do so by reversing the financial responsibility for paying tandem switching and transport, from IXCs to access-stimulating LECs, but the rates for those services are unaffected.  We find that by reversing the financial responsibility, customers will receive more accurate price signals and implicit subsidies will more effectively be reduced.  We are not persuaded that continuing to allow access-stimulating LECs to collect revenues from access charges, even if “equalized,” would eliminate the arbitrage problem.  To the contrary, such action would provide access-stimulating LECs with a protected revenue stream and thus encourage arbitrage.</w:t>
      </w:r>
      <w:r>
        <w:rPr>
          <w:rStyle w:val="FootnoteReference"/>
        </w:rPr>
        <w:footnoteReference w:id="243"/>
      </w:r>
      <w:r>
        <w:t xml:space="preserve">  HD Tandem also suggests that “it would be problematic </w:t>
      </w:r>
      <w:r>
        <w:t>for the Commission to involve itself in consumer pricing.”</w:t>
      </w:r>
      <w:r>
        <w:rPr>
          <w:rStyle w:val="FootnoteReference"/>
        </w:rPr>
        <w:footnoteReference w:id="244"/>
      </w:r>
      <w:r>
        <w:t xml:space="preserve">  We agree, and the rules we adopt today do not require any changes to consumer prices.</w:t>
      </w:r>
    </w:p>
    <w:p w:rsidR="00EB312D" w:rsidRPr="000F2933" w:rsidP="00EB312D">
      <w:pPr>
        <w:pStyle w:val="Heading2"/>
      </w:pPr>
      <w:bookmarkStart w:id="350" w:name="_Toc9244543"/>
      <w:bookmarkStart w:id="351" w:name="_Toc12013333"/>
      <w:bookmarkStart w:id="352" w:name="_Toc13237273"/>
      <w:bookmarkStart w:id="353" w:name="_Toc13641416"/>
      <w:bookmarkStart w:id="354" w:name="_Toc13844718"/>
      <w:bookmarkStart w:id="355" w:name="_Toc13844770"/>
      <w:bookmarkStart w:id="356" w:name="_Toc13844859"/>
      <w:bookmarkStart w:id="357" w:name="_Toc14019952"/>
      <w:bookmarkStart w:id="358" w:name="_Toc14096395"/>
      <w:bookmarkStart w:id="359" w:name="_Toc15028073"/>
      <w:bookmarkStart w:id="360" w:name="_Toc15310190"/>
      <w:bookmarkStart w:id="361" w:name="_Toc16756579"/>
      <w:bookmarkStart w:id="362" w:name="_Toc16762071"/>
      <w:bookmarkStart w:id="363" w:name="_Toc16843638"/>
      <w:bookmarkStart w:id="364" w:name="_Toc16863793"/>
      <w:bookmarkStart w:id="365" w:name="_Toc17048649"/>
      <w:bookmarkStart w:id="366" w:name="_Toc17364732"/>
      <w:bookmarkStart w:id="367" w:name="_Toc17469828"/>
      <w:bookmarkStart w:id="368" w:name="_Toc17887586"/>
      <w:bookmarkStart w:id="369" w:name="_Toc18423502"/>
      <w:bookmarkStart w:id="370" w:name="_Toc18423557"/>
      <w:bookmarkStart w:id="371" w:name="_Toc18423633"/>
      <w:bookmarkStart w:id="372" w:name="_Toc18486772"/>
      <w:bookmarkStart w:id="373" w:name="_Toc18487382"/>
      <w:bookmarkStart w:id="374" w:name="_Toc18487887"/>
      <w:bookmarkStart w:id="375" w:name="_Toc18487995"/>
      <w:bookmarkStart w:id="376" w:name="_Toc18488118"/>
      <w:bookmarkStart w:id="377" w:name="_Toc20056858"/>
      <w:bookmarkStart w:id="378" w:name="_Toc20219907"/>
      <w:bookmarkStart w:id="379" w:name="_Hlk13475772"/>
      <w:bookmarkStart w:id="380" w:name="_Toc524706703"/>
      <w:bookmarkStart w:id="381" w:name="_Toc525114503"/>
      <w:bookmarkStart w:id="382" w:name="_Toc525114523"/>
      <w:bookmarkStart w:id="383" w:name="_Toc525127943"/>
      <w:bookmarkStart w:id="384" w:name="_Toc525225655"/>
      <w:bookmarkStart w:id="385" w:name="_Toc525230315"/>
      <w:bookmarkEnd w:id="228"/>
      <w:bookmarkEnd w:id="229"/>
      <w:bookmarkEnd w:id="230"/>
      <w:bookmarkEnd w:id="231"/>
      <w:bookmarkEnd w:id="232"/>
      <w:bookmarkEnd w:id="233"/>
      <w:bookmarkEnd w:id="234"/>
      <w:bookmarkEnd w:id="235"/>
      <w:bookmarkEnd w:id="236"/>
      <w:bookmarkEnd w:id="237"/>
      <w:r w:rsidRPr="000F2933">
        <w:t>Implementation Issues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EB312D" w:rsidP="00EB312D">
      <w:pPr>
        <w:pStyle w:val="ParaNum"/>
        <w:rPr>
          <w:noProof/>
        </w:rPr>
      </w:pPr>
      <w:bookmarkStart w:id="386" w:name="_Hlk11161334"/>
      <w:bookmarkStart w:id="387" w:name="_Toc9244544"/>
      <w:bookmarkStart w:id="388" w:name="_Toc12013334"/>
      <w:r>
        <w:t xml:space="preserve">We amend our part 51 rules governing interconnection and our part 69 rules governing tariffs to effectuate the requirements that:  (1) access-stimulating LECs </w:t>
      </w:r>
      <w:r w:rsidRPr="002A461F">
        <w:t xml:space="preserve">assume financial responsibility for terminating interstate or intrastate tandem switching </w:t>
      </w:r>
      <w:r>
        <w:t xml:space="preserve">and </w:t>
      </w:r>
      <w:r w:rsidRPr="002A461F">
        <w:t>tandem switched access transport for any traffic between the LEC’s terminating end office or equivalent and the associated access tandem switc</w:t>
      </w:r>
      <w:r>
        <w:t xml:space="preserve">h; and (2) access-stimulating LECs provide notice of their assumption of that financial responsibility to all affected parties.  To ensure that parties have enough time to come into compliance with our rules, we adopt a reasonable transition period for parties to implement any necessary changes to their tariffs and to adjust their billing systems.  This </w:t>
      </w:r>
      <w:r w:rsidRPr="00AB1939">
        <w:rPr>
          <w:i/>
        </w:rPr>
        <w:t>Order</w:t>
      </w:r>
      <w:r>
        <w:t xml:space="preserve"> and the rules adopted herein, except the notice provisions which require approval from the Office of Management and Budget (OMB) pursuant to the Paperwork Reduction Act (PRA), will become effective 30 days after publication of the summary of this </w:t>
      </w:r>
      <w:r w:rsidRPr="00AB1939">
        <w:rPr>
          <w:i/>
        </w:rPr>
        <w:t>Order</w:t>
      </w:r>
      <w:r>
        <w:t xml:space="preserve"> in the Federal Register.  </w:t>
      </w:r>
      <w:bookmarkStart w:id="389" w:name="_Hlk17820718"/>
      <w:r>
        <w:t>We give access-stimulating LECs and affected intermediate access providers an additional 45 days to come into compliance with those rules.</w:t>
      </w:r>
      <w:bookmarkEnd w:id="389"/>
      <w:r>
        <w:rPr>
          <w:rStyle w:val="FootnoteReference"/>
        </w:rPr>
        <w:footnoteReference w:id="245"/>
      </w:r>
      <w:r>
        <w:t xml:space="preserve">  </w:t>
      </w:r>
    </w:p>
    <w:p w:rsidR="00EB312D" w:rsidP="00281AF4">
      <w:pPr>
        <w:pStyle w:val="ParaNum"/>
        <w:widowControl/>
      </w:pPr>
      <w:r>
        <w:t xml:space="preserve">With respect to the new notice provisions in our rules, which require OMB approval pursuant to the PRA, </w:t>
      </w:r>
      <w:r w:rsidRPr="00DD1E5F">
        <w:t xml:space="preserve">within 45 days </w:t>
      </w:r>
      <w:r>
        <w:t>of PRA approval,</w:t>
      </w:r>
      <w:r w:rsidRPr="004D2F68">
        <w:t xml:space="preserve"> </w:t>
      </w:r>
      <w:r>
        <w:t xml:space="preserve">each </w:t>
      </w:r>
      <w:r w:rsidRPr="004D2F68">
        <w:t xml:space="preserve">existing access-stimulating LEC must </w:t>
      </w:r>
      <w:r>
        <w:t xml:space="preserve">provide notice to </w:t>
      </w:r>
      <w:r w:rsidRPr="004D2F68">
        <w:t>the Commission</w:t>
      </w:r>
      <w:r>
        <w:t xml:space="preserve"> and to</w:t>
      </w:r>
      <w:r w:rsidRPr="004D2F68">
        <w:t xml:space="preserve"> any affected IXCs </w:t>
      </w:r>
      <w:r>
        <w:t xml:space="preserve">and intermediate access providers </w:t>
      </w:r>
      <w:r w:rsidRPr="004D2F68">
        <w:t xml:space="preserve">that the LEC is </w:t>
      </w:r>
      <w:r>
        <w:t xml:space="preserve">engaged in access stimulation </w:t>
      </w:r>
      <w:r w:rsidRPr="004D2F68">
        <w:t xml:space="preserve">and accepts financial responsibility for </w:t>
      </w:r>
      <w:r>
        <w:t>all applicable terminating tandem switching and transport</w:t>
      </w:r>
      <w:r w:rsidRPr="004D2F68">
        <w:t xml:space="preserve"> charges.</w:t>
      </w:r>
      <w:r>
        <w:rPr>
          <w:rStyle w:val="FootnoteReference"/>
        </w:rPr>
        <w:footnoteReference w:id="246"/>
      </w:r>
      <w:r w:rsidRPr="004D2F68">
        <w:t xml:space="preserve">  </w:t>
      </w:r>
      <w:r>
        <w:t>A</w:t>
      </w:r>
      <w:r w:rsidRPr="004D2F68">
        <w:t xml:space="preserve">s proposed in the </w:t>
      </w:r>
      <w:r w:rsidRPr="00962C24">
        <w:rPr>
          <w:i/>
          <w:iCs/>
        </w:rPr>
        <w:t>Access Arbitrage Notice</w:t>
      </w:r>
      <w:r w:rsidRPr="004D2F68">
        <w:t xml:space="preserve">, </w:t>
      </w:r>
      <w:r>
        <w:t xml:space="preserve">notice to the Commission shall be accomplished by </w:t>
      </w:r>
      <w:r w:rsidRPr="004D2F68">
        <w:t>fil</w:t>
      </w:r>
      <w:r>
        <w:t>ing</w:t>
      </w:r>
      <w:r w:rsidRPr="004D2F68">
        <w:t xml:space="preserve"> a record of its access-stimulating status and acceptance of financial responsibility in the Commission’s </w:t>
      </w:r>
      <w:r w:rsidRPr="00962C24">
        <w:rPr>
          <w:i/>
        </w:rPr>
        <w:t>Access Arbitrage</w:t>
      </w:r>
      <w:r w:rsidRPr="004D2F68">
        <w:t xml:space="preserve"> docket on the same day that </w:t>
      </w:r>
      <w:r>
        <w:t>the LEC</w:t>
      </w:r>
      <w:r w:rsidRPr="004D2F68">
        <w:t xml:space="preserve"> issues such notice to the IXC</w:t>
      </w:r>
      <w:r>
        <w:t>(s)</w:t>
      </w:r>
      <w:r w:rsidRPr="004D2F68">
        <w:t xml:space="preserve"> </w:t>
      </w:r>
      <w:r>
        <w:t>and</w:t>
      </w:r>
      <w:r w:rsidRPr="004D2F68">
        <w:t xml:space="preserve"> intermediate access provider(s).</w:t>
      </w:r>
      <w:r>
        <w:t xml:space="preserve">  </w:t>
      </w:r>
      <w:r w:rsidRPr="00DD1E5F">
        <w:t>Th</w:t>
      </w:r>
      <w:r>
        <w:t>i</w:t>
      </w:r>
      <w:r w:rsidRPr="00DD1E5F">
        <w:t>s 45-day</w:t>
      </w:r>
      <w:r w:rsidRPr="004D2F68">
        <w:t xml:space="preserve"> tariffing and notice time period will begin to run for new access-stimulating LECs from the time they meet the definition of </w:t>
      </w:r>
      <w:r>
        <w:t>a LEC engaged in access stimulation</w:t>
      </w:r>
      <w:r w:rsidRPr="00DD1E5F">
        <w:t>.</w:t>
      </w:r>
    </w:p>
    <w:p w:rsidR="00EB312D" w:rsidP="00EB312D">
      <w:pPr>
        <w:pStyle w:val="ParaNum"/>
      </w:pPr>
      <w:r>
        <w:t xml:space="preserve">Some commenters have suggested </w:t>
      </w:r>
      <w:r w:rsidRPr="004D2F68">
        <w:t>that a longer transition for the transfer of financial responsibility is warranted</w:t>
      </w:r>
      <w:r>
        <w:t>.</w:t>
      </w:r>
      <w:r>
        <w:rPr>
          <w:rStyle w:val="FootnoteReference"/>
        </w:rPr>
        <w:footnoteReference w:id="247"/>
      </w:r>
      <w:r>
        <w:t xml:space="preserve">  We disagree.  There is no reason to allow access-stimulating LECs and the intermediate access providers that they choose to use to continue to benefit from access arbitrage schemes.  A transition period of </w:t>
      </w:r>
      <w:r w:rsidRPr="004D2F68">
        <w:t xml:space="preserve">45 days after </w:t>
      </w:r>
      <w:r>
        <w:t xml:space="preserve">the effective date of the rules—or, in the case of a LEC that is newly deemed to </w:t>
      </w:r>
      <w:r w:rsidRPr="004D2F68">
        <w:t xml:space="preserve">meet the definition of </w:t>
      </w:r>
      <w:r>
        <w:t xml:space="preserve">a LEC engaged in access stimulation, 45 days after that date—is sufficient time for access-stimulating LECs and the affected intermediate access providers </w:t>
      </w:r>
      <w:r w:rsidRPr="004D2F68">
        <w:t xml:space="preserve">to amend their billing practices </w:t>
      </w:r>
      <w:r>
        <w:t xml:space="preserve">and </w:t>
      </w:r>
      <w:r w:rsidRPr="000F2933">
        <w:t>to make any tariff changes deemed necessary, and</w:t>
      </w:r>
      <w:r w:rsidRPr="00DD1E5F">
        <w:t xml:space="preserve"> to </w:t>
      </w:r>
      <w:r>
        <w:t xml:space="preserve">prepare to </w:t>
      </w:r>
      <w:r w:rsidRPr="00DD1E5F">
        <w:t>close out then-current billing cycles under previous arrangeme</w:t>
      </w:r>
      <w:r w:rsidRPr="004D2F68">
        <w:t>nts</w:t>
      </w:r>
      <w:r>
        <w:t xml:space="preserve"> at that billing cycle’s natural end</w:t>
      </w:r>
      <w:r w:rsidRPr="004D2F68">
        <w:t>.</w:t>
      </w:r>
      <w:r>
        <w:rPr>
          <w:rStyle w:val="FootnoteReference"/>
        </w:rPr>
        <w:footnoteReference w:id="248"/>
      </w:r>
      <w:r>
        <w:t xml:space="preserve">  Commenters have argued that a mid-cycle billing change would not be administrable, but a mid-cycle change is not required by today’s rules.</w:t>
      </w:r>
      <w:r>
        <w:rPr>
          <w:rStyle w:val="FootnoteReference"/>
        </w:rPr>
        <w:footnoteReference w:id="249"/>
      </w:r>
    </w:p>
    <w:p w:rsidR="00EB312D" w:rsidP="00EB312D">
      <w:pPr>
        <w:pStyle w:val="ParaNum"/>
      </w:pPr>
      <w:r>
        <w:t xml:space="preserve">In particular, several commenters argue the draft </w:t>
      </w:r>
      <w:r w:rsidRPr="003F6BD9">
        <w:rPr>
          <w:i/>
        </w:rPr>
        <w:t>Order</w:t>
      </w:r>
      <w:r>
        <w:t xml:space="preserve"> leaves too little time for access-stimulating LECs to come into compliance, suggesting that an 18-24 month period is warranted to allow them to change their business models and avoid the definitional triggers.</w:t>
      </w:r>
      <w:r>
        <w:rPr>
          <w:rStyle w:val="FootnoteReference"/>
        </w:rPr>
        <w:footnoteReference w:id="250"/>
      </w:r>
      <w:r>
        <w:t xml:space="preserve">  We first note that there is a distinction between how much time it will take for an entity to come into compliance with the rules and how much time it will take to change their business model in light of the change in the rules.  There is contrary evidence in the record, suggesting that access-stimulating LECs are able to relocate their traffic in days, if not hours, rather than weeks and months.</w:t>
      </w:r>
      <w:r>
        <w:rPr>
          <w:rStyle w:val="FootnoteReference"/>
        </w:rPr>
        <w:footnoteReference w:id="251"/>
      </w:r>
      <w:r>
        <w:t xml:space="preserve">  Further, nothing in this </w:t>
      </w:r>
      <w:r w:rsidRPr="004F7E76">
        <w:rPr>
          <w:i/>
        </w:rPr>
        <w:t>Order</w:t>
      </w:r>
      <w:r>
        <w:t xml:space="preserve"> either requires or impedes an access-stimulating LEC’s ability to make changes to their business model should they choose to do so in light of the rules we adopt today.  In addition, the rules provide a clear process by which an access-stimulating LEC can transition out of being categorized as such.</w:t>
      </w:r>
      <w:r>
        <w:rPr>
          <w:rStyle w:val="FootnoteReference"/>
        </w:rPr>
        <w:footnoteReference w:id="252"/>
      </w:r>
      <w:r>
        <w:t xml:space="preserve">  We also reject </w:t>
      </w:r>
      <w:r>
        <w:t>FailSafe’s</w:t>
      </w:r>
      <w:r>
        <w:t xml:space="preserve"> request for a three-year phaseout of access charges due to independent telephone companies’ provision of services related to emergency communication.</w:t>
      </w:r>
      <w:r>
        <w:rPr>
          <w:rStyle w:val="FootnoteReference"/>
        </w:rPr>
        <w:footnoteReference w:id="253"/>
      </w:r>
      <w:r>
        <w:t xml:space="preserve">  </w:t>
      </w:r>
      <w:r>
        <w:t>FailSafe</w:t>
      </w:r>
      <w:r>
        <w:t xml:space="preserve"> has not identified any concrete examples under which a carrier’s provision of services related to emergency communication would have or will trip the new definition(s) of access stimulation, and the record is devoid of any support of </w:t>
      </w:r>
      <w:r>
        <w:t>FailSafe’s</w:t>
      </w:r>
      <w:r>
        <w:t xml:space="preserve"> concern.</w:t>
      </w:r>
    </w:p>
    <w:p w:rsidR="00EB312D" w:rsidP="00EB312D">
      <w:pPr>
        <w:pStyle w:val="ParaNum"/>
        <w:rPr>
          <w:snapToGrid/>
          <w:kern w:val="0"/>
        </w:rPr>
      </w:pPr>
      <w:r>
        <w:t>The Joint CLEC’s further claim that the 45 day time period for implementation leaves “</w:t>
      </w:r>
      <w:r w:rsidRPr="00C90A32">
        <w:t>LECs with no other option but to flash cut their primary revenue stream, going from having a lawful means of earning profits to having a significant cost center in a matter of days.”</w:t>
      </w:r>
      <w:r>
        <w:rPr>
          <w:rStyle w:val="FootnoteReference"/>
        </w:rPr>
        <w:footnoteReference w:id="254"/>
      </w:r>
      <w:r>
        <w:t xml:space="preserve">  As a result, the Joint CLECs argue that the new access stimulation rules violate the Takings Clause of the Fifth Amendment of the Constitution because they “eliminate[] access stimulation as a revenue stream for the CLECs and provide[] no realistic alternative means of compensation for them.”</w:t>
      </w:r>
      <w:r>
        <w:rPr>
          <w:rStyle w:val="FootnoteReference"/>
        </w:rPr>
        <w:footnoteReference w:id="255"/>
      </w:r>
      <w:r>
        <w:t xml:space="preserve">  We consider the precedent on government takings and find that this argument is without merit.  In the </w:t>
      </w:r>
      <w:r w:rsidRPr="006956AF">
        <w:rPr>
          <w:i/>
        </w:rPr>
        <w:t>Penn Central</w:t>
      </w:r>
      <w:r>
        <w:t xml:space="preserve"> case, the Supreme Court explained that in evaluating regulatory takings claims, three factors are particularly significant:  (1) the economic impact of the government action on the property owner; (2) the degree of interference with the property owner’s investment-backed expectations; and (3) the “character” of the government action.</w:t>
      </w:r>
      <w:r>
        <w:rPr>
          <w:rStyle w:val="FootnoteReference"/>
        </w:rPr>
        <w:footnoteReference w:id="256"/>
      </w:r>
      <w:r>
        <w:t xml:space="preserve">  Those factors do not support a regulatory takings argument here.</w:t>
      </w:r>
    </w:p>
    <w:p w:rsidR="00EB312D" w:rsidP="00EB312D">
      <w:pPr>
        <w:pStyle w:val="ParaNum"/>
        <w:rPr>
          <w:snapToGrid/>
          <w:kern w:val="0"/>
        </w:rPr>
      </w:pPr>
      <w:r>
        <w:t xml:space="preserve">First, we are not persuaded by the record here that the economic impact of our rules is likely to be so significant as to demonstrate a regulatory taking.  Our rules leave carriers free to respond in a number of ways—including in combination—such as by changing end-user rates to account for the access-stimulating LEC assuming financial responsibility for the intermediate access providers’ charges for delivering traffic under our rules; or by self-provisioning or selecting an alternative intermediate access provider or route for traffic where that would be a less costly option, or by seeking revenue elsewhere, for example, through an advertising-supported approach to offering free services or services provided at less than cost.  Although certain commenters cite declarations purporting to demonstrate that the new rules would “both wipe out the value of [prior] investments and prevent the CLECs from </w:t>
      </w:r>
      <w:r>
        <w:t>operating as financially viable enterprises,”</w:t>
      </w:r>
      <w:r>
        <w:rPr>
          <w:rStyle w:val="FootnoteReference"/>
        </w:rPr>
        <w:footnoteReference w:id="257"/>
      </w:r>
      <w:r>
        <w:t xml:space="preserve"> we find them unpersuasive.</w:t>
      </w:r>
      <w:r>
        <w:rPr>
          <w:rStyle w:val="FootnoteReference"/>
        </w:rPr>
        <w:footnoteReference w:id="258"/>
      </w:r>
      <w:r>
        <w:t xml:space="preserve">  The declarations do not meaningfully grapple with the viability of the range and potential combination of alternatives for responding to the new rules through any analysis of the details of cost data or other information associated with such scenarios, instead simply asserting that customers inevitably will shift to other providers.</w:t>
      </w:r>
      <w:r>
        <w:rPr>
          <w:rStyle w:val="FootnoteReference"/>
        </w:rPr>
        <w:footnoteReference w:id="259"/>
      </w:r>
      <w:r>
        <w:t xml:space="preserve">  Insofar as the declarations also express other concerns about the administration of the rules without justification for, or quantification of, the likely effects,</w:t>
      </w:r>
      <w:r>
        <w:rPr>
          <w:rStyle w:val="FootnoteReference"/>
        </w:rPr>
        <w:footnoteReference w:id="260"/>
      </w:r>
      <w:r>
        <w:t xml:space="preserve"> we likewise find them unpersuasive.</w:t>
      </w:r>
      <w:r>
        <w:rPr>
          <w:rStyle w:val="FootnoteReference"/>
        </w:rPr>
        <w:footnoteReference w:id="261"/>
      </w:r>
      <w:r>
        <w:t xml:space="preserve">  These shortcomings are particularly notable given “the heavy burden placed upon one alleging a regulatory taking.”</w:t>
      </w:r>
      <w:r>
        <w:rPr>
          <w:rStyle w:val="FootnoteReference"/>
        </w:rPr>
        <w:footnoteReference w:id="262"/>
      </w:r>
      <w:r>
        <w:t xml:space="preserve">  In addition, we are not persuaded that declarations from three access-stimulating competitive LECs and three “free” conference calling providers would call into question our industry-wide rules in any event.  Should a given carrier </w:t>
      </w:r>
      <w:r>
        <w:t>actually be</w:t>
      </w:r>
      <w:r>
        <w:t xml:space="preserve"> able to satisfy the “heavy burden” of demonstrating that the rule would result in a regulatory taking as applied to it, it is free to seek a waiver of the rules.</w:t>
      </w:r>
      <w:r>
        <w:rPr>
          <w:rStyle w:val="FootnoteReference"/>
        </w:rPr>
        <w:footnoteReference w:id="263"/>
      </w:r>
      <w:r>
        <w:t xml:space="preserve"> </w:t>
      </w:r>
    </w:p>
    <w:p w:rsidR="00EB312D" w:rsidP="00EB312D">
      <w:pPr>
        <w:pStyle w:val="ParaNum"/>
        <w:rPr>
          <w:snapToGrid/>
          <w:kern w:val="0"/>
        </w:rPr>
      </w:pPr>
      <w:r>
        <w:t>Second, our actions do not improperly impinge upon investment-backed expectations of carriers that engaged in access stimulation under the 2011 rules.</w:t>
      </w:r>
      <w:r>
        <w:rPr>
          <w:rStyle w:val="FootnoteReference"/>
        </w:rPr>
        <w:footnoteReference w:id="264"/>
      </w:r>
      <w:r>
        <w:t xml:space="preserve">  The Commission has been examining how best to address problems associated with access stimulation for years, taking incremental steps to address it as areas of particular concern arise and evolve.</w:t>
      </w:r>
      <w:r>
        <w:rPr>
          <w:rStyle w:val="FootnoteReference"/>
        </w:rPr>
        <w:footnoteReference w:id="265"/>
      </w:r>
      <w:r>
        <w:t xml:space="preserve">  This has included seeking comment even on proposals that would declare access stimulation </w:t>
      </w:r>
      <w:r>
        <w:rPr>
          <w:i/>
          <w:iCs/>
        </w:rPr>
        <w:t xml:space="preserve">per se </w:t>
      </w:r>
      <w:r>
        <w:t>unlawful, at least in certain scenarios.</w:t>
      </w:r>
      <w:r>
        <w:rPr>
          <w:rStyle w:val="FootnoteReference"/>
        </w:rPr>
        <w:footnoteReference w:id="266"/>
      </w:r>
      <w:r>
        <w:t xml:space="preserve">  Indeed, the record reveals that under the existing rules many disputes have arisen regarding intercarrier compensation obligations in the scenarios our new rules are designed to directly address.</w:t>
      </w:r>
      <w:r>
        <w:rPr>
          <w:rStyle w:val="FootnoteReference"/>
        </w:rPr>
        <w:footnoteReference w:id="267"/>
      </w:r>
      <w:r>
        <w:t xml:space="preserve">  In light of this context, we are not persuaded that any reasonable investment-backed expectations can be viewed as having been upset by our actions here.</w:t>
      </w:r>
    </w:p>
    <w:p w:rsidR="00EB312D" w:rsidRPr="009B038E" w:rsidP="00EB312D">
      <w:pPr>
        <w:pStyle w:val="ParaNum"/>
        <w:rPr>
          <w:snapToGrid/>
          <w:kern w:val="0"/>
        </w:rPr>
      </w:pPr>
      <w:r>
        <w:t xml:space="preserve">Finally, consistent with the reasoning of </w:t>
      </w:r>
      <w:r>
        <w:rPr>
          <w:i/>
          <w:iCs/>
        </w:rPr>
        <w:t>Penn Central</w:t>
      </w:r>
      <w:r>
        <w:t>, we find the character of the governmental action here cuts against a finding of a regulatory taking, given that it “arises from [a] public program adjusting the benefits and burdens of economic life to promote the common good,” rather than involving a “physical invasion” by government.</w:t>
      </w:r>
      <w:r>
        <w:rPr>
          <w:rStyle w:val="FootnoteReference"/>
        </w:rPr>
        <w:footnoteReference w:id="268"/>
      </w:r>
      <w:r>
        <w:t xml:space="preserve">  In particular, our action today substantially advances the legitimate governmental interests under the Act of discouraging inefficient marketplace incentives, </w:t>
      </w:r>
      <w:r>
        <w:t>promoting efficient communications traffic exchange, and guarding against implicit subsidies contrary to the universal service framework of section 254 of the Act.</w:t>
      </w:r>
      <w:r>
        <w:rPr>
          <w:rStyle w:val="FootnoteReference"/>
        </w:rPr>
        <w:footnoteReference w:id="269"/>
      </w:r>
      <w:r>
        <w:t xml:space="preserve">  </w:t>
      </w:r>
    </w:p>
    <w:p w:rsidR="00EB312D" w:rsidRPr="000F2933" w:rsidP="00EB312D">
      <w:pPr>
        <w:pStyle w:val="ParaNum"/>
      </w:pPr>
      <w:r>
        <w:t xml:space="preserve">Turning to the other implementation issues.  </w:t>
      </w:r>
      <w:r w:rsidRPr="00DD1E5F">
        <w:t xml:space="preserve">No commenter opposed </w:t>
      </w:r>
      <w:r w:rsidRPr="004D2F68">
        <w:t xml:space="preserve">the proposed notice requirements, and </w:t>
      </w:r>
      <w:r>
        <w:t>others</w:t>
      </w:r>
      <w:r w:rsidRPr="004D2F68">
        <w:t xml:space="preserve"> agreed that having access-stimulating LECs notify the Commission at the same time they notify affected intermediate </w:t>
      </w:r>
      <w:r>
        <w:t xml:space="preserve">access </w:t>
      </w:r>
      <w:r w:rsidRPr="004D2F68">
        <w:t>providers and IXCs will provide transparency and also address concerns raised in the record about confusion over whether a LEC is an access-stimulating LEC.</w:t>
      </w:r>
      <w:r>
        <w:rPr>
          <w:rStyle w:val="FootnoteReference"/>
        </w:rPr>
        <w:footnoteReference w:id="270"/>
      </w:r>
      <w:r>
        <w:t xml:space="preserve">  Affected carriers have had ample notice of these changes,</w:t>
      </w:r>
      <w:r>
        <w:rPr>
          <w:rStyle w:val="FootnoteReference"/>
        </w:rPr>
        <w:footnoteReference w:id="271"/>
      </w:r>
      <w:r>
        <w:t xml:space="preserve"> and the PRA approval process will provide additional time for carriers to prepare before the notice requirement comes into effect.</w:t>
      </w:r>
      <w:r>
        <w:rPr>
          <w:rStyle w:val="FootnoteReference"/>
        </w:rPr>
        <w:footnoteReference w:id="272"/>
      </w:r>
      <w:r w:rsidRPr="00DD1E5F">
        <w:t xml:space="preserve">  </w:t>
      </w:r>
    </w:p>
    <w:p w:rsidR="00EB312D" w:rsidRPr="000F2933" w:rsidP="00EB312D">
      <w:pPr>
        <w:pStyle w:val="ParaNum"/>
      </w:pPr>
      <w:r w:rsidRPr="00DD1E5F">
        <w:t xml:space="preserve">We further amend our rules to require that when a LEC ceases engaging in access stimulation in accordance with </w:t>
      </w:r>
      <w:r w:rsidRPr="00500ACD">
        <w:t>section 61.3</w:t>
      </w:r>
      <w:r w:rsidRPr="004D2F68">
        <w:t>(</w:t>
      </w:r>
      <w:r w:rsidRPr="004D2F68">
        <w:t>bbb</w:t>
      </w:r>
      <w:r w:rsidRPr="004D2F68">
        <w:t>)</w:t>
      </w:r>
      <w:r>
        <w:t>,</w:t>
      </w:r>
      <w:r w:rsidRPr="004D2F68">
        <w:t xml:space="preserve"> the LEC must also notify affected IXCs and intermediate access providers of </w:t>
      </w:r>
      <w:r w:rsidRPr="000F2933">
        <w:t>its status as a non-access-stimulating LEC and of the end of its financial responsibility</w:t>
      </w:r>
      <w:r w:rsidRPr="00DD1E5F">
        <w:t>.</w:t>
      </w:r>
      <w:r>
        <w:rPr>
          <w:rStyle w:val="FootnoteReference"/>
        </w:rPr>
        <w:footnoteReference w:id="273"/>
      </w:r>
      <w:r w:rsidRPr="00DD1E5F">
        <w:t xml:space="preserve">  </w:t>
      </w:r>
      <w:r w:rsidRPr="000F420B">
        <w:t xml:space="preserve">We also require that an access-stimulating LEC publicly file a record of the end of </w:t>
      </w:r>
      <w:r w:rsidRPr="00117E95">
        <w:t xml:space="preserve">its access-stimulating status and </w:t>
      </w:r>
      <w:r w:rsidRPr="00EF2848">
        <w:t xml:space="preserve">the end of its </w:t>
      </w:r>
      <w:r w:rsidRPr="000F46F3">
        <w:t xml:space="preserve">financial responsibility in the Commission’s </w:t>
      </w:r>
      <w:r w:rsidRPr="62D2C496">
        <w:rPr>
          <w:i/>
          <w:iCs/>
        </w:rPr>
        <w:t>Access Arbitrage</w:t>
      </w:r>
      <w:r w:rsidRPr="000F46F3">
        <w:t xml:space="preserve"> docket on the same day that </w:t>
      </w:r>
      <w:r w:rsidRPr="007F2AF3">
        <w:t xml:space="preserve">the LEC issues </w:t>
      </w:r>
      <w:r w:rsidRPr="00092B6D">
        <w:t xml:space="preserve">such </w:t>
      </w:r>
      <w:r w:rsidRPr="00053021">
        <w:t>notice to the IXC</w:t>
      </w:r>
      <w:r w:rsidRPr="009A0E15">
        <w:t xml:space="preserve">(s) </w:t>
      </w:r>
      <w:r>
        <w:t>and</w:t>
      </w:r>
      <w:r w:rsidRPr="009A0E15">
        <w:t xml:space="preserve"> intermediate access provider</w:t>
      </w:r>
      <w:r w:rsidRPr="00433EBE">
        <w:t>(s</w:t>
      </w:r>
      <w:r w:rsidRPr="007C723D">
        <w:t>).</w:t>
      </w:r>
      <w:r>
        <w:rPr>
          <w:rStyle w:val="FootnoteReference"/>
        </w:rPr>
        <w:footnoteReference w:id="274"/>
      </w:r>
      <w:r w:rsidRPr="000F420B">
        <w:t xml:space="preserve">  We decline to further </w:t>
      </w:r>
      <w:r>
        <w:t>prescribe</w:t>
      </w:r>
      <w:r w:rsidRPr="000F420B">
        <w:t xml:space="preserve"> the steps necessary to reverse the financial responsibility and leave it to the parties </w:t>
      </w:r>
      <w:r>
        <w:t xml:space="preserve">to </w:t>
      </w:r>
      <w:r w:rsidRPr="00117E95">
        <w:t>work with each other to</w:t>
      </w:r>
      <w:r w:rsidRPr="00EF2848">
        <w:t xml:space="preserve"> make the necessary changes in a reasonable period of time.</w:t>
      </w:r>
      <w:r>
        <w:rPr>
          <w:rStyle w:val="FootnoteReference"/>
        </w:rPr>
        <w:footnoteReference w:id="275"/>
      </w:r>
    </w:p>
    <w:p w:rsidR="00EB312D" w:rsidRPr="000F2933" w:rsidP="00EB312D">
      <w:pPr>
        <w:pStyle w:val="ParaNum"/>
      </w:pPr>
      <w:r>
        <w:t>We believe these changes will reduce complications that could arise from coterminous dates for giving notice and for shifting financial responsibility.  We decline to further prescribe any elements of this notice obligation and instead leave it to the parties to clearly and publicly manifest their status and intent when providing the requisite notice.</w:t>
      </w:r>
    </w:p>
    <w:bookmarkEnd w:id="386"/>
    <w:p w:rsidR="00EB312D" w:rsidRPr="000F2933" w:rsidP="00EB312D">
      <w:pPr>
        <w:pStyle w:val="ParaNum"/>
      </w:pPr>
      <w:r w:rsidRPr="62D2C496">
        <w:rPr>
          <w:i/>
          <w:iCs/>
        </w:rPr>
        <w:t>Implementation Concerns Are Surmountable</w:t>
      </w:r>
      <w:r w:rsidRPr="004D2F68">
        <w:t xml:space="preserve">.  We are not persuaded that there are implementation concerns significant enough for us to reject the Commission’s proposal regarding the shifting of financial responsibility as an undue burden on providers.  </w:t>
      </w:r>
      <w:bookmarkStart w:id="390" w:name="_Hlk11063636"/>
      <w:r w:rsidRPr="004D2F68">
        <w:t>In its comments, SDN correctly observes that our rules may well require SDN to amend its tariff so that SDN can bill access-stimulating LECs for its services.</w:t>
      </w:r>
      <w:r>
        <w:rPr>
          <w:rStyle w:val="FootnoteReference"/>
        </w:rPr>
        <w:footnoteReference w:id="276"/>
      </w:r>
      <w:r w:rsidRPr="00DD1E5F">
        <w:t xml:space="preserve">  There is no reason to believe that this will be onerous</w:t>
      </w:r>
      <w:r>
        <w:t>,</w:t>
      </w:r>
      <w:r w:rsidRPr="00DD1E5F">
        <w:t xml:space="preserve"> and SDN has not provided evidence of material incremental cost</w:t>
      </w:r>
      <w:r w:rsidRPr="004D2F68">
        <w:t xml:space="preserve">s </w:t>
      </w:r>
      <w:bookmarkEnd w:id="390"/>
      <w:r w:rsidRPr="004D2F68">
        <w:t>of making the necessary changes to implement billing arrangements with subtending access-stimulating LECs.</w:t>
      </w:r>
      <w:r>
        <w:t xml:space="preserve">  </w:t>
      </w:r>
    </w:p>
    <w:p w:rsidR="00EB312D" w:rsidRPr="000F2933" w:rsidP="00EB312D">
      <w:pPr>
        <w:pStyle w:val="ParaNum"/>
      </w:pPr>
      <w:bookmarkStart w:id="391" w:name="_Hlk14884418"/>
      <w:r w:rsidRPr="000F2933">
        <w:t>SDN expresses concern that disputes may arise about whether certain traffic is access-stimulation traffic.</w:t>
      </w:r>
      <w:r>
        <w:rPr>
          <w:rStyle w:val="FootnoteReference"/>
        </w:rPr>
        <w:footnoteReference w:id="277"/>
      </w:r>
      <w:r w:rsidRPr="000F2933">
        <w:t xml:space="preserve">  However, traffic will be classified based on the status of the terminating LEC—if the terminating LEC is an access-stimulating LEC, all traffic bound for it will be subject to the changed financial responsibility.  We expect </w:t>
      </w:r>
      <w:r>
        <w:t xml:space="preserve">that </w:t>
      </w:r>
      <w:r w:rsidRPr="000F2933">
        <w:t xml:space="preserve">the new requirements for such carriers to self-identify </w:t>
      </w:r>
      <w:r>
        <w:t>will</w:t>
      </w:r>
      <w:r w:rsidRPr="000F2933">
        <w:t xml:space="preserve"> </w:t>
      </w:r>
      <w:r w:rsidRPr="000F2933">
        <w:t>prevent the vast majority of potential disputes between IXCs and intermediate access providers concerning whether the LEC to which traffic is bound is engaged in access stimulation.</w:t>
      </w:r>
      <w:r>
        <w:rPr>
          <w:rStyle w:val="FootnoteReference"/>
        </w:rPr>
        <w:footnoteReference w:id="278"/>
      </w:r>
      <w:r w:rsidRPr="000F2933">
        <w:t xml:space="preserve">  </w:t>
      </w:r>
      <w:bookmarkEnd w:id="391"/>
      <w:r>
        <w:t>A</w:t>
      </w:r>
      <w:r w:rsidRPr="000F2933">
        <w:t>n intermediate access provider’s duty to cease billing an IXC for tandem switching and transport services attaches only after receiving written notice from an access-stimulating LEC.  Thus, if a LEC engaged in access stimulation fails to notify the intermediate access provider (either due to a good faith belief that it does not meet the definition of being an access-stimulating LEC or simply fail</w:t>
      </w:r>
      <w:r>
        <w:t>ing</w:t>
      </w:r>
      <w:r w:rsidRPr="000F2933">
        <w:t xml:space="preserve"> to provide the notice, for whatever reason), an IXC’s recourse is against the LEC, not the intermediate access provider.</w:t>
      </w:r>
    </w:p>
    <w:p w:rsidR="00EB312D" w:rsidRPr="000F2933" w:rsidP="00EB312D">
      <w:pPr>
        <w:pStyle w:val="ParaNum"/>
      </w:pPr>
      <w:r>
        <w:t xml:space="preserve">In their comments, </w:t>
      </w:r>
      <w:r w:rsidRPr="000F2933">
        <w:t xml:space="preserve">the Joint CLECs assert that the explanation in the </w:t>
      </w:r>
      <w:r w:rsidRPr="62D2C496">
        <w:rPr>
          <w:i/>
          <w:iCs/>
        </w:rPr>
        <w:t>Access Arbitrage Notice</w:t>
      </w:r>
      <w:r w:rsidRPr="000F2933">
        <w:t xml:space="preserve"> of the intermediate access provider’s costs that must be borne by an access-stimulating LEC is vague.</w:t>
      </w:r>
      <w:r>
        <w:rPr>
          <w:rStyle w:val="FootnoteReference"/>
        </w:rPr>
        <w:footnoteReference w:id="279"/>
      </w:r>
      <w:r w:rsidRPr="000F2933">
        <w:t xml:space="preserve">  </w:t>
      </w:r>
      <w:r>
        <w:t xml:space="preserve">We disagree.  </w:t>
      </w:r>
      <w:r w:rsidRPr="000F2933">
        <w:t xml:space="preserve">The Joint CLECs appear primarily to take issue with the use of the word “normally” in such </w:t>
      </w:r>
      <w:r>
        <w:t xml:space="preserve">an </w:t>
      </w:r>
      <w:r w:rsidRPr="000F2933">
        <w:t xml:space="preserve">explanation but fail to recognize that the explanation that they quote is from the text of the </w:t>
      </w:r>
      <w:r w:rsidRPr="62D2C496">
        <w:rPr>
          <w:i/>
          <w:iCs/>
        </w:rPr>
        <w:t>Access Arbitrage Notice</w:t>
      </w:r>
      <w:r w:rsidRPr="000F2933">
        <w:t>, not the proposed rule</w:t>
      </w:r>
      <w:r>
        <w:t>.  The proposed</w:t>
      </w:r>
      <w:r w:rsidRPr="000F2933">
        <w:t xml:space="preserve"> </w:t>
      </w:r>
      <w:r>
        <w:t xml:space="preserve">rule </w:t>
      </w:r>
      <w:r w:rsidRPr="000F2933">
        <w:t xml:space="preserve">refers to “the applicable Intermediate Access Provider terminating tandem switching and terminating </w:t>
      </w:r>
      <w:r>
        <w:t xml:space="preserve">tandem </w:t>
      </w:r>
      <w:r w:rsidRPr="000F2933">
        <w:t>switched transport access charges relating to traffic bound for the access-stimulating local exchange carrier.”</w:t>
      </w:r>
      <w:r>
        <w:rPr>
          <w:rStyle w:val="FootnoteReference"/>
        </w:rPr>
        <w:footnoteReference w:id="280"/>
      </w:r>
      <w:r w:rsidRPr="000F2933">
        <w:t xml:space="preserve">  It is a relatively simple matter to determine the charges applicable to intermediate access service being provided by an intermediate access provider, particularly when the relevant service has already been provided for years (albeit with a different billed party).</w:t>
      </w:r>
    </w:p>
    <w:p w:rsidR="00EB312D" w:rsidRPr="000F2933" w:rsidP="00281AF4">
      <w:pPr>
        <w:pStyle w:val="ParaNum"/>
        <w:widowControl/>
      </w:pPr>
      <w:bookmarkStart w:id="393" w:name="_Toc13237274"/>
      <w:bookmarkStart w:id="394" w:name="_Toc13641417"/>
      <w:bookmarkStart w:id="395" w:name="_Toc13844719"/>
      <w:bookmarkStart w:id="396" w:name="_Toc13844771"/>
      <w:bookmarkStart w:id="397" w:name="_Toc13844860"/>
      <w:bookmarkStart w:id="398" w:name="_Toc14019953"/>
      <w:bookmarkStart w:id="399" w:name="_Toc14096396"/>
      <w:bookmarkEnd w:id="379"/>
      <w:r w:rsidRPr="000F2933">
        <w:t>We are similarly unpersuaded that the implementation issues raised by the Joint CLECs create issues of real concern.  The issues raised by the Joint CLECs include</w:t>
      </w:r>
      <w:r>
        <w:t xml:space="preserve">: </w:t>
      </w:r>
      <w:r w:rsidRPr="000F2933">
        <w:t xml:space="preserve"> </w:t>
      </w:r>
      <w:r>
        <w:t xml:space="preserve">(1) identifying </w:t>
      </w:r>
      <w:r w:rsidRPr="000F2933">
        <w:t>the relevant intermediate access provider when an access-stimulating LEC connects to IXCs through multiple such providers</w:t>
      </w:r>
      <w:r>
        <w:t>;</w:t>
      </w:r>
      <w:r w:rsidRPr="000F2933">
        <w:t xml:space="preserve"> </w:t>
      </w:r>
      <w:r>
        <w:t xml:space="preserve">(2) determining </w:t>
      </w:r>
      <w:r w:rsidRPr="000F2933">
        <w:t xml:space="preserve">how financial responsibility should be split when an intermediate </w:t>
      </w:r>
      <w:r>
        <w:t xml:space="preserve">access </w:t>
      </w:r>
      <w:r w:rsidRPr="000F2933">
        <w:t>provider provides more than the functional equivalent of tandem switching and tandem</w:t>
      </w:r>
      <w:r>
        <w:t xml:space="preserve"> </w:t>
      </w:r>
      <w:r w:rsidRPr="000F2933">
        <w:t>switched transport in the delivery of the call</w:t>
      </w:r>
      <w:r>
        <w:t>;</w:t>
      </w:r>
      <w:r w:rsidRPr="000F2933">
        <w:t xml:space="preserve"> and </w:t>
      </w:r>
      <w:r>
        <w:t xml:space="preserve">(3) the </w:t>
      </w:r>
      <w:r w:rsidRPr="000F2933">
        <w:t>CEA providers’ rates.</w:t>
      </w:r>
      <w:r>
        <w:rPr>
          <w:rStyle w:val="FootnoteReference"/>
        </w:rPr>
        <w:footnoteReference w:id="281"/>
      </w:r>
      <w:r w:rsidRPr="000F2933">
        <w:t xml:space="preserve">  We nonetheless clarify that an access</w:t>
      </w:r>
      <w:r>
        <w:t>-</w:t>
      </w:r>
      <w:r w:rsidRPr="000F2933">
        <w:t xml:space="preserve">stimulating LEC is responsible for all of the charges for tandem switching and </w:t>
      </w:r>
      <w:r>
        <w:t xml:space="preserve">tandem switched </w:t>
      </w:r>
      <w:r w:rsidRPr="000F2933">
        <w:t>transport of traffic from any intermediate</w:t>
      </w:r>
      <w:r>
        <w:t xml:space="preserve"> access</w:t>
      </w:r>
      <w:r w:rsidRPr="000F2933">
        <w:t xml:space="preserve"> provider</w:t>
      </w:r>
      <w:r>
        <w:t>(</w:t>
      </w:r>
      <w:r w:rsidRPr="000F2933">
        <w:t>s</w:t>
      </w:r>
      <w:r>
        <w:t>)</w:t>
      </w:r>
      <w:r w:rsidRPr="000F2933">
        <w:t xml:space="preserve"> in the call path between the IXC and the access</w:t>
      </w:r>
      <w:r>
        <w:t>-</w:t>
      </w:r>
      <w:r w:rsidRPr="000F2933">
        <w:t>stimulating LEC.</w:t>
      </w:r>
      <w:r>
        <w:rPr>
          <w:rStyle w:val="FootnoteReference"/>
        </w:rPr>
        <w:footnoteReference w:id="282"/>
      </w:r>
      <w:r w:rsidRPr="000F2933">
        <w:t xml:space="preserve">  </w:t>
      </w:r>
    </w:p>
    <w:p w:rsidR="00EB312D" w:rsidRPr="000F2933" w:rsidP="00EB312D">
      <w:pPr>
        <w:pStyle w:val="Heading2"/>
      </w:pPr>
      <w:bookmarkStart w:id="402" w:name="_Toc15028074"/>
      <w:bookmarkStart w:id="403" w:name="_Toc15310191"/>
      <w:bookmarkStart w:id="404" w:name="_Toc16756585"/>
      <w:bookmarkStart w:id="405" w:name="_Toc16762077"/>
      <w:bookmarkStart w:id="406" w:name="_Toc16843639"/>
      <w:bookmarkStart w:id="407" w:name="_Toc16863794"/>
      <w:bookmarkStart w:id="408" w:name="_Toc17048650"/>
      <w:bookmarkStart w:id="409" w:name="_Toc17364733"/>
      <w:bookmarkStart w:id="410" w:name="_Toc17469829"/>
      <w:bookmarkStart w:id="411" w:name="_Toc17887587"/>
      <w:bookmarkStart w:id="412" w:name="_Toc18423503"/>
      <w:bookmarkStart w:id="413" w:name="_Toc18423558"/>
      <w:bookmarkStart w:id="414" w:name="_Toc18423634"/>
      <w:bookmarkStart w:id="415" w:name="_Toc18486773"/>
      <w:bookmarkStart w:id="416" w:name="_Toc18487383"/>
      <w:bookmarkStart w:id="417" w:name="_Toc18487888"/>
      <w:bookmarkStart w:id="418" w:name="_Toc18487996"/>
      <w:bookmarkStart w:id="419" w:name="_Toc18488119"/>
      <w:bookmarkStart w:id="420" w:name="_Toc20056859"/>
      <w:bookmarkStart w:id="421" w:name="_Toc20219908"/>
      <w:r w:rsidRPr="000F2933">
        <w:t>Legal Authority</w:t>
      </w:r>
      <w:bookmarkEnd w:id="380"/>
      <w:bookmarkEnd w:id="381"/>
      <w:bookmarkEnd w:id="382"/>
      <w:bookmarkEnd w:id="383"/>
      <w:bookmarkEnd w:id="384"/>
      <w:bookmarkEnd w:id="385"/>
      <w:bookmarkEnd w:id="387"/>
      <w:bookmarkEnd w:id="388"/>
      <w:bookmarkEnd w:id="393"/>
      <w:bookmarkEnd w:id="394"/>
      <w:bookmarkEnd w:id="395"/>
      <w:bookmarkEnd w:id="396"/>
      <w:bookmarkEnd w:id="397"/>
      <w:bookmarkEnd w:id="398"/>
      <w:bookmarkEnd w:id="399"/>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EB312D" w:rsidP="003674C5">
      <w:pPr>
        <w:pStyle w:val="ParaNum"/>
        <w:widowControl/>
      </w:pPr>
      <w:r>
        <w:t>The Commission last attacked access arbitrage i</w:t>
      </w:r>
      <w:r w:rsidRPr="000F2933">
        <w:t xml:space="preserve">n </w:t>
      </w:r>
      <w:r>
        <w:t xml:space="preserve">the </w:t>
      </w:r>
      <w:r w:rsidRPr="0043272D">
        <w:t>2011</w:t>
      </w:r>
      <w:r w:rsidRPr="62D2C496">
        <w:rPr>
          <w:i/>
          <w:iCs/>
        </w:rPr>
        <w:t xml:space="preserve"> USF/ICC Transformation Order</w:t>
      </w:r>
      <w:r w:rsidRPr="000F2933">
        <w:t>,</w:t>
      </w:r>
      <w:r>
        <w:t xml:space="preserve"> as part of comprehensive reform of </w:t>
      </w:r>
      <w:r w:rsidRPr="000F2933">
        <w:t>the ICC system</w:t>
      </w:r>
      <w:r>
        <w:t>.  The Commission undertook ICC reform</w:t>
      </w:r>
      <w:r w:rsidRPr="000F2933">
        <w:t xml:space="preserve"> </w:t>
      </w:r>
      <w:r w:rsidRPr="00F53531">
        <w:t>informed by</w:t>
      </w:r>
      <w:r>
        <w:t xml:space="preserve"> three principles and interrelated goals, all of which </w:t>
      </w:r>
      <w:r w:rsidRPr="00F53531">
        <w:t>inform</w:t>
      </w:r>
      <w:r>
        <w:t xml:space="preserve"> the </w:t>
      </w:r>
      <w:r w:rsidRPr="62D2C496">
        <w:rPr>
          <w:i/>
          <w:iCs/>
        </w:rPr>
        <w:t>Order</w:t>
      </w:r>
      <w:r>
        <w:t xml:space="preserve"> we adopt today.  First, the Commission sought to ensure that the entities choosing what network to use would have appropriate incentives to make efficient decisions.  In that regard, in the </w:t>
      </w:r>
      <w:r w:rsidRPr="62D2C496">
        <w:rPr>
          <w:i/>
          <w:iCs/>
        </w:rPr>
        <w:t>USF/ICC Transformation Order</w:t>
      </w:r>
      <w:r>
        <w:rPr>
          <w:iCs/>
        </w:rPr>
        <w:t>,</w:t>
      </w:r>
      <w:r>
        <w:t xml:space="preserve"> the Commission found that “[b]</w:t>
      </w:r>
      <w:r w:rsidRPr="00A252D2">
        <w:t>ill-and-keep brings market discipline to intercarrier compensation because it ensures that the customer who chooses a network pays the network for the services the subscriber receives</w:t>
      </w:r>
      <w:r>
        <w:t>. .</w:t>
      </w:r>
      <w:r>
        <w:t xml:space="preserve"> . .  </w:t>
      </w:r>
      <w:r w:rsidRPr="00A252D2">
        <w:t>Thus, bill-and-keep gives carriers appropriate incentives to serve their customers efficiently</w:t>
      </w:r>
      <w:r>
        <w:t>.”</w:t>
      </w:r>
      <w:r>
        <w:rPr>
          <w:rStyle w:val="FootnoteReference"/>
        </w:rPr>
        <w:footnoteReference w:id="283"/>
      </w:r>
      <w:r>
        <w:t xml:space="preserve">  </w:t>
      </w:r>
      <w:r w:rsidRPr="000F2933">
        <w:t>As one of the first steps toward bill-and-keep, the Commission adopted a</w:t>
      </w:r>
      <w:r>
        <w:t xml:space="preserve"> multi-year</w:t>
      </w:r>
      <w:r w:rsidRPr="000F2933">
        <w:t xml:space="preserve"> transition period to move terminating end office access charges to bill-and-keep.</w:t>
      </w:r>
      <w:r>
        <w:rPr>
          <w:rStyle w:val="FootnoteReference"/>
        </w:rPr>
        <w:footnoteReference w:id="284"/>
      </w:r>
      <w:r w:rsidRPr="000F2933">
        <w:t xml:space="preserve">  </w:t>
      </w:r>
    </w:p>
    <w:p w:rsidR="00EB312D" w:rsidP="00EB312D">
      <w:pPr>
        <w:pStyle w:val="ParaNum"/>
      </w:pPr>
      <w:r>
        <w:t>Second, the Commission endeavored to eliminate implicit subsidies, consistent with the mandates of section 254 of the Act.  The Commission recognized the historical role access charges played in advancing universal service policies, finding that “</w:t>
      </w:r>
      <w:bookmarkStart w:id="422" w:name="_Ref309302001"/>
      <w:r>
        <w:t>bill-and-keep helps fulfill the direction from Congress in the 1996 Act that the Commission should make support explicit rather than implicit” by requiring any such subsidies, if necessary, be provided explicitly through policy choices made by the Commission under section 254 of the Act.</w:t>
      </w:r>
      <w:r>
        <w:rPr>
          <w:rStyle w:val="FootnoteReference"/>
        </w:rPr>
        <w:footnoteReference w:id="285"/>
      </w:r>
      <w:bookmarkEnd w:id="422"/>
    </w:p>
    <w:p w:rsidR="00EB312D" w:rsidP="00EB312D">
      <w:pPr>
        <w:pStyle w:val="ParaNum"/>
      </w:pPr>
      <w:r>
        <w:t>Third, the Commission weighed the regulatory costs of the steps it took in reforming the ICC regime.  In so doing, it recognized that “[</w:t>
      </w:r>
      <w:r>
        <w:t>i</w:t>
      </w:r>
      <w:r>
        <w:t>]</w:t>
      </w:r>
      <w:r>
        <w:t>ntercarrier</w:t>
      </w:r>
      <w:r>
        <w:t xml:space="preserve"> compensation rates above incremental cost” were enabling “much of the arbitrage” that was occurring.</w:t>
      </w:r>
      <w:r>
        <w:rPr>
          <w:rStyle w:val="FootnoteReference"/>
        </w:rPr>
        <w:footnoteReference w:id="286"/>
      </w:r>
      <w:r>
        <w:t xml:space="preserve">  The </w:t>
      </w:r>
      <w:r w:rsidRPr="000F2933">
        <w:t>Commission adopted rules aimed at reducing an access-stimulating LEC’s ability to unreasonably profit from providing access to high-volume calling services.</w:t>
      </w:r>
      <w:r>
        <w:rPr>
          <w:rStyle w:val="FootnoteReference"/>
        </w:rPr>
        <w:footnoteReference w:id="287"/>
      </w:r>
      <w:r w:rsidRPr="000F2933">
        <w:t xml:space="preserve">  </w:t>
      </w:r>
      <w:r>
        <w:t>Although the Commission concluded that it might theoretically have been possible to establish some reasonable, small intercarrier compensation rate based on incremental cost, it rejected that approach because doing so would lead to significant regulatory burdens to identify and establish the appropriate rate(s), an approach the Commission sought to avoid in adopting a move toward a bill-and-keep methodology.</w:t>
      </w:r>
      <w:r>
        <w:rPr>
          <w:rStyle w:val="FootnoteReference"/>
        </w:rPr>
        <w:footnoteReference w:id="288"/>
      </w:r>
      <w:r>
        <w:t xml:space="preserve">  Instead, to address access stimulation, the Commission capped the end office termination rates access-stimulating LECs could charge.</w:t>
      </w:r>
    </w:p>
    <w:p w:rsidR="00EB312D" w:rsidRPr="00534EAD" w:rsidP="00EB312D">
      <w:pPr>
        <w:pStyle w:val="ParaNum"/>
        <w:rPr>
          <w:snapToGrid/>
        </w:rPr>
      </w:pPr>
      <w:r w:rsidRPr="00DD1E5F">
        <w:rPr>
          <w:rFonts w:eastAsia="Calibri"/>
          <w:snapToGrid/>
        </w:rPr>
        <w:t>Based on our review of the re</w:t>
      </w:r>
      <w:r w:rsidRPr="004D2F68">
        <w:rPr>
          <w:rFonts w:eastAsia="Calibri"/>
          <w:snapToGrid/>
        </w:rPr>
        <w:t xml:space="preserve">cord, we find that requiring IXCs to pay the tandem switching and </w:t>
      </w:r>
      <w:r>
        <w:rPr>
          <w:rFonts w:eastAsia="Calibri"/>
          <w:snapToGrid/>
        </w:rPr>
        <w:t xml:space="preserve">tandem switched </w:t>
      </w:r>
      <w:r w:rsidRPr="004D2F68">
        <w:rPr>
          <w:rFonts w:eastAsia="Calibri"/>
          <w:snapToGrid/>
        </w:rPr>
        <w:t>transport charges for access-stimulation traffic is an unjust and unreasonable practice that we have authority to prohibit</w:t>
      </w:r>
      <w:r>
        <w:rPr>
          <w:rFonts w:eastAsia="Calibri"/>
          <w:snapToGrid/>
        </w:rPr>
        <w:t xml:space="preserve"> pursuant to section 201(b) of the Act</w:t>
      </w:r>
      <w:r w:rsidRPr="004D2F68">
        <w:rPr>
          <w:rFonts w:eastAsia="Calibri"/>
          <w:snapToGrid/>
        </w:rPr>
        <w:t>.</w:t>
      </w:r>
      <w:r>
        <w:rPr>
          <w:rStyle w:val="FootnoteReference"/>
          <w:rFonts w:eastAsia="Calibri"/>
          <w:snapToGrid/>
          <w:kern w:val="0"/>
        </w:rPr>
        <w:footnoteReference w:id="289"/>
      </w:r>
      <w:r w:rsidRPr="00DD1E5F">
        <w:rPr>
          <w:rFonts w:eastAsia="Calibri"/>
          <w:snapToGrid/>
        </w:rPr>
        <w:t xml:space="preserve">  </w:t>
      </w:r>
      <w:r w:rsidRPr="004D2F68">
        <w:rPr>
          <w:snapToGrid/>
        </w:rPr>
        <w:t>In 2011, when the Commission adopted the access-stimulation rules, its focus was on terminating end office access charges and it found that the high access rates being collected by LECs for access</w:t>
      </w:r>
      <w:r w:rsidRPr="4F0B0093">
        <w:t>-</w:t>
      </w:r>
      <w:r w:rsidRPr="00DD1E5F">
        <w:rPr>
          <w:snapToGrid/>
        </w:rPr>
        <w:t>stimulation traffic were unjust and unreasonable under section 201(b) of the Act.</w:t>
      </w:r>
      <w:r>
        <w:rPr>
          <w:rStyle w:val="FootnoteReference"/>
          <w:snapToGrid/>
        </w:rPr>
        <w:footnoteReference w:id="290"/>
      </w:r>
      <w:r w:rsidRPr="4F0B0093">
        <w:t xml:space="preserve">  </w:t>
      </w:r>
      <w:r>
        <w:t xml:space="preserve">Building on that legal authority and the Commission’s goals for ICC reform in the </w:t>
      </w:r>
      <w:r w:rsidRPr="62D2C496">
        <w:rPr>
          <w:i/>
          <w:iCs/>
        </w:rPr>
        <w:t xml:space="preserve">USF/ICC Transformation Order </w:t>
      </w:r>
      <w:r>
        <w:t>h</w:t>
      </w:r>
      <w:r w:rsidRPr="00DD1E5F">
        <w:rPr>
          <w:snapToGrid/>
        </w:rPr>
        <w:t>ere, we extend</w:t>
      </w:r>
      <w:r w:rsidRPr="004D2F68">
        <w:rPr>
          <w:snapToGrid/>
        </w:rPr>
        <w:t xml:space="preserve"> that logic </w:t>
      </w:r>
      <w:r w:rsidRPr="00DD1E5F">
        <w:rPr>
          <w:snapToGrid/>
        </w:rPr>
        <w:t>to the prac</w:t>
      </w:r>
      <w:r w:rsidRPr="004D2F68">
        <w:rPr>
          <w:snapToGrid/>
        </w:rPr>
        <w:t xml:space="preserve">tice of imposing tandem switching and </w:t>
      </w:r>
      <w:r>
        <w:rPr>
          <w:snapToGrid/>
        </w:rPr>
        <w:t xml:space="preserve">tandem switched </w:t>
      </w:r>
      <w:r w:rsidRPr="004D2F68">
        <w:rPr>
          <w:snapToGrid/>
        </w:rPr>
        <w:t>transport</w:t>
      </w:r>
      <w:r w:rsidRPr="4F0B0093">
        <w:t xml:space="preserve"> </w:t>
      </w:r>
      <w:r w:rsidRPr="00DD1E5F">
        <w:rPr>
          <w:snapToGrid/>
        </w:rPr>
        <w:t>access charges</w:t>
      </w:r>
      <w:r w:rsidRPr="4F0B0093">
        <w:t xml:space="preserve"> </w:t>
      </w:r>
      <w:r w:rsidRPr="00DD1E5F">
        <w:rPr>
          <w:snapToGrid/>
        </w:rPr>
        <w:t>on</w:t>
      </w:r>
      <w:r w:rsidRPr="004D2F68">
        <w:rPr>
          <w:snapToGrid/>
        </w:rPr>
        <w:t xml:space="preserve"> IXCs for </w:t>
      </w:r>
      <w:r>
        <w:rPr>
          <w:snapToGrid/>
        </w:rPr>
        <w:t xml:space="preserve">terminating </w:t>
      </w:r>
      <w:r w:rsidRPr="00DD1E5F">
        <w:rPr>
          <w:snapToGrid/>
        </w:rPr>
        <w:t>access</w:t>
      </w:r>
      <w:r w:rsidRPr="00A67F16">
        <w:t>-</w:t>
      </w:r>
      <w:r w:rsidRPr="00DD1E5F">
        <w:rPr>
          <w:snapToGrid/>
        </w:rPr>
        <w:t>stimulat</w:t>
      </w:r>
      <w:r>
        <w:rPr>
          <w:snapToGrid/>
        </w:rPr>
        <w:t>ion</w:t>
      </w:r>
      <w:r w:rsidRPr="00DD1E5F">
        <w:rPr>
          <w:snapToGrid/>
        </w:rPr>
        <w:t xml:space="preserve"> traffic</w:t>
      </w:r>
      <w:r>
        <w:rPr>
          <w:snapToGrid/>
        </w:rPr>
        <w:t>.  We find that that practice</w:t>
      </w:r>
      <w:r w:rsidRPr="4F0B0093">
        <w:t xml:space="preserve"> </w:t>
      </w:r>
      <w:r w:rsidRPr="00DD1E5F">
        <w:rPr>
          <w:snapToGrid/>
        </w:rPr>
        <w:t xml:space="preserve">is unjust and unreasonable under section 201(b) of the Act and is therefore </w:t>
      </w:r>
      <w:r w:rsidRPr="004D2F68">
        <w:rPr>
          <w:snapToGrid/>
        </w:rPr>
        <w:t>prohibited</w:t>
      </w:r>
      <w:r w:rsidRPr="4F0B0093">
        <w:t xml:space="preserve">.  </w:t>
      </w:r>
    </w:p>
    <w:p w:rsidR="00EB312D" w:rsidRPr="006B74E6" w:rsidP="00EB312D">
      <w:pPr>
        <w:pStyle w:val="ParaNum"/>
        <w:rPr>
          <w:snapToGrid/>
        </w:rPr>
      </w:pPr>
      <w:r>
        <w:t xml:space="preserve">In the </w:t>
      </w:r>
      <w:r w:rsidRPr="62D2C496">
        <w:rPr>
          <w:i/>
          <w:iCs/>
        </w:rPr>
        <w:t>USF/ICC Transformation Order</w:t>
      </w:r>
      <w:r w:rsidRPr="00B82163">
        <w:rPr>
          <w:iCs/>
        </w:rPr>
        <w:t>,</w:t>
      </w:r>
      <w:r w:rsidRPr="62D2C496">
        <w:rPr>
          <w:i/>
          <w:iCs/>
        </w:rPr>
        <w:t xml:space="preserve"> </w:t>
      </w:r>
      <w:r>
        <w:t>the Commission sought to ensure that the entities choosing the network and traffic path would have the appropriate incentives to make efficient decisions and recognized that ICC rates above cost enable arbitrage.</w:t>
      </w:r>
      <w:r>
        <w:rPr>
          <w:rStyle w:val="FootnoteReference"/>
        </w:rPr>
        <w:footnoteReference w:id="291"/>
      </w:r>
      <w:r>
        <w:t xml:space="preserve">  The Commission also sought to eliminate implicit subsidies allowed by arbitrage, consistent with section 254 of the Act.</w:t>
      </w:r>
      <w:r>
        <w:rPr>
          <w:rStyle w:val="FootnoteReference"/>
        </w:rPr>
        <w:footnoteReference w:id="292"/>
      </w:r>
      <w:r>
        <w:t xml:space="preserve">  Given changes in the access-stimulation “market” after 2011, the access-stimulation rules adopted as part of the broader intercarrier compensation reforms in the </w:t>
      </w:r>
      <w:r w:rsidRPr="62D2C496">
        <w:rPr>
          <w:i/>
          <w:iCs/>
        </w:rPr>
        <w:t>USF/ICC Transformation Order</w:t>
      </w:r>
      <w:r>
        <w:t xml:space="preserve"> now fail to adequately advance those goals.  </w:t>
      </w:r>
      <w:r>
        <w:rPr>
          <w:snapToGrid/>
        </w:rPr>
        <w:t>A</w:t>
      </w:r>
      <w:r w:rsidRPr="00AF334A">
        <w:rPr>
          <w:snapToGrid/>
        </w:rPr>
        <w:t xml:space="preserve">llowing </w:t>
      </w:r>
      <w:r>
        <w:rPr>
          <w:snapToGrid/>
        </w:rPr>
        <w:t>access-stimulating</w:t>
      </w:r>
      <w:r w:rsidRPr="00AF334A">
        <w:rPr>
          <w:snapToGrid/>
        </w:rPr>
        <w:t xml:space="preserve"> LECs to</w:t>
      </w:r>
      <w:r>
        <w:rPr>
          <w:snapToGrid/>
        </w:rPr>
        <w:t xml:space="preserve"> continue to</w:t>
      </w:r>
      <w:r w:rsidRPr="00AF334A">
        <w:rPr>
          <w:snapToGrid/>
        </w:rPr>
        <w:t xml:space="preserve"> avoid </w:t>
      </w:r>
      <w:r w:rsidRPr="00772C92">
        <w:rPr>
          <w:snapToGrid/>
        </w:rPr>
        <w:t xml:space="preserve">the cost implications of their decisions regarding which intermediate access providers </w:t>
      </w:r>
      <w:r>
        <w:rPr>
          <w:snapToGrid/>
        </w:rPr>
        <w:t xml:space="preserve">IXCs must </w:t>
      </w:r>
      <w:r w:rsidRPr="00772C92">
        <w:rPr>
          <w:snapToGrid/>
        </w:rPr>
        <w:t>use to deliver access</w:t>
      </w:r>
      <w:r w:rsidRPr="62D2C496">
        <w:t>-</w:t>
      </w:r>
      <w:r w:rsidRPr="00772C92">
        <w:rPr>
          <w:snapToGrid/>
        </w:rPr>
        <w:t>stimulated traffic</w:t>
      </w:r>
      <w:r w:rsidRPr="4F0B0093">
        <w:t xml:space="preserve"> </w:t>
      </w:r>
      <w:r>
        <w:t xml:space="preserve">to the LECs </w:t>
      </w:r>
      <w:r w:rsidRPr="00772C92">
        <w:rPr>
          <w:snapToGrid/>
        </w:rPr>
        <w:t xml:space="preserve">drives inefficiencies and leaves IXCs to pass </w:t>
      </w:r>
      <w:r>
        <w:rPr>
          <w:snapToGrid/>
        </w:rPr>
        <w:t xml:space="preserve">the resultant </w:t>
      </w:r>
      <w:r w:rsidRPr="00772C92">
        <w:rPr>
          <w:snapToGrid/>
        </w:rPr>
        <w:t xml:space="preserve">inflated costs on to their </w:t>
      </w:r>
      <w:r w:rsidRPr="00AF334A">
        <w:rPr>
          <w:snapToGrid/>
        </w:rPr>
        <w:t>customer</w:t>
      </w:r>
      <w:r w:rsidRPr="00772C92">
        <w:rPr>
          <w:snapToGrid/>
        </w:rPr>
        <w:t xml:space="preserve"> ba</w:t>
      </w:r>
      <w:r w:rsidRPr="00614ACB">
        <w:rPr>
          <w:snapToGrid/>
        </w:rPr>
        <w:t>ses.</w:t>
      </w:r>
      <w:r w:rsidRPr="62D2C496">
        <w:t xml:space="preserve">  </w:t>
      </w:r>
      <w:r w:rsidRPr="00DD1E5F">
        <w:rPr>
          <w:snapToGrid/>
        </w:rPr>
        <w:t xml:space="preserve">The rules we adopt in this </w:t>
      </w:r>
      <w:r w:rsidRPr="62D2C496">
        <w:rPr>
          <w:i/>
          <w:iCs/>
          <w:snapToGrid/>
        </w:rPr>
        <w:t>Order</w:t>
      </w:r>
      <w:r w:rsidRPr="00DD1E5F">
        <w:rPr>
          <w:snapToGrid/>
        </w:rPr>
        <w:t>, requiring the access-stimulating LEC to be responsible for paying those charges</w:t>
      </w:r>
      <w:r w:rsidRPr="62D2C496">
        <w:t>,</w:t>
      </w:r>
      <w:r w:rsidRPr="00DD1E5F">
        <w:rPr>
          <w:snapToGrid/>
        </w:rPr>
        <w:t xml:space="preserve"> counter the perverse incentives </w:t>
      </w:r>
      <w:r>
        <w:rPr>
          <w:snapToGrid/>
        </w:rPr>
        <w:t>the current rules create for LECs to choose</w:t>
      </w:r>
      <w:r w:rsidRPr="00DD1E5F">
        <w:rPr>
          <w:snapToGrid/>
        </w:rPr>
        <w:t xml:space="preserve"> expensive and inefficient call paths for access-stimulation traffic</w:t>
      </w:r>
      <w:r>
        <w:rPr>
          <w:snapToGrid/>
        </w:rPr>
        <w:t xml:space="preserve"> and better advance the goals and objectives articulated by the Commission in the </w:t>
      </w:r>
      <w:r w:rsidRPr="62D2C496">
        <w:rPr>
          <w:i/>
          <w:iCs/>
          <w:snapToGrid/>
        </w:rPr>
        <w:t>USF/ICC Transformation Order</w:t>
      </w:r>
      <w:r w:rsidRPr="4F0B0093">
        <w:t xml:space="preserve">. </w:t>
      </w:r>
    </w:p>
    <w:p w:rsidR="00EB312D" w:rsidRPr="00E27D72" w:rsidP="00EB312D">
      <w:pPr>
        <w:pStyle w:val="ParaNum"/>
      </w:pPr>
      <w:r>
        <w:t xml:space="preserve">Of course, the Commission’s focus on the importance of efficient interconnection did not begin with the </w:t>
      </w:r>
      <w:r w:rsidRPr="62D2C496">
        <w:rPr>
          <w:i/>
          <w:iCs/>
        </w:rPr>
        <w:t>USF/ICC Transformation Order.</w:t>
      </w:r>
      <w:r>
        <w:t xml:space="preserve">  It can also be found, for example, in the initial </w:t>
      </w:r>
      <w:r w:rsidRPr="00E27D72">
        <w:t>Commission</w:t>
      </w:r>
      <w:r>
        <w:t xml:space="preserve"> Order implementing </w:t>
      </w:r>
      <w:r w:rsidRPr="00E27D72">
        <w:t>the 1996 Act</w:t>
      </w:r>
      <w:r>
        <w:t xml:space="preserve">.  In that Order, in considering telecommunications carriers’ interconnection obligations, </w:t>
      </w:r>
      <w:r w:rsidRPr="00E27D72">
        <w:t xml:space="preserve">the Commission specified that carriers should be permitted to employ direct or indirect interconnection to satisfy their obligations under section 251(a)(1) </w:t>
      </w:r>
      <w:r>
        <w:t xml:space="preserve">of the Act </w:t>
      </w:r>
      <w:r w:rsidRPr="00E27D72">
        <w:t>“based upon their most efficient technical and economic choices.”</w:t>
      </w:r>
      <w:r>
        <w:rPr>
          <w:sz w:val="20"/>
          <w:vertAlign w:val="superscript"/>
        </w:rPr>
        <w:footnoteReference w:id="293"/>
      </w:r>
      <w:r w:rsidRPr="00E27D72">
        <w:t xml:space="preserve">  </w:t>
      </w:r>
      <w:r>
        <w:t>The focus on efficient interconnection is consistent with Congressional direction to the Commission in, for example,</w:t>
      </w:r>
      <w:r w:rsidRPr="00E27D72">
        <w:t xml:space="preserve"> </w:t>
      </w:r>
      <w:r w:rsidRPr="00E27D72">
        <w:t xml:space="preserve">section 256 of the Act </w:t>
      </w:r>
      <w:r>
        <w:t xml:space="preserve">which requires the Commission to oversee and </w:t>
      </w:r>
      <w:r w:rsidRPr="00E27D72">
        <w:t xml:space="preserve">promote interconnection </w:t>
      </w:r>
      <w:r>
        <w:t xml:space="preserve">by providers of telecommunications services </w:t>
      </w:r>
      <w:r w:rsidRPr="00E27D72">
        <w:t>that is not only “effective” but also “efficient.”</w:t>
      </w:r>
      <w:r>
        <w:rPr>
          <w:sz w:val="20"/>
          <w:vertAlign w:val="superscript"/>
        </w:rPr>
        <w:footnoteReference w:id="294"/>
      </w:r>
      <w:r w:rsidRPr="00E27D72">
        <w:t xml:space="preserve">  </w:t>
      </w:r>
      <w:r>
        <w:t>By adopting rules crafted to e</w:t>
      </w:r>
      <w:r w:rsidRPr="00E27D72">
        <w:t>n</w:t>
      </w:r>
      <w:r>
        <w:t xml:space="preserve">courage </w:t>
      </w:r>
      <w:r w:rsidRPr="00E27D72">
        <w:t xml:space="preserve">terminating LECs </w:t>
      </w:r>
      <w:r>
        <w:t xml:space="preserve">to </w:t>
      </w:r>
      <w:r w:rsidRPr="00E27D72">
        <w:t xml:space="preserve">make efficient choices </w:t>
      </w:r>
      <w:r>
        <w:t>in the context of access stimulation schemes, the rules are thus consistent with longstanding Commission policy and Congressional direction.</w:t>
      </w:r>
    </w:p>
    <w:p w:rsidR="00EB312D" w:rsidP="00844D1E">
      <w:pPr>
        <w:pStyle w:val="ParaNum"/>
        <w:widowControl/>
      </w:pPr>
      <w:r>
        <w:t xml:space="preserve">Likewise, the record reveals that the incentives associated with access stimulation lead to artificially high levels of demand, often in rural areas where such levels of demand are anomalous and largely unaccounted-for by existing network capabilities.  This, in turn, </w:t>
      </w:r>
      <w:r w:rsidRPr="00E96795">
        <w:t xml:space="preserve">can result in </w:t>
      </w:r>
      <w:r>
        <w:t xml:space="preserve">call completion problems </w:t>
      </w:r>
      <w:r w:rsidRPr="00E96795">
        <w:t>and dropped calls</w:t>
      </w:r>
      <w:r>
        <w:t>.  For a number of years, the Commission has sought to address concerns about rural call completion problems</w:t>
      </w:r>
      <w:r>
        <w:rPr>
          <w:rStyle w:val="FootnoteReference"/>
        </w:rPr>
        <w:footnoteReference w:id="295"/>
      </w:r>
      <w:r>
        <w:t xml:space="preserve">—a concern that Congress recently reinforced through its </w:t>
      </w:r>
      <w:r>
        <w:t>enactment of section 262 of the Act.</w:t>
      </w:r>
      <w:r>
        <w:rPr>
          <w:rStyle w:val="FootnoteReference"/>
        </w:rPr>
        <w:footnoteReference w:id="296"/>
      </w:r>
      <w:r>
        <w:t xml:space="preserve">  Adopting rules that help mitigate call completion problems in rural (and other) areas thus also harmonizes our approach to access stimulation under section 201(b) with those broader policies.</w:t>
      </w:r>
    </w:p>
    <w:p w:rsidR="00EB312D" w:rsidP="00EB312D">
      <w:pPr>
        <w:pStyle w:val="ParaNum"/>
      </w:pPr>
      <w:r>
        <w:t>We also conclude that our new rules are more narrowly targeted at our concerns regarding the terminating LECs’ reliance on inefficient intermediate access providers in circumstances that present the greatest concern—those involving access stimulation—compared to other alternatives suggested in the record, such as adopting rules that would regulate the rates of access-stimulating LECs or of the intermediate access providers they rely on.</w:t>
      </w:r>
      <w:r>
        <w:rPr>
          <w:rStyle w:val="FootnoteReference"/>
        </w:rPr>
        <w:footnoteReference w:id="297"/>
      </w:r>
      <w:r>
        <w:t xml:space="preserve">  The record does not reveal any rate benchmarking mechanism that would effectively address our concerns, and establishing regulatory mechanisms to set rates based on incremental cost, as some parties have suggested, would implicate the same administrability concerns that dissuaded the Commission from embarking on such an approach in the </w:t>
      </w:r>
      <w:r w:rsidRPr="62D2C496">
        <w:rPr>
          <w:i/>
          <w:iCs/>
        </w:rPr>
        <w:t>USF/ICC Transformation Order</w:t>
      </w:r>
      <w:r>
        <w:t>.</w:t>
      </w:r>
      <w:r>
        <w:rPr>
          <w:rStyle w:val="FootnoteReference"/>
        </w:rPr>
        <w:footnoteReference w:id="298"/>
      </w:r>
      <w:r>
        <w:t xml:space="preserve">  We also are guided by past experience where attempts to address access stimulation through oversight of rate levels have had</w:t>
      </w:r>
      <w:r w:rsidRPr="00DE2650">
        <w:t xml:space="preserve"> </w:t>
      </w:r>
      <w:r w:rsidRPr="00E73B46">
        <w:t>s</w:t>
      </w:r>
      <w:r w:rsidRPr="00614ACB">
        <w:t>hort</w:t>
      </w:r>
      <w:r>
        <w:t>-lived success that quickly was undone through new marketplace strategies by access-stimulating LECs.</w:t>
      </w:r>
      <w:r>
        <w:rPr>
          <w:rStyle w:val="FootnoteReference"/>
        </w:rPr>
        <w:footnoteReference w:id="299"/>
      </w:r>
    </w:p>
    <w:p w:rsidR="00EB312D" w:rsidP="003674C5">
      <w:pPr>
        <w:pStyle w:val="ParaNum"/>
        <w:widowControl/>
      </w:pPr>
      <w:r>
        <w:t xml:space="preserve">To the extent that access stimulation activities have the effect of subsidizing certain end-user services—allowing providers to offer the services to their customers at no charge in many instances—we also conclude that regulatory reforms that eliminate those implicit subsidies better accord with the objectives of section 254 of the Act.  </w:t>
      </w:r>
      <w:r w:rsidRPr="0038144B">
        <w:t>Specifically, Congress directed that universal service support “should be explicit and sufficient to achieve the purposes” of section 254.</w:t>
      </w:r>
      <w:r>
        <w:rPr>
          <w:rStyle w:val="FootnoteReference"/>
        </w:rPr>
        <w:footnoteReference w:id="300"/>
      </w:r>
      <w:r>
        <w:t xml:space="preserve">  Congress established a framework in section 254 for deciding not only how to provide support—</w:t>
      </w:r>
      <w:r w:rsidRPr="00A67F16">
        <w:t>i.e.</w:t>
      </w:r>
      <w:r w:rsidRPr="005E3138">
        <w:t>,</w:t>
      </w:r>
      <w:r>
        <w:t xml:space="preserve"> explicitly, rather than implicitly—but also for deciding what to support.</w:t>
      </w:r>
      <w:r>
        <w:rPr>
          <w:rStyle w:val="FootnoteReference"/>
        </w:rPr>
        <w:footnoteReference w:id="301"/>
      </w:r>
      <w:r>
        <w:t xml:space="preserve">  Any implicit subsidies resulting from access stimulation are based solely on the whims of the individual service providers, which are no substitute for </w:t>
      </w:r>
      <w:r>
        <w:t>the considered policy judgments the Commission makes consistent with the framework Congress established in section 254.</w:t>
      </w:r>
      <w:r>
        <w:rPr>
          <w:rStyle w:val="FootnoteReference"/>
        </w:rPr>
        <w:footnoteReference w:id="302"/>
      </w:r>
    </w:p>
    <w:p w:rsidR="00EB312D" w:rsidP="00EB312D">
      <w:pPr>
        <w:pStyle w:val="ParaNum"/>
      </w:pPr>
      <w:r>
        <w:t xml:space="preserve">These same considerations also independently persuade us that it is in the public interest to adopt the access stimulation rules in this </w:t>
      </w:r>
      <w:r w:rsidRPr="62D2C496">
        <w:rPr>
          <w:i/>
          <w:iCs/>
        </w:rPr>
        <w:t>Order</w:t>
      </w:r>
      <w:r>
        <w:t xml:space="preserve"> under section 251(b)(5) of the Act.</w:t>
      </w:r>
      <w:r>
        <w:rPr>
          <w:rStyle w:val="FootnoteReference"/>
        </w:rPr>
        <w:footnoteReference w:id="303"/>
      </w:r>
      <w:r>
        <w:t xml:space="preserve">  The </w:t>
      </w:r>
      <w:r w:rsidRPr="62D2C496">
        <w:rPr>
          <w:i/>
          <w:iCs/>
        </w:rPr>
        <w:t>USF/ICC Transformation Order</w:t>
      </w:r>
      <w:r>
        <w:t xml:space="preserve"> already “</w:t>
      </w:r>
      <w:r>
        <w:t>br</w:t>
      </w:r>
      <w:r>
        <w:t>[ought] all traffic within the section 251(b)(5) regime.”</w:t>
      </w:r>
      <w:r>
        <w:rPr>
          <w:rStyle w:val="FootnoteReference"/>
        </w:rPr>
        <w:footnoteReference w:id="304"/>
      </w:r>
      <w:r>
        <w:t xml:space="preserve">  In other words, under that precedent “when a LEC is a party to the transport and termination of access traffic, the exchange of traffic is subject to regulation under the reciprocal compensation framework” of section 251(b)(5).</w:t>
      </w:r>
      <w:r>
        <w:rPr>
          <w:rStyle w:val="FootnoteReference"/>
        </w:rPr>
        <w:footnoteReference w:id="305"/>
      </w:r>
      <w:r>
        <w:t xml:space="preserve">  And it clearly is traffic exchanged with LECs that is at issue here.  Our rules govern financial responsibility for access services that traditionally have been considered “exchange access,”</w:t>
      </w:r>
      <w:r>
        <w:rPr>
          <w:rStyle w:val="FootnoteReference"/>
        </w:rPr>
        <w:footnoteReference w:id="306"/>
      </w:r>
      <w:r>
        <w:t xml:space="preserve"> and providers of such services meet the definition of a LEC.</w:t>
      </w:r>
      <w:r>
        <w:rPr>
          <w:rStyle w:val="FootnoteReference"/>
        </w:rPr>
        <w:footnoteReference w:id="307"/>
      </w:r>
    </w:p>
    <w:p w:rsidR="00EB312D" w:rsidP="00EB312D">
      <w:pPr>
        <w:pStyle w:val="ParaNum"/>
      </w:pPr>
      <w:r>
        <w:t>In particular, just as we conclude that our rules reasonably implement the “just and reasonable” framework of section 201(b) of the Act as workable rules to strengthen incentives for efficient marketplace behavior and advance policies in sections 251, 254, and 256 of the Act, we likewise conclude that they are in the public interest as rules implementing section 251(b)(5).</w:t>
      </w:r>
      <w:r>
        <w:rPr>
          <w:rStyle w:val="FootnoteReference"/>
        </w:rPr>
        <w:footnoteReference w:id="308"/>
      </w:r>
      <w:r>
        <w:t xml:space="preserve">  The Commission explained in the </w:t>
      </w:r>
      <w:r w:rsidRPr="62D2C496">
        <w:rPr>
          <w:i/>
          <w:iCs/>
        </w:rPr>
        <w:t xml:space="preserve">USF/ICC Transformation Order </w:t>
      </w:r>
      <w:r>
        <w:t>that section 201(b)’s statement that “[t]he Commission may prescribe such rules and regulations as may be necessary in the public interest to carry out the provisions of this Act” gives the Commission broad “rulemaking authority to carry out the ‘provisions of this Act,’ which include §[] 251.”</w:t>
      </w:r>
      <w:r>
        <w:rPr>
          <w:rStyle w:val="FootnoteReference"/>
        </w:rPr>
        <w:footnoteReference w:id="309"/>
      </w:r>
      <w:r>
        <w:t xml:space="preserve">  Indeed, the Commission elaborated at length on the theory of its legal authority to implement section 251(b)(5) in the </w:t>
      </w:r>
      <w:r w:rsidRPr="62D2C496">
        <w:rPr>
          <w:i/>
          <w:iCs/>
        </w:rPr>
        <w:t>USF/ICC Transformation Order</w:t>
      </w:r>
      <w:r>
        <w:t>, which applies to our reliance on that authority here, as well.</w:t>
      </w:r>
      <w:r>
        <w:rPr>
          <w:rStyle w:val="FootnoteReference"/>
        </w:rPr>
        <w:footnoteReference w:id="310"/>
      </w:r>
    </w:p>
    <w:p w:rsidR="00EB312D" w:rsidP="00EB312D">
      <w:pPr>
        <w:pStyle w:val="ParaNum"/>
        <w:rPr>
          <w:snapToGrid/>
          <w:kern w:val="0"/>
        </w:rPr>
      </w:pPr>
      <w:r>
        <w:t>We reject arguments that section 251 of the Act does not provide authority for our action here.</w:t>
      </w:r>
      <w:r>
        <w:rPr>
          <w:rStyle w:val="FootnoteReference"/>
        </w:rPr>
        <w:footnoteReference w:id="311"/>
      </w:r>
      <w:r>
        <w:t xml:space="preserve">  Although the Joint CLECs contend the action here falls outside the scope of “reciprocal compensation” under section 251(b)(5) because it “deprives [certain] carriers of access revenues without providing any reciprocal benefit,” they approach the issue from an incorrect perspective.</w:t>
      </w:r>
      <w:r>
        <w:rPr>
          <w:rStyle w:val="FootnoteReference"/>
        </w:rPr>
        <w:footnoteReference w:id="312"/>
      </w:r>
      <w:r>
        <w:t xml:space="preserve">  In evaluating whether a new approach to reciprocal compensation is in the public interest, the Act does not require us to ensure that each carrier receives some benefit from the change relative to the </w:t>
      </w:r>
      <w:r>
        <w:rPr>
          <w:i/>
          <w:iCs/>
        </w:rPr>
        <w:t>status quo</w:t>
      </w:r>
      <w:r>
        <w:t>.</w:t>
      </w:r>
      <w:r>
        <w:rPr>
          <w:rStyle w:val="FootnoteReference"/>
        </w:rPr>
        <w:footnoteReference w:id="313"/>
      </w:r>
      <w:r>
        <w:t xml:space="preserve">  Furthermore, our actions here are one piece of a broader system of intercarrier compensation that takes the form of reciprocal arrangements among carriers.  As part of this overall framework, carriers have packages of rights and obligations that, in some defined cases allow them to recover revenues from other carriers and in other cases anticipate recovery from end users.  By this </w:t>
      </w:r>
      <w:r w:rsidRPr="006956AF">
        <w:rPr>
          <w:i/>
        </w:rPr>
        <w:t>Order</w:t>
      </w:r>
      <w:r>
        <w:t xml:space="preserve">, we today simply modify discrete elements of that overall framework.  We thus reject claims that our actions here are not part of reciprocal compensation arrangements for purposes of section 251(b)(5). </w:t>
      </w:r>
    </w:p>
    <w:p w:rsidR="00EB312D" w:rsidP="00EB312D">
      <w:pPr>
        <w:pStyle w:val="ParaNum"/>
        <w:rPr>
          <w:snapToGrid/>
          <w:kern w:val="0"/>
        </w:rPr>
      </w:pPr>
      <w:r>
        <w:t>Nor are we persuaded by arguments that section 251(b)(5) authority is absent here because the Commission “promised a bill-and-keep regime that is ‘technologically’ and ‘competitively neutral’” and our rules here allegedly fall short.</w:t>
      </w:r>
      <w:r>
        <w:rPr>
          <w:rStyle w:val="FootnoteReference"/>
        </w:rPr>
        <w:footnoteReference w:id="314"/>
      </w:r>
      <w:r>
        <w:t xml:space="preserve">  As a threshold matter, this </w:t>
      </w:r>
      <w:r w:rsidRPr="00695EBB">
        <w:rPr>
          <w:i/>
        </w:rPr>
        <w:t>Order</w:t>
      </w:r>
      <w:r>
        <w:t xml:space="preserve"> does not purport to adopt a bill-and-keep regime for access-stimulation traffic, but continues the Commission’s efforts to address arbitrage or other concerns on an interim basis pending the completion of comprehensive intercarrier compensation reform.</w:t>
      </w:r>
      <w:r>
        <w:rPr>
          <w:rStyle w:val="FootnoteReference"/>
        </w:rPr>
        <w:footnoteReference w:id="315"/>
      </w:r>
      <w:r>
        <w:t xml:space="preserve"> </w:t>
      </w:r>
      <w:r>
        <w:rPr>
          <w:i/>
        </w:rPr>
        <w:t xml:space="preserve"> </w:t>
      </w:r>
      <w:r w:rsidRPr="001C6312">
        <w:t>Ag</w:t>
      </w:r>
      <w:r>
        <w:t>encies are free to proceed incrementally, “</w:t>
      </w:r>
      <w:r>
        <w:t>whittl</w:t>
      </w:r>
      <w:r>
        <w:t>[</w:t>
      </w:r>
      <w:r>
        <w:t>ing</w:t>
      </w:r>
      <w:r>
        <w:t>] away at them over time, [and] refining their preferred approach as circumstances change and they develop a more nuanced understanding of how best to proceed” rather than attempting to “resolve massive problems in one fell regulatory swoop.”</w:t>
      </w:r>
      <w:r>
        <w:rPr>
          <w:rStyle w:val="FootnoteReference"/>
        </w:rPr>
        <w:footnoteReference w:id="316"/>
      </w:r>
      <w:r>
        <w:t xml:space="preserve">  Further, although this </w:t>
      </w:r>
      <w:r w:rsidRPr="00ED1790">
        <w:rPr>
          <w:i/>
        </w:rPr>
        <w:t>Order</w:t>
      </w:r>
      <w:r>
        <w:t xml:space="preserve"> cites illustrative examples of the types of traffic and types of carriers that have been the focus of many access stimulation disputes, the rules we adopt apply by their terms whenever they are triggered, without regard to the content or type of traffic (e.g., conference calling traffic or otherwise) and regardless of the size or location of the access-stimulating carrier. </w:t>
      </w:r>
    </w:p>
    <w:p w:rsidR="00EB312D" w:rsidRPr="00095EA5" w:rsidP="00EB312D">
      <w:pPr>
        <w:pStyle w:val="ParaNum"/>
        <w:rPr>
          <w:snapToGrid/>
          <w:kern w:val="0"/>
        </w:rPr>
      </w:pPr>
      <w:r>
        <w:t xml:space="preserve">Finally, even assuming </w:t>
      </w:r>
      <w:r>
        <w:rPr>
          <w:i/>
          <w:iCs/>
        </w:rPr>
        <w:t>arguendo</w:t>
      </w:r>
      <w:r>
        <w:t xml:space="preserve"> that the specific Commission rules adopted to address access stimulation here were viewed as falling outside the scope of section 251(b)(5), our action would, at a minimum, fall within the understanding of the Commission’s role under section 251(g) reflected the </w:t>
      </w:r>
      <w:r>
        <w:rPr>
          <w:i/>
          <w:iCs/>
        </w:rPr>
        <w:t>USF/ICC Transformation Or</w:t>
      </w:r>
      <w:r w:rsidRPr="001C6312">
        <w:rPr>
          <w:i/>
        </w:rPr>
        <w:t>der</w:t>
      </w:r>
      <w:r w:rsidRPr="001C6312">
        <w:t>.</w:t>
      </w:r>
      <w:r>
        <w:t xml:space="preserve">  As the Commission stated there, section 251(g) grandfathers historical exchange access requirements “until the Commission adopts rules to transition away from that system,” including through transitional rules that apply pending the completion of comprehensive reform moving to a new, permanent framework under section 251(b)(5).</w:t>
      </w:r>
      <w:r>
        <w:rPr>
          <w:rStyle w:val="FootnoteReference"/>
        </w:rPr>
        <w:footnoteReference w:id="317"/>
      </w:r>
      <w:r>
        <w:t xml:space="preserve">  The access stimulation concerns raised here arise, in significant part, because of ways in which the Commission’s planned transition to bill-and-keep is not yet complete and, in that context, we find it necessary to address problematic conduct that we observe on a transitional basis until that comprehensive reform is finalized.</w:t>
      </w:r>
    </w:p>
    <w:p w:rsidR="00EB312D" w:rsidRPr="000F2933" w:rsidP="003674C5">
      <w:pPr>
        <w:pStyle w:val="ParaNum"/>
        <w:widowControl/>
        <w:rPr>
          <w:snapToGrid/>
        </w:rPr>
      </w:pPr>
      <w:r>
        <w:t>We also find</w:t>
      </w:r>
      <w:r w:rsidRPr="000F2933">
        <w:t xml:space="preserve"> </w:t>
      </w:r>
      <w:r>
        <w:t xml:space="preserve">unpersuasive </w:t>
      </w:r>
      <w:r w:rsidRPr="000F2933">
        <w:t>arguments that the proposed and existing access-stimulation rules are “discriminatory” because they treat access-stimulating LECs differently than other LECs.</w:t>
      </w:r>
      <w:r>
        <w:rPr>
          <w:rStyle w:val="FootnoteReference"/>
        </w:rPr>
        <w:footnoteReference w:id="318"/>
      </w:r>
      <w:r w:rsidRPr="000F2933">
        <w:t xml:space="preserve">  Section 202(a) of the Act prohibits carriers from “unjust or unreasonable discrimination in charges, practices, classifications, regulations, facilities, or services for or in connection with like communication service, directly or indirectly, by any means or device, or to make or give any undue or unreasonable preference or advantage to any particular person, class of persons, or locality, or to subject any particular person, class of persons, or locality to any undue or unreasonable prejudice or disadvantage.”</w:t>
      </w:r>
      <w:r>
        <w:rPr>
          <w:rStyle w:val="FootnoteReference"/>
        </w:rPr>
        <w:footnoteReference w:id="319"/>
      </w:r>
      <w:r w:rsidRPr="000F2933">
        <w:t xml:space="preserve">  </w:t>
      </w:r>
      <w:r>
        <w:t>It is neither unjust nor unreasonable to treat access-stimulating LECs differently from non-access-stimulating LECs.</w:t>
      </w:r>
      <w:r>
        <w:rPr>
          <w:rStyle w:val="FootnoteReference"/>
        </w:rPr>
        <w:footnoteReference w:id="320"/>
      </w:r>
      <w:r>
        <w:t xml:space="preserve">  Section 202(a)</w:t>
      </w:r>
      <w:r w:rsidRPr="000F2933">
        <w:t xml:space="preserve"> does not apply to actions</w:t>
      </w:r>
      <w:r>
        <w:t xml:space="preserve"> carriers take in compliance with requirements adopted</w:t>
      </w:r>
      <w:r w:rsidRPr="000F2933">
        <w:t xml:space="preserve"> by the Commission</w:t>
      </w:r>
      <w:r>
        <w:t>, particularly where, as here, the Commission finds those rules necessary under an analysis of what is “just and reasonable</w:t>
      </w:r>
      <w:r w:rsidRPr="000F2933">
        <w:t>.</w:t>
      </w:r>
      <w:r>
        <w:t>”</w:t>
      </w:r>
      <w:r>
        <w:rPr>
          <w:rStyle w:val="FootnoteReference"/>
        </w:rPr>
        <w:footnoteReference w:id="321"/>
      </w:r>
      <w:r w:rsidRPr="000F2933">
        <w:t xml:space="preserve">  </w:t>
      </w:r>
      <w:r>
        <w:t>More generally, a</w:t>
      </w:r>
      <w:r w:rsidRPr="000F2933">
        <w:t>ctions by the Commission are subject to the Administrative Procedure Act requirement that they</w:t>
      </w:r>
      <w:r>
        <w:t xml:space="preserve"> must</w:t>
      </w:r>
      <w:r w:rsidRPr="000F2933">
        <w:t xml:space="preserve"> not be arbitrary and capricious,</w:t>
      </w:r>
      <w:r>
        <w:rPr>
          <w:rStyle w:val="FootnoteReference"/>
        </w:rPr>
        <w:footnoteReference w:id="322"/>
      </w:r>
      <w:r w:rsidRPr="000F2933">
        <w:t xml:space="preserve"> and courts have found only that the Commission “must provide adequate explanation before it treats similarly situated parties differently.”</w:t>
      </w:r>
      <w:r>
        <w:rPr>
          <w:rStyle w:val="FootnoteReference"/>
        </w:rPr>
        <w:footnoteReference w:id="323"/>
      </w:r>
      <w:r w:rsidRPr="000F2933">
        <w:t xml:space="preserve">  The existing access-stimulation rules adopted by the Commission in 2011, which treat access-stimulating LECs differently than other LECs, have been reviewed and approved by the </w:t>
      </w:r>
      <w:r>
        <w:t>Tenth</w:t>
      </w:r>
      <w:r w:rsidRPr="000F2933">
        <w:t xml:space="preserve"> Circuit Court of Appeals, </w:t>
      </w:r>
      <w:r>
        <w:t xml:space="preserve">which </w:t>
      </w:r>
      <w:r w:rsidRPr="000F2933">
        <w:t xml:space="preserve">specifically </w:t>
      </w:r>
      <w:r>
        <w:t xml:space="preserve">held </w:t>
      </w:r>
      <w:r w:rsidRPr="000F2933">
        <w:t>that the rules were not arbitrary and capricious and that the Commission had explained its rationale for the differing treatment.</w:t>
      </w:r>
      <w:r>
        <w:rPr>
          <w:rStyle w:val="FootnoteReference"/>
        </w:rPr>
        <w:footnoteReference w:id="324"/>
      </w:r>
      <w:r w:rsidRPr="000F2933">
        <w:t xml:space="preserve">  The rules </w:t>
      </w:r>
      <w:r>
        <w:t xml:space="preserve">we adopt today, treating </w:t>
      </w:r>
      <w:r w:rsidRPr="000F2933">
        <w:t xml:space="preserve">access-stimulating LECs </w:t>
      </w:r>
      <w:r>
        <w:t xml:space="preserve">differently from other LECs, </w:t>
      </w:r>
      <w:r w:rsidRPr="000F2933">
        <w:t xml:space="preserve">are similarly </w:t>
      </w:r>
      <w:r>
        <w:t>well-</w:t>
      </w:r>
      <w:r w:rsidRPr="000F2933">
        <w:t>reasoned and justified.</w:t>
      </w:r>
      <w:r>
        <w:t xml:space="preserve">  </w:t>
      </w:r>
    </w:p>
    <w:p w:rsidR="00EB312D" w:rsidRPr="000F426E" w:rsidP="00EB312D">
      <w:pPr>
        <w:pStyle w:val="ParaNum"/>
        <w:rPr>
          <w:snapToGrid/>
        </w:rPr>
      </w:pPr>
      <w:r w:rsidRPr="000F2933">
        <w:t xml:space="preserve">Contrary to the Joint CLECs’ claim, making </w:t>
      </w:r>
      <w:r>
        <w:t xml:space="preserve">the </w:t>
      </w:r>
      <w:r w:rsidRPr="000F2933">
        <w:t>access-stimulating LEC</w:t>
      </w:r>
      <w:r>
        <w:t>, rather than the IXC,</w:t>
      </w:r>
      <w:r w:rsidRPr="000F2933">
        <w:t xml:space="preserve"> responsible for paying intermediate access provider(s)’ terminating tandem access charges simply </w:t>
      </w:r>
      <w:r w:rsidRPr="000F2933">
        <w:t>changes the party responsible for paying the CEA</w:t>
      </w:r>
      <w:r>
        <w:t>,</w:t>
      </w:r>
      <w:r w:rsidRPr="000F2933">
        <w:t xml:space="preserve"> or </w:t>
      </w:r>
      <w:r>
        <w:t xml:space="preserve">other </w:t>
      </w:r>
      <w:r w:rsidRPr="000F2933">
        <w:t>intermediate access provider(s)</w:t>
      </w:r>
      <w:r>
        <w:t>,</w:t>
      </w:r>
      <w:r w:rsidRPr="000F2933">
        <w:t xml:space="preserve"> for carrying that traffic.</w:t>
      </w:r>
      <w:r>
        <w:rPr>
          <w:rStyle w:val="FootnoteReference"/>
        </w:rPr>
        <w:footnoteReference w:id="325"/>
      </w:r>
      <w:r w:rsidRPr="000F2933">
        <w:t xml:space="preserve">  We make the party responsible for </w:t>
      </w:r>
      <w:r>
        <w:t xml:space="preserve">selecting the terminating call path </w:t>
      </w:r>
      <w:r w:rsidRPr="000F2933">
        <w:t xml:space="preserve">responsible for paying for its </w:t>
      </w:r>
      <w:r>
        <w:t xml:space="preserve">terminating tandem switching and tandem switched </w:t>
      </w:r>
      <w:r w:rsidRPr="000F2933">
        <w:t xml:space="preserve">transport.  The act of stimulating traffic to generate excessive access revenues requires that we treat that traffic differently than non-stimulated traffic to address the </w:t>
      </w:r>
      <w:r>
        <w:t>unjust and unreasonable practices it fosters, as well as the implicit</w:t>
      </w:r>
      <w:r w:rsidRPr="000F2933">
        <w:t xml:space="preserve"> subsidies access stimulation </w:t>
      </w:r>
      <w:r>
        <w:t>creates</w:t>
      </w:r>
      <w:r w:rsidRPr="000F2933">
        <w:t>.  Further, we are not failing to recognize the potential impacts on CEA providers if access-stimulation traffic is removed from their networks.</w:t>
      </w:r>
      <w:r>
        <w:rPr>
          <w:rStyle w:val="FootnoteReference"/>
        </w:rPr>
        <w:footnoteReference w:id="326"/>
      </w:r>
      <w:r w:rsidRPr="000F2933">
        <w:t xml:space="preserve">  If a CEA provider’s demand changes, the existing tariff rules, applicable to the calculation of a CEA provider’s tariffed charges, will apply—on a nondiscriminatory basis.  </w:t>
      </w:r>
    </w:p>
    <w:p w:rsidR="00EB312D" w:rsidRPr="000F2933" w:rsidP="00EB312D">
      <w:pPr>
        <w:pStyle w:val="ParaNum"/>
        <w:rPr>
          <w:snapToGrid/>
        </w:rPr>
      </w:pPr>
      <w:r>
        <w:t xml:space="preserve">Equally meritless is the Wide Voice claim that sections 201(b) and 251(b)(5) of the Act “permit the Commission to establish rate uniformity, not rate disparity, which is what would result were the Commission to make access stimulators switched access </w:t>
      </w:r>
      <w:r w:rsidRPr="62D2C496">
        <w:rPr>
          <w:i/>
          <w:iCs/>
        </w:rPr>
        <w:t>purchasers</w:t>
      </w:r>
      <w:r>
        <w:t xml:space="preserve"> rather than switched access </w:t>
      </w:r>
      <w:r w:rsidRPr="62D2C496">
        <w:rPr>
          <w:i/>
          <w:iCs/>
        </w:rPr>
        <w:t>providers</w:t>
      </w:r>
      <w:r>
        <w:t>. .</w:t>
      </w:r>
      <w:r>
        <w:t> . . ”</w:t>
      </w:r>
      <w:r>
        <w:rPr>
          <w:rStyle w:val="FootnoteReference"/>
        </w:rPr>
        <w:footnoteReference w:id="327"/>
      </w:r>
      <w:r>
        <w:t xml:space="preserve">  Nothing in the text of those provisions requires rates to be uniform, however.  And, more fundamentally, shifting the responsibility for paying a rate does not change the rate.  In addition, we are moving toward the stated goal of a bill-and-keep methodology, not toward establishing a rate for access-stimulation traffic.  We make no changes to rates here and sections 201(b) and 251(b)(5) of the Act support our adoption of the modified access-stimulation rules in this </w:t>
      </w:r>
      <w:r w:rsidRPr="62D2C496">
        <w:rPr>
          <w:i/>
          <w:iCs/>
        </w:rPr>
        <w:t>Order</w:t>
      </w:r>
      <w:r>
        <w:t>.</w:t>
      </w:r>
      <w:r w:rsidRPr="009C4CD0">
        <w:t xml:space="preserve"> </w:t>
      </w:r>
      <w:r>
        <w:t xml:space="preserve"> The Joint CLECs also argue that making access-stimulating LECs financially responsible for the terminating tandem switching and transport of traffic delivered to their end offices by adopting the Commission’s Prong 1 proposal would violate the Tenth Circuit Court of Appeals’ holding that section 252(d) of the Act reserves to the states the determination of carriers’ network “edge.”</w:t>
      </w:r>
      <w:r>
        <w:rPr>
          <w:rStyle w:val="FootnoteReference"/>
        </w:rPr>
        <w:footnoteReference w:id="328"/>
      </w:r>
      <w:r>
        <w:t xml:space="preserve">  Shifting the financial responsibility for the delivery of traffic to access-stimulating LEC end offices does not move the network edge or affect a state’s ability to determine that edge.  </w:t>
      </w:r>
      <w:r w:rsidRPr="62D2C496">
        <w:t>The Joint CLECs’ argument is misguided.  Section 252(d) governs “agreements arrived at through negotiation.”</w:t>
      </w:r>
      <w:r>
        <w:rPr>
          <w:rStyle w:val="FootnoteReference"/>
        </w:rPr>
        <w:footnoteReference w:id="329"/>
      </w:r>
      <w:r w:rsidRPr="62D2C496">
        <w:t xml:space="preserve">  </w:t>
      </w:r>
      <w:r>
        <w:t>Just as the Commission’s adoption of bill-and-keep as the ultimate end state for intercarrier compensation shifts the recovery of costs from carriers to end users,</w:t>
      </w:r>
      <w:r>
        <w:rPr>
          <w:rStyle w:val="FootnoteReference"/>
        </w:rPr>
        <w:footnoteReference w:id="330"/>
      </w:r>
      <w:r>
        <w:t xml:space="preserve"> here we shift the recovery of costs associated with the delivery of traffic to an access-stimulating LEC’s end office from IXCs to the LEC.  </w:t>
      </w:r>
      <w:r w:rsidRPr="62D2C496">
        <w:t xml:space="preserve">Our determination to shift the recovery of costs associated with the delivery of traffic to an access-stimulating LEC’s end office from IXCs to the LEC does not interfere with “agreements arrived at through negotiation” and therefore does not affect a state’s rights or responsibilities under section 252 of the Act with respect to voluntarily negotiated interconnection agreements. </w:t>
      </w:r>
      <w:r>
        <w:t xml:space="preserve"> </w:t>
      </w:r>
    </w:p>
    <w:p w:rsidR="00EB312D" w:rsidP="00EB312D">
      <w:pPr>
        <w:pStyle w:val="Heading1"/>
      </w:pPr>
      <w:bookmarkStart w:id="424" w:name="_Toc17364734"/>
      <w:bookmarkStart w:id="425" w:name="_Toc17469830"/>
      <w:bookmarkStart w:id="426" w:name="_Toc17887588"/>
      <w:bookmarkStart w:id="427" w:name="_Toc18423504"/>
      <w:bookmarkStart w:id="428" w:name="_Toc18423559"/>
      <w:bookmarkStart w:id="429" w:name="_Toc18423635"/>
      <w:bookmarkStart w:id="430" w:name="_Toc18486774"/>
      <w:bookmarkStart w:id="431" w:name="_Toc18487384"/>
      <w:bookmarkStart w:id="432" w:name="_Toc18487889"/>
      <w:bookmarkStart w:id="433" w:name="_Toc18487997"/>
      <w:bookmarkStart w:id="434" w:name="_Toc18488120"/>
      <w:bookmarkStart w:id="435" w:name="_Toc20056860"/>
      <w:bookmarkStart w:id="436" w:name="_Toc20219909"/>
      <w:bookmarkStart w:id="437" w:name="_Toc504674574"/>
      <w:bookmarkStart w:id="438" w:name="_Toc504675216"/>
      <w:bookmarkStart w:id="439" w:name="_Toc504724554"/>
      <w:bookmarkStart w:id="440" w:name="_Toc504737274"/>
      <w:bookmarkStart w:id="441" w:name="_Toc505273813"/>
      <w:bookmarkStart w:id="442" w:name="_Toc505671972"/>
      <w:bookmarkStart w:id="443" w:name="_Toc506382527"/>
      <w:bookmarkStart w:id="444" w:name="_Toc507683733"/>
      <w:bookmarkStart w:id="445" w:name="_Toc508018635"/>
      <w:bookmarkStart w:id="446" w:name="_Toc510697480"/>
      <w:bookmarkStart w:id="447" w:name="_Toc511389219"/>
      <w:bookmarkStart w:id="448" w:name="_Toc511389269"/>
      <w:bookmarkStart w:id="449" w:name="_Toc511809354"/>
      <w:bookmarkStart w:id="450" w:name="_Toc511829211"/>
      <w:bookmarkStart w:id="451" w:name="_Toc511908589"/>
      <w:bookmarkStart w:id="452" w:name="_Toc512342142"/>
      <w:bookmarkStart w:id="453" w:name="_Toc512432209"/>
      <w:bookmarkStart w:id="454" w:name="_Toc512602234"/>
      <w:bookmarkStart w:id="455" w:name="_Toc512609417"/>
      <w:bookmarkStart w:id="456" w:name="_Toc513022581"/>
      <w:bookmarkStart w:id="457" w:name="_Toc513112771"/>
      <w:bookmarkStart w:id="458" w:name="_Toc515635372"/>
      <w:bookmarkStart w:id="459" w:name="_Toc515868113"/>
      <w:bookmarkStart w:id="460" w:name="_Toc524706710"/>
      <w:bookmarkStart w:id="461" w:name="_Toc525114510"/>
      <w:bookmarkStart w:id="462" w:name="_Toc525114530"/>
      <w:bookmarkStart w:id="463" w:name="_Toc525127950"/>
      <w:bookmarkStart w:id="464" w:name="_Toc525225662"/>
      <w:bookmarkStart w:id="465" w:name="_Toc525230322"/>
      <w:bookmarkStart w:id="466" w:name="_Toc9244546"/>
      <w:bookmarkStart w:id="467" w:name="_Toc12013336"/>
      <w:bookmarkStart w:id="468" w:name="_Toc13237276"/>
      <w:bookmarkStart w:id="469" w:name="_Toc13641419"/>
      <w:bookmarkStart w:id="470" w:name="_Toc13844721"/>
      <w:bookmarkStart w:id="471" w:name="_Toc13844773"/>
      <w:bookmarkStart w:id="472" w:name="_Toc13844862"/>
      <w:bookmarkStart w:id="473" w:name="_Toc14019955"/>
      <w:bookmarkStart w:id="474" w:name="_Toc14096398"/>
      <w:bookmarkStart w:id="475" w:name="_Toc15028076"/>
      <w:bookmarkStart w:id="476" w:name="_Toc15310193"/>
      <w:bookmarkStart w:id="477" w:name="_Toc16756586"/>
      <w:bookmarkStart w:id="478" w:name="_Toc16762078"/>
      <w:bookmarkStart w:id="479" w:name="_Toc16843640"/>
      <w:bookmarkStart w:id="480" w:name="_Toc16863795"/>
      <w:bookmarkStart w:id="481" w:name="_Toc17048651"/>
      <w:r>
        <w:t>Modification of section 214 authorizations</w:t>
      </w:r>
      <w:bookmarkEnd w:id="424"/>
      <w:bookmarkEnd w:id="425"/>
      <w:bookmarkEnd w:id="426"/>
      <w:r>
        <w:t xml:space="preserve"> for centralized equal access providers</w:t>
      </w:r>
      <w:bookmarkEnd w:id="427"/>
      <w:bookmarkEnd w:id="428"/>
      <w:bookmarkEnd w:id="429"/>
      <w:bookmarkEnd w:id="430"/>
      <w:bookmarkEnd w:id="431"/>
      <w:bookmarkEnd w:id="432"/>
      <w:bookmarkEnd w:id="433"/>
      <w:bookmarkEnd w:id="434"/>
      <w:bookmarkEnd w:id="435"/>
      <w:bookmarkEnd w:id="436"/>
    </w:p>
    <w:p w:rsidR="00EB312D" w:rsidRPr="00FC07AE" w:rsidP="00EB312D">
      <w:pPr>
        <w:pStyle w:val="ParaNum"/>
      </w:pPr>
      <w:bookmarkStart w:id="482" w:name="_Toc525114498"/>
      <w:bookmarkStart w:id="483" w:name="_Toc525225650"/>
      <w:bookmarkStart w:id="484" w:name="_Toc525230310"/>
      <w:bookmarkStart w:id="485" w:name="_Hlk11394379"/>
      <w:bookmarkStart w:id="486" w:name="_Hlk14863819"/>
      <w:r w:rsidRPr="00892F50">
        <w:t xml:space="preserve">To facilitate the implementation of the rules we adopt today, we modify the section 214 authorizations for </w:t>
      </w:r>
      <w:r w:rsidRPr="00892F50">
        <w:t>Aureon</w:t>
      </w:r>
      <w:r w:rsidRPr="00892F50">
        <w:t xml:space="preserve"> and SDN—the only CEA providers with mandatory use requirements—to permit traffic terminating at access-stimulating LECs </w:t>
      </w:r>
      <w:r>
        <w:t xml:space="preserve">that </w:t>
      </w:r>
      <w:r w:rsidRPr="00892F50">
        <w:t>subtend</w:t>
      </w:r>
      <w:r>
        <w:t xml:space="preserve"> </w:t>
      </w:r>
      <w:r w:rsidRPr="00892F50">
        <w:t>those CEA providers’ tandems to bypass th</w:t>
      </w:r>
      <w:r>
        <w:t>e CEA</w:t>
      </w:r>
      <w:r w:rsidRPr="00892F50">
        <w:t xml:space="preserve"> tandems.  </w:t>
      </w:r>
      <w:r>
        <w:t xml:space="preserve">By eliminating the mandatory use requirements, we enable IXCs to use whatever intermediate access provider an access-stimulating LEC that otherwise subtends </w:t>
      </w:r>
      <w:r>
        <w:t>Aureon</w:t>
      </w:r>
      <w:r>
        <w:t xml:space="preserve"> or SDN chooses.  Eliminating the mandatory use requirements for traffic bound for access-stimulating LECs will </w:t>
      </w:r>
      <w:r>
        <w:t>also allow</w:t>
      </w:r>
      <w:r w:rsidRPr="00892F50">
        <w:t xml:space="preserve"> </w:t>
      </w:r>
      <w:r>
        <w:t>IXCs</w:t>
      </w:r>
      <w:r w:rsidRPr="00892F50">
        <w:t xml:space="preserve"> to</w:t>
      </w:r>
      <w:r>
        <w:t xml:space="preserve"> directly connect to access-stimulating LECs </w:t>
      </w:r>
      <w:r w:rsidRPr="00892F50">
        <w:t>where such connections are mutually negotiated and where doing so would be more efficient and cost-</w:t>
      </w:r>
      <w:bookmarkEnd w:id="482"/>
      <w:bookmarkEnd w:id="483"/>
      <w:bookmarkEnd w:id="484"/>
      <w:bookmarkEnd w:id="485"/>
      <w:r w:rsidRPr="00892F50">
        <w:t>effective</w:t>
      </w:r>
      <w:r>
        <w:t>.</w:t>
      </w:r>
      <w:r>
        <w:rPr>
          <w:rStyle w:val="FootnoteReference"/>
        </w:rPr>
        <w:footnoteReference w:id="331"/>
      </w:r>
      <w:r w:rsidRPr="00B82C1D">
        <w:t xml:space="preserve">  </w:t>
      </w:r>
    </w:p>
    <w:p w:rsidR="00EB312D" w:rsidP="00281AF4">
      <w:pPr>
        <w:pStyle w:val="ParaNum"/>
        <w:widowControl/>
      </w:pPr>
      <w:r>
        <w:t>Historically, IXCs delivering traffic to</w:t>
      </w:r>
      <w:r w:rsidRPr="000F2933">
        <w:t xml:space="preserve"> LECs that subtend</w:t>
      </w:r>
      <w:r>
        <w:t>ed</w:t>
      </w:r>
      <w:r w:rsidRPr="000F2933">
        <w:t xml:space="preserve"> </w:t>
      </w:r>
      <w:r>
        <w:t xml:space="preserve">the </w:t>
      </w:r>
      <w:r w:rsidRPr="000F2933">
        <w:t xml:space="preserve">CEA </w:t>
      </w:r>
      <w:r>
        <w:t>tandems</w:t>
      </w:r>
      <w:r w:rsidRPr="000F2933">
        <w:t xml:space="preserve"> </w:t>
      </w:r>
      <w:r>
        <w:t xml:space="preserve">were required to use </w:t>
      </w:r>
      <w:r>
        <w:t>Aureon’s</w:t>
      </w:r>
      <w:r>
        <w:t xml:space="preserve"> and SDN’s tandems, because terminating traffic to those LECs was subject to mandatory use requirements contained in the CEA providers’ section 214 authorizations.</w:t>
      </w:r>
      <w:r>
        <w:rPr>
          <w:rStyle w:val="FootnoteReference"/>
        </w:rPr>
        <w:footnoteReference w:id="332"/>
      </w:r>
      <w:r w:rsidRPr="000F2933">
        <w:t xml:space="preserve">  </w:t>
      </w:r>
      <w:r>
        <w:t>Wide Voice suggests that we “[b]</w:t>
      </w:r>
      <w:r>
        <w:t>reak</w:t>
      </w:r>
      <w:r>
        <w:t xml:space="preserve">[] the CEA monopoly” to the extent needed so that other providers can serve </w:t>
      </w:r>
      <w:r w:rsidRPr="00AC6F79">
        <w:t>the access-stimulating LECs</w:t>
      </w:r>
      <w:r>
        <w:t>.</w:t>
      </w:r>
      <w:r>
        <w:rPr>
          <w:rStyle w:val="FootnoteReference"/>
        </w:rPr>
        <w:footnoteReference w:id="333"/>
      </w:r>
      <w:r>
        <w:t xml:space="preserve">  This </w:t>
      </w:r>
      <w:r w:rsidRPr="62D2C496">
        <w:rPr>
          <w:i/>
          <w:iCs/>
        </w:rPr>
        <w:t>Order</w:t>
      </w:r>
      <w:r>
        <w:rPr>
          <w:iCs/>
        </w:rPr>
        <w:t xml:space="preserve"> does that</w:t>
      </w:r>
      <w:r>
        <w:t xml:space="preserve">. </w:t>
      </w:r>
      <w:r w:rsidRPr="000F2933">
        <w:t xml:space="preserve">Sprint suggests </w:t>
      </w:r>
      <w:r>
        <w:t>that</w:t>
      </w:r>
      <w:r w:rsidRPr="000F2933">
        <w:t xml:space="preserve"> we eliminate the CEA mandatory use </w:t>
      </w:r>
      <w:r>
        <w:t>requirements</w:t>
      </w:r>
      <w:r w:rsidRPr="000F2933">
        <w:t xml:space="preserve"> for the termination of </w:t>
      </w:r>
      <w:r w:rsidRPr="62D2C496">
        <w:rPr>
          <w:i/>
          <w:iCs/>
        </w:rPr>
        <w:t>all</w:t>
      </w:r>
      <w:r w:rsidRPr="000F2933">
        <w:t xml:space="preserve"> traffic.</w:t>
      </w:r>
      <w:r>
        <w:rPr>
          <w:rStyle w:val="FootnoteReference"/>
        </w:rPr>
        <w:footnoteReference w:id="334"/>
      </w:r>
      <w:r w:rsidRPr="000F2933">
        <w:t xml:space="preserve">  </w:t>
      </w:r>
      <w:r>
        <w:t>There is no evidence that doing so would be in the public interest, or even that there are other tandem switching and transport providers available to serve other LECs subtending the CEA providers.</w:t>
      </w:r>
      <w:r>
        <w:rPr>
          <w:rStyle w:val="FootnoteReference"/>
        </w:rPr>
        <w:footnoteReference w:id="335"/>
      </w:r>
      <w:r>
        <w:t xml:space="preserve"> </w:t>
      </w:r>
      <w:r w:rsidRPr="00B82C1D">
        <w:t xml:space="preserve"> </w:t>
      </w:r>
      <w:r>
        <w:t xml:space="preserve">This proceeding is focused on access stimulation.  We, therefore, adopt rules that are narrowly focused on access stimulation.  </w:t>
      </w:r>
    </w:p>
    <w:p w:rsidR="00EB312D" w:rsidP="00EB312D">
      <w:pPr>
        <w:pStyle w:val="ParaNum"/>
      </w:pPr>
      <w:r w:rsidRPr="000F2933">
        <w:t>Aureon</w:t>
      </w:r>
      <w:r w:rsidRPr="000F2933">
        <w:t xml:space="preserve"> and SDN present seemingly opposing views.  </w:t>
      </w:r>
      <w:r w:rsidRPr="000F2933">
        <w:t>Aureon</w:t>
      </w:r>
      <w:r w:rsidRPr="000F2933">
        <w:t xml:space="preserve"> wants to continue to carry access-stimulation traffic on its </w:t>
      </w:r>
      <w:r>
        <w:t xml:space="preserve">CEA </w:t>
      </w:r>
      <w:r w:rsidRPr="000F2933">
        <w:t xml:space="preserve">network because it believes the traffic volumes will drive down </w:t>
      </w:r>
      <w:r>
        <w:t>its</w:t>
      </w:r>
      <w:r w:rsidRPr="000F2933">
        <w:t xml:space="preserve"> rates to a point where arbitrage will not be </w:t>
      </w:r>
      <w:r>
        <w:t>profitable</w:t>
      </w:r>
      <w:r w:rsidRPr="000F2933">
        <w:t>.</w:t>
      </w:r>
      <w:r>
        <w:rPr>
          <w:rStyle w:val="FootnoteReference"/>
        </w:rPr>
        <w:footnoteReference w:id="336"/>
      </w:r>
      <w:r w:rsidRPr="000F2933">
        <w:t xml:space="preserve">  At the outset, we note there is nothing preventing </w:t>
      </w:r>
      <w:r>
        <w:t xml:space="preserve">a </w:t>
      </w:r>
      <w:r w:rsidRPr="000F2933">
        <w:t xml:space="preserve">CEA provider from voluntarily reducing </w:t>
      </w:r>
      <w:r>
        <w:t>its</w:t>
      </w:r>
      <w:r w:rsidRPr="000F2933">
        <w:t xml:space="preserve"> rates to keep such traffic on </w:t>
      </w:r>
      <w:r>
        <w:t>its</w:t>
      </w:r>
      <w:r w:rsidRPr="000F2933">
        <w:t xml:space="preserve"> network rather than completely forgoing the revenue opportunity.  Unlike </w:t>
      </w:r>
      <w:r w:rsidRPr="000F2933">
        <w:t>Aureon</w:t>
      </w:r>
      <w:r w:rsidRPr="000F2933">
        <w:t>, SDN wants the Commission to prohibit access-stimulating LECs from using SDN’s tandem.</w:t>
      </w:r>
      <w:r>
        <w:rPr>
          <w:rStyle w:val="FootnoteReference"/>
        </w:rPr>
        <w:footnoteReference w:id="337"/>
      </w:r>
      <w:r w:rsidRPr="000F2933">
        <w:t xml:space="preserve">  Because we expect that our adopted rule</w:t>
      </w:r>
      <w:r>
        <w:t>s</w:t>
      </w:r>
      <w:r w:rsidRPr="000F2933">
        <w:t xml:space="preserve"> will effectively remedy the incentives associated with the differences in </w:t>
      </w:r>
      <w:r>
        <w:t xml:space="preserve">tandem switching and tandem switched transport </w:t>
      </w:r>
      <w:r w:rsidRPr="000F2933">
        <w:t>rates</w:t>
      </w:r>
      <w:r>
        <w:t xml:space="preserve"> between CEA providers and other intermediate access providers</w:t>
      </w:r>
      <w:r w:rsidRPr="000F2933">
        <w:t>, we decline to prohibit access-stimulating LECs from subtending CEA providers.</w:t>
      </w:r>
      <w:r>
        <w:rPr>
          <w:rStyle w:val="FootnoteReference"/>
        </w:rPr>
        <w:footnoteReference w:id="338"/>
      </w:r>
    </w:p>
    <w:p w:rsidR="00EB312D" w:rsidRPr="000F2933" w:rsidP="00EB312D">
      <w:pPr>
        <w:pStyle w:val="ParaNum"/>
      </w:pPr>
      <w:r w:rsidRPr="000F2933">
        <w:t>Aureon</w:t>
      </w:r>
      <w:r w:rsidRPr="000F2933">
        <w:t xml:space="preserve"> complains that if the subtending LECs use direct connections</w:t>
      </w:r>
      <w:r>
        <w:t xml:space="preserve"> instead of the CEA network</w:t>
      </w:r>
      <w:r w:rsidRPr="000F2933">
        <w:t xml:space="preserve">, there will be increased arbitrage, and it would put </w:t>
      </w:r>
      <w:r w:rsidRPr="000F2933">
        <w:t>Aureon</w:t>
      </w:r>
      <w:r w:rsidRPr="000F2933">
        <w:t xml:space="preserve"> out of business.</w:t>
      </w:r>
      <w:r>
        <w:rPr>
          <w:rStyle w:val="FootnoteReference"/>
        </w:rPr>
        <w:footnoteReference w:id="339"/>
      </w:r>
      <w:r w:rsidRPr="000F2933">
        <w:t xml:space="preserve">  </w:t>
      </w:r>
      <w:r>
        <w:t>However,</w:t>
      </w:r>
      <w:r w:rsidRPr="0044240B">
        <w:t xml:space="preserve"> evidence in the record show</w:t>
      </w:r>
      <w:r>
        <w:t>s</w:t>
      </w:r>
      <w:r w:rsidRPr="0044240B">
        <w:t xml:space="preserve"> that much of the access-stimulation traffic is currently bypassing </w:t>
      </w:r>
      <w:r w:rsidRPr="0044240B">
        <w:t>Aureon’s</w:t>
      </w:r>
      <w:r w:rsidRPr="0044240B">
        <w:t xml:space="preserve"> and SDN’s networks.</w:t>
      </w:r>
      <w:r>
        <w:rPr>
          <w:rStyle w:val="FootnoteReference"/>
        </w:rPr>
        <w:footnoteReference w:id="340"/>
      </w:r>
      <w:r>
        <w:t xml:space="preserve">  Also, </w:t>
      </w:r>
      <w:r w:rsidRPr="000F2933">
        <w:t>intermediate access providers</w:t>
      </w:r>
      <w:r>
        <w:t>, such as the CEA providers,</w:t>
      </w:r>
      <w:r w:rsidRPr="000F2933">
        <w:t xml:space="preserve"> remain free to collect payment for their tandem </w:t>
      </w:r>
      <w:r>
        <w:t xml:space="preserve">switching </w:t>
      </w:r>
      <w:r w:rsidRPr="000F2933">
        <w:t>and transport services</w:t>
      </w:r>
      <w:r>
        <w:t xml:space="preserve"> if the access-stimulating LEC chooses </w:t>
      </w:r>
      <w:r>
        <w:t>to use their services.  In that situation, the intermediate access provider will receive payment from the access-stimulating LEC, and may not collect from IXCs.</w:t>
      </w:r>
      <w:r>
        <w:rPr>
          <w:rStyle w:val="FootnoteReference"/>
        </w:rPr>
        <w:footnoteReference w:id="341"/>
      </w:r>
      <w:r>
        <w:t xml:space="preserve">  I</w:t>
      </w:r>
      <w:r w:rsidRPr="00DD1E5F">
        <w:t xml:space="preserve">f access-stimulating LECs decide to move their traffic off of </w:t>
      </w:r>
      <w:r>
        <w:t>a</w:t>
      </w:r>
      <w:r w:rsidRPr="00DD1E5F">
        <w:t xml:space="preserve"> CEA network and </w:t>
      </w:r>
      <w:r>
        <w:t>the CEA provider</w:t>
      </w:r>
      <w:r w:rsidRPr="00DD1E5F">
        <w:t xml:space="preserve"> has significantly less traffic on its network, </w:t>
      </w:r>
      <w:r>
        <w:t>the</w:t>
      </w:r>
      <w:r w:rsidRPr="00DD1E5F">
        <w:t xml:space="preserve"> CEA provider may file tariffs with higher rates provided that such tariff revisions are consistent with our rules applicable to CEA providers.</w:t>
      </w:r>
      <w:r>
        <w:rPr>
          <w:rStyle w:val="FootnoteReference"/>
        </w:rPr>
        <w:footnoteReference w:id="342"/>
      </w:r>
      <w:r w:rsidRPr="00DD1E5F">
        <w:t xml:space="preserve">  </w:t>
      </w:r>
      <w:r>
        <w:t>Furthermore, n</w:t>
      </w:r>
      <w:r w:rsidRPr="000F2933">
        <w:t xml:space="preserve">either </w:t>
      </w:r>
      <w:r w:rsidRPr="000F2933">
        <w:t>Aureon</w:t>
      </w:r>
      <w:r w:rsidRPr="000F2933">
        <w:t xml:space="preserve"> nor SDN has provided any data that would show that operating a CEA network without the access-stimulating LECs would be economically unviable</w:t>
      </w:r>
      <w:r>
        <w:t xml:space="preserve">. </w:t>
      </w:r>
    </w:p>
    <w:p w:rsidR="00EB312D" w:rsidRPr="000F2933" w:rsidP="00EB312D">
      <w:pPr>
        <w:pStyle w:val="ParaNum"/>
      </w:pPr>
      <w:r w:rsidRPr="007C77AD">
        <w:t>Aur</w:t>
      </w:r>
      <w:r w:rsidRPr="000F2933">
        <w:t>eon</w:t>
      </w:r>
      <w:r w:rsidRPr="000F2933">
        <w:t xml:space="preserve"> and SDN ask us to reject any proposals that would modify their section 214 </w:t>
      </w:r>
      <w:r>
        <w:t>authorizations</w:t>
      </w:r>
      <w:r w:rsidRPr="000F2933">
        <w:t>.</w:t>
      </w:r>
      <w:r>
        <w:rPr>
          <w:rStyle w:val="FootnoteReference"/>
        </w:rPr>
        <w:footnoteReference w:id="343"/>
      </w:r>
      <w:r w:rsidRPr="000F2933">
        <w:t xml:space="preserve">  </w:t>
      </w:r>
      <w:r w:rsidRPr="000F2933">
        <w:t>Aureon</w:t>
      </w:r>
      <w:r w:rsidRPr="000F2933">
        <w:t xml:space="preserve"> voices concern that requiring access-stimulating LECs to pay for the </w:t>
      </w:r>
      <w:r>
        <w:t>use of the CEA tandem would</w:t>
      </w:r>
      <w:r w:rsidRPr="000F2933">
        <w:t xml:space="preserve"> be a drastic modification to its section 214 </w:t>
      </w:r>
      <w:r>
        <w:t>authorization</w:t>
      </w:r>
      <w:r w:rsidRPr="000F2933">
        <w:t>.</w:t>
      </w:r>
      <w:r>
        <w:rPr>
          <w:rStyle w:val="FootnoteReference"/>
        </w:rPr>
        <w:footnoteReference w:id="344"/>
      </w:r>
      <w:r w:rsidRPr="000F2933">
        <w:t xml:space="preserve">  </w:t>
      </w:r>
      <w:r w:rsidRPr="000F2933">
        <w:t>Aureon</w:t>
      </w:r>
      <w:r w:rsidRPr="000F2933">
        <w:t xml:space="preserve"> does not explain what would need to change in its section 214 </w:t>
      </w:r>
      <w:r>
        <w:t>authorization</w:t>
      </w:r>
      <w:r w:rsidRPr="000F2933">
        <w:t xml:space="preserve">, and we are not aware of any change that needs to be made in this regard.  </w:t>
      </w:r>
      <w:r w:rsidRPr="000F2933">
        <w:t>Aureon</w:t>
      </w:r>
      <w:r w:rsidRPr="000F2933">
        <w:t xml:space="preserve"> expresses concern that a modification to its </w:t>
      </w:r>
      <w:r>
        <w:t xml:space="preserve">section </w:t>
      </w:r>
      <w:r w:rsidRPr="000F2933">
        <w:t>214 authori</w:t>
      </w:r>
      <w:r>
        <w:t>zation</w:t>
      </w:r>
      <w:r w:rsidRPr="000F2933">
        <w:t xml:space="preserve"> will impact its ability to provide competitive services to rural areas, and </w:t>
      </w:r>
      <w:r>
        <w:t xml:space="preserve">to </w:t>
      </w:r>
      <w:r w:rsidRPr="000F2933">
        <w:t>maintain its investment in its fiber</w:t>
      </w:r>
      <w:r>
        <w:t>-</w:t>
      </w:r>
      <w:r w:rsidRPr="000F2933">
        <w:t>optic network.</w:t>
      </w:r>
      <w:r>
        <w:rPr>
          <w:rStyle w:val="FootnoteReference"/>
        </w:rPr>
        <w:footnoteReference w:id="345"/>
      </w:r>
      <w:r w:rsidRPr="000F2933">
        <w:t xml:space="preserve">  </w:t>
      </w:r>
      <w:r w:rsidRPr="00B82C1D">
        <w:t xml:space="preserve">Our decision to permit traffic being delivered to an access-stimulating LEC to be routed around a CEA tandem does not affect traffic being delivered to non-access-stimulating LECs that </w:t>
      </w:r>
      <w:r w:rsidRPr="00DD1E5F">
        <w:t>remain on the CEA network</w:t>
      </w:r>
      <w:r>
        <w:t xml:space="preserve">, and </w:t>
      </w:r>
      <w:r w:rsidRPr="004D2F68">
        <w:t xml:space="preserve">will not impact </w:t>
      </w:r>
      <w:r w:rsidRPr="004D2F68">
        <w:t>Aureon’s</w:t>
      </w:r>
      <w:r w:rsidRPr="004D2F68">
        <w:t xml:space="preserve"> ability to serve rural areas</w:t>
      </w:r>
      <w:r>
        <w:t xml:space="preserve">, contrary to </w:t>
      </w:r>
      <w:r>
        <w:t>Aureon’s</w:t>
      </w:r>
      <w:r>
        <w:t xml:space="preserve"> concern</w:t>
      </w:r>
      <w:r w:rsidRPr="004D2F68">
        <w:t>.</w:t>
      </w:r>
      <w:r>
        <w:rPr>
          <w:rStyle w:val="FootnoteReference"/>
        </w:rPr>
        <w:footnoteReference w:id="346"/>
      </w:r>
      <w:r w:rsidRPr="00DD1E5F">
        <w:t xml:space="preserve">  </w:t>
      </w:r>
      <w:r w:rsidRPr="000F2933">
        <w:t xml:space="preserve">Similarly, </w:t>
      </w:r>
      <w:r w:rsidRPr="000F2933">
        <w:t>Aureon</w:t>
      </w:r>
      <w:r w:rsidRPr="000F2933">
        <w:t xml:space="preserve"> argues that if LECs pay for the terminating traffic, </w:t>
      </w:r>
      <w:r w:rsidRPr="000F2933">
        <w:t>Aureon</w:t>
      </w:r>
      <w:r w:rsidRPr="000F2933">
        <w:t xml:space="preserve"> would need to make “significant changes to the compensation arrangements for CEA service, which would render it financially infeasible for the CEA network to remain operational.”</w:t>
      </w:r>
      <w:r>
        <w:rPr>
          <w:rStyle w:val="FootnoteReference"/>
        </w:rPr>
        <w:footnoteReference w:id="347"/>
      </w:r>
      <w:r>
        <w:t xml:space="preserve">  </w:t>
      </w:r>
      <w:r w:rsidRPr="000F2933">
        <w:t xml:space="preserve">But </w:t>
      </w:r>
      <w:r w:rsidRPr="000F2933">
        <w:t>Aureon</w:t>
      </w:r>
      <w:r w:rsidRPr="000F2933">
        <w:t xml:space="preserve"> provides no supporting detail for </w:t>
      </w:r>
      <w:r>
        <w:t>these</w:t>
      </w:r>
      <w:r w:rsidRPr="000F2933">
        <w:t xml:space="preserve"> claims</w:t>
      </w:r>
      <w:r>
        <w:t xml:space="preserve">.  </w:t>
      </w:r>
    </w:p>
    <w:p w:rsidR="00EB312D" w:rsidRPr="000F2933" w:rsidP="00EB312D">
      <w:pPr>
        <w:pStyle w:val="ParaNum"/>
      </w:pPr>
      <w:r w:rsidRPr="000F2933">
        <w:t xml:space="preserve">When the section 214 </w:t>
      </w:r>
      <w:r>
        <w:t>authorizations</w:t>
      </w:r>
      <w:r w:rsidRPr="000F2933">
        <w:t xml:space="preserve"> </w:t>
      </w:r>
      <w:r>
        <w:t xml:space="preserve">were granted </w:t>
      </w:r>
      <w:r w:rsidRPr="000F2933">
        <w:t xml:space="preserve">three decades ago, there were no individual LECs subtending these CEA providers exchanging traffic, particularly terminating traffic, with IXCs at close to access-stimulation levels—and no reports of subtending LECs that would be sharing excess switched access charge revenue with </w:t>
      </w:r>
      <w:r>
        <w:t>anyone</w:t>
      </w:r>
      <w:r w:rsidRPr="000F2933">
        <w:t xml:space="preserve">.  </w:t>
      </w:r>
      <w:r>
        <w:t>In fact, the original applications of the Iowa and South Dakota CEA providers stated that the majority of their revenues would be for intrastate calls.</w:t>
      </w:r>
      <w:r>
        <w:rPr>
          <w:rStyle w:val="FootnoteReference"/>
        </w:rPr>
        <w:footnoteReference w:id="348"/>
      </w:r>
      <w:r>
        <w:t xml:space="preserve">  </w:t>
      </w:r>
      <w:r w:rsidRPr="62D2C496">
        <w:t>Now, AT&amp;T report</w:t>
      </w:r>
      <w:r>
        <w:t>s</w:t>
      </w:r>
      <w:r w:rsidRPr="62D2C496">
        <w:t xml:space="preserve"> that “twice as many minutes were being routed per month to Redfield, South Dakota (with its population of approximately 2,300 people and its 1 end office) as is routed to </w:t>
      </w:r>
      <w:r w:rsidRPr="62D2C496">
        <w:rPr>
          <w:i/>
          <w:iCs/>
        </w:rPr>
        <w:t xml:space="preserve">all </w:t>
      </w:r>
      <w:r w:rsidRPr="62D2C496">
        <w:t xml:space="preserve">of Verizon’s facilities in New York City (with its population of approximately 8,500,000 people and its 90 end </w:t>
      </w:r>
      <w:r w:rsidRPr="62D2C496">
        <w:t>offices).”</w:t>
      </w:r>
      <w:r>
        <w:rPr>
          <w:rStyle w:val="FootnoteReference"/>
        </w:rPr>
        <w:footnoteReference w:id="349"/>
      </w:r>
      <w:r w:rsidRPr="62D2C496">
        <w:t xml:space="preserve">  </w:t>
      </w:r>
      <w:r>
        <w:t>A</w:t>
      </w:r>
      <w:r w:rsidRPr="62D2C496">
        <w:t>ccess stimulation has upended the original projected interstate-to-intrastate traffic ratios carried by the CEA networks.</w:t>
      </w:r>
      <w:r w:rsidRPr="000F2933">
        <w:t xml:space="preserve"> </w:t>
      </w:r>
    </w:p>
    <w:p w:rsidR="00EB312D" w:rsidRPr="000F2933" w:rsidP="00281AF4">
      <w:pPr>
        <w:pStyle w:val="ParaNum"/>
        <w:widowControl/>
      </w:pPr>
      <w:r w:rsidRPr="000F2933">
        <w:t xml:space="preserve">The Commission may modify or </w:t>
      </w:r>
      <w:r>
        <w:t>revoke</w:t>
      </w:r>
      <w:r w:rsidRPr="000F2933">
        <w:t xml:space="preserve"> section 214 authority to address abusive practices or actions </w:t>
      </w:r>
      <w:r>
        <w:t>when necessary</w:t>
      </w:r>
      <w:r w:rsidRPr="000F2933">
        <w:t>.</w:t>
      </w:r>
      <w:r>
        <w:rPr>
          <w:rStyle w:val="FootnoteReference"/>
        </w:rPr>
        <w:footnoteReference w:id="350"/>
      </w:r>
      <w:r w:rsidRPr="000F2933">
        <w:t xml:space="preserve">  </w:t>
      </w:r>
      <w:r w:rsidRPr="00DD1E5F">
        <w:t xml:space="preserve">Today, we find </w:t>
      </w:r>
      <w:r w:rsidRPr="000F2933">
        <w:t>that the public interest will be served by changing any mandatory use requirement for traffic</w:t>
      </w:r>
      <w:r>
        <w:t xml:space="preserve"> bound to access-stimulating LECs</w:t>
      </w:r>
      <w:r w:rsidRPr="000F2933">
        <w:t xml:space="preserve"> to be voluntary usage</w:t>
      </w:r>
      <w:r>
        <w:t>.  W</w:t>
      </w:r>
      <w:r w:rsidRPr="000F2933">
        <w:t xml:space="preserve">e determine that </w:t>
      </w:r>
      <w:r w:rsidRPr="0051621B">
        <w:t>acces</w:t>
      </w:r>
      <w:r w:rsidRPr="00FB7FAE">
        <w:t>s sti</w:t>
      </w:r>
      <w:r w:rsidRPr="0051621B">
        <w:t>mulation</w:t>
      </w:r>
      <w:r w:rsidRPr="000F2933">
        <w:t xml:space="preserve"> presents a reasonable circumstance for departing from the mandatory use policy.</w:t>
      </w:r>
      <w:r>
        <w:rPr>
          <w:rStyle w:val="FootnoteReference"/>
        </w:rPr>
        <w:footnoteReference w:id="351"/>
      </w:r>
      <w:r w:rsidRPr="000F2933">
        <w:t xml:space="preserve">  </w:t>
      </w:r>
    </w:p>
    <w:p w:rsidR="00EB312D" w:rsidRPr="004E42D2" w:rsidP="003674C5">
      <w:pPr>
        <w:pStyle w:val="ParaNum"/>
        <w:widowControl/>
      </w:pPr>
      <w:r w:rsidRPr="000F2933">
        <w:t xml:space="preserve">In sum, it is in the public convenience and necessity that we modify the section 214 authorizations for </w:t>
      </w:r>
      <w:r w:rsidRPr="000F2933">
        <w:t>Aureon</w:t>
      </w:r>
      <w:r w:rsidRPr="000F2933">
        <w:t xml:space="preserve"> and SDN to state</w:t>
      </w:r>
      <w:r w:rsidRPr="00FB7FAE">
        <w:t>:  “The</w:t>
      </w:r>
      <w:r w:rsidRPr="000F2933">
        <w:t xml:space="preserve"> mandatory use requirement does not apply to interexchange carriers delivering terminating traffic to a local exchange carrier engaged in access stimulation, as that term is defined in section 61.3(</w:t>
      </w:r>
      <w:r w:rsidRPr="000F2933">
        <w:t>bbb</w:t>
      </w:r>
      <w:r w:rsidRPr="000F2933">
        <w:t>) of the Commission’s rules.”</w:t>
      </w:r>
      <w:r>
        <w:rPr>
          <w:rStyle w:val="FootnoteReference"/>
        </w:rPr>
        <w:footnoteReference w:id="352"/>
      </w:r>
      <w:r w:rsidRPr="000F2933">
        <w:t xml:space="preserve">  We find that this modification is an appropriate exercise of our authority under sections 4(</w:t>
      </w:r>
      <w:r w:rsidRPr="000F2933">
        <w:t>i</w:t>
      </w:r>
      <w:r w:rsidRPr="000F2933">
        <w:t>)</w:t>
      </w:r>
      <w:r>
        <w:t>, 214</w:t>
      </w:r>
      <w:r w:rsidRPr="000F2933">
        <w:t xml:space="preserve"> and 403 of the Act.</w:t>
      </w:r>
      <w:r>
        <w:rPr>
          <w:rStyle w:val="FootnoteReference"/>
        </w:rPr>
        <w:footnoteReference w:id="353"/>
      </w:r>
      <w:r w:rsidRPr="000F2933">
        <w:t xml:space="preserve">  Only those LECs engaged in access stimulation and IXCs delivering traffic to access-stimulatin</w:t>
      </w:r>
      <w:r>
        <w:t>g</w:t>
      </w:r>
      <w:r w:rsidRPr="000F2933">
        <w:t xml:space="preserve"> LECs will be affected by these changes to </w:t>
      </w:r>
      <w:r w:rsidRPr="000F2933">
        <w:t>Aureon’s</w:t>
      </w:r>
      <w:r w:rsidRPr="000F2933">
        <w:t xml:space="preserve"> and SDN’s section 214 authorizations.</w:t>
      </w:r>
      <w:r>
        <w:rPr>
          <w:rStyle w:val="FootnoteReference"/>
        </w:rPr>
        <w:footnoteReference w:id="354"/>
      </w:r>
      <w:r w:rsidRPr="000F2933">
        <w:t xml:space="preserve">  </w:t>
      </w:r>
      <w:r w:rsidRPr="00DD1E5F">
        <w:t xml:space="preserve">Our </w:t>
      </w:r>
      <w:r>
        <w:t>methodology</w:t>
      </w:r>
      <w:r w:rsidRPr="00DD1E5F">
        <w:t xml:space="preserve"> </w:t>
      </w:r>
      <w:r w:rsidRPr="00DD1E5F">
        <w:t xml:space="preserve">reflects the “surgical </w:t>
      </w:r>
      <w:r>
        <w:t>approach</w:t>
      </w:r>
      <w:r w:rsidRPr="00DD1E5F">
        <w:t xml:space="preserve">” that GVNW Consulting requested </w:t>
      </w:r>
      <w:r>
        <w:t>the Commission to</w:t>
      </w:r>
      <w:r w:rsidRPr="00DD1E5F">
        <w:t xml:space="preserve"> use to address access stimulation.</w:t>
      </w:r>
      <w:r>
        <w:rPr>
          <w:rStyle w:val="FootnoteReference"/>
        </w:rPr>
        <w:footnoteReference w:id="355"/>
      </w:r>
      <w:r w:rsidRPr="00DD1E5F">
        <w:t xml:space="preserve">  </w:t>
      </w:r>
      <w:r w:rsidRPr="000F2933">
        <w:t xml:space="preserve">We remind </w:t>
      </w:r>
      <w:r w:rsidRPr="000F2933">
        <w:t>Aureon</w:t>
      </w:r>
      <w:r w:rsidRPr="000F2933">
        <w:t xml:space="preserve"> and SDN that all other relevant section 214 obligations remain.</w:t>
      </w:r>
      <w:bookmarkEnd w:id="486"/>
    </w:p>
    <w:p w:rsidR="00EB312D" w:rsidRPr="0038709C" w:rsidP="00EB312D">
      <w:pPr>
        <w:pStyle w:val="ParaNum"/>
      </w:pPr>
      <w:r w:rsidRPr="62D2C496">
        <w:rPr>
          <w:i/>
          <w:iCs/>
        </w:rPr>
        <w:t>Legal Authority</w:t>
      </w:r>
      <w:r>
        <w:t xml:space="preserve">. </w:t>
      </w:r>
      <w:r w:rsidRPr="62D2C496">
        <w:rPr>
          <w:i/>
          <w:iCs/>
        </w:rPr>
        <w:t xml:space="preserve"> </w:t>
      </w:r>
      <w:r>
        <w:t>I</w:t>
      </w:r>
      <w:r w:rsidRPr="000F2933">
        <w:t>n addition to our broad legal authority to adopt our rules applicable to access</w:t>
      </w:r>
      <w:r>
        <w:t xml:space="preserve"> </w:t>
      </w:r>
      <w:r w:rsidRPr="000F2933">
        <w:t xml:space="preserve">stimulation traffic, we have specific legal authority to modify the section 214 authorizations for </w:t>
      </w:r>
      <w:r w:rsidRPr="000F2933">
        <w:t>Aureon</w:t>
      </w:r>
      <w:r w:rsidRPr="000F2933">
        <w:t xml:space="preserve"> and SDN to eliminate any mandatory use requirements that may be applicable to </w:t>
      </w:r>
      <w:r>
        <w:t xml:space="preserve">traffic bound for </w:t>
      </w:r>
      <w:r w:rsidRPr="000F2933">
        <w:t>access-stimulating LECs.</w:t>
      </w:r>
      <w:r>
        <w:rPr>
          <w:rStyle w:val="FootnoteReference"/>
        </w:rPr>
        <w:footnoteReference w:id="356"/>
      </w:r>
      <w:r>
        <w:t xml:space="preserve">  The Common Carrier Bureau (Bureau) adopted the original section 214 certificates for </w:t>
      </w:r>
      <w:r>
        <w:t>Aureon</w:t>
      </w:r>
      <w:r>
        <w:t xml:space="preserve"> and SDN pursuant to section 214 of the Act.</w:t>
      </w:r>
      <w:r>
        <w:rPr>
          <w:rStyle w:val="FootnoteReference"/>
        </w:rPr>
        <w:footnoteReference w:id="357"/>
      </w:r>
      <w:r>
        <w:t xml:space="preserve">  Indeed, whether section 214 of the Act was applicable to </w:t>
      </w:r>
      <w:r>
        <w:t>Aureon’s</w:t>
      </w:r>
      <w:r>
        <w:t xml:space="preserve"> application (which preceded SDN’s application) was an issue in that proceeding.</w:t>
      </w:r>
      <w:r>
        <w:rPr>
          <w:rStyle w:val="FootnoteReference"/>
        </w:rPr>
        <w:footnoteReference w:id="358"/>
      </w:r>
      <w:r>
        <w:t xml:space="preserve">  In the end, the Bureau agreed with </w:t>
      </w:r>
      <w:r>
        <w:t>Aureon’s</w:t>
      </w:r>
      <w:r>
        <w:t xml:space="preserve"> “</w:t>
      </w:r>
      <w:r w:rsidRPr="1F34C4E7">
        <w:rPr>
          <w:snapToGrid/>
          <w:color w:val="000000"/>
          <w:kern w:val="0"/>
        </w:rPr>
        <w:t>view that [</w:t>
      </w:r>
      <w:r w:rsidRPr="1F34C4E7">
        <w:rPr>
          <w:snapToGrid/>
          <w:color w:val="000000"/>
          <w:kern w:val="0"/>
        </w:rPr>
        <w:t>Aureon</w:t>
      </w:r>
      <w:r w:rsidRPr="1F34C4E7">
        <w:rPr>
          <w:snapToGrid/>
          <w:color w:val="000000"/>
          <w:kern w:val="0"/>
        </w:rPr>
        <w:t xml:space="preserve">] </w:t>
      </w:r>
      <w:r w:rsidRPr="1F34C4E7">
        <w:rPr>
          <w:snapToGrid/>
          <w:kern w:val="0"/>
        </w:rPr>
        <w:t xml:space="preserve">requires Section 214 </w:t>
      </w:r>
      <w:r w:rsidRPr="1F34C4E7">
        <w:rPr>
          <w:snapToGrid/>
          <w:color w:val="000000"/>
          <w:kern w:val="0"/>
        </w:rPr>
        <w:t>authority prior to acquiring and operating any interstate lines of communications.”</w:t>
      </w:r>
      <w:r>
        <w:rPr>
          <w:rStyle w:val="FootnoteReference"/>
          <w:snapToGrid/>
          <w:kern w:val="0"/>
        </w:rPr>
        <w:footnoteReference w:id="359"/>
      </w:r>
      <w:r w:rsidRPr="1F34C4E7">
        <w:rPr>
          <w:snapToGrid/>
          <w:color w:val="000000"/>
          <w:kern w:val="0"/>
        </w:rPr>
        <w:t xml:space="preserve"> </w:t>
      </w:r>
      <w:r>
        <w:t xml:space="preserve"> Our</w:t>
      </w:r>
      <w:r w:rsidRPr="000F2933">
        <w:t xml:space="preserve"> modifications </w:t>
      </w:r>
      <w:r>
        <w:t xml:space="preserve">to the </w:t>
      </w:r>
      <w:r>
        <w:t>Aureon</w:t>
      </w:r>
      <w:r>
        <w:t xml:space="preserve"> and SDN section 214 authorizations </w:t>
      </w:r>
      <w:r w:rsidRPr="000F2933">
        <w:t xml:space="preserve">are an appropriate exercise of the Commission’s authority </w:t>
      </w:r>
      <w:r>
        <w:t>under section 214, which gives the Commission authority to “</w:t>
      </w:r>
      <w:r w:rsidRPr="00AE313A">
        <w:rPr>
          <w:color w:val="000000"/>
        </w:rPr>
        <w:t xml:space="preserve">attach to the issuance of the certificate such terms and conditions as in its judgment the public convenience and necessity may require,” </w:t>
      </w:r>
      <w:r>
        <w:t xml:space="preserve">as well as our authority </w:t>
      </w:r>
      <w:r w:rsidRPr="000F2933">
        <w:t>under section</w:t>
      </w:r>
      <w:r>
        <w:t>s</w:t>
      </w:r>
      <w:r w:rsidRPr="000F2933">
        <w:t xml:space="preserve"> 4 </w:t>
      </w:r>
      <w:r>
        <w:t xml:space="preserve">and 403 </w:t>
      </w:r>
      <w:r w:rsidRPr="000F2933">
        <w:t>of the Act.</w:t>
      </w:r>
      <w:r>
        <w:rPr>
          <w:rStyle w:val="FootnoteReference"/>
        </w:rPr>
        <w:footnoteReference w:id="360"/>
      </w:r>
      <w:r w:rsidRPr="000F2933">
        <w:t xml:space="preserve">  </w:t>
      </w:r>
    </w:p>
    <w:p w:rsidR="00EB312D" w:rsidRPr="00422837" w:rsidP="00EB312D">
      <w:pPr>
        <w:pStyle w:val="Heading1"/>
      </w:pPr>
      <w:bookmarkStart w:id="490" w:name="_Toc17364735"/>
      <w:bookmarkStart w:id="491" w:name="_Toc17469831"/>
      <w:bookmarkStart w:id="492" w:name="_Toc17887589"/>
      <w:bookmarkStart w:id="493" w:name="_Toc18423505"/>
      <w:bookmarkStart w:id="494" w:name="_Toc18423560"/>
      <w:bookmarkStart w:id="495" w:name="_Toc18423636"/>
      <w:bookmarkStart w:id="496" w:name="_Toc18486775"/>
      <w:bookmarkStart w:id="497" w:name="_Toc18487385"/>
      <w:bookmarkStart w:id="498" w:name="_Toc18487890"/>
      <w:bookmarkStart w:id="499" w:name="_Toc18487998"/>
      <w:bookmarkStart w:id="500" w:name="_Toc18488121"/>
      <w:bookmarkStart w:id="501" w:name="_Toc20056861"/>
      <w:bookmarkStart w:id="502" w:name="_Toc20219910"/>
      <w:r w:rsidRPr="005C1BD0">
        <w:t>Procedural Matters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90"/>
      <w:bookmarkEnd w:id="491"/>
      <w:bookmarkEnd w:id="492"/>
      <w:bookmarkEnd w:id="493"/>
      <w:bookmarkEnd w:id="494"/>
      <w:bookmarkEnd w:id="495"/>
      <w:bookmarkEnd w:id="496"/>
      <w:bookmarkEnd w:id="497"/>
      <w:bookmarkEnd w:id="498"/>
      <w:bookmarkEnd w:id="499"/>
      <w:bookmarkEnd w:id="500"/>
      <w:bookmarkEnd w:id="501"/>
      <w:bookmarkEnd w:id="502"/>
    </w:p>
    <w:bookmarkEnd w:id="96"/>
    <w:bookmarkEnd w:id="97"/>
    <w:bookmarkEnd w:id="98"/>
    <w:bookmarkEnd w:id="99"/>
    <w:bookmarkEnd w:id="100"/>
    <w:bookmarkEnd w:id="101"/>
    <w:bookmarkEnd w:id="102"/>
    <w:bookmarkEnd w:id="204"/>
    <w:p w:rsidR="00EB312D" w:rsidRPr="000F2933" w:rsidP="00EB312D">
      <w:pPr>
        <w:pStyle w:val="ParaNum"/>
      </w:pPr>
      <w:r w:rsidRPr="62D2C496">
        <w:rPr>
          <w:i/>
          <w:iCs/>
        </w:rPr>
        <w:t>Paperwork Reduction Act Analysis</w:t>
      </w:r>
      <w:r w:rsidRPr="004D2F68">
        <w:t xml:space="preserve">.  This document contains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modified information collection requirements contained in this proceeding.  In addition, we note that pursuant to the Small Business Paperwork Relief Act of 2002, Public Law 107-198; </w:t>
      </w:r>
      <w:r w:rsidRPr="62D2C496">
        <w:rPr>
          <w:i/>
          <w:iCs/>
        </w:rPr>
        <w:t>see</w:t>
      </w:r>
      <w:r w:rsidRPr="004D2F68">
        <w:t xml:space="preserve"> 44 U.S.C. § 3506(c)(4), we previously sought specific comment on how the Commission might further reduce the information collection burden for small business concerns with fewer than 25 employees.</w:t>
      </w:r>
      <w:r>
        <w:rPr>
          <w:rStyle w:val="FootnoteReference"/>
        </w:rPr>
        <w:footnoteReference w:id="361"/>
      </w:r>
    </w:p>
    <w:p w:rsidR="00EB312D" w:rsidRPr="000F2933" w:rsidP="00EB312D">
      <w:pPr>
        <w:pStyle w:val="ParaNum"/>
      </w:pPr>
      <w:r w:rsidRPr="00DD1E5F">
        <w:t xml:space="preserve">In this </w:t>
      </w:r>
      <w:r w:rsidRPr="62D2C496">
        <w:rPr>
          <w:i/>
          <w:iCs/>
        </w:rPr>
        <w:t>Order</w:t>
      </w:r>
      <w:r w:rsidRPr="004D2F68">
        <w:t xml:space="preserve">, we have assessed the effects of requiring an access-stimulating LEC to take financial responsibility for the delivery of traffic to its end office or </w:t>
      </w:r>
      <w:r>
        <w:t xml:space="preserve">the </w:t>
      </w:r>
      <w:r w:rsidRPr="004D2F68">
        <w:t xml:space="preserve">functional equivalent and find that the potential modifications required by our rules are both necessary and not overly burdensome.  We do not believe there are many access-stimulating LECs operating today but note that of the small number of access-stimulating LECs in existence, many will be affected by this </w:t>
      </w:r>
      <w:r w:rsidRPr="62D2C496">
        <w:rPr>
          <w:i/>
          <w:iCs/>
        </w:rPr>
        <w:t>Order</w:t>
      </w:r>
      <w:r w:rsidRPr="004D2F68">
        <w:t>.  We believe that access-stimulating LECs are typically smaller businesses and may employ less than 25 people.</w:t>
      </w:r>
      <w:r>
        <w:rPr>
          <w:rStyle w:val="FootnoteReference"/>
        </w:rPr>
        <w:footnoteReference w:id="362"/>
      </w:r>
      <w:r w:rsidRPr="00DD1E5F">
        <w:t xml:space="preserve">  However, we find the benefits that will be realized by a decrease in</w:t>
      </w:r>
      <w:r w:rsidRPr="004D2F68">
        <w:t xml:space="preserve"> the problematic consequences associated with access stimulation outweigh any burden associated with the changes (such as submitting </w:t>
      </w:r>
      <w:r>
        <w:t xml:space="preserve">a </w:t>
      </w:r>
      <w:r w:rsidRPr="004D2F68">
        <w:t xml:space="preserve">notice and </w:t>
      </w:r>
      <w:r w:rsidRPr="004D2F68">
        <w:t xml:space="preserve">making tariff or billing changes) required by this </w:t>
      </w:r>
      <w:r w:rsidRPr="00125239">
        <w:rPr>
          <w:i/>
          <w:iCs/>
        </w:rPr>
        <w:t>Report and Order and Modification of Section 214 Authorizations</w:t>
      </w:r>
      <w:r w:rsidRPr="004D2F68">
        <w:t>.</w:t>
      </w:r>
    </w:p>
    <w:p w:rsidR="00EB312D" w:rsidRPr="000F2933" w:rsidP="00EB312D">
      <w:pPr>
        <w:pStyle w:val="ParaNum"/>
      </w:pPr>
      <w:bookmarkStart w:id="503" w:name="_Toc510773991"/>
      <w:bookmarkStart w:id="504" w:name="_Toc509408017"/>
      <w:bookmarkStart w:id="505" w:name="_Toc509313175"/>
      <w:bookmarkStart w:id="506" w:name="_Toc498340271"/>
      <w:bookmarkStart w:id="507" w:name="_Toc496707849"/>
      <w:bookmarkStart w:id="508" w:name="_Toc496541876"/>
      <w:bookmarkStart w:id="509" w:name="_Toc496270647"/>
      <w:bookmarkStart w:id="510" w:name="_Toc496268802"/>
      <w:bookmarkStart w:id="511" w:name="_Toc496023169"/>
      <w:bookmarkStart w:id="512" w:name="_Toc495053117"/>
      <w:bookmarkStart w:id="513" w:name="_Toc495043529"/>
      <w:bookmarkStart w:id="514" w:name="_Toc494992686"/>
      <w:bookmarkStart w:id="515" w:name="_Toc494970013"/>
      <w:bookmarkStart w:id="516" w:name="_Toc511108714"/>
      <w:bookmarkStart w:id="517" w:name="_Toc511139332"/>
      <w:bookmarkStart w:id="518" w:name="_Toc511402766"/>
      <w:bookmarkStart w:id="519" w:name="_Toc511403192"/>
      <w:bookmarkStart w:id="520" w:name="_Toc511846739"/>
      <w:bookmarkStart w:id="521" w:name="_Toc512593144"/>
      <w:bookmarkStart w:id="522" w:name="_Toc512612085"/>
      <w:bookmarkStart w:id="523" w:name="_Toc512835678"/>
      <w:bookmarkStart w:id="524" w:name="_Toc512933612"/>
      <w:bookmarkStart w:id="525" w:name="_Toc512933737"/>
      <w:bookmarkStart w:id="526" w:name="_Toc513633591"/>
      <w:bookmarkStart w:id="527" w:name="_Toc513751463"/>
      <w:bookmarkStart w:id="528" w:name="_Toc514085785"/>
      <w:bookmarkStart w:id="529" w:name="_Toc514132039"/>
      <w:bookmarkStart w:id="530" w:name="_Toc515902896"/>
      <w:r w:rsidRPr="62D2C496">
        <w:rPr>
          <w:i/>
          <w:iCs/>
        </w:rPr>
        <w:t>Congressional Review Act</w:t>
      </w:r>
      <w:r>
        <w:t xml:space="preserve">.  </w:t>
      </w:r>
      <w:r w:rsidRPr="00DB23AD">
        <w:rPr>
          <w:szCs w:val="22"/>
        </w:rPr>
        <w:t>The Commission has determined, and the Administrator of the Office of Information and Regulatory Affairs, Office of Management and Budget concurs</w:t>
      </w:r>
      <w:r>
        <w:rPr>
          <w:szCs w:val="22"/>
        </w:rPr>
        <w:t>,</w:t>
      </w:r>
      <w:r w:rsidRPr="00DB23AD">
        <w:rPr>
          <w:szCs w:val="22"/>
        </w:rPr>
        <w:t xml:space="preserve"> that these rules are non-major under the Congressional Review Act, 5 U.S.C. § 804(2).  The Commission will send a copy of this </w:t>
      </w:r>
      <w:r w:rsidRPr="001156B9">
        <w:rPr>
          <w:i/>
          <w:szCs w:val="22"/>
        </w:rPr>
        <w:t>Report and Order and Modification of 214 Authorization</w:t>
      </w:r>
      <w:r w:rsidRPr="00DB23AD">
        <w:rPr>
          <w:szCs w:val="22"/>
        </w:rPr>
        <w:t xml:space="preserve"> to Congress and the Government Accountability Office pursuant to 5 U.S.C. § 801(a)(1)(A).</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EB312D" w:rsidRPr="000F2933" w:rsidP="00EB312D">
      <w:pPr>
        <w:pStyle w:val="ParaNum"/>
      </w:pPr>
      <w:bookmarkStart w:id="531" w:name="_Toc510773992"/>
      <w:bookmarkStart w:id="532" w:name="_Toc509408018"/>
      <w:bookmarkStart w:id="533" w:name="_Toc509313176"/>
      <w:bookmarkStart w:id="534" w:name="_Toc498340272"/>
      <w:bookmarkStart w:id="535" w:name="_Toc496707850"/>
      <w:bookmarkStart w:id="536" w:name="_Toc496541877"/>
      <w:bookmarkStart w:id="537" w:name="_Toc496270648"/>
      <w:bookmarkStart w:id="538" w:name="_Toc496268803"/>
      <w:bookmarkStart w:id="539" w:name="_Toc496023170"/>
      <w:bookmarkStart w:id="540" w:name="_Toc495053118"/>
      <w:bookmarkStart w:id="541" w:name="_Toc495043530"/>
      <w:bookmarkStart w:id="542" w:name="_Toc494992687"/>
      <w:bookmarkStart w:id="543" w:name="_Toc494970014"/>
      <w:bookmarkStart w:id="544" w:name="_Toc511108715"/>
      <w:bookmarkStart w:id="545" w:name="_Toc511139333"/>
      <w:bookmarkStart w:id="546" w:name="_Toc511402767"/>
      <w:bookmarkStart w:id="547" w:name="_Toc511403193"/>
      <w:bookmarkStart w:id="548" w:name="_Toc511846740"/>
      <w:bookmarkStart w:id="549" w:name="_Toc512593145"/>
      <w:bookmarkStart w:id="550" w:name="_Toc512612086"/>
      <w:bookmarkStart w:id="551" w:name="_Toc512835679"/>
      <w:bookmarkStart w:id="552" w:name="_Toc512933613"/>
      <w:bookmarkStart w:id="553" w:name="_Toc512933738"/>
      <w:bookmarkStart w:id="554" w:name="_Toc513633592"/>
      <w:bookmarkStart w:id="555" w:name="_Toc513751464"/>
      <w:bookmarkStart w:id="556" w:name="_Toc514085786"/>
      <w:bookmarkStart w:id="557" w:name="_Toc514132040"/>
      <w:bookmarkStart w:id="558" w:name="_Toc515902897"/>
      <w:r w:rsidRPr="62D2C496">
        <w:rPr>
          <w:i/>
          <w:iCs/>
        </w:rPr>
        <w:t>Final Regulatory Flexibility Analysis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4D2F68">
        <w:t>.  As required by the Regulatory Flexibility Act of 1980 (RFA), as amended,</w:t>
      </w:r>
      <w:r w:rsidRPr="00DD1E5F">
        <w:t xml:space="preserve"> the Commission has prepared a Final Regulatory Flexibility Analysis (FRFA) relating to this </w:t>
      </w:r>
      <w:r w:rsidRPr="00125239">
        <w:rPr>
          <w:i/>
          <w:iCs/>
        </w:rPr>
        <w:t>Report and Order and Modification to Section 214 Authorizations</w:t>
      </w:r>
      <w:r w:rsidRPr="00DD1E5F">
        <w:t>.</w:t>
      </w:r>
      <w:r>
        <w:rPr>
          <w:rStyle w:val="FootnoteReference"/>
        </w:rPr>
        <w:footnoteReference w:id="363"/>
      </w:r>
      <w:r w:rsidRPr="00DD1E5F">
        <w:t xml:space="preserve">  The FRFA is contained in Appendix B.</w:t>
      </w:r>
    </w:p>
    <w:p w:rsidR="00EB312D" w:rsidRPr="000F2933" w:rsidP="00EB312D">
      <w:pPr>
        <w:pStyle w:val="Heading1"/>
      </w:pPr>
      <w:bookmarkStart w:id="559" w:name="_Toc504674580"/>
      <w:bookmarkStart w:id="560" w:name="_Toc504675222"/>
      <w:bookmarkStart w:id="561" w:name="_Toc504724560"/>
      <w:bookmarkStart w:id="562" w:name="_Toc504737280"/>
      <w:bookmarkStart w:id="563" w:name="_Toc505273819"/>
      <w:bookmarkStart w:id="564" w:name="_Toc505671978"/>
      <w:bookmarkStart w:id="565" w:name="_Toc506382533"/>
      <w:bookmarkStart w:id="566" w:name="_Toc507683739"/>
      <w:bookmarkStart w:id="567" w:name="_Toc508018641"/>
      <w:bookmarkStart w:id="568" w:name="_Toc510697486"/>
      <w:bookmarkStart w:id="569" w:name="_Toc511389225"/>
      <w:bookmarkStart w:id="570" w:name="_Toc511389275"/>
      <w:bookmarkStart w:id="571" w:name="_Toc511809360"/>
      <w:bookmarkStart w:id="572" w:name="_Toc511829217"/>
      <w:bookmarkStart w:id="573" w:name="_Toc511908595"/>
      <w:bookmarkStart w:id="574" w:name="_Toc512342148"/>
      <w:bookmarkStart w:id="575" w:name="_Toc512432215"/>
      <w:bookmarkStart w:id="576" w:name="_Toc512602240"/>
      <w:bookmarkStart w:id="577" w:name="_Toc512609423"/>
      <w:bookmarkStart w:id="578" w:name="_Toc513022587"/>
      <w:bookmarkStart w:id="579" w:name="_Toc513112777"/>
      <w:bookmarkStart w:id="580" w:name="_Toc515635378"/>
      <w:bookmarkStart w:id="581" w:name="_Toc515868114"/>
      <w:bookmarkStart w:id="582" w:name="_Toc524706711"/>
      <w:bookmarkStart w:id="583" w:name="_Toc525114511"/>
      <w:bookmarkStart w:id="584" w:name="_Toc525114531"/>
      <w:bookmarkStart w:id="585" w:name="_Toc525127951"/>
      <w:bookmarkStart w:id="586" w:name="_Toc525225663"/>
      <w:bookmarkStart w:id="587" w:name="_Toc525230323"/>
      <w:bookmarkStart w:id="588" w:name="_Toc9244547"/>
      <w:bookmarkStart w:id="589" w:name="_Toc12013337"/>
      <w:bookmarkStart w:id="590" w:name="_Toc13237277"/>
      <w:bookmarkStart w:id="591" w:name="_Toc13641420"/>
      <w:bookmarkStart w:id="592" w:name="_Toc13844722"/>
      <w:bookmarkStart w:id="593" w:name="_Toc13844774"/>
      <w:bookmarkStart w:id="594" w:name="_Toc13844863"/>
      <w:bookmarkStart w:id="595" w:name="_Toc14019956"/>
      <w:bookmarkStart w:id="596" w:name="_Toc14096399"/>
      <w:bookmarkStart w:id="597" w:name="_Toc15028077"/>
      <w:bookmarkStart w:id="598" w:name="_Toc15310194"/>
      <w:bookmarkStart w:id="599" w:name="_Toc16756587"/>
      <w:bookmarkStart w:id="600" w:name="_Toc16762079"/>
      <w:bookmarkStart w:id="601" w:name="_Toc16843641"/>
      <w:bookmarkStart w:id="602" w:name="_Toc16863796"/>
      <w:bookmarkStart w:id="603" w:name="_Toc17048652"/>
      <w:bookmarkStart w:id="604" w:name="_Toc17364736"/>
      <w:bookmarkStart w:id="605" w:name="_Toc17469832"/>
      <w:bookmarkStart w:id="606" w:name="_Toc17887590"/>
      <w:bookmarkStart w:id="607" w:name="_Toc18423506"/>
      <w:bookmarkStart w:id="608" w:name="_Toc18423561"/>
      <w:bookmarkStart w:id="609" w:name="_Toc18423637"/>
      <w:bookmarkStart w:id="610" w:name="_Toc18486776"/>
      <w:bookmarkStart w:id="611" w:name="_Toc18487386"/>
      <w:bookmarkStart w:id="612" w:name="_Toc18487891"/>
      <w:bookmarkStart w:id="613" w:name="_Toc18487999"/>
      <w:bookmarkStart w:id="614" w:name="_Toc18488122"/>
      <w:bookmarkStart w:id="615" w:name="_Toc20056862"/>
      <w:bookmarkStart w:id="616" w:name="_Toc20219911"/>
      <w:r w:rsidRPr="000F2933">
        <w:t>Ordering Clauses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rsidR="00EB312D" w:rsidRPr="000F2933" w:rsidP="00EB312D">
      <w:pPr>
        <w:pStyle w:val="ParaNum"/>
      </w:pPr>
      <w:r w:rsidRPr="00772C92">
        <w:t>Accordingly, IT IS ORDERED that, pursuant to sections 1, 2, 4(</w:t>
      </w:r>
      <w:r w:rsidRPr="00772C92">
        <w:t>i</w:t>
      </w:r>
      <w:r w:rsidRPr="00772C92">
        <w:t xml:space="preserve">), </w:t>
      </w:r>
      <w:r>
        <w:t xml:space="preserve">4(j), </w:t>
      </w:r>
      <w:r w:rsidRPr="00772C92">
        <w:t xml:space="preserve">201-206, 218-220, 251, 252, 254, 256, 303(r), and 403 of the Communications Act of 1934, as amended, 47 U.S.C. </w:t>
      </w:r>
      <w:bookmarkStart w:id="617" w:name="_Hlk494792030"/>
      <w:r w:rsidRPr="00772C92">
        <w:t xml:space="preserve">§§ 151, 152, </w:t>
      </w:r>
      <w:bookmarkEnd w:id="617"/>
      <w:r w:rsidRPr="00772C92">
        <w:t>154(</w:t>
      </w:r>
      <w:r w:rsidRPr="00772C92">
        <w:t>i</w:t>
      </w:r>
      <w:r w:rsidRPr="00772C92">
        <w:t xml:space="preserve">), 154(j), 201-206, 218-220, 251, 252, 254, 256, 303(r), 403 </w:t>
      </w:r>
      <w:r w:rsidRPr="00125239">
        <w:t>and section</w:t>
      </w:r>
      <w:r w:rsidRPr="00772C92">
        <w:t xml:space="preserve"> 1.1 of the Commission’s rules, 47 CFR § 1.1, this </w:t>
      </w:r>
      <w:r w:rsidRPr="00125239">
        <w:rPr>
          <w:i/>
          <w:iCs/>
        </w:rPr>
        <w:t xml:space="preserve">Report and Order and Modification </w:t>
      </w:r>
      <w:r>
        <w:rPr>
          <w:i/>
          <w:iCs/>
        </w:rPr>
        <w:t>of</w:t>
      </w:r>
      <w:r w:rsidRPr="00125239">
        <w:rPr>
          <w:i/>
          <w:iCs/>
        </w:rPr>
        <w:t xml:space="preserve"> Section 214 Authorizations</w:t>
      </w:r>
      <w:r w:rsidRPr="00772C92">
        <w:t xml:space="preserve"> IS ADOPTED.</w:t>
      </w:r>
    </w:p>
    <w:p w:rsidR="00EB312D" w:rsidP="00EB312D">
      <w:pPr>
        <w:pStyle w:val="ParaNum"/>
      </w:pPr>
      <w:r>
        <w:t xml:space="preserve">IT IS FURTHER ORDERED, pursuant to </w:t>
      </w:r>
      <w:hyperlink r:id="rId5" w:history="1">
        <w:r>
          <w:t>sections 4(</w:t>
        </w:r>
        <w:r>
          <w:t>i</w:t>
        </w:r>
        <w:r>
          <w:t>), 214</w:t>
        </w:r>
      </w:hyperlink>
      <w:r>
        <w:t xml:space="preserve">, and 403 of the Communications Act of 1934, as amended, </w:t>
      </w:r>
      <w:hyperlink r:id="rId5" w:history="1">
        <w:r>
          <w:t>47 U.S.C. §§ 154(</w:t>
        </w:r>
        <w:r>
          <w:t>i</w:t>
        </w:r>
        <w:r>
          <w:t>), 214</w:t>
        </w:r>
      </w:hyperlink>
      <w:r>
        <w:t xml:space="preserve">, 403 and sections 1.47(h), 63.01 and 64.1195 </w:t>
      </w:r>
      <w:r w:rsidRPr="000F2933">
        <w:t xml:space="preserve">of the Commission’s rules, 47 CFR §§ 1.47(h), 63.10, 64.1195, that the section 214 authorizations </w:t>
      </w:r>
      <w:r>
        <w:t xml:space="preserve">held by </w:t>
      </w:r>
      <w:r w:rsidRPr="000F2933">
        <w:t xml:space="preserve">Iowa Network Access Division and </w:t>
      </w:r>
      <w:r>
        <w:t xml:space="preserve">South Dakota Network, </w:t>
      </w:r>
      <w:r w:rsidRPr="00125239">
        <w:t>LLC, are</w:t>
      </w:r>
      <w:r w:rsidRPr="000F2933">
        <w:t xml:space="preserve"> modified such that the mandatory use requirement contained in the authorizations does not apply to interexchange carriers delivering terminating traffic to a local exchange carrier engaged in access stimulation. </w:t>
      </w:r>
      <w:r>
        <w:t xml:space="preserve"> </w:t>
      </w:r>
      <w:r w:rsidRPr="006110C5">
        <w:t xml:space="preserve">These modifications are effective 30 days after publication of this </w:t>
      </w:r>
      <w:r w:rsidRPr="006110C5">
        <w:rPr>
          <w:i/>
          <w:iCs/>
        </w:rPr>
        <w:t xml:space="preserve">Report and Order and Modification </w:t>
      </w:r>
      <w:r>
        <w:rPr>
          <w:i/>
          <w:iCs/>
        </w:rPr>
        <w:t>of</w:t>
      </w:r>
      <w:r w:rsidRPr="006110C5">
        <w:rPr>
          <w:i/>
          <w:iCs/>
        </w:rPr>
        <w:t xml:space="preserve"> Section 214 Authorizations</w:t>
      </w:r>
      <w:r w:rsidRPr="006110C5">
        <w:t xml:space="preserve"> in the Federal Register.</w:t>
      </w:r>
    </w:p>
    <w:p w:rsidR="00EB312D" w:rsidRPr="00F123CC" w:rsidP="00EB312D">
      <w:pPr>
        <w:pStyle w:val="ParaNum"/>
      </w:pPr>
      <w:r w:rsidRPr="000F420B">
        <w:rPr>
          <w:shd w:val="clear" w:color="auto" w:fill="FFFFFF"/>
        </w:rPr>
        <w:t>IT IS FURTHER O</w:t>
      </w:r>
      <w:r w:rsidRPr="00117E95">
        <w:rPr>
          <w:shd w:val="clear" w:color="auto" w:fill="FFFFFF"/>
        </w:rPr>
        <w:t xml:space="preserve">RDERED that a copy of this </w:t>
      </w:r>
      <w:r w:rsidRPr="62D2C496">
        <w:rPr>
          <w:i/>
          <w:iCs/>
          <w:shd w:val="clear" w:color="auto" w:fill="FFFFFF"/>
        </w:rPr>
        <w:t>Order</w:t>
      </w:r>
      <w:r w:rsidRPr="00C7053E">
        <w:rPr>
          <w:shd w:val="clear" w:color="auto" w:fill="FFFFFF"/>
        </w:rPr>
        <w:t xml:space="preserve"> shall be sent by U.S. mail to </w:t>
      </w:r>
      <w:r w:rsidRPr="000F46F3">
        <w:rPr>
          <w:shd w:val="clear" w:color="auto" w:fill="FFFFFF"/>
        </w:rPr>
        <w:t xml:space="preserve">Iowa Network Access Division and South Dakota Network, LLC, at their last known addresses. </w:t>
      </w:r>
      <w:r w:rsidRPr="007F2AF3">
        <w:rPr>
          <w:shd w:val="clear" w:color="auto" w:fill="FFFFFF"/>
        </w:rPr>
        <w:t xml:space="preserve"> </w:t>
      </w:r>
      <w:r w:rsidRPr="00092B6D">
        <w:rPr>
          <w:shd w:val="clear" w:color="auto" w:fill="FFFFFF"/>
        </w:rPr>
        <w:t xml:space="preserve">In addition, this </w:t>
      </w:r>
      <w:r w:rsidRPr="62D2C496">
        <w:rPr>
          <w:i/>
          <w:iCs/>
        </w:rPr>
        <w:t xml:space="preserve">Report and Order and Modification </w:t>
      </w:r>
      <w:r>
        <w:rPr>
          <w:i/>
          <w:iCs/>
        </w:rPr>
        <w:t>of</w:t>
      </w:r>
      <w:r w:rsidRPr="62D2C496">
        <w:rPr>
          <w:i/>
          <w:iCs/>
        </w:rPr>
        <w:t xml:space="preserve"> Section 214 Authorizations</w:t>
      </w:r>
      <w:r w:rsidRPr="00772C92">
        <w:t xml:space="preserve"> </w:t>
      </w:r>
      <w:r w:rsidRPr="00092B6D">
        <w:rPr>
          <w:shd w:val="clear" w:color="auto" w:fill="FFFFFF"/>
        </w:rPr>
        <w:t>shall be</w:t>
      </w:r>
      <w:r w:rsidRPr="009A0E15">
        <w:rPr>
          <w:shd w:val="clear" w:color="auto" w:fill="FFFFFF"/>
        </w:rPr>
        <w:t xml:space="preserve"> available in the Commission’s Office of the Secretary</w:t>
      </w:r>
      <w:r w:rsidRPr="007C723D">
        <w:rPr>
          <w:shd w:val="clear" w:color="auto" w:fill="FFFFFF"/>
        </w:rPr>
        <w:t>.</w:t>
      </w:r>
      <w:r w:rsidRPr="000F420B">
        <w:t xml:space="preserve"> </w:t>
      </w:r>
    </w:p>
    <w:p w:rsidR="00EB312D" w:rsidP="00EB312D">
      <w:pPr>
        <w:pStyle w:val="ParaNum"/>
      </w:pPr>
      <w:r w:rsidRPr="00772C92">
        <w:t>IT IS FURTHER ORDERED that the amendments of the Commission’s rules as set forth in Appendix A ARE ADOPTED, effective 30 days after publication in the Federal Register</w:t>
      </w:r>
      <w:r>
        <w:t>, except for</w:t>
      </w:r>
      <w:r w:rsidRPr="00772C92">
        <w:t xml:space="preserve"> </w:t>
      </w:r>
      <w:r>
        <w:t>s</w:t>
      </w:r>
      <w:r w:rsidRPr="00772C92">
        <w:t>ection</w:t>
      </w:r>
      <w:r>
        <w:t>s 51.914(b) and 51.914(e)</w:t>
      </w:r>
      <w:r w:rsidRPr="00772C92">
        <w:t xml:space="preserve"> </w:t>
      </w:r>
      <w:r>
        <w:t xml:space="preserve">which </w:t>
      </w:r>
      <w:r w:rsidRPr="00772C92">
        <w:t xml:space="preserve">contain new or modified information collection requirements that require review by OMB under the PRA.  The Commission directs the Wireline Competition Bureau to announce the </w:t>
      </w:r>
      <w:r>
        <w:t>effective</w:t>
      </w:r>
      <w:r w:rsidRPr="00772C92">
        <w:t xml:space="preserve"> date for those information collections in a document published in the Federal Register after OMB approval, and directs the </w:t>
      </w:r>
      <w:r>
        <w:t xml:space="preserve">Wireline Competition </w:t>
      </w:r>
      <w:r w:rsidRPr="00772C92">
        <w:t>Bureau to cause section</w:t>
      </w:r>
      <w:r>
        <w:t xml:space="preserve"> 51.914</w:t>
      </w:r>
      <w:r w:rsidRPr="00772C92">
        <w:t xml:space="preserve"> to be revised accordingly.</w:t>
      </w:r>
    </w:p>
    <w:p w:rsidR="00844D1E" w:rsidP="00844D1E">
      <w:pPr>
        <w:pStyle w:val="ParaNum"/>
      </w:pPr>
      <w:r>
        <w:t xml:space="preserve">IT IS FURTHER ORDERED that the Commission’s Consumer and Governmental Affairs Bureau, Reference Information Center, SHALL SEND a copy of this </w:t>
      </w:r>
      <w:r w:rsidRPr="62D2C496">
        <w:rPr>
          <w:i/>
          <w:iCs/>
        </w:rPr>
        <w:t xml:space="preserve">Report and Order and Modification </w:t>
      </w:r>
      <w:r>
        <w:rPr>
          <w:i/>
          <w:iCs/>
        </w:rPr>
        <w:t>of</w:t>
      </w:r>
      <w:r w:rsidRPr="62D2C496">
        <w:rPr>
          <w:i/>
          <w:iCs/>
        </w:rPr>
        <w:t xml:space="preserve"> Section 214 Authorizations</w:t>
      </w:r>
      <w:r>
        <w:t xml:space="preserve">, including the Final Regulatory Flexibility Analysis, to Congress and the Government Accountability Office pursuant to the Congressional Review Act, </w:t>
      </w:r>
      <w:r w:rsidRPr="62D2C496">
        <w:rPr>
          <w:i/>
          <w:iCs/>
        </w:rPr>
        <w:t>see</w:t>
      </w:r>
      <w:r>
        <w:t xml:space="preserve"> 5 U.S.C. § 801(a)(1)(A). </w:t>
      </w:r>
    </w:p>
    <w:p w:rsidR="00844D1E" w:rsidRPr="000F2933" w:rsidP="00844D1E">
      <w:pPr>
        <w:pStyle w:val="ParaNum"/>
        <w:numPr>
          <w:ilvl w:val="0"/>
          <w:numId w:val="0"/>
        </w:numPr>
      </w:pPr>
      <w:r>
        <w:br w:type="page"/>
      </w:r>
    </w:p>
    <w:p w:rsidR="00EB312D" w:rsidRPr="000F2933" w:rsidP="00EB312D">
      <w:pPr>
        <w:pStyle w:val="ParaNum"/>
      </w:pPr>
      <w:r>
        <w:t xml:space="preserve">IT IS FURTHER ORDERED that the Commission’s Consumer and Governmental Affairs Bureau, Reference Information Center, SHALL SEND a copy of this </w:t>
      </w:r>
      <w:r w:rsidRPr="62D2C496">
        <w:rPr>
          <w:i/>
          <w:iCs/>
        </w:rPr>
        <w:t xml:space="preserve">Report and Order and Modification </w:t>
      </w:r>
      <w:r>
        <w:rPr>
          <w:i/>
          <w:iCs/>
        </w:rPr>
        <w:t>of</w:t>
      </w:r>
      <w:r w:rsidRPr="62D2C496">
        <w:rPr>
          <w:i/>
          <w:iCs/>
        </w:rPr>
        <w:t xml:space="preserve"> Section 214 Authorizations</w:t>
      </w:r>
      <w:r>
        <w:t>, including the Final Regulatory Flexibility Analysis, to the Chief Counsel for Advocacy of the Small Business Administration.</w:t>
      </w:r>
    </w:p>
    <w:p w:rsidR="00EB312D" w:rsidRPr="000F2933" w:rsidP="00EB312D">
      <w:pPr>
        <w:pStyle w:val="ParaNum"/>
        <w:numPr>
          <w:ilvl w:val="0"/>
          <w:numId w:val="0"/>
        </w:numPr>
        <w:spacing w:after="0"/>
        <w:ind w:left="3600" w:firstLine="720"/>
        <w:rPr>
          <w:szCs w:val="22"/>
        </w:rPr>
      </w:pPr>
    </w:p>
    <w:p w:rsidR="00EB312D" w:rsidRPr="000F2933" w:rsidP="00EB312D">
      <w:pPr>
        <w:ind w:left="3600" w:firstLine="720"/>
        <w:rPr>
          <w:szCs w:val="22"/>
        </w:rPr>
      </w:pPr>
      <w:r w:rsidRPr="000F2933">
        <w:rPr>
          <w:szCs w:val="22"/>
        </w:rPr>
        <w:t>FEDERAL COMMUNICATIONS COMMISSION</w:t>
      </w:r>
    </w:p>
    <w:p w:rsidR="00EB312D" w:rsidRPr="000F2933" w:rsidP="00EB312D">
      <w:pPr>
        <w:rPr>
          <w:szCs w:val="22"/>
        </w:rPr>
      </w:pPr>
    </w:p>
    <w:p w:rsidR="00EB312D" w:rsidRPr="000F2933" w:rsidP="00EB312D">
      <w:pPr>
        <w:rPr>
          <w:szCs w:val="22"/>
        </w:rPr>
      </w:pPr>
    </w:p>
    <w:p w:rsidR="00EB312D" w:rsidRPr="000F2933" w:rsidP="00EB312D">
      <w:pPr>
        <w:rPr>
          <w:szCs w:val="22"/>
        </w:rPr>
      </w:pPr>
    </w:p>
    <w:p w:rsidR="00EB312D" w:rsidRPr="000F2933" w:rsidP="00EB312D">
      <w:pPr>
        <w:rPr>
          <w:szCs w:val="22"/>
        </w:rPr>
      </w:pPr>
    </w:p>
    <w:p w:rsidR="00EB312D" w:rsidRPr="000F2933" w:rsidP="00EB312D">
      <w:pPr>
        <w:rPr>
          <w:szCs w:val="22"/>
        </w:rPr>
      </w:pPr>
      <w:r w:rsidRPr="000F2933">
        <w:rPr>
          <w:szCs w:val="22"/>
        </w:rPr>
        <w:tab/>
      </w:r>
      <w:r w:rsidRPr="000F2933">
        <w:rPr>
          <w:szCs w:val="22"/>
        </w:rPr>
        <w:tab/>
      </w:r>
      <w:r w:rsidRPr="000F2933">
        <w:rPr>
          <w:szCs w:val="22"/>
        </w:rPr>
        <w:tab/>
      </w:r>
      <w:r w:rsidRPr="000F2933">
        <w:rPr>
          <w:szCs w:val="22"/>
        </w:rPr>
        <w:tab/>
      </w:r>
      <w:r w:rsidRPr="000F2933">
        <w:rPr>
          <w:szCs w:val="22"/>
        </w:rPr>
        <w:tab/>
      </w:r>
      <w:r w:rsidRPr="000F2933">
        <w:rPr>
          <w:szCs w:val="22"/>
        </w:rPr>
        <w:tab/>
        <w:t>Marlene H. Dortch</w:t>
      </w:r>
    </w:p>
    <w:p w:rsidR="00EB312D" w:rsidRPr="000F2933" w:rsidP="00EB312D">
      <w:pPr>
        <w:rPr>
          <w:szCs w:val="22"/>
        </w:rPr>
        <w:sectPr w:rsidSect="002D6012">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cols w:space="720"/>
          <w:noEndnote/>
          <w:titlePg/>
          <w:docGrid w:linePitch="299"/>
        </w:sectPr>
      </w:pPr>
      <w:r w:rsidRPr="000F2933">
        <w:rPr>
          <w:szCs w:val="22"/>
        </w:rPr>
        <w:tab/>
      </w:r>
      <w:r w:rsidRPr="000F2933">
        <w:rPr>
          <w:szCs w:val="22"/>
        </w:rPr>
        <w:tab/>
      </w:r>
      <w:r w:rsidRPr="000F2933">
        <w:rPr>
          <w:szCs w:val="22"/>
        </w:rPr>
        <w:tab/>
      </w:r>
      <w:r w:rsidRPr="000F2933">
        <w:rPr>
          <w:szCs w:val="22"/>
        </w:rPr>
        <w:tab/>
      </w:r>
      <w:r w:rsidRPr="000F2933">
        <w:rPr>
          <w:szCs w:val="22"/>
        </w:rPr>
        <w:tab/>
      </w:r>
      <w:r w:rsidRPr="000F2933">
        <w:rPr>
          <w:szCs w:val="22"/>
        </w:rPr>
        <w:tab/>
        <w:t>Secretary</w:t>
      </w:r>
    </w:p>
    <w:p w:rsidR="00EB312D" w:rsidP="00EB312D">
      <w:pPr>
        <w:keepNext/>
        <w:widowControl/>
        <w:jc w:val="center"/>
        <w:rPr>
          <w:b/>
          <w:szCs w:val="22"/>
        </w:rPr>
      </w:pPr>
      <w:bookmarkStart w:id="618" w:name="_Hlk18053246"/>
      <w:r w:rsidRPr="000F2933">
        <w:rPr>
          <w:b/>
          <w:szCs w:val="22"/>
        </w:rPr>
        <w:t>APPENDIX A</w:t>
      </w:r>
    </w:p>
    <w:p w:rsidR="00EB312D" w:rsidRPr="000F2933" w:rsidP="00EB312D">
      <w:pPr>
        <w:jc w:val="center"/>
        <w:rPr>
          <w:b/>
          <w:szCs w:val="22"/>
        </w:rPr>
      </w:pPr>
    </w:p>
    <w:p w:rsidR="00EB312D" w:rsidP="00EB312D">
      <w:pPr>
        <w:jc w:val="center"/>
        <w:rPr>
          <w:szCs w:val="22"/>
        </w:rPr>
      </w:pPr>
      <w:r w:rsidRPr="000F2933">
        <w:rPr>
          <w:b/>
          <w:szCs w:val="22"/>
        </w:rPr>
        <w:t>Final Rules</w:t>
      </w:r>
    </w:p>
    <w:p w:rsidR="00EB312D" w:rsidRPr="00C42277" w:rsidP="00EB312D">
      <w:pPr>
        <w:rPr>
          <w:szCs w:val="22"/>
        </w:rPr>
      </w:pPr>
    </w:p>
    <w:p w:rsidR="00EB312D" w:rsidRPr="00C42277" w:rsidP="00EB312D">
      <w:pPr>
        <w:rPr>
          <w:szCs w:val="22"/>
        </w:rPr>
      </w:pPr>
      <w:r w:rsidRPr="00C42277">
        <w:rPr>
          <w:szCs w:val="22"/>
        </w:rPr>
        <w:t xml:space="preserve">For the reasons set forth above, the Federal Communications Commission amends Parts </w:t>
      </w:r>
      <w:r>
        <w:rPr>
          <w:szCs w:val="22"/>
        </w:rPr>
        <w:t xml:space="preserve">51, </w:t>
      </w:r>
      <w:r w:rsidRPr="00C42277">
        <w:rPr>
          <w:szCs w:val="22"/>
        </w:rPr>
        <w:t>61 and 69 of Title 47 of the Code of Federal Regulations as follows:</w:t>
      </w:r>
    </w:p>
    <w:p w:rsidR="00EB312D" w:rsidRPr="00C42277" w:rsidP="00EB312D">
      <w:pPr>
        <w:rPr>
          <w:szCs w:val="22"/>
        </w:rPr>
      </w:pPr>
    </w:p>
    <w:p w:rsidR="00EB312D" w:rsidRPr="00C42277" w:rsidP="00EB312D"/>
    <w:p w:rsidR="00EB312D" w:rsidP="00EB312D">
      <w:pPr>
        <w:contextualSpacing/>
        <w:rPr>
          <w:szCs w:val="22"/>
        </w:rPr>
      </w:pPr>
      <w:r w:rsidRPr="00753B3A">
        <w:rPr>
          <w:b/>
          <w:bCs/>
          <w:szCs w:val="22"/>
        </w:rPr>
        <w:t>PART 51—INTERCONNECTION</w:t>
      </w:r>
    </w:p>
    <w:p w:rsidR="00EB312D" w:rsidP="00EB312D">
      <w:pPr>
        <w:contextualSpacing/>
        <w:rPr>
          <w:szCs w:val="22"/>
        </w:rPr>
      </w:pPr>
    </w:p>
    <w:p w:rsidR="00EB312D" w:rsidRPr="0048200E" w:rsidP="00EB312D">
      <w:pPr>
        <w:numPr>
          <w:ilvl w:val="0"/>
          <w:numId w:val="35"/>
        </w:numPr>
        <w:contextualSpacing/>
      </w:pPr>
      <w:r w:rsidRPr="00DD649A">
        <w:t>A</w:t>
      </w:r>
      <w:r w:rsidRPr="00DB5298">
        <w:t>mend § 51.903 by adding paragraphs (k)</w:t>
      </w:r>
      <w:r>
        <w:t>,</w:t>
      </w:r>
      <w:r w:rsidRPr="00DB5298">
        <w:t xml:space="preserve"> (l)</w:t>
      </w:r>
      <w:r>
        <w:t>, and (m)</w:t>
      </w:r>
      <w:r w:rsidRPr="00DB5298">
        <w:t xml:space="preserve"> to read as follows:</w:t>
      </w:r>
    </w:p>
    <w:p w:rsidR="00EB312D" w:rsidRPr="0048200E" w:rsidP="00EB312D">
      <w:pPr>
        <w:ind w:left="720"/>
        <w:contextualSpacing/>
        <w:rPr>
          <w:szCs w:val="22"/>
        </w:rPr>
      </w:pPr>
    </w:p>
    <w:p w:rsidR="00EB312D" w:rsidRPr="00753B3A" w:rsidP="00EB312D">
      <w:pPr>
        <w:pStyle w:val="Default"/>
        <w:rPr>
          <w:rFonts w:ascii="Times New Roman" w:hAnsi="Times New Roman" w:cs="Times New Roman"/>
          <w:b/>
          <w:bCs/>
          <w:sz w:val="22"/>
          <w:szCs w:val="22"/>
        </w:rPr>
      </w:pPr>
      <w:r w:rsidRPr="00753B3A">
        <w:rPr>
          <w:rFonts w:ascii="Times New Roman" w:hAnsi="Times New Roman" w:cs="Times New Roman"/>
          <w:b/>
          <w:bCs/>
          <w:sz w:val="22"/>
          <w:szCs w:val="22"/>
        </w:rPr>
        <w:t>§ 51.903 Definitions.</w:t>
      </w:r>
    </w:p>
    <w:p w:rsidR="00EB312D" w:rsidRPr="00753B3A" w:rsidP="00EB312D">
      <w:pPr>
        <w:pStyle w:val="Default"/>
        <w:rPr>
          <w:rFonts w:ascii="Times New Roman" w:hAnsi="Times New Roman" w:cs="Times New Roman"/>
          <w:sz w:val="22"/>
          <w:szCs w:val="22"/>
        </w:rPr>
      </w:pPr>
      <w:r w:rsidRPr="00753B3A">
        <w:rPr>
          <w:rFonts w:ascii="Times New Roman" w:hAnsi="Times New Roman" w:cs="Times New Roman"/>
          <w:sz w:val="22"/>
          <w:szCs w:val="22"/>
        </w:rPr>
        <w:t>*</w:t>
      </w:r>
      <w:r>
        <w:rPr>
          <w:rFonts w:ascii="Times New Roman" w:hAnsi="Times New Roman" w:cs="Times New Roman"/>
          <w:sz w:val="22"/>
          <w:szCs w:val="22"/>
        </w:rPr>
        <w:t xml:space="preserve"> </w:t>
      </w:r>
      <w:r w:rsidRPr="00753B3A">
        <w:rPr>
          <w:rFonts w:ascii="Times New Roman" w:hAnsi="Times New Roman" w:cs="Times New Roman"/>
          <w:sz w:val="22"/>
          <w:szCs w:val="22"/>
        </w:rPr>
        <w:t>*</w:t>
      </w:r>
      <w:r>
        <w:rPr>
          <w:rFonts w:ascii="Times New Roman" w:hAnsi="Times New Roman" w:cs="Times New Roman"/>
          <w:sz w:val="22"/>
          <w:szCs w:val="22"/>
        </w:rPr>
        <w:t xml:space="preserve"> </w:t>
      </w:r>
      <w:r w:rsidRPr="00753B3A">
        <w:rPr>
          <w:rFonts w:ascii="Times New Roman" w:hAnsi="Times New Roman" w:cs="Times New Roman"/>
          <w:sz w:val="22"/>
          <w:szCs w:val="22"/>
        </w:rPr>
        <w:t>*</w:t>
      </w:r>
      <w:r>
        <w:rPr>
          <w:rFonts w:ascii="Times New Roman" w:hAnsi="Times New Roman" w:cs="Times New Roman"/>
          <w:sz w:val="22"/>
          <w:szCs w:val="22"/>
        </w:rPr>
        <w:t xml:space="preserve"> </w:t>
      </w:r>
      <w:r w:rsidRPr="00753B3A">
        <w:rPr>
          <w:rFonts w:ascii="Times New Roman" w:hAnsi="Times New Roman" w:cs="Times New Roman"/>
          <w:sz w:val="22"/>
          <w:szCs w:val="22"/>
        </w:rPr>
        <w:t>*</w:t>
      </w:r>
      <w:r>
        <w:rPr>
          <w:rFonts w:ascii="Times New Roman" w:hAnsi="Times New Roman" w:cs="Times New Roman"/>
          <w:sz w:val="22"/>
          <w:szCs w:val="22"/>
        </w:rPr>
        <w:t xml:space="preserve"> </w:t>
      </w:r>
      <w:r w:rsidRPr="00753B3A">
        <w:rPr>
          <w:rFonts w:ascii="Times New Roman" w:hAnsi="Times New Roman" w:cs="Times New Roman"/>
          <w:sz w:val="22"/>
          <w:szCs w:val="22"/>
        </w:rPr>
        <w:t>*</w:t>
      </w:r>
    </w:p>
    <w:p w:rsidR="00EB312D" w:rsidRPr="00753B3A" w:rsidP="00EB312D">
      <w:pPr>
        <w:pStyle w:val="Default"/>
        <w:rPr>
          <w:rFonts w:ascii="Times New Roman" w:hAnsi="Times New Roman" w:cs="Times New Roman"/>
          <w:sz w:val="22"/>
          <w:szCs w:val="22"/>
        </w:rPr>
      </w:pPr>
    </w:p>
    <w:p w:rsidR="00EB312D" w:rsidP="00EB312D">
      <w:pPr>
        <w:pStyle w:val="Default"/>
        <w:rPr>
          <w:rFonts w:ascii="Times New Roman" w:hAnsi="Times New Roman" w:cs="Times New Roman"/>
          <w:sz w:val="22"/>
          <w:szCs w:val="22"/>
        </w:rPr>
      </w:pPr>
      <w:r w:rsidRPr="00753B3A">
        <w:rPr>
          <w:rFonts w:ascii="Times New Roman" w:hAnsi="Times New Roman" w:cs="Times New Roman"/>
          <w:sz w:val="22"/>
          <w:szCs w:val="22"/>
        </w:rPr>
        <w:t>(k)</w:t>
      </w:r>
      <w:r w:rsidRPr="00753B3A">
        <w:rPr>
          <w:rFonts w:ascii="Times New Roman" w:hAnsi="Times New Roman" w:cs="Times New Roman"/>
          <w:sz w:val="22"/>
          <w:szCs w:val="22"/>
        </w:rPr>
        <w:tab/>
        <w:t xml:space="preserve">Access Stimulation has the same meaning as that term is defined in </w:t>
      </w:r>
      <w:r>
        <w:rPr>
          <w:rFonts w:ascii="Times New Roman" w:hAnsi="Times New Roman" w:cs="Times New Roman"/>
          <w:sz w:val="22"/>
          <w:szCs w:val="22"/>
        </w:rPr>
        <w:t>§ </w:t>
      </w:r>
      <w:r w:rsidRPr="00753B3A">
        <w:rPr>
          <w:rFonts w:ascii="Times New Roman" w:hAnsi="Times New Roman" w:cs="Times New Roman"/>
          <w:sz w:val="22"/>
          <w:szCs w:val="22"/>
        </w:rPr>
        <w:t>61.3(</w:t>
      </w:r>
      <w:r w:rsidRPr="00753B3A">
        <w:rPr>
          <w:rFonts w:ascii="Times New Roman" w:hAnsi="Times New Roman" w:cs="Times New Roman"/>
          <w:sz w:val="22"/>
          <w:szCs w:val="22"/>
        </w:rPr>
        <w:t>bbb</w:t>
      </w:r>
      <w:r w:rsidRPr="00753B3A">
        <w:rPr>
          <w:rFonts w:ascii="Times New Roman" w:hAnsi="Times New Roman" w:cs="Times New Roman"/>
          <w:sz w:val="22"/>
          <w:szCs w:val="22"/>
        </w:rPr>
        <w:t>) of this chapter.</w:t>
      </w:r>
    </w:p>
    <w:p w:rsidR="00EB312D" w:rsidRPr="00753B3A" w:rsidP="00EB312D">
      <w:pPr>
        <w:pStyle w:val="Default"/>
        <w:ind w:left="720"/>
        <w:rPr>
          <w:rFonts w:ascii="Times New Roman" w:hAnsi="Times New Roman" w:cs="Times New Roman"/>
          <w:sz w:val="22"/>
          <w:szCs w:val="22"/>
        </w:rPr>
      </w:pPr>
    </w:p>
    <w:p w:rsidR="00EB312D" w:rsidP="00EB312D">
      <w:pPr>
        <w:pStyle w:val="Default"/>
        <w:rPr>
          <w:rFonts w:ascii="Times New Roman" w:hAnsi="Times New Roman" w:cs="Times New Roman"/>
          <w:sz w:val="22"/>
          <w:szCs w:val="22"/>
        </w:rPr>
      </w:pPr>
      <w:r w:rsidRPr="00AA08E1">
        <w:rPr>
          <w:rFonts w:ascii="Times New Roman" w:hAnsi="Times New Roman" w:cs="Times New Roman"/>
          <w:sz w:val="22"/>
          <w:szCs w:val="22"/>
        </w:rPr>
        <w:t>(l)</w:t>
      </w:r>
      <w:r w:rsidRPr="00AA08E1">
        <w:rPr>
          <w:rFonts w:ascii="Times New Roman" w:hAnsi="Times New Roman" w:cs="Times New Roman"/>
          <w:sz w:val="22"/>
          <w:szCs w:val="22"/>
        </w:rPr>
        <w:tab/>
      </w:r>
      <w:r>
        <w:rPr>
          <w:rFonts w:ascii="Times New Roman" w:hAnsi="Times New Roman" w:cs="Times New Roman"/>
          <w:sz w:val="22"/>
          <w:szCs w:val="22"/>
        </w:rPr>
        <w:t>Intermediate Access P</w:t>
      </w:r>
      <w:r w:rsidRPr="00AA08E1">
        <w:rPr>
          <w:rFonts w:ascii="Times New Roman" w:hAnsi="Times New Roman" w:cs="Times New Roman"/>
          <w:sz w:val="22"/>
          <w:szCs w:val="22"/>
        </w:rPr>
        <w:t xml:space="preserve">rovider </w:t>
      </w:r>
      <w:r>
        <w:rPr>
          <w:rFonts w:ascii="Times New Roman" w:hAnsi="Times New Roman" w:cs="Times New Roman"/>
          <w:sz w:val="22"/>
          <w:szCs w:val="22"/>
        </w:rPr>
        <w:t>has the same meaning as that term is defined in § 61.3(ccc) of this chapter.</w:t>
      </w:r>
    </w:p>
    <w:p w:rsidR="00EB312D" w:rsidP="00EB312D">
      <w:pPr>
        <w:pStyle w:val="Default"/>
        <w:rPr>
          <w:rFonts w:ascii="Times New Roman" w:hAnsi="Times New Roman" w:cs="Times New Roman"/>
          <w:sz w:val="22"/>
          <w:szCs w:val="22"/>
        </w:rPr>
      </w:pPr>
    </w:p>
    <w:p w:rsidR="00EB312D" w:rsidRPr="00753B3A" w:rsidP="00EB312D">
      <w:pPr>
        <w:pStyle w:val="Default"/>
        <w:rPr>
          <w:rFonts w:ascii="Times New Roman" w:hAnsi="Times New Roman" w:cs="Times New Roman"/>
          <w:sz w:val="22"/>
          <w:szCs w:val="22"/>
        </w:rPr>
      </w:pPr>
      <w:r>
        <w:rPr>
          <w:rFonts w:ascii="Times New Roman" w:hAnsi="Times New Roman" w:cs="Times New Roman"/>
          <w:sz w:val="22"/>
          <w:szCs w:val="22"/>
        </w:rPr>
        <w:t>(m)</w:t>
      </w:r>
      <w:r>
        <w:rPr>
          <w:rFonts w:ascii="Times New Roman" w:hAnsi="Times New Roman" w:cs="Times New Roman"/>
          <w:sz w:val="22"/>
          <w:szCs w:val="22"/>
        </w:rPr>
        <w:tab/>
        <w:t>Interexchange Carrier has the same meaning as that term is defined in § 61.3(</w:t>
      </w:r>
      <w:r>
        <w:rPr>
          <w:rFonts w:ascii="Times New Roman" w:hAnsi="Times New Roman" w:cs="Times New Roman"/>
          <w:sz w:val="22"/>
          <w:szCs w:val="22"/>
        </w:rPr>
        <w:t>ddd</w:t>
      </w:r>
      <w:r>
        <w:rPr>
          <w:rFonts w:ascii="Times New Roman" w:hAnsi="Times New Roman" w:cs="Times New Roman"/>
          <w:sz w:val="22"/>
          <w:szCs w:val="22"/>
        </w:rPr>
        <w:t>) of this chapter.</w:t>
      </w:r>
    </w:p>
    <w:p w:rsidR="00EB312D" w:rsidRPr="00753B3A" w:rsidP="00EB312D">
      <w:pPr>
        <w:pStyle w:val="Default"/>
        <w:rPr>
          <w:rFonts w:ascii="Times New Roman" w:hAnsi="Times New Roman" w:cs="Times New Roman"/>
          <w:sz w:val="22"/>
          <w:szCs w:val="22"/>
        </w:rPr>
      </w:pPr>
    </w:p>
    <w:p w:rsidR="00EB312D" w:rsidRPr="0048200E" w:rsidP="00EB312D">
      <w:pPr>
        <w:numPr>
          <w:ilvl w:val="0"/>
          <w:numId w:val="35"/>
        </w:numPr>
        <w:contextualSpacing/>
      </w:pPr>
      <w:r w:rsidRPr="0048200E">
        <w:t>Section 51.914 is added to read as follows:</w:t>
      </w:r>
    </w:p>
    <w:p w:rsidR="00EB312D" w:rsidRPr="00753B3A" w:rsidP="00EB312D">
      <w:pPr>
        <w:pStyle w:val="Default"/>
        <w:ind w:firstLine="720"/>
        <w:rPr>
          <w:rFonts w:ascii="Times New Roman" w:hAnsi="Times New Roman" w:cs="Times New Roman"/>
          <w:sz w:val="22"/>
          <w:szCs w:val="22"/>
        </w:rPr>
      </w:pPr>
    </w:p>
    <w:p w:rsidR="00EB312D" w:rsidRPr="00753B3A" w:rsidP="00EB312D">
      <w:pPr>
        <w:pStyle w:val="Default"/>
        <w:rPr>
          <w:rFonts w:ascii="Times New Roman" w:hAnsi="Times New Roman" w:cs="Times New Roman"/>
          <w:b/>
          <w:bCs/>
          <w:sz w:val="22"/>
          <w:szCs w:val="22"/>
        </w:rPr>
      </w:pPr>
      <w:r w:rsidRPr="00753B3A">
        <w:rPr>
          <w:rFonts w:ascii="Times New Roman" w:hAnsi="Times New Roman" w:cs="Times New Roman"/>
          <w:b/>
          <w:bCs/>
          <w:sz w:val="22"/>
          <w:szCs w:val="22"/>
          <w:u w:val="single"/>
        </w:rPr>
        <w:t>§ 51.914 Additional Provisions Applicable to Access Stimulation Traffic</w:t>
      </w:r>
      <w:r w:rsidRPr="00753B3A">
        <w:rPr>
          <w:rFonts w:ascii="Times New Roman" w:hAnsi="Times New Roman" w:cs="Times New Roman"/>
          <w:b/>
          <w:bCs/>
          <w:sz w:val="22"/>
          <w:szCs w:val="22"/>
        </w:rPr>
        <w:t>.</w:t>
      </w:r>
    </w:p>
    <w:p w:rsidR="00EB312D" w:rsidRPr="00753B3A" w:rsidP="00EB312D">
      <w:pPr>
        <w:pStyle w:val="Default"/>
        <w:rPr>
          <w:rFonts w:ascii="Times New Roman" w:hAnsi="Times New Roman" w:cs="Times New Roman"/>
          <w:sz w:val="22"/>
          <w:szCs w:val="22"/>
        </w:rPr>
      </w:pPr>
    </w:p>
    <w:p w:rsidR="00EB312D" w:rsidP="00EB312D">
      <w:pPr>
        <w:pStyle w:val="Default"/>
        <w:rPr>
          <w:rFonts w:ascii="Times New Roman" w:hAnsi="Times New Roman" w:cs="Times New Roman"/>
          <w:sz w:val="22"/>
          <w:szCs w:val="22"/>
        </w:rPr>
      </w:pPr>
      <w:r w:rsidRPr="00753B3A">
        <w:rPr>
          <w:rFonts w:ascii="Times New Roman" w:hAnsi="Times New Roman" w:cs="Times New Roman"/>
          <w:sz w:val="22"/>
          <w:szCs w:val="22"/>
        </w:rPr>
        <w:t>(a)</w:t>
      </w:r>
      <w:r w:rsidRPr="00753B3A">
        <w:rPr>
          <w:rFonts w:ascii="Times New Roman" w:hAnsi="Times New Roman" w:cs="Times New Roman"/>
          <w:sz w:val="22"/>
          <w:szCs w:val="22"/>
        </w:rPr>
        <w:tab/>
      </w:r>
      <w:r w:rsidRPr="00DC3B98">
        <w:rPr>
          <w:rFonts w:ascii="Times New Roman" w:hAnsi="Times New Roman" w:cs="Times New Roman"/>
          <w:sz w:val="22"/>
          <w:szCs w:val="22"/>
        </w:rPr>
        <w:t xml:space="preserve">Notwithstanding any other provision of the Commission’s rules, if a local exchange carrier is engaged in Access Stimulation, </w:t>
      </w:r>
      <w:r>
        <w:rPr>
          <w:rFonts w:ascii="Times New Roman" w:hAnsi="Times New Roman" w:cs="Times New Roman"/>
          <w:sz w:val="22"/>
          <w:szCs w:val="22"/>
        </w:rPr>
        <w:t>as defined in § 61.3(</w:t>
      </w:r>
      <w:r>
        <w:rPr>
          <w:rFonts w:ascii="Times New Roman" w:hAnsi="Times New Roman" w:cs="Times New Roman"/>
          <w:sz w:val="22"/>
          <w:szCs w:val="22"/>
        </w:rPr>
        <w:t>bbb</w:t>
      </w:r>
      <w:r>
        <w:rPr>
          <w:rFonts w:ascii="Times New Roman" w:hAnsi="Times New Roman" w:cs="Times New Roman"/>
          <w:sz w:val="22"/>
          <w:szCs w:val="22"/>
        </w:rPr>
        <w:t xml:space="preserve">), </w:t>
      </w:r>
      <w:r w:rsidRPr="00DC3B98">
        <w:rPr>
          <w:rFonts w:ascii="Times New Roman" w:hAnsi="Times New Roman" w:cs="Times New Roman"/>
          <w:sz w:val="22"/>
          <w:szCs w:val="22"/>
        </w:rPr>
        <w:t>it shall</w:t>
      </w:r>
      <w:r>
        <w:rPr>
          <w:rFonts w:ascii="Times New Roman" w:hAnsi="Times New Roman" w:cs="Times New Roman"/>
          <w:sz w:val="22"/>
          <w:szCs w:val="22"/>
        </w:rPr>
        <w:t>,</w:t>
      </w:r>
      <w:r w:rsidRPr="00DC3B98">
        <w:rPr>
          <w:rFonts w:ascii="Times New Roman" w:hAnsi="Times New Roman" w:cs="Times New Roman"/>
          <w:sz w:val="22"/>
          <w:szCs w:val="22"/>
        </w:rPr>
        <w:t xml:space="preserve"> within 45 days of commencing </w:t>
      </w:r>
      <w:r>
        <w:rPr>
          <w:rFonts w:ascii="Times New Roman" w:hAnsi="Times New Roman" w:cs="Times New Roman"/>
          <w:sz w:val="22"/>
          <w:szCs w:val="22"/>
        </w:rPr>
        <w:t>Access Stimulation</w:t>
      </w:r>
      <w:r w:rsidRPr="00DC3B98">
        <w:rPr>
          <w:rFonts w:ascii="Times New Roman" w:hAnsi="Times New Roman" w:cs="Times New Roman"/>
          <w:sz w:val="22"/>
          <w:szCs w:val="22"/>
        </w:rPr>
        <w:t>, or within 45 days of [</w:t>
      </w:r>
      <w:bookmarkStart w:id="619" w:name="_Hlk18390172"/>
      <w:r>
        <w:rPr>
          <w:rFonts w:ascii="Times New Roman" w:hAnsi="Times New Roman" w:cs="Times New Roman"/>
          <w:sz w:val="22"/>
          <w:szCs w:val="22"/>
        </w:rPr>
        <w:t xml:space="preserve">INSERT DATE 30 DAYS AFTER DATE OF PUBLICATION IN THE </w:t>
      </w:r>
      <w:r w:rsidRPr="008D1DA2">
        <w:rPr>
          <w:rFonts w:ascii="Times New Roman" w:hAnsi="Times New Roman"/>
          <w:sz w:val="22"/>
        </w:rPr>
        <w:t>FEDERAL REGISTER</w:t>
      </w:r>
      <w:bookmarkEnd w:id="619"/>
      <w:r w:rsidRPr="00DC3B98">
        <w:rPr>
          <w:rFonts w:ascii="Times New Roman" w:hAnsi="Times New Roman" w:cs="Times New Roman"/>
          <w:sz w:val="22"/>
          <w:szCs w:val="22"/>
        </w:rPr>
        <w:t>], whichever is later:</w:t>
      </w:r>
    </w:p>
    <w:p w:rsidR="00EB312D" w:rsidRPr="00753B3A" w:rsidP="00EB312D">
      <w:pPr>
        <w:pStyle w:val="Default"/>
        <w:ind w:left="1080" w:hanging="360"/>
        <w:rPr>
          <w:rFonts w:ascii="Times New Roman" w:hAnsi="Times New Roman" w:cs="Times New Roman"/>
          <w:sz w:val="22"/>
          <w:szCs w:val="22"/>
        </w:rPr>
      </w:pPr>
    </w:p>
    <w:p w:rsidR="00EB312D" w:rsidP="00EB312D">
      <w:pPr>
        <w:pStyle w:val="Default"/>
        <w:numPr>
          <w:ilvl w:val="0"/>
          <w:numId w:val="33"/>
        </w:numPr>
        <w:tabs>
          <w:tab w:val="left" w:pos="1440"/>
        </w:tabs>
        <w:rPr>
          <w:rFonts w:ascii="Times New Roman" w:hAnsi="Times New Roman" w:cs="Times New Roman"/>
          <w:sz w:val="22"/>
          <w:szCs w:val="22"/>
        </w:rPr>
      </w:pPr>
      <w:r w:rsidRPr="00DC3B98">
        <w:rPr>
          <w:rFonts w:ascii="Times New Roman" w:hAnsi="Times New Roman" w:cs="Times New Roman"/>
          <w:sz w:val="22"/>
          <w:szCs w:val="22"/>
        </w:rPr>
        <w:t xml:space="preserve">not bill any </w:t>
      </w:r>
      <w:r>
        <w:rPr>
          <w:rFonts w:ascii="Times New Roman" w:hAnsi="Times New Roman" w:cs="Times New Roman"/>
          <w:sz w:val="22"/>
          <w:szCs w:val="22"/>
        </w:rPr>
        <w:t>Interexchange Carrier</w:t>
      </w:r>
      <w:r w:rsidRPr="00DC3B98">
        <w:rPr>
          <w:rFonts w:ascii="Times New Roman" w:hAnsi="Times New Roman" w:cs="Times New Roman"/>
          <w:sz w:val="22"/>
          <w:szCs w:val="22"/>
        </w:rPr>
        <w:t xml:space="preserve"> for terminating switched access tandem switching or terminating </w:t>
      </w:r>
      <w:r>
        <w:rPr>
          <w:rFonts w:ascii="Times New Roman" w:hAnsi="Times New Roman" w:cs="Times New Roman"/>
          <w:sz w:val="22"/>
          <w:szCs w:val="22"/>
        </w:rPr>
        <w:t>s</w:t>
      </w:r>
      <w:r w:rsidRPr="00DC3B98">
        <w:rPr>
          <w:rFonts w:ascii="Times New Roman" w:hAnsi="Times New Roman" w:cs="Times New Roman"/>
          <w:sz w:val="22"/>
          <w:szCs w:val="22"/>
        </w:rPr>
        <w:t>witched access transport charges for any traffic between such local exchange carrier’s terminating end office or equivalent and the associated access tandem switch</w:t>
      </w:r>
      <w:r>
        <w:rPr>
          <w:rFonts w:ascii="Times New Roman" w:hAnsi="Times New Roman" w:cs="Times New Roman"/>
          <w:sz w:val="22"/>
          <w:szCs w:val="22"/>
        </w:rPr>
        <w:t>; and</w:t>
      </w:r>
    </w:p>
    <w:p w:rsidR="00EB312D" w:rsidP="00EB312D">
      <w:pPr>
        <w:pStyle w:val="Default"/>
        <w:ind w:left="1440" w:hanging="360"/>
        <w:rPr>
          <w:rFonts w:ascii="Times New Roman" w:hAnsi="Times New Roman" w:cs="Times New Roman"/>
          <w:sz w:val="22"/>
          <w:szCs w:val="22"/>
        </w:rPr>
      </w:pPr>
    </w:p>
    <w:p w:rsidR="00EB312D" w:rsidRPr="000837F5" w:rsidP="00EB312D">
      <w:pPr>
        <w:pStyle w:val="Default"/>
        <w:numPr>
          <w:ilvl w:val="0"/>
          <w:numId w:val="33"/>
        </w:numPr>
        <w:tabs>
          <w:tab w:val="left" w:pos="1440"/>
        </w:tabs>
        <w:rPr>
          <w:rFonts w:ascii="Times New Roman" w:hAnsi="Times New Roman" w:cs="Times New Roman"/>
          <w:sz w:val="22"/>
          <w:szCs w:val="22"/>
        </w:rPr>
      </w:pPr>
      <w:r>
        <w:rPr>
          <w:rFonts w:ascii="Times New Roman" w:hAnsi="Times New Roman" w:cs="Times New Roman"/>
          <w:sz w:val="22"/>
          <w:szCs w:val="22"/>
        </w:rPr>
        <w:t>shall designate, if needed, the Intermediate Access Provider(s) that will provide terminating switched access tandem switching and terminating switched access tandem transport services to the local exchange carrier engaged in access stimulation and that the local exchange carrier shall a</w:t>
      </w:r>
      <w:r w:rsidRPr="00DC3B98">
        <w:rPr>
          <w:rFonts w:ascii="Times New Roman" w:hAnsi="Times New Roman" w:cs="Times New Roman"/>
          <w:sz w:val="22"/>
          <w:szCs w:val="22"/>
        </w:rPr>
        <w:t xml:space="preserve">ssume financial responsibility for </w:t>
      </w:r>
      <w:r>
        <w:rPr>
          <w:rFonts w:ascii="Times New Roman" w:hAnsi="Times New Roman" w:cs="Times New Roman"/>
          <w:sz w:val="22"/>
          <w:szCs w:val="22"/>
        </w:rPr>
        <w:t>any</w:t>
      </w:r>
      <w:r w:rsidRPr="00DC3B98">
        <w:rPr>
          <w:rFonts w:ascii="Times New Roman" w:hAnsi="Times New Roman" w:cs="Times New Roman"/>
          <w:sz w:val="22"/>
          <w:szCs w:val="22"/>
        </w:rPr>
        <w:t xml:space="preserve"> applicable </w:t>
      </w:r>
      <w:r>
        <w:rPr>
          <w:rFonts w:ascii="Times New Roman" w:hAnsi="Times New Roman" w:cs="Times New Roman"/>
          <w:sz w:val="22"/>
          <w:szCs w:val="22"/>
        </w:rPr>
        <w:t xml:space="preserve">Intermediate Access Provider’s </w:t>
      </w:r>
      <w:r w:rsidRPr="00DC3B98">
        <w:rPr>
          <w:rFonts w:ascii="Times New Roman" w:hAnsi="Times New Roman" w:cs="Times New Roman"/>
          <w:sz w:val="22"/>
          <w:szCs w:val="22"/>
        </w:rPr>
        <w:t xml:space="preserve">charges </w:t>
      </w:r>
      <w:r>
        <w:rPr>
          <w:rFonts w:ascii="Times New Roman" w:hAnsi="Times New Roman" w:cs="Times New Roman"/>
          <w:sz w:val="22"/>
          <w:szCs w:val="22"/>
        </w:rPr>
        <w:t xml:space="preserve">for such services </w:t>
      </w:r>
      <w:r w:rsidRPr="00DC3B98">
        <w:rPr>
          <w:rFonts w:ascii="Times New Roman" w:hAnsi="Times New Roman" w:cs="Times New Roman"/>
          <w:sz w:val="22"/>
          <w:szCs w:val="22"/>
        </w:rPr>
        <w:t>for any traffic between such local exchange carrier’s terminating end office or equivalent and the associated access tandem switch</w:t>
      </w:r>
      <w:r>
        <w:rPr>
          <w:rFonts w:ascii="Times New Roman" w:hAnsi="Times New Roman" w:cs="Times New Roman"/>
          <w:sz w:val="22"/>
          <w:szCs w:val="22"/>
        </w:rPr>
        <w:t>.</w:t>
      </w:r>
    </w:p>
    <w:p w:rsidR="00EB312D" w:rsidP="00EB312D">
      <w:pPr>
        <w:pStyle w:val="Default"/>
        <w:ind w:left="1440" w:hanging="360"/>
        <w:rPr>
          <w:rFonts w:ascii="Times New Roman" w:hAnsi="Times New Roman" w:cs="Times New Roman"/>
          <w:sz w:val="22"/>
          <w:szCs w:val="22"/>
        </w:rPr>
      </w:pPr>
    </w:p>
    <w:p w:rsidR="00EB312D" w:rsidP="00EB312D">
      <w:pPr>
        <w:pStyle w:val="Default"/>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DC3B98">
        <w:rPr>
          <w:rFonts w:ascii="Times New Roman" w:hAnsi="Times New Roman" w:cs="Times New Roman"/>
          <w:sz w:val="22"/>
          <w:szCs w:val="22"/>
        </w:rPr>
        <w:t xml:space="preserve">Notwithstanding any other provision of the Commission’s rules, if a local exchange carrier is engaged in Access Stimulation, </w:t>
      </w:r>
      <w:r>
        <w:rPr>
          <w:rFonts w:ascii="Times New Roman" w:hAnsi="Times New Roman" w:cs="Times New Roman"/>
          <w:sz w:val="22"/>
          <w:szCs w:val="22"/>
        </w:rPr>
        <w:t>as defined in § 61.3(</w:t>
      </w:r>
      <w:r>
        <w:rPr>
          <w:rFonts w:ascii="Times New Roman" w:hAnsi="Times New Roman" w:cs="Times New Roman"/>
          <w:sz w:val="22"/>
          <w:szCs w:val="22"/>
        </w:rPr>
        <w:t>bbb</w:t>
      </w:r>
      <w:r>
        <w:rPr>
          <w:rFonts w:ascii="Times New Roman" w:hAnsi="Times New Roman" w:cs="Times New Roman"/>
          <w:sz w:val="22"/>
          <w:szCs w:val="22"/>
        </w:rPr>
        <w:t>),</w:t>
      </w:r>
      <w:r w:rsidRPr="00DC3B98">
        <w:rPr>
          <w:rFonts w:ascii="Times New Roman" w:hAnsi="Times New Roman" w:cs="Times New Roman"/>
          <w:sz w:val="22"/>
          <w:szCs w:val="22"/>
        </w:rPr>
        <w:t xml:space="preserve"> it shall</w:t>
      </w:r>
      <w:r>
        <w:rPr>
          <w:rFonts w:ascii="Times New Roman" w:hAnsi="Times New Roman" w:cs="Times New Roman"/>
          <w:sz w:val="22"/>
          <w:szCs w:val="22"/>
        </w:rPr>
        <w:t>,</w:t>
      </w:r>
      <w:r w:rsidRPr="00DC3B98">
        <w:rPr>
          <w:rFonts w:ascii="Times New Roman" w:hAnsi="Times New Roman" w:cs="Times New Roman"/>
          <w:sz w:val="22"/>
          <w:szCs w:val="22"/>
        </w:rPr>
        <w:t xml:space="preserve"> within 45 days of commencing </w:t>
      </w:r>
      <w:r>
        <w:rPr>
          <w:rFonts w:ascii="Times New Roman" w:hAnsi="Times New Roman" w:cs="Times New Roman"/>
          <w:sz w:val="22"/>
          <w:szCs w:val="22"/>
        </w:rPr>
        <w:t>Access Stimulation</w:t>
      </w:r>
      <w:r w:rsidRPr="00DC3B98">
        <w:rPr>
          <w:rFonts w:ascii="Times New Roman" w:hAnsi="Times New Roman" w:cs="Times New Roman"/>
          <w:sz w:val="22"/>
          <w:szCs w:val="22"/>
        </w:rPr>
        <w:t xml:space="preserve">, or </w:t>
      </w:r>
      <w:r w:rsidRPr="00CE5EDA">
        <w:rPr>
          <w:rFonts w:ascii="Times New Roman" w:hAnsi="Times New Roman" w:cs="Times New Roman"/>
          <w:color w:val="auto"/>
          <w:sz w:val="22"/>
          <w:szCs w:val="22"/>
        </w:rPr>
        <w:t>w</w:t>
      </w:r>
      <w:r w:rsidRPr="00CE5EDA">
        <w:rPr>
          <w:rFonts w:ascii="Times New Roman" w:hAnsi="Times New Roman" w:cs="Times New Roman"/>
          <w:snapToGrid w:val="0"/>
          <w:color w:val="auto"/>
          <w:sz w:val="22"/>
          <w:szCs w:val="22"/>
        </w:rPr>
        <w:t xml:space="preserve">ithin 45 days of </w:t>
      </w:r>
      <w:r>
        <w:rPr>
          <w:rFonts w:ascii="Times New Roman" w:hAnsi="Times New Roman" w:cs="Times New Roman"/>
          <w:snapToGrid w:val="0"/>
          <w:color w:val="auto"/>
          <w:sz w:val="22"/>
          <w:szCs w:val="22"/>
        </w:rPr>
        <w:t>[</w:t>
      </w:r>
      <w:r>
        <w:rPr>
          <w:rFonts w:ascii="Times New Roman" w:hAnsi="Times New Roman" w:cs="Times New Roman"/>
          <w:sz w:val="22"/>
          <w:szCs w:val="22"/>
        </w:rPr>
        <w:t xml:space="preserve">INSERT DATE 30 DAYS AFTER DATE OF PUBLICATION IN THE </w:t>
      </w:r>
      <w:r w:rsidRPr="008D1DA2">
        <w:rPr>
          <w:rFonts w:ascii="Times New Roman" w:hAnsi="Times New Roman"/>
          <w:sz w:val="22"/>
        </w:rPr>
        <w:t>FEDERAL REGISTER</w:t>
      </w:r>
      <w:r w:rsidRPr="00F674AA">
        <w:rPr>
          <w:rFonts w:ascii="Times New Roman" w:hAnsi="Times New Roman" w:cs="Times New Roman"/>
          <w:snapToGrid w:val="0"/>
          <w:color w:val="auto"/>
          <w:sz w:val="22"/>
          <w:szCs w:val="22"/>
        </w:rPr>
        <w:t>],</w:t>
      </w:r>
      <w:r w:rsidRPr="00DC4DF1">
        <w:rPr>
          <w:rFonts w:ascii="Times New Roman" w:hAnsi="Times New Roman"/>
          <w:color w:val="auto"/>
          <w:sz w:val="22"/>
        </w:rPr>
        <w:t xml:space="preserve"> whichever is later,</w:t>
      </w:r>
      <w:r>
        <w:rPr>
          <w:snapToGrid w:val="0"/>
          <w:color w:val="auto"/>
        </w:rPr>
        <w:t xml:space="preserve"> </w:t>
      </w:r>
      <w:r w:rsidRPr="00DC3B98">
        <w:rPr>
          <w:rFonts w:ascii="Times New Roman" w:hAnsi="Times New Roman" w:cs="Times New Roman"/>
          <w:sz w:val="22"/>
          <w:szCs w:val="22"/>
        </w:rPr>
        <w:t xml:space="preserve">notify in writing </w:t>
      </w:r>
      <w:r>
        <w:rPr>
          <w:rFonts w:ascii="Times New Roman" w:hAnsi="Times New Roman" w:cs="Times New Roman"/>
          <w:sz w:val="22"/>
          <w:szCs w:val="22"/>
        </w:rPr>
        <w:t xml:space="preserve">the Commission, </w:t>
      </w:r>
      <w:r w:rsidRPr="00DC3B98">
        <w:rPr>
          <w:rFonts w:ascii="Times New Roman" w:hAnsi="Times New Roman" w:cs="Times New Roman"/>
          <w:sz w:val="22"/>
          <w:szCs w:val="22"/>
        </w:rPr>
        <w:t xml:space="preserve">all </w:t>
      </w:r>
      <w:r>
        <w:rPr>
          <w:rFonts w:ascii="Times New Roman" w:hAnsi="Times New Roman" w:cs="Times New Roman"/>
          <w:sz w:val="22"/>
          <w:szCs w:val="22"/>
        </w:rPr>
        <w:t>Intermediate Access Provider</w:t>
      </w:r>
      <w:r w:rsidRPr="00DC3B98">
        <w:rPr>
          <w:rFonts w:ascii="Times New Roman" w:hAnsi="Times New Roman" w:cs="Times New Roman"/>
          <w:sz w:val="22"/>
          <w:szCs w:val="22"/>
        </w:rPr>
        <w:t xml:space="preserve">s </w:t>
      </w:r>
      <w:r>
        <w:rPr>
          <w:rFonts w:ascii="Times New Roman" w:hAnsi="Times New Roman" w:cs="Times New Roman"/>
          <w:sz w:val="22"/>
          <w:szCs w:val="22"/>
        </w:rPr>
        <w:t xml:space="preserve">that </w:t>
      </w:r>
      <w:r w:rsidRPr="00DC3B98">
        <w:rPr>
          <w:rFonts w:ascii="Times New Roman" w:hAnsi="Times New Roman" w:cs="Times New Roman"/>
          <w:sz w:val="22"/>
          <w:szCs w:val="22"/>
        </w:rPr>
        <w:t>it subtends</w:t>
      </w:r>
      <w:r>
        <w:rPr>
          <w:rFonts w:ascii="Times New Roman" w:hAnsi="Times New Roman" w:cs="Times New Roman"/>
          <w:sz w:val="22"/>
          <w:szCs w:val="22"/>
        </w:rPr>
        <w:t>,</w:t>
      </w:r>
      <w:r w:rsidRPr="00DC3B98">
        <w:rPr>
          <w:rFonts w:ascii="Times New Roman" w:hAnsi="Times New Roman" w:cs="Times New Roman"/>
          <w:sz w:val="22"/>
          <w:szCs w:val="22"/>
        </w:rPr>
        <w:t xml:space="preserve"> and </w:t>
      </w:r>
      <w:r>
        <w:rPr>
          <w:rFonts w:ascii="Times New Roman" w:hAnsi="Times New Roman" w:cs="Times New Roman"/>
          <w:sz w:val="22"/>
          <w:szCs w:val="22"/>
        </w:rPr>
        <w:t>Interexchange Carrier</w:t>
      </w:r>
      <w:r w:rsidRPr="00DC3B98">
        <w:rPr>
          <w:rFonts w:ascii="Times New Roman" w:hAnsi="Times New Roman" w:cs="Times New Roman"/>
          <w:sz w:val="22"/>
          <w:szCs w:val="22"/>
        </w:rPr>
        <w:t>s with which it does business of the following:</w:t>
      </w:r>
    </w:p>
    <w:p w:rsidR="00EB312D" w:rsidP="00EB312D">
      <w:pPr>
        <w:pStyle w:val="Default"/>
        <w:rPr>
          <w:rFonts w:ascii="Times New Roman" w:hAnsi="Times New Roman" w:cs="Times New Roman"/>
          <w:sz w:val="22"/>
          <w:szCs w:val="22"/>
        </w:rPr>
      </w:pPr>
    </w:p>
    <w:p w:rsidR="00EB312D" w:rsidP="00EB312D">
      <w:pPr>
        <w:pStyle w:val="Default"/>
        <w:ind w:left="1440" w:hanging="36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DC3B98">
        <w:rPr>
          <w:rFonts w:ascii="Times New Roman" w:hAnsi="Times New Roman" w:cs="Times New Roman"/>
          <w:sz w:val="22"/>
          <w:szCs w:val="22"/>
        </w:rPr>
        <w:t>that it is a local exchange carrier engaged in Access Stimulation;</w:t>
      </w:r>
      <w:r>
        <w:rPr>
          <w:rFonts w:ascii="Times New Roman" w:hAnsi="Times New Roman" w:cs="Times New Roman"/>
          <w:sz w:val="22"/>
          <w:szCs w:val="22"/>
        </w:rPr>
        <w:t xml:space="preserve"> and</w:t>
      </w:r>
    </w:p>
    <w:p w:rsidR="00EB312D" w:rsidRPr="00DC3B98" w:rsidP="00EB312D">
      <w:pPr>
        <w:pStyle w:val="Default"/>
        <w:ind w:left="1440" w:hanging="360"/>
        <w:rPr>
          <w:rFonts w:ascii="Times New Roman" w:hAnsi="Times New Roman" w:cs="Times New Roman"/>
          <w:sz w:val="22"/>
          <w:szCs w:val="22"/>
        </w:rPr>
      </w:pPr>
    </w:p>
    <w:p w:rsidR="00EB312D" w:rsidRPr="00DC3B98" w:rsidP="00EB312D">
      <w:pPr>
        <w:pStyle w:val="Default"/>
        <w:ind w:left="1440" w:hanging="360"/>
        <w:rPr>
          <w:rFonts w:ascii="Times New Roman" w:hAnsi="Times New Roman" w:cs="Times New Roman"/>
          <w:sz w:val="22"/>
          <w:szCs w:val="22"/>
        </w:rPr>
      </w:pPr>
      <w:r w:rsidRPr="00DC3B98">
        <w:rPr>
          <w:rFonts w:ascii="Times New Roman" w:hAnsi="Times New Roman" w:cs="Times New Roman"/>
          <w:sz w:val="22"/>
          <w:szCs w:val="22"/>
        </w:rPr>
        <w:t>(2)</w:t>
      </w:r>
      <w:r>
        <w:rPr>
          <w:rFonts w:ascii="Times New Roman" w:hAnsi="Times New Roman" w:cs="Times New Roman"/>
          <w:sz w:val="22"/>
          <w:szCs w:val="22"/>
        </w:rPr>
        <w:tab/>
        <w:t>that it shall designate the Intermediate Access Provider(s) that will provide the terminating switched access tandem switching and terminating switched access tandem transport services to the local exchange carrier engaged in access stimulation and that it shall pay for those services</w:t>
      </w:r>
      <w:r w:rsidRPr="00216EE6">
        <w:rPr>
          <w:rFonts w:ascii="Times New Roman" w:hAnsi="Times New Roman" w:cs="Times New Roman"/>
          <w:sz w:val="22"/>
          <w:szCs w:val="22"/>
        </w:rPr>
        <w:t xml:space="preserve"> as of that date</w:t>
      </w:r>
      <w:r>
        <w:rPr>
          <w:rFonts w:ascii="Times New Roman" w:hAnsi="Times New Roman" w:cs="Times New Roman"/>
          <w:sz w:val="22"/>
          <w:szCs w:val="22"/>
        </w:rPr>
        <w:t>.</w:t>
      </w:r>
    </w:p>
    <w:p w:rsidR="00EB312D" w:rsidRPr="00DC3B98" w:rsidP="00EB312D">
      <w:pPr>
        <w:pStyle w:val="Default"/>
        <w:ind w:left="1080" w:hanging="360"/>
        <w:rPr>
          <w:rFonts w:ascii="Times New Roman" w:hAnsi="Times New Roman" w:cs="Times New Roman"/>
          <w:sz w:val="22"/>
          <w:szCs w:val="22"/>
        </w:rPr>
      </w:pPr>
    </w:p>
    <w:p w:rsidR="00EB312D" w:rsidP="00EB312D">
      <w:pPr>
        <w:pStyle w:val="Default"/>
        <w:rPr>
          <w:rFonts w:ascii="Times New Roman" w:hAnsi="Times New Roman" w:cs="Times New Roman"/>
          <w:sz w:val="22"/>
          <w:szCs w:val="22"/>
        </w:rPr>
      </w:pPr>
      <w:r w:rsidRPr="00DC3B98">
        <w:rPr>
          <w:rFonts w:ascii="Times New Roman" w:hAnsi="Times New Roman" w:cs="Times New Roman"/>
          <w:sz w:val="22"/>
          <w:szCs w:val="22"/>
        </w:rPr>
        <w:t>(</w:t>
      </w:r>
      <w:r>
        <w:rPr>
          <w:rFonts w:ascii="Times New Roman" w:hAnsi="Times New Roman" w:cs="Times New Roman"/>
          <w:sz w:val="22"/>
          <w:szCs w:val="22"/>
        </w:rPr>
        <w:t>c</w:t>
      </w:r>
      <w:r w:rsidRPr="00DC3B98">
        <w:rPr>
          <w:rFonts w:ascii="Times New Roman" w:hAnsi="Times New Roman" w:cs="Times New Roman"/>
          <w:sz w:val="22"/>
          <w:szCs w:val="22"/>
        </w:rPr>
        <w:t>)</w:t>
      </w:r>
      <w:r w:rsidRPr="00DC3B98">
        <w:rPr>
          <w:rFonts w:ascii="Times New Roman" w:hAnsi="Times New Roman" w:cs="Times New Roman"/>
          <w:sz w:val="22"/>
          <w:szCs w:val="22"/>
        </w:rPr>
        <w:tab/>
      </w:r>
      <w:r>
        <w:rPr>
          <w:rFonts w:ascii="Times New Roman" w:hAnsi="Times New Roman" w:cs="Times New Roman"/>
          <w:sz w:val="22"/>
          <w:szCs w:val="22"/>
        </w:rPr>
        <w:t xml:space="preserve">In the event that an Intermediate Access Provider receives notice under paragraph (b) that it has been designated to provide terminating switched access tandem switching or terminating switched access tandem transport services to a local exchange carrier engaged in Access Stimulation and that local exchange carrier shall pay for such terminating access service from such Intermediate Access Provider, the Intermediate Access Provider shall not bill Interexchange Carriers for </w:t>
      </w:r>
      <w:r w:rsidRPr="00DC3B98">
        <w:rPr>
          <w:rFonts w:ascii="Times New Roman" w:hAnsi="Times New Roman" w:cs="Times New Roman"/>
          <w:sz w:val="22"/>
          <w:szCs w:val="22"/>
        </w:rPr>
        <w:t xml:space="preserve">terminating switched access tandem switching </w:t>
      </w:r>
      <w:r>
        <w:rPr>
          <w:rFonts w:ascii="Times New Roman" w:hAnsi="Times New Roman" w:cs="Times New Roman"/>
          <w:sz w:val="22"/>
          <w:szCs w:val="22"/>
        </w:rPr>
        <w:t>or</w:t>
      </w:r>
      <w:r w:rsidRPr="00DC3B98">
        <w:rPr>
          <w:rFonts w:ascii="Times New Roman" w:hAnsi="Times New Roman" w:cs="Times New Roman"/>
          <w:sz w:val="22"/>
          <w:szCs w:val="22"/>
        </w:rPr>
        <w:t xml:space="preserve"> terminating switched access </w:t>
      </w:r>
      <w:r>
        <w:rPr>
          <w:rFonts w:ascii="Times New Roman" w:hAnsi="Times New Roman" w:cs="Times New Roman"/>
          <w:sz w:val="22"/>
          <w:szCs w:val="22"/>
        </w:rPr>
        <w:t xml:space="preserve">tandem </w:t>
      </w:r>
      <w:r w:rsidRPr="00DC3B98">
        <w:rPr>
          <w:rFonts w:ascii="Times New Roman" w:hAnsi="Times New Roman" w:cs="Times New Roman"/>
          <w:sz w:val="22"/>
          <w:szCs w:val="22"/>
        </w:rPr>
        <w:t xml:space="preserve">transport </w:t>
      </w:r>
      <w:r>
        <w:rPr>
          <w:rFonts w:ascii="Times New Roman" w:hAnsi="Times New Roman" w:cs="Times New Roman"/>
          <w:sz w:val="22"/>
          <w:szCs w:val="22"/>
        </w:rPr>
        <w:t>service for traffic bound for such local exchange carrier but, instead, shall bill such local exchange carrier for such services.</w:t>
      </w:r>
    </w:p>
    <w:p w:rsidR="00EB312D" w:rsidP="00EB312D">
      <w:pPr>
        <w:pStyle w:val="Default"/>
        <w:ind w:left="1080" w:hanging="360"/>
        <w:rPr>
          <w:rFonts w:ascii="Times New Roman" w:hAnsi="Times New Roman" w:cs="Times New Roman"/>
          <w:sz w:val="22"/>
          <w:szCs w:val="22"/>
        </w:rPr>
      </w:pPr>
    </w:p>
    <w:p w:rsidR="00EB312D" w:rsidP="00EB312D">
      <w:pPr>
        <w:pStyle w:val="Default"/>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Notwithstanding paragraphs (a) and (b)</w:t>
      </w:r>
      <w:r w:rsidRPr="00DC3B98">
        <w:rPr>
          <w:rFonts w:ascii="Times New Roman" w:hAnsi="Times New Roman" w:cs="Times New Roman"/>
          <w:sz w:val="22"/>
          <w:szCs w:val="22"/>
        </w:rPr>
        <w:t xml:space="preserve">, any </w:t>
      </w:r>
      <w:r>
        <w:rPr>
          <w:rFonts w:ascii="Times New Roman" w:hAnsi="Times New Roman" w:cs="Times New Roman"/>
          <w:sz w:val="22"/>
          <w:szCs w:val="22"/>
        </w:rPr>
        <w:t xml:space="preserve">local exchange </w:t>
      </w:r>
      <w:r w:rsidRPr="00DC3B98">
        <w:rPr>
          <w:rFonts w:ascii="Times New Roman" w:hAnsi="Times New Roman" w:cs="Times New Roman"/>
          <w:sz w:val="22"/>
          <w:szCs w:val="22"/>
        </w:rPr>
        <w:t xml:space="preserve">carrier that is not itself engaged in </w:t>
      </w:r>
      <w:r>
        <w:rPr>
          <w:rFonts w:ascii="Times New Roman" w:hAnsi="Times New Roman" w:cs="Times New Roman"/>
          <w:sz w:val="22"/>
          <w:szCs w:val="22"/>
        </w:rPr>
        <w:t>Access Stimulation</w:t>
      </w:r>
      <w:r w:rsidRPr="00DC3B98">
        <w:rPr>
          <w:rFonts w:ascii="Times New Roman" w:hAnsi="Times New Roman" w:cs="Times New Roman"/>
          <w:sz w:val="22"/>
          <w:szCs w:val="22"/>
        </w:rPr>
        <w:t xml:space="preserve">, as that term is defined in </w:t>
      </w:r>
      <w:r>
        <w:rPr>
          <w:rFonts w:ascii="Times New Roman" w:hAnsi="Times New Roman" w:cs="Times New Roman"/>
          <w:sz w:val="22"/>
          <w:szCs w:val="22"/>
        </w:rPr>
        <w:t>§ </w:t>
      </w:r>
      <w:r w:rsidRPr="00DC3B98">
        <w:rPr>
          <w:rFonts w:ascii="Times New Roman" w:hAnsi="Times New Roman" w:cs="Times New Roman"/>
          <w:sz w:val="22"/>
          <w:szCs w:val="22"/>
        </w:rPr>
        <w:t>61.3(</w:t>
      </w:r>
      <w:r w:rsidRPr="00DC3B98">
        <w:rPr>
          <w:rFonts w:ascii="Times New Roman" w:hAnsi="Times New Roman" w:cs="Times New Roman"/>
          <w:sz w:val="22"/>
          <w:szCs w:val="22"/>
        </w:rPr>
        <w:t>bbb</w:t>
      </w:r>
      <w:r w:rsidRPr="00DC3B98">
        <w:rPr>
          <w:rFonts w:ascii="Times New Roman" w:hAnsi="Times New Roman" w:cs="Times New Roman"/>
          <w:sz w:val="22"/>
          <w:szCs w:val="22"/>
        </w:rPr>
        <w:t xml:space="preserve">), but </w:t>
      </w:r>
      <w:r>
        <w:rPr>
          <w:rFonts w:ascii="Times New Roman" w:hAnsi="Times New Roman" w:cs="Times New Roman"/>
          <w:sz w:val="22"/>
          <w:szCs w:val="22"/>
        </w:rPr>
        <w:t xml:space="preserve">serves as an Intermediate Access Provider with respect to traffic bound for a </w:t>
      </w:r>
      <w:r w:rsidRPr="00DC3B98">
        <w:rPr>
          <w:rFonts w:ascii="Times New Roman" w:hAnsi="Times New Roman" w:cs="Times New Roman"/>
          <w:sz w:val="22"/>
          <w:szCs w:val="22"/>
        </w:rPr>
        <w:t>local exchange carrier</w:t>
      </w:r>
      <w:r>
        <w:rPr>
          <w:rFonts w:ascii="Times New Roman" w:hAnsi="Times New Roman" w:cs="Times New Roman"/>
          <w:sz w:val="22"/>
          <w:szCs w:val="22"/>
        </w:rPr>
        <w:t xml:space="preserve"> engaged in Access Stimulation</w:t>
      </w:r>
      <w:r w:rsidRPr="00DC3B98">
        <w:rPr>
          <w:rFonts w:ascii="Times New Roman" w:hAnsi="Times New Roman" w:cs="Times New Roman"/>
          <w:sz w:val="22"/>
          <w:szCs w:val="22"/>
        </w:rPr>
        <w:t xml:space="preserve">, shall not itself be deemed a local exchange carrier engaged in </w:t>
      </w:r>
      <w:r>
        <w:rPr>
          <w:rFonts w:ascii="Times New Roman" w:hAnsi="Times New Roman" w:cs="Times New Roman"/>
          <w:sz w:val="22"/>
          <w:szCs w:val="22"/>
        </w:rPr>
        <w:t>Access Stimulation</w:t>
      </w:r>
      <w:r w:rsidRPr="00DC3B98">
        <w:rPr>
          <w:rFonts w:ascii="Times New Roman" w:hAnsi="Times New Roman" w:cs="Times New Roman"/>
          <w:sz w:val="22"/>
          <w:szCs w:val="22"/>
        </w:rPr>
        <w:t xml:space="preserve"> or be </w:t>
      </w:r>
      <w:r>
        <w:rPr>
          <w:rFonts w:ascii="Times New Roman" w:hAnsi="Times New Roman" w:cs="Times New Roman"/>
          <w:sz w:val="22"/>
          <w:szCs w:val="22"/>
        </w:rPr>
        <w:t>affect</w:t>
      </w:r>
      <w:r w:rsidRPr="00DC3B98">
        <w:rPr>
          <w:rFonts w:ascii="Times New Roman" w:hAnsi="Times New Roman" w:cs="Times New Roman"/>
          <w:sz w:val="22"/>
          <w:szCs w:val="22"/>
        </w:rPr>
        <w:t xml:space="preserve">ed by </w:t>
      </w:r>
      <w:r>
        <w:rPr>
          <w:rFonts w:ascii="Times New Roman" w:hAnsi="Times New Roman" w:cs="Times New Roman"/>
          <w:sz w:val="22"/>
          <w:szCs w:val="22"/>
        </w:rPr>
        <w:t>paragraphs (a) and (b).</w:t>
      </w:r>
    </w:p>
    <w:p w:rsidR="00EB312D" w:rsidRPr="00DC4DF1" w:rsidP="00EB312D">
      <w:pPr>
        <w:pStyle w:val="Default"/>
        <w:ind w:left="1080" w:hanging="360"/>
        <w:rPr>
          <w:rFonts w:ascii="Times New Roman" w:hAnsi="Times New Roman"/>
          <w:sz w:val="22"/>
        </w:rPr>
      </w:pPr>
    </w:p>
    <w:p w:rsidR="00EB312D" w:rsidP="00EB312D">
      <w:pPr>
        <w:pStyle w:val="Default"/>
        <w:rPr>
          <w:rFonts w:ascii="Times New Roman" w:hAnsi="Times New Roman" w:cs="Times New Roman"/>
          <w:sz w:val="22"/>
          <w:szCs w:val="22"/>
        </w:rPr>
      </w:pPr>
      <w:r w:rsidRPr="00DC4DF1">
        <w:rPr>
          <w:rFonts w:ascii="Times New Roman" w:hAnsi="Times New Roman"/>
          <w:sz w:val="22"/>
        </w:rPr>
        <w:t>(e)</w:t>
      </w:r>
      <w:r w:rsidRPr="00DC4DF1">
        <w:rPr>
          <w:rFonts w:ascii="Times New Roman" w:hAnsi="Times New Roman"/>
          <w:sz w:val="22"/>
        </w:rPr>
        <w:tab/>
        <w:t xml:space="preserve">Upon terminating its engagement in </w:t>
      </w:r>
      <w:r>
        <w:rPr>
          <w:rFonts w:ascii="Times New Roman" w:hAnsi="Times New Roman"/>
          <w:sz w:val="22"/>
        </w:rPr>
        <w:t>A</w:t>
      </w:r>
      <w:r w:rsidRPr="00DC4DF1">
        <w:rPr>
          <w:rFonts w:ascii="Times New Roman" w:hAnsi="Times New Roman"/>
          <w:sz w:val="22"/>
        </w:rPr>
        <w:t xml:space="preserve">ccess </w:t>
      </w:r>
      <w:r>
        <w:rPr>
          <w:rFonts w:ascii="Times New Roman" w:hAnsi="Times New Roman"/>
          <w:sz w:val="22"/>
        </w:rPr>
        <w:t>S</w:t>
      </w:r>
      <w:r w:rsidRPr="00DC4DF1">
        <w:rPr>
          <w:rFonts w:ascii="Times New Roman" w:hAnsi="Times New Roman"/>
          <w:sz w:val="22"/>
        </w:rPr>
        <w:t>timulation, as defined in § 61.3(</w:t>
      </w:r>
      <w:r w:rsidRPr="00DC4DF1">
        <w:rPr>
          <w:rFonts w:ascii="Times New Roman" w:hAnsi="Times New Roman"/>
          <w:sz w:val="22"/>
        </w:rPr>
        <w:t>bbb</w:t>
      </w:r>
      <w:r w:rsidRPr="00DC4DF1">
        <w:rPr>
          <w:rFonts w:ascii="Times New Roman" w:hAnsi="Times New Roman"/>
          <w:sz w:val="22"/>
        </w:rPr>
        <w:t xml:space="preserve">) of this part, the </w:t>
      </w:r>
      <w:r>
        <w:rPr>
          <w:rFonts w:ascii="Times New Roman" w:hAnsi="Times New Roman" w:cs="Times New Roman"/>
          <w:sz w:val="22"/>
          <w:szCs w:val="22"/>
        </w:rPr>
        <w:t>local exchange carrier</w:t>
      </w:r>
      <w:r w:rsidRPr="00DD568C">
        <w:rPr>
          <w:rFonts w:ascii="Times New Roman" w:hAnsi="Times New Roman" w:cs="Times New Roman"/>
          <w:sz w:val="22"/>
          <w:szCs w:val="22"/>
        </w:rPr>
        <w:t xml:space="preserve"> </w:t>
      </w:r>
      <w:r>
        <w:rPr>
          <w:rFonts w:ascii="Times New Roman" w:hAnsi="Times New Roman" w:cs="Times New Roman"/>
          <w:sz w:val="22"/>
          <w:szCs w:val="22"/>
        </w:rPr>
        <w:t>engaged in Access Stimulation</w:t>
      </w:r>
      <w:r w:rsidRPr="00DD568C">
        <w:rPr>
          <w:rFonts w:ascii="Times New Roman" w:hAnsi="Times New Roman" w:cs="Times New Roman"/>
          <w:sz w:val="22"/>
          <w:szCs w:val="22"/>
        </w:rPr>
        <w:t xml:space="preserve"> shall provide concurrent, written notification to the Commission and any affected Intermediate Access Provider(s) and Interexchange Carrier(s) of such fact.  </w:t>
      </w:r>
    </w:p>
    <w:p w:rsidR="00EB312D" w:rsidP="00EB312D">
      <w:pPr>
        <w:pStyle w:val="Default"/>
        <w:rPr>
          <w:rFonts w:ascii="Times New Roman" w:hAnsi="Times New Roman" w:cs="Times New Roman"/>
          <w:sz w:val="22"/>
          <w:szCs w:val="22"/>
        </w:rPr>
      </w:pPr>
    </w:p>
    <w:p w:rsidR="00EB312D" w:rsidRPr="0010181F" w:rsidP="00EB312D">
      <w:pPr>
        <w:pStyle w:val="Default"/>
        <w:rPr>
          <w:rFonts w:ascii="Times New Roman" w:hAnsi="Times New Roman" w:cs="Times New Roman"/>
          <w:color w:val="auto"/>
          <w:sz w:val="22"/>
          <w:szCs w:val="22"/>
        </w:rPr>
      </w:pPr>
      <w:r w:rsidRPr="0010181F">
        <w:rPr>
          <w:rStyle w:val="counderline"/>
          <w:rFonts w:ascii="Times New Roman" w:hAnsi="Times New Roman" w:cs="Times New Roman"/>
          <w:color w:val="auto"/>
          <w:sz w:val="22"/>
          <w:szCs w:val="22"/>
        </w:rPr>
        <w:t>(f)</w:t>
      </w:r>
      <w:r w:rsidRPr="0010181F">
        <w:rPr>
          <w:rStyle w:val="counderline"/>
          <w:rFonts w:ascii="Times New Roman" w:hAnsi="Times New Roman" w:cs="Times New Roman"/>
          <w:color w:val="auto"/>
          <w:sz w:val="22"/>
          <w:szCs w:val="22"/>
        </w:rPr>
        <w:tab/>
      </w:r>
      <w:r w:rsidRPr="0010181F">
        <w:rPr>
          <w:rStyle w:val="counderline"/>
          <w:rFonts w:ascii="Times New Roman" w:hAnsi="Times New Roman" w:cs="Times New Roman"/>
          <w:i/>
          <w:color w:val="auto"/>
          <w:sz w:val="22"/>
          <w:szCs w:val="22"/>
        </w:rPr>
        <w:t>Compliance date</w:t>
      </w:r>
      <w:r w:rsidRPr="0010181F">
        <w:rPr>
          <w:rFonts w:ascii="Times New Roman" w:hAnsi="Times New Roman" w:cs="Times New Roman"/>
          <w:color w:val="auto"/>
          <w:sz w:val="22"/>
          <w:szCs w:val="22"/>
        </w:rPr>
        <w:t xml:space="preserve">.  Paragraphs (b) and (e) of this section contain new or modified information-collection and recordkeeping requirements.  </w:t>
      </w:r>
      <w:r w:rsidRPr="0010181F">
        <w:rPr>
          <w:rStyle w:val="cosearchterm"/>
          <w:rFonts w:ascii="Times New Roman" w:hAnsi="Times New Roman" w:cs="Times New Roman"/>
          <w:color w:val="auto"/>
          <w:sz w:val="22"/>
          <w:szCs w:val="22"/>
        </w:rPr>
        <w:t>Compliance</w:t>
      </w:r>
      <w:r w:rsidRPr="0010181F">
        <w:rPr>
          <w:rFonts w:ascii="Times New Roman" w:hAnsi="Times New Roman" w:cs="Times New Roman"/>
          <w:color w:val="auto"/>
          <w:sz w:val="22"/>
          <w:szCs w:val="22"/>
        </w:rPr>
        <w:t xml:space="preserve"> </w:t>
      </w:r>
      <w:r w:rsidRPr="0010181F">
        <w:rPr>
          <w:rStyle w:val="cosearchterm"/>
          <w:rFonts w:ascii="Times New Roman" w:hAnsi="Times New Roman" w:cs="Times New Roman"/>
          <w:color w:val="auto"/>
          <w:sz w:val="22"/>
          <w:szCs w:val="22"/>
        </w:rPr>
        <w:t>with</w:t>
      </w:r>
      <w:r w:rsidRPr="0010181F">
        <w:rPr>
          <w:rFonts w:ascii="Times New Roman" w:hAnsi="Times New Roman" w:cs="Times New Roman"/>
          <w:color w:val="auto"/>
          <w:sz w:val="22"/>
          <w:szCs w:val="22"/>
        </w:rPr>
        <w:t xml:space="preserve"> </w:t>
      </w:r>
      <w:r w:rsidRPr="0010181F">
        <w:rPr>
          <w:rStyle w:val="cosearchterm"/>
          <w:rFonts w:ascii="Times New Roman" w:hAnsi="Times New Roman" w:cs="Times New Roman"/>
          <w:color w:val="auto"/>
          <w:sz w:val="22"/>
          <w:szCs w:val="22"/>
        </w:rPr>
        <w:t>these</w:t>
      </w:r>
      <w:r w:rsidRPr="0010181F">
        <w:rPr>
          <w:rFonts w:ascii="Times New Roman" w:hAnsi="Times New Roman" w:cs="Times New Roman"/>
          <w:color w:val="auto"/>
          <w:sz w:val="22"/>
          <w:szCs w:val="22"/>
        </w:rPr>
        <w:t xml:space="preserve"> </w:t>
      </w:r>
      <w:r w:rsidRPr="0010181F">
        <w:rPr>
          <w:rStyle w:val="cosearchterm"/>
          <w:rFonts w:ascii="Times New Roman" w:hAnsi="Times New Roman" w:cs="Times New Roman"/>
          <w:color w:val="auto"/>
          <w:sz w:val="22"/>
          <w:szCs w:val="22"/>
        </w:rPr>
        <w:t>information</w:t>
      </w:r>
      <w:r w:rsidRPr="0010181F">
        <w:rPr>
          <w:rFonts w:ascii="Times New Roman" w:hAnsi="Times New Roman" w:cs="Times New Roman"/>
          <w:color w:val="auto"/>
          <w:sz w:val="22"/>
          <w:szCs w:val="22"/>
        </w:rPr>
        <w:t>-</w:t>
      </w:r>
      <w:r w:rsidRPr="0010181F">
        <w:rPr>
          <w:rStyle w:val="cosearchterm"/>
          <w:rFonts w:ascii="Times New Roman" w:hAnsi="Times New Roman" w:cs="Times New Roman"/>
          <w:color w:val="auto"/>
          <w:sz w:val="22"/>
          <w:szCs w:val="22"/>
        </w:rPr>
        <w:t>collection</w:t>
      </w:r>
      <w:r w:rsidRPr="0010181F">
        <w:rPr>
          <w:rFonts w:ascii="Times New Roman" w:hAnsi="Times New Roman" w:cs="Times New Roman"/>
          <w:color w:val="auto"/>
          <w:sz w:val="22"/>
          <w:szCs w:val="22"/>
        </w:rPr>
        <w:t xml:space="preserve"> </w:t>
      </w:r>
      <w:r w:rsidRPr="0010181F">
        <w:rPr>
          <w:rStyle w:val="cosearchterm"/>
          <w:rFonts w:ascii="Times New Roman" w:hAnsi="Times New Roman" w:cs="Times New Roman"/>
          <w:color w:val="auto"/>
          <w:sz w:val="22"/>
          <w:szCs w:val="22"/>
        </w:rPr>
        <w:t>and</w:t>
      </w:r>
      <w:r w:rsidRPr="0010181F">
        <w:rPr>
          <w:rFonts w:ascii="Times New Roman" w:hAnsi="Times New Roman" w:cs="Times New Roman"/>
          <w:color w:val="auto"/>
          <w:sz w:val="22"/>
          <w:szCs w:val="22"/>
        </w:rPr>
        <w:t xml:space="preserve"> </w:t>
      </w:r>
      <w:r w:rsidRPr="0010181F">
        <w:rPr>
          <w:rStyle w:val="cosearchterm"/>
          <w:rFonts w:ascii="Times New Roman" w:hAnsi="Times New Roman" w:cs="Times New Roman"/>
          <w:color w:val="auto"/>
          <w:sz w:val="22"/>
          <w:szCs w:val="22"/>
        </w:rPr>
        <w:t>recordkeeping</w:t>
      </w:r>
      <w:r w:rsidRPr="0010181F">
        <w:rPr>
          <w:rFonts w:ascii="Times New Roman" w:hAnsi="Times New Roman" w:cs="Times New Roman"/>
          <w:color w:val="auto"/>
          <w:sz w:val="22"/>
          <w:szCs w:val="22"/>
        </w:rPr>
        <w:t xml:space="preserve"> </w:t>
      </w:r>
      <w:r w:rsidRPr="0010181F">
        <w:rPr>
          <w:rStyle w:val="cosearchterm"/>
          <w:rFonts w:ascii="Times New Roman" w:hAnsi="Times New Roman" w:cs="Times New Roman"/>
          <w:color w:val="auto"/>
          <w:sz w:val="22"/>
          <w:szCs w:val="22"/>
        </w:rPr>
        <w:t>requirements</w:t>
      </w:r>
      <w:r w:rsidRPr="0010181F">
        <w:rPr>
          <w:rFonts w:ascii="Times New Roman" w:hAnsi="Times New Roman" w:cs="Times New Roman"/>
          <w:color w:val="auto"/>
          <w:sz w:val="22"/>
          <w:szCs w:val="22"/>
        </w:rPr>
        <w:t xml:space="preserve"> will not be required until after approval by the Office of Management and Budget.  The Commission will publish a document in the Federal Register announcing that compliance date and revising this paragraph accordingly.</w:t>
      </w:r>
    </w:p>
    <w:p w:rsidR="00EB312D" w:rsidRPr="00753B3A" w:rsidP="00EB312D">
      <w:pPr>
        <w:pStyle w:val="Default"/>
        <w:rPr>
          <w:rFonts w:ascii="Times New Roman" w:hAnsi="Times New Roman" w:cs="Times New Roman"/>
          <w:sz w:val="22"/>
          <w:szCs w:val="22"/>
        </w:rPr>
      </w:pPr>
    </w:p>
    <w:p w:rsidR="00EB312D" w:rsidRPr="007C77AD" w:rsidP="00EB312D">
      <w:pPr>
        <w:pStyle w:val="Default"/>
        <w:rPr>
          <w:rFonts w:ascii="Times New Roman" w:hAnsi="Times New Roman" w:cs="Times New Roman"/>
          <w:sz w:val="22"/>
          <w:szCs w:val="22"/>
        </w:rPr>
      </w:pPr>
    </w:p>
    <w:p w:rsidR="00EB312D" w:rsidRPr="007C77AD" w:rsidP="00EB312D">
      <w:pPr>
        <w:numPr>
          <w:ilvl w:val="0"/>
          <w:numId w:val="35"/>
        </w:numPr>
        <w:contextualSpacing/>
      </w:pPr>
      <w:r w:rsidRPr="007C77AD">
        <w:t>Amend § 51.917 by revising paragraph (c) as follows:</w:t>
      </w:r>
    </w:p>
    <w:p w:rsidR="00EB312D" w:rsidRPr="007C77AD" w:rsidP="00EB312D">
      <w:pPr>
        <w:contextualSpacing/>
      </w:pPr>
    </w:p>
    <w:p w:rsidR="00EB312D" w:rsidRPr="007C77AD" w:rsidP="00EB312D">
      <w:pPr>
        <w:pStyle w:val="Default"/>
        <w:rPr>
          <w:rFonts w:ascii="Times New Roman" w:hAnsi="Times New Roman" w:cs="Times New Roman"/>
          <w:b/>
          <w:sz w:val="22"/>
          <w:szCs w:val="22"/>
        </w:rPr>
      </w:pPr>
      <w:r w:rsidRPr="007C77AD">
        <w:rPr>
          <w:rFonts w:ascii="Times New Roman" w:hAnsi="Times New Roman" w:cs="Times New Roman"/>
          <w:b/>
          <w:sz w:val="22"/>
          <w:szCs w:val="22"/>
        </w:rPr>
        <w:t xml:space="preserve">§ </w:t>
      </w:r>
      <w:r w:rsidRPr="007C77AD">
        <w:rPr>
          <w:rFonts w:ascii="Times New Roman" w:hAnsi="Times New Roman" w:cs="Times New Roman"/>
          <w:b/>
          <w:sz w:val="22"/>
          <w:szCs w:val="22"/>
        </w:rPr>
        <w:t xml:space="preserve">51.917 </w:t>
      </w:r>
      <w:r w:rsidRPr="007C77AD">
        <w:rPr>
          <w:rFonts w:ascii="Times New Roman" w:hAnsi="Times New Roman" w:cs="Times New Roman"/>
          <w:b/>
          <w:sz w:val="22"/>
          <w:szCs w:val="22"/>
        </w:rPr>
        <w:t xml:space="preserve"> Revenue</w:t>
      </w:r>
      <w:r w:rsidRPr="007C77AD">
        <w:rPr>
          <w:rFonts w:ascii="Times New Roman" w:hAnsi="Times New Roman" w:cs="Times New Roman"/>
          <w:b/>
          <w:sz w:val="22"/>
          <w:szCs w:val="22"/>
        </w:rPr>
        <w:t xml:space="preserve"> recovery for Rate-of-Return carriers.</w:t>
      </w:r>
    </w:p>
    <w:p w:rsidR="00EB312D" w:rsidRPr="007C77AD" w:rsidP="00EB312D">
      <w:pPr>
        <w:pStyle w:val="Default"/>
        <w:rPr>
          <w:rFonts w:ascii="Times New Roman" w:hAnsi="Times New Roman" w:cs="Times New Roman"/>
          <w:sz w:val="22"/>
          <w:szCs w:val="22"/>
        </w:rPr>
      </w:pPr>
      <w:r w:rsidRPr="007C77AD">
        <w:rPr>
          <w:rFonts w:ascii="Times New Roman" w:hAnsi="Times New Roman" w:cs="Times New Roman"/>
          <w:sz w:val="22"/>
          <w:szCs w:val="22"/>
        </w:rPr>
        <w:t>* * * * *</w:t>
      </w:r>
    </w:p>
    <w:p w:rsidR="00EB312D" w:rsidRPr="007C77AD" w:rsidP="00EB312D">
      <w:pPr>
        <w:pStyle w:val="Default"/>
        <w:rPr>
          <w:rFonts w:ascii="Times New Roman" w:hAnsi="Times New Roman" w:cs="Times New Roman"/>
          <w:sz w:val="22"/>
          <w:szCs w:val="22"/>
          <w:shd w:val="clear" w:color="auto" w:fill="FFFFFF"/>
        </w:rPr>
      </w:pPr>
      <w:r w:rsidRPr="007C77AD">
        <w:rPr>
          <w:rFonts w:ascii="Times New Roman" w:hAnsi="Times New Roman" w:cs="Times New Roman"/>
          <w:sz w:val="22"/>
          <w:szCs w:val="22"/>
          <w:shd w:val="clear" w:color="auto" w:fill="FFFFFF"/>
        </w:rPr>
        <w:t xml:space="preserve">(c)  </w:t>
      </w:r>
      <w:r>
        <w:rPr>
          <w:rFonts w:ascii="Times New Roman" w:hAnsi="Times New Roman" w:cs="Times New Roman"/>
          <w:sz w:val="22"/>
          <w:szCs w:val="22"/>
          <w:shd w:val="clear" w:color="auto" w:fill="FFFFFF"/>
        </w:rPr>
        <w:tab/>
      </w:r>
      <w:r w:rsidRPr="007C77AD">
        <w:rPr>
          <w:rFonts w:ascii="Times New Roman" w:hAnsi="Times New Roman" w:cs="Times New Roman"/>
          <w:sz w:val="22"/>
          <w:szCs w:val="22"/>
          <w:shd w:val="clear" w:color="auto" w:fill="FFFFFF"/>
        </w:rPr>
        <w:t>2011 Rate-of-Return Carrier Base Period Revenue shall be adjusted to reflect the removal of any increases in revenue requirement or revenues resulting from Access Stimulation activity the Rate-of-Return Carrier engaged in during the relevant measuring period.  A Rate-of-Return Carrier should make this adjustment for its initial July 1, 2012, tariff filing, but the adjustment may result from a subsequent Commission or court ruling.</w:t>
      </w:r>
    </w:p>
    <w:p w:rsidR="00EB312D" w:rsidP="00EB312D">
      <w:pPr>
        <w:pStyle w:val="Default"/>
        <w:ind w:left="360" w:hanging="360"/>
        <w:rPr>
          <w:rFonts w:ascii="Times New Roman" w:hAnsi="Times New Roman" w:cs="Times New Roman"/>
          <w:sz w:val="22"/>
          <w:szCs w:val="22"/>
          <w:shd w:val="clear" w:color="auto" w:fill="FFFFFF"/>
        </w:rPr>
      </w:pPr>
    </w:p>
    <w:p w:rsidR="00EB312D" w:rsidRPr="003E1D80" w:rsidP="00EB312D">
      <w:pPr>
        <w:pStyle w:val="Default"/>
        <w:ind w:left="360" w:hanging="360"/>
        <w:rPr>
          <w:rFonts w:ascii="Times New Roman" w:hAnsi="Times New Roman" w:cs="Times New Roman"/>
          <w:sz w:val="22"/>
          <w:szCs w:val="22"/>
        </w:rPr>
      </w:pPr>
      <w:r w:rsidRPr="007C77AD">
        <w:rPr>
          <w:rFonts w:ascii="Times New Roman" w:hAnsi="Times New Roman" w:cs="Times New Roman"/>
          <w:sz w:val="22"/>
          <w:szCs w:val="22"/>
          <w:shd w:val="clear" w:color="auto" w:fill="FFFFFF"/>
        </w:rPr>
        <w:t>* * * * *</w:t>
      </w:r>
    </w:p>
    <w:p w:rsidR="00EB312D" w:rsidP="00EB312D">
      <w:pPr>
        <w:rPr>
          <w:b/>
        </w:rPr>
      </w:pPr>
    </w:p>
    <w:p w:rsidR="00EB312D" w:rsidP="00EB312D">
      <w:pPr>
        <w:rPr>
          <w:b/>
        </w:rPr>
      </w:pPr>
      <w:r w:rsidRPr="00C42277">
        <w:rPr>
          <w:b/>
        </w:rPr>
        <w:t>PART 61 – TARIFFS</w:t>
      </w:r>
    </w:p>
    <w:p w:rsidR="00EB312D" w:rsidRPr="00DB5298" w:rsidP="00EB312D">
      <w:pPr>
        <w:rPr>
          <w:b/>
        </w:rPr>
      </w:pPr>
    </w:p>
    <w:p w:rsidR="00EB312D" w:rsidRPr="00C42277" w:rsidP="00EB312D">
      <w:pPr>
        <w:numPr>
          <w:ilvl w:val="0"/>
          <w:numId w:val="35"/>
        </w:numPr>
        <w:contextualSpacing/>
      </w:pPr>
      <w:r w:rsidRPr="00C42277">
        <w:t>Amend § 61.3 by revising paragraph (</w:t>
      </w:r>
      <w:r w:rsidRPr="00C42277">
        <w:t>bbb</w:t>
      </w:r>
      <w:r w:rsidRPr="00C42277">
        <w:t>) and adding paragraphs (ccc) and (</w:t>
      </w:r>
      <w:r w:rsidRPr="00C42277">
        <w:t>ddd</w:t>
      </w:r>
      <w:r w:rsidRPr="00C42277">
        <w:t>) to read as follows:</w:t>
      </w:r>
    </w:p>
    <w:p w:rsidR="00EB312D" w:rsidRPr="00C42277" w:rsidP="00EB312D"/>
    <w:p w:rsidR="00EB312D" w:rsidRPr="00C42277" w:rsidP="00EB312D">
      <w:pPr>
        <w:widowControl/>
        <w:autoSpaceDE w:val="0"/>
        <w:autoSpaceDN w:val="0"/>
        <w:adjustRightInd w:val="0"/>
        <w:rPr>
          <w:b/>
          <w:bCs/>
          <w:snapToGrid/>
          <w:color w:val="010101"/>
          <w:kern w:val="0"/>
          <w:szCs w:val="22"/>
        </w:rPr>
      </w:pPr>
      <w:r w:rsidRPr="00C42277">
        <w:rPr>
          <w:b/>
          <w:bCs/>
          <w:snapToGrid/>
          <w:color w:val="010101"/>
          <w:kern w:val="0"/>
          <w:szCs w:val="22"/>
        </w:rPr>
        <w:t xml:space="preserve">§ </w:t>
      </w:r>
      <w:r w:rsidRPr="00C42277">
        <w:rPr>
          <w:b/>
          <w:bCs/>
          <w:snapToGrid/>
          <w:color w:val="010101"/>
          <w:kern w:val="0"/>
          <w:szCs w:val="22"/>
        </w:rPr>
        <w:t>61.3  Definitions</w:t>
      </w:r>
      <w:r w:rsidRPr="00C42277">
        <w:rPr>
          <w:b/>
          <w:bCs/>
          <w:snapToGrid/>
          <w:color w:val="010101"/>
          <w:kern w:val="0"/>
          <w:szCs w:val="22"/>
        </w:rPr>
        <w:t>.</w:t>
      </w:r>
    </w:p>
    <w:p w:rsidR="00EB312D" w:rsidRPr="00C42277" w:rsidP="00EB312D">
      <w:pPr>
        <w:widowControl/>
        <w:autoSpaceDE w:val="0"/>
        <w:autoSpaceDN w:val="0"/>
        <w:adjustRightInd w:val="0"/>
        <w:rPr>
          <w:snapToGrid/>
          <w:color w:val="010101"/>
          <w:kern w:val="0"/>
          <w:szCs w:val="22"/>
        </w:rPr>
      </w:pPr>
      <w:r w:rsidRPr="00C42277">
        <w:rPr>
          <w:snapToGrid/>
          <w:color w:val="010101"/>
          <w:kern w:val="0"/>
          <w:szCs w:val="22"/>
        </w:rPr>
        <w:t>* * * * *</w:t>
      </w:r>
    </w:p>
    <w:p w:rsidR="00EB312D" w:rsidRPr="00C42277" w:rsidP="00EB312D">
      <w:pPr>
        <w:widowControl/>
        <w:autoSpaceDE w:val="0"/>
        <w:autoSpaceDN w:val="0"/>
        <w:adjustRightInd w:val="0"/>
        <w:rPr>
          <w:snapToGrid/>
          <w:color w:val="010101"/>
          <w:kern w:val="0"/>
          <w:szCs w:val="22"/>
        </w:rPr>
      </w:pPr>
    </w:p>
    <w:p w:rsidR="00EB312D" w:rsidRPr="00C42277" w:rsidP="00EB312D">
      <w:pPr>
        <w:widowControl/>
        <w:autoSpaceDE w:val="0"/>
        <w:autoSpaceDN w:val="0"/>
        <w:adjustRightInd w:val="0"/>
        <w:rPr>
          <w:snapToGrid/>
          <w:color w:val="010101"/>
          <w:kern w:val="0"/>
          <w:szCs w:val="22"/>
        </w:rPr>
      </w:pPr>
      <w:r w:rsidRPr="00C42277">
        <w:rPr>
          <w:snapToGrid/>
          <w:color w:val="010101"/>
          <w:kern w:val="0"/>
          <w:szCs w:val="22"/>
        </w:rPr>
        <w:t>(</w:t>
      </w:r>
      <w:r w:rsidRPr="00C42277">
        <w:rPr>
          <w:snapToGrid/>
          <w:color w:val="010101"/>
          <w:kern w:val="0"/>
          <w:szCs w:val="22"/>
        </w:rPr>
        <w:t>bbb</w:t>
      </w:r>
      <w:r w:rsidRPr="00C42277">
        <w:rPr>
          <w:snapToGrid/>
          <w:color w:val="010101"/>
          <w:kern w:val="0"/>
          <w:szCs w:val="22"/>
        </w:rPr>
        <w:t>)</w:t>
      </w:r>
      <w:r w:rsidRPr="00C42277">
        <w:rPr>
          <w:snapToGrid/>
          <w:color w:val="010101"/>
          <w:kern w:val="0"/>
          <w:szCs w:val="22"/>
        </w:rPr>
        <w:tab/>
        <w:t xml:space="preserve">Access </w:t>
      </w:r>
      <w:r>
        <w:rPr>
          <w:snapToGrid/>
          <w:color w:val="010101"/>
          <w:kern w:val="0"/>
          <w:szCs w:val="22"/>
        </w:rPr>
        <w:t>S</w:t>
      </w:r>
      <w:r w:rsidRPr="00C42277">
        <w:rPr>
          <w:snapToGrid/>
          <w:color w:val="010101"/>
          <w:kern w:val="0"/>
          <w:szCs w:val="22"/>
        </w:rPr>
        <w:t>timulation.</w:t>
      </w:r>
    </w:p>
    <w:p w:rsidR="00EB312D" w:rsidRPr="00C42277" w:rsidP="00EB312D">
      <w:pPr>
        <w:widowControl/>
        <w:autoSpaceDE w:val="0"/>
        <w:autoSpaceDN w:val="0"/>
        <w:adjustRightInd w:val="0"/>
        <w:rPr>
          <w:snapToGrid/>
          <w:color w:val="010101"/>
          <w:kern w:val="0"/>
          <w:szCs w:val="22"/>
        </w:rPr>
      </w:pPr>
    </w:p>
    <w:p w:rsidR="00EB312D" w:rsidRPr="00C42277" w:rsidP="00EB312D">
      <w:pPr>
        <w:widowControl/>
        <w:autoSpaceDE w:val="0"/>
        <w:autoSpaceDN w:val="0"/>
        <w:adjustRightInd w:val="0"/>
        <w:ind w:left="1440" w:hanging="720"/>
        <w:rPr>
          <w:snapToGrid/>
          <w:color w:val="010101"/>
          <w:kern w:val="0"/>
          <w:szCs w:val="22"/>
        </w:rPr>
      </w:pPr>
      <w:r w:rsidRPr="00C42277">
        <w:rPr>
          <w:snapToGrid/>
          <w:color w:val="010101"/>
          <w:kern w:val="0"/>
          <w:szCs w:val="22"/>
        </w:rPr>
        <w:t>(1)</w:t>
      </w:r>
      <w:r w:rsidRPr="00C42277">
        <w:rPr>
          <w:snapToGrid/>
          <w:color w:val="010101"/>
          <w:kern w:val="0"/>
          <w:szCs w:val="22"/>
        </w:rPr>
        <w:tab/>
      </w:r>
      <w:r>
        <w:rPr>
          <w:color w:val="010101"/>
        </w:rPr>
        <w:t>A Competitive Local Exchange Carrier serving end user(s) engages in Access Stimulation when it satisfies either paragraph</w:t>
      </w:r>
      <w:r w:rsidRPr="009770AC">
        <w:rPr>
          <w:color w:val="010101"/>
        </w:rPr>
        <w:t>s (</w:t>
      </w:r>
      <w:r w:rsidRPr="009770AC">
        <w:rPr>
          <w:color w:val="010101"/>
        </w:rPr>
        <w:t>bbb</w:t>
      </w:r>
      <w:r w:rsidRPr="009770AC">
        <w:rPr>
          <w:color w:val="010101"/>
        </w:rPr>
        <w:t>)(1)(</w:t>
      </w:r>
      <w:r w:rsidRPr="009770AC">
        <w:rPr>
          <w:color w:val="010101"/>
        </w:rPr>
        <w:t>i</w:t>
      </w:r>
      <w:r w:rsidRPr="009770AC">
        <w:rPr>
          <w:color w:val="010101"/>
        </w:rPr>
        <w:t>) or (</w:t>
      </w:r>
      <w:r w:rsidRPr="009770AC">
        <w:rPr>
          <w:color w:val="010101"/>
        </w:rPr>
        <w:t>bbb</w:t>
      </w:r>
      <w:r w:rsidRPr="009770AC">
        <w:rPr>
          <w:color w:val="010101"/>
        </w:rPr>
        <w:t xml:space="preserve">)(1)(ii) of this section; and a </w:t>
      </w:r>
      <w:r>
        <w:rPr>
          <w:color w:val="010101"/>
        </w:rPr>
        <w:t>r</w:t>
      </w:r>
      <w:r w:rsidRPr="009770AC">
        <w:rPr>
          <w:color w:val="010101"/>
        </w:rPr>
        <w:t>ate-of-</w:t>
      </w:r>
      <w:r>
        <w:rPr>
          <w:color w:val="010101"/>
        </w:rPr>
        <w:t>r</w:t>
      </w:r>
      <w:r w:rsidRPr="009770AC">
        <w:rPr>
          <w:color w:val="010101"/>
        </w:rPr>
        <w:t>eturn</w:t>
      </w:r>
      <w:r>
        <w:rPr>
          <w:color w:val="010101"/>
        </w:rPr>
        <w:t xml:space="preserve"> local exchange</w:t>
      </w:r>
      <w:r w:rsidRPr="009770AC">
        <w:rPr>
          <w:color w:val="010101"/>
        </w:rPr>
        <w:t xml:space="preserve"> </w:t>
      </w:r>
      <w:r>
        <w:rPr>
          <w:color w:val="010101"/>
        </w:rPr>
        <w:t>c</w:t>
      </w:r>
      <w:r w:rsidRPr="009770AC">
        <w:rPr>
          <w:color w:val="010101"/>
        </w:rPr>
        <w:t xml:space="preserve">arrier serving end user(s) engages in </w:t>
      </w:r>
      <w:r>
        <w:rPr>
          <w:color w:val="010101"/>
        </w:rPr>
        <w:t>A</w:t>
      </w:r>
      <w:r w:rsidRPr="009770AC">
        <w:rPr>
          <w:color w:val="010101"/>
        </w:rPr>
        <w:t xml:space="preserve">ccess </w:t>
      </w:r>
      <w:r>
        <w:rPr>
          <w:color w:val="010101"/>
        </w:rPr>
        <w:t>S</w:t>
      </w:r>
      <w:r w:rsidRPr="009770AC">
        <w:rPr>
          <w:color w:val="010101"/>
        </w:rPr>
        <w:t>timulati</w:t>
      </w:r>
      <w:r>
        <w:rPr>
          <w:color w:val="010101"/>
        </w:rPr>
        <w:t>on</w:t>
      </w:r>
      <w:r w:rsidRPr="009770AC">
        <w:rPr>
          <w:color w:val="010101"/>
        </w:rPr>
        <w:t xml:space="preserve"> when it satisfies either paragraphs (</w:t>
      </w:r>
      <w:r w:rsidRPr="009770AC">
        <w:rPr>
          <w:color w:val="010101"/>
        </w:rPr>
        <w:t>bbb</w:t>
      </w:r>
      <w:r w:rsidRPr="009770AC">
        <w:rPr>
          <w:color w:val="010101"/>
        </w:rPr>
        <w:t>)(</w:t>
      </w:r>
      <w:r>
        <w:rPr>
          <w:color w:val="010101"/>
        </w:rPr>
        <w:t>1)</w:t>
      </w:r>
      <w:r w:rsidRPr="009770AC">
        <w:rPr>
          <w:color w:val="010101"/>
        </w:rPr>
        <w:t>(</w:t>
      </w:r>
      <w:r w:rsidRPr="009770AC">
        <w:rPr>
          <w:color w:val="010101"/>
        </w:rPr>
        <w:t>i</w:t>
      </w:r>
      <w:r w:rsidRPr="009770AC">
        <w:rPr>
          <w:color w:val="010101"/>
        </w:rPr>
        <w:t>) or (</w:t>
      </w:r>
      <w:r w:rsidRPr="009770AC">
        <w:rPr>
          <w:color w:val="010101"/>
        </w:rPr>
        <w:t>bbb</w:t>
      </w:r>
      <w:r w:rsidRPr="009770AC">
        <w:rPr>
          <w:color w:val="010101"/>
        </w:rPr>
        <w:t>)</w:t>
      </w:r>
      <w:r>
        <w:rPr>
          <w:color w:val="010101"/>
        </w:rPr>
        <w:t>(1</w:t>
      </w:r>
      <w:r w:rsidRPr="009770AC">
        <w:rPr>
          <w:color w:val="010101"/>
        </w:rPr>
        <w:t>)(iii)</w:t>
      </w:r>
      <w:r>
        <w:rPr>
          <w:color w:val="010101"/>
        </w:rPr>
        <w:t xml:space="preserve"> of this section.</w:t>
      </w:r>
    </w:p>
    <w:p w:rsidR="00EB312D" w:rsidRPr="00C42277" w:rsidP="00EB312D">
      <w:pPr>
        <w:rPr>
          <w:snapToGrid/>
        </w:rPr>
      </w:pPr>
    </w:p>
    <w:p w:rsidR="00EB312D" w:rsidRPr="00C42277" w:rsidP="00EB312D">
      <w:pPr>
        <w:widowControl/>
        <w:numPr>
          <w:ilvl w:val="0"/>
          <w:numId w:val="11"/>
        </w:numPr>
        <w:autoSpaceDE w:val="0"/>
        <w:autoSpaceDN w:val="0"/>
        <w:adjustRightInd w:val="0"/>
        <w:contextualSpacing/>
        <w:rPr>
          <w:snapToGrid/>
          <w:color w:val="010101"/>
          <w:kern w:val="0"/>
          <w:szCs w:val="22"/>
        </w:rPr>
      </w:pPr>
      <w:r w:rsidRPr="00C42277">
        <w:rPr>
          <w:snapToGrid/>
          <w:color w:val="010101"/>
          <w:kern w:val="0"/>
          <w:szCs w:val="22"/>
        </w:rPr>
        <w:t>The rate-of-return local exchange carrier or a Competitive Local Exchange Carrier:</w:t>
      </w:r>
    </w:p>
    <w:p w:rsidR="00EB312D" w:rsidRPr="00C42277" w:rsidP="00EB312D">
      <w:pPr>
        <w:widowControl/>
        <w:autoSpaceDE w:val="0"/>
        <w:autoSpaceDN w:val="0"/>
        <w:adjustRightInd w:val="0"/>
        <w:ind w:left="2880" w:hanging="720"/>
        <w:rPr>
          <w:snapToGrid/>
          <w:color w:val="010101"/>
          <w:kern w:val="0"/>
          <w:szCs w:val="22"/>
        </w:rPr>
      </w:pPr>
      <w:r w:rsidRPr="00C42277">
        <w:rPr>
          <w:snapToGrid/>
          <w:color w:val="010101"/>
          <w:kern w:val="0"/>
          <w:szCs w:val="22"/>
        </w:rPr>
        <w:t>(A)</w:t>
      </w:r>
      <w:r w:rsidRPr="00C42277">
        <w:rPr>
          <w:snapToGrid/>
          <w:color w:val="010101"/>
          <w:kern w:val="0"/>
          <w:szCs w:val="22"/>
        </w:rPr>
        <w:tab/>
        <w:t xml:space="preserve">Has an access revenue sharing agreement, whether express, implied, written or oral, that, over the course of the agreement, would directly or indirectly result in a net payment to the other party (including affiliates) to the agreement, in which payment by the rate-of-return local exchange carrier or Competitive Local Exchange Carrier is based on the billing or collection of access charges from interexchange carriers or wireless carriers.  When determining whether there is a net payment under this rule, all payments, discounts, credits, services, features, functions, and other items of value, regardless of form, provided by the rate-of-return local exchange carrier or Competitive Local Exchange Carrier to the other party to the agreement shall be </w:t>
      </w:r>
      <w:r w:rsidRPr="00C42277">
        <w:rPr>
          <w:snapToGrid/>
          <w:color w:val="010101"/>
          <w:kern w:val="0"/>
          <w:szCs w:val="22"/>
        </w:rPr>
        <w:t>taken into account</w:t>
      </w:r>
      <w:r w:rsidRPr="00C42277">
        <w:rPr>
          <w:snapToGrid/>
          <w:color w:val="010101"/>
          <w:kern w:val="0"/>
          <w:szCs w:val="22"/>
        </w:rPr>
        <w:t>; and</w:t>
      </w:r>
    </w:p>
    <w:p w:rsidR="00EB312D" w:rsidRPr="00C42277" w:rsidP="00EB312D">
      <w:pPr>
        <w:widowControl/>
        <w:autoSpaceDE w:val="0"/>
        <w:autoSpaceDN w:val="0"/>
        <w:adjustRightInd w:val="0"/>
        <w:ind w:left="2880" w:hanging="720"/>
        <w:rPr>
          <w:snapToGrid/>
          <w:color w:val="010101"/>
          <w:kern w:val="0"/>
          <w:szCs w:val="22"/>
        </w:rPr>
      </w:pPr>
      <w:r w:rsidRPr="00C42277">
        <w:rPr>
          <w:snapToGrid/>
          <w:color w:val="010101"/>
          <w:kern w:val="0"/>
          <w:szCs w:val="22"/>
        </w:rPr>
        <w:t>(B)</w:t>
      </w:r>
      <w:r w:rsidRPr="00C42277">
        <w:rPr>
          <w:snapToGrid/>
          <w:color w:val="010101"/>
          <w:kern w:val="0"/>
          <w:szCs w:val="22"/>
        </w:rPr>
        <w:tab/>
        <w:t xml:space="preserve">Has either </w:t>
      </w:r>
      <w:bookmarkStart w:id="620" w:name="_Hlk18990354"/>
      <w:r w:rsidRPr="00C42277">
        <w:rPr>
          <w:snapToGrid/>
          <w:color w:val="010101"/>
          <w:kern w:val="0"/>
          <w:szCs w:val="22"/>
        </w:rPr>
        <w:t xml:space="preserve">an interstate terminating-to-originating traffic ratio of at least 3:1 in a calendar </w:t>
      </w:r>
      <w:r w:rsidRPr="00C42277">
        <w:rPr>
          <w:snapToGrid/>
          <w:color w:val="010101"/>
          <w:kern w:val="0"/>
          <w:szCs w:val="22"/>
        </w:rPr>
        <w:t>month</w:t>
      </w:r>
      <w:bookmarkEnd w:id="620"/>
      <w:r w:rsidRPr="00C42277">
        <w:rPr>
          <w:snapToGrid/>
          <w:color w:val="010101"/>
          <w:kern w:val="0"/>
          <w:szCs w:val="22"/>
        </w:rPr>
        <w:t>, or</w:t>
      </w:r>
      <w:r w:rsidRPr="00C42277">
        <w:rPr>
          <w:snapToGrid/>
          <w:color w:val="010101"/>
          <w:kern w:val="0"/>
          <w:szCs w:val="22"/>
        </w:rPr>
        <w:t xml:space="preserve"> has had more than a 100 percent growth in interstate originating and/or terminating switched access minutes</w:t>
      </w:r>
      <w:r>
        <w:rPr>
          <w:snapToGrid/>
          <w:color w:val="010101"/>
          <w:kern w:val="0"/>
          <w:szCs w:val="22"/>
        </w:rPr>
        <w:t xml:space="preserve"> </w:t>
      </w:r>
      <w:r w:rsidRPr="00C42277">
        <w:rPr>
          <w:snapToGrid/>
          <w:color w:val="010101"/>
          <w:kern w:val="0"/>
          <w:szCs w:val="22"/>
        </w:rPr>
        <w:t>of</w:t>
      </w:r>
      <w:r>
        <w:rPr>
          <w:snapToGrid/>
          <w:color w:val="010101"/>
          <w:kern w:val="0"/>
          <w:szCs w:val="22"/>
        </w:rPr>
        <w:t xml:space="preserve"> </w:t>
      </w:r>
      <w:r w:rsidRPr="00C42277">
        <w:rPr>
          <w:snapToGrid/>
          <w:color w:val="010101"/>
          <w:kern w:val="0"/>
          <w:szCs w:val="22"/>
        </w:rPr>
        <w:t xml:space="preserve">use in a month compared to the same month in the preceding year. </w:t>
      </w:r>
    </w:p>
    <w:p w:rsidR="00EB312D" w:rsidRPr="00C42277" w:rsidP="00EB312D">
      <w:pPr>
        <w:widowControl/>
        <w:autoSpaceDE w:val="0"/>
        <w:autoSpaceDN w:val="0"/>
        <w:adjustRightInd w:val="0"/>
        <w:rPr>
          <w:snapToGrid/>
          <w:color w:val="010101"/>
          <w:kern w:val="0"/>
          <w:szCs w:val="22"/>
        </w:rPr>
      </w:pPr>
    </w:p>
    <w:p w:rsidR="00EB312D" w:rsidP="00EB312D">
      <w:pPr>
        <w:widowControl/>
        <w:numPr>
          <w:ilvl w:val="0"/>
          <w:numId w:val="11"/>
        </w:numPr>
        <w:autoSpaceDE w:val="0"/>
        <w:autoSpaceDN w:val="0"/>
        <w:adjustRightInd w:val="0"/>
        <w:contextualSpacing/>
        <w:rPr>
          <w:snapToGrid/>
          <w:color w:val="010101"/>
          <w:kern w:val="0"/>
          <w:szCs w:val="22"/>
        </w:rPr>
      </w:pPr>
      <w:r>
        <w:rPr>
          <w:snapToGrid/>
          <w:color w:val="010101"/>
          <w:kern w:val="0"/>
          <w:szCs w:val="22"/>
        </w:rPr>
        <w:t>A</w:t>
      </w:r>
      <w:r w:rsidRPr="00C42277">
        <w:rPr>
          <w:snapToGrid/>
          <w:color w:val="010101"/>
          <w:kern w:val="0"/>
          <w:szCs w:val="22"/>
        </w:rPr>
        <w:t xml:space="preserve"> Competitive Local Exchange Carrier has an interstate terminating-to-originating traffic ratio of at least 6:1 </w:t>
      </w:r>
      <w:r>
        <w:rPr>
          <w:snapToGrid/>
          <w:color w:val="010101"/>
          <w:kern w:val="0"/>
          <w:szCs w:val="22"/>
        </w:rPr>
        <w:t xml:space="preserve">in an end office </w:t>
      </w:r>
      <w:r w:rsidRPr="00C42277">
        <w:rPr>
          <w:snapToGrid/>
          <w:color w:val="010101"/>
          <w:kern w:val="0"/>
          <w:szCs w:val="22"/>
        </w:rPr>
        <w:t>in a calendar month.</w:t>
      </w:r>
    </w:p>
    <w:p w:rsidR="00EB312D" w:rsidP="00EB312D">
      <w:pPr>
        <w:widowControl/>
        <w:autoSpaceDE w:val="0"/>
        <w:autoSpaceDN w:val="0"/>
        <w:adjustRightInd w:val="0"/>
        <w:ind w:left="2160"/>
        <w:contextualSpacing/>
        <w:rPr>
          <w:snapToGrid/>
          <w:color w:val="010101"/>
          <w:kern w:val="0"/>
          <w:szCs w:val="22"/>
        </w:rPr>
      </w:pPr>
    </w:p>
    <w:p w:rsidR="00EB312D" w:rsidRPr="00C42277" w:rsidP="00EB312D">
      <w:pPr>
        <w:widowControl/>
        <w:numPr>
          <w:ilvl w:val="0"/>
          <w:numId w:val="11"/>
        </w:numPr>
        <w:autoSpaceDE w:val="0"/>
        <w:autoSpaceDN w:val="0"/>
        <w:adjustRightInd w:val="0"/>
        <w:contextualSpacing/>
        <w:rPr>
          <w:snapToGrid/>
          <w:color w:val="010101"/>
          <w:kern w:val="0"/>
          <w:szCs w:val="22"/>
        </w:rPr>
      </w:pPr>
      <w:r>
        <w:rPr>
          <w:snapToGrid/>
          <w:color w:val="010101"/>
          <w:kern w:val="0"/>
          <w:szCs w:val="22"/>
        </w:rPr>
        <w:t xml:space="preserve">A rate-of-return local exchange carrier has </w:t>
      </w:r>
      <w:r w:rsidRPr="00C42277">
        <w:rPr>
          <w:snapToGrid/>
          <w:color w:val="010101"/>
          <w:kern w:val="0"/>
          <w:szCs w:val="22"/>
        </w:rPr>
        <w:t xml:space="preserve">an interstate terminating-to-originating traffic ratio of at least </w:t>
      </w:r>
      <w:r>
        <w:rPr>
          <w:snapToGrid/>
          <w:color w:val="010101"/>
          <w:kern w:val="0"/>
          <w:szCs w:val="22"/>
        </w:rPr>
        <w:t>10</w:t>
      </w:r>
      <w:r w:rsidRPr="00C42277">
        <w:rPr>
          <w:snapToGrid/>
          <w:color w:val="010101"/>
          <w:kern w:val="0"/>
          <w:szCs w:val="22"/>
        </w:rPr>
        <w:t>:1</w:t>
      </w:r>
      <w:r>
        <w:rPr>
          <w:snapToGrid/>
          <w:color w:val="010101"/>
          <w:kern w:val="0"/>
          <w:szCs w:val="22"/>
        </w:rPr>
        <w:t xml:space="preserve"> in an end office</w:t>
      </w:r>
      <w:r w:rsidRPr="00C42277">
        <w:rPr>
          <w:snapToGrid/>
          <w:color w:val="010101"/>
          <w:kern w:val="0"/>
          <w:szCs w:val="22"/>
        </w:rPr>
        <w:t xml:space="preserve"> in a </w:t>
      </w:r>
      <w:r>
        <w:rPr>
          <w:snapToGrid/>
          <w:color w:val="010101"/>
          <w:kern w:val="0"/>
          <w:szCs w:val="22"/>
        </w:rPr>
        <w:t>three</w:t>
      </w:r>
      <w:r w:rsidRPr="00C42277">
        <w:rPr>
          <w:snapToGrid/>
          <w:color w:val="010101"/>
          <w:kern w:val="0"/>
          <w:szCs w:val="22"/>
        </w:rPr>
        <w:t xml:space="preserve"> </w:t>
      </w:r>
      <w:r>
        <w:rPr>
          <w:snapToGrid/>
          <w:color w:val="010101"/>
          <w:kern w:val="0"/>
          <w:szCs w:val="22"/>
        </w:rPr>
        <w:t>calendar</w:t>
      </w:r>
      <w:r>
        <w:rPr>
          <w:snapToGrid/>
          <w:color w:val="010101"/>
          <w:kern w:val="0"/>
          <w:szCs w:val="22"/>
        </w:rPr>
        <w:t xml:space="preserve"> </w:t>
      </w:r>
      <w:r w:rsidRPr="00C42277">
        <w:rPr>
          <w:snapToGrid/>
          <w:color w:val="010101"/>
          <w:kern w:val="0"/>
          <w:szCs w:val="22"/>
        </w:rPr>
        <w:t>month</w:t>
      </w:r>
      <w:r>
        <w:rPr>
          <w:snapToGrid/>
          <w:color w:val="010101"/>
          <w:kern w:val="0"/>
          <w:szCs w:val="22"/>
        </w:rPr>
        <w:t xml:space="preserve"> period and has 500,000 minutes or more of interstate terminating minutes-of-use per month in the same end office in the same three calendar month period.  These factors will be measured as an average over the </w:t>
      </w:r>
      <w:r>
        <w:rPr>
          <w:snapToGrid/>
          <w:color w:val="010101"/>
          <w:kern w:val="0"/>
          <w:szCs w:val="22"/>
        </w:rPr>
        <w:t>three calendar</w:t>
      </w:r>
      <w:r>
        <w:rPr>
          <w:snapToGrid/>
          <w:color w:val="010101"/>
          <w:kern w:val="0"/>
          <w:szCs w:val="22"/>
        </w:rPr>
        <w:t xml:space="preserve"> month period.</w:t>
      </w:r>
    </w:p>
    <w:p w:rsidR="00EB312D" w:rsidRPr="00C42277" w:rsidP="00EB312D">
      <w:pPr>
        <w:widowControl/>
        <w:autoSpaceDE w:val="0"/>
        <w:autoSpaceDN w:val="0"/>
        <w:adjustRightInd w:val="0"/>
        <w:rPr>
          <w:snapToGrid/>
          <w:color w:val="010101"/>
          <w:kern w:val="0"/>
          <w:szCs w:val="22"/>
        </w:rPr>
      </w:pPr>
    </w:p>
    <w:p w:rsidR="00EB312D" w:rsidP="00EB312D">
      <w:pPr>
        <w:widowControl/>
        <w:autoSpaceDE w:val="0"/>
        <w:autoSpaceDN w:val="0"/>
        <w:adjustRightInd w:val="0"/>
        <w:ind w:left="1440" w:hanging="720"/>
        <w:rPr>
          <w:snapToGrid/>
          <w:color w:val="010101"/>
          <w:kern w:val="0"/>
          <w:szCs w:val="22"/>
        </w:rPr>
      </w:pPr>
      <w:r>
        <w:rPr>
          <w:snapToGrid/>
          <w:color w:val="010101"/>
          <w:kern w:val="0"/>
          <w:szCs w:val="22"/>
        </w:rPr>
        <w:t>(2)</w:t>
      </w:r>
      <w:r>
        <w:rPr>
          <w:snapToGrid/>
          <w:color w:val="010101"/>
          <w:kern w:val="0"/>
          <w:szCs w:val="22"/>
        </w:rPr>
        <w:tab/>
        <w:t>A</w:t>
      </w:r>
      <w:r w:rsidRPr="00C42277">
        <w:rPr>
          <w:snapToGrid/>
          <w:color w:val="010101"/>
          <w:kern w:val="0"/>
          <w:szCs w:val="22"/>
        </w:rPr>
        <w:t xml:space="preserve"> </w:t>
      </w:r>
      <w:r>
        <w:rPr>
          <w:snapToGrid/>
          <w:color w:val="010101"/>
          <w:kern w:val="0"/>
          <w:szCs w:val="22"/>
        </w:rPr>
        <w:t xml:space="preserve">Competitive Local Exchange Carrier </w:t>
      </w:r>
      <w:r w:rsidRPr="00C42277">
        <w:rPr>
          <w:snapToGrid/>
          <w:color w:val="010101"/>
          <w:kern w:val="0"/>
          <w:szCs w:val="22"/>
        </w:rPr>
        <w:t xml:space="preserve">will continue to be engaging in </w:t>
      </w:r>
      <w:r>
        <w:rPr>
          <w:snapToGrid/>
          <w:color w:val="010101"/>
          <w:kern w:val="0"/>
          <w:szCs w:val="22"/>
        </w:rPr>
        <w:t>A</w:t>
      </w:r>
      <w:r w:rsidRPr="00C42277">
        <w:rPr>
          <w:snapToGrid/>
          <w:color w:val="010101"/>
          <w:kern w:val="0"/>
          <w:szCs w:val="22"/>
        </w:rPr>
        <w:t xml:space="preserve">ccess </w:t>
      </w:r>
      <w:r>
        <w:rPr>
          <w:snapToGrid/>
          <w:color w:val="010101"/>
          <w:kern w:val="0"/>
          <w:szCs w:val="22"/>
        </w:rPr>
        <w:t>S</w:t>
      </w:r>
      <w:r w:rsidRPr="00C42277">
        <w:rPr>
          <w:snapToGrid/>
          <w:color w:val="010101"/>
          <w:kern w:val="0"/>
          <w:szCs w:val="22"/>
        </w:rPr>
        <w:t xml:space="preserve">timulation until:  for a carrier </w:t>
      </w:r>
      <w:r>
        <w:rPr>
          <w:snapToGrid/>
          <w:color w:val="010101"/>
          <w:kern w:val="0"/>
          <w:szCs w:val="22"/>
        </w:rPr>
        <w:t>engaging in Access Stimulation as defined in</w:t>
      </w:r>
      <w:r w:rsidRPr="00C42277">
        <w:rPr>
          <w:snapToGrid/>
          <w:color w:val="010101"/>
          <w:kern w:val="0"/>
          <w:szCs w:val="22"/>
        </w:rPr>
        <w:t xml:space="preserve"> paragraph (1)(</w:t>
      </w:r>
      <w:r w:rsidRPr="00C42277">
        <w:rPr>
          <w:snapToGrid/>
          <w:color w:val="010101"/>
          <w:kern w:val="0"/>
          <w:szCs w:val="22"/>
        </w:rPr>
        <w:t>i</w:t>
      </w:r>
      <w:r w:rsidRPr="00C42277">
        <w:rPr>
          <w:snapToGrid/>
          <w:color w:val="010101"/>
          <w:kern w:val="0"/>
          <w:szCs w:val="22"/>
        </w:rPr>
        <w:t xml:space="preserve">) of this section, it terminates all revenue sharing </w:t>
      </w:r>
      <w:r>
        <w:rPr>
          <w:snapToGrid/>
          <w:color w:val="010101"/>
          <w:kern w:val="0"/>
          <w:szCs w:val="22"/>
        </w:rPr>
        <w:t>agreements</w:t>
      </w:r>
      <w:r w:rsidRPr="00C42277">
        <w:rPr>
          <w:snapToGrid/>
          <w:color w:val="010101"/>
          <w:kern w:val="0"/>
          <w:szCs w:val="22"/>
        </w:rPr>
        <w:t xml:space="preserve"> covered in paragraph (1)(</w:t>
      </w:r>
      <w:r w:rsidRPr="00C42277">
        <w:rPr>
          <w:snapToGrid/>
          <w:color w:val="010101"/>
          <w:kern w:val="0"/>
          <w:szCs w:val="22"/>
        </w:rPr>
        <w:t>i</w:t>
      </w:r>
      <w:r w:rsidRPr="00C42277">
        <w:rPr>
          <w:snapToGrid/>
          <w:color w:val="010101"/>
          <w:kern w:val="0"/>
          <w:szCs w:val="22"/>
        </w:rPr>
        <w:t>) of this section</w:t>
      </w:r>
      <w:r>
        <w:rPr>
          <w:snapToGrid/>
          <w:color w:val="010101"/>
          <w:kern w:val="0"/>
          <w:szCs w:val="22"/>
        </w:rPr>
        <w:t xml:space="preserve"> and does not engage in Access Stimulation as defined in paragraph (1)(ii) of this section; and for a carrier engaging in Access Stimulation as defined in paragraph (1)(ii) of this section, its </w:t>
      </w:r>
      <w:r w:rsidRPr="00C42277">
        <w:rPr>
          <w:snapToGrid/>
          <w:color w:val="010101"/>
          <w:kern w:val="0"/>
          <w:szCs w:val="22"/>
        </w:rPr>
        <w:t xml:space="preserve">interstate terminating-to-originating traffic ratio </w:t>
      </w:r>
      <w:r>
        <w:rPr>
          <w:snapToGrid/>
          <w:color w:val="010101"/>
          <w:kern w:val="0"/>
          <w:szCs w:val="22"/>
        </w:rPr>
        <w:t>falls below</w:t>
      </w:r>
      <w:r w:rsidRPr="00C42277">
        <w:rPr>
          <w:snapToGrid/>
          <w:color w:val="010101"/>
          <w:kern w:val="0"/>
          <w:szCs w:val="22"/>
        </w:rPr>
        <w:t xml:space="preserve"> 6:1 for six consecutive months, and it does not </w:t>
      </w:r>
      <w:r>
        <w:rPr>
          <w:snapToGrid/>
          <w:color w:val="010101"/>
          <w:kern w:val="0"/>
          <w:szCs w:val="22"/>
        </w:rPr>
        <w:t>engage in Access Stimulation as defined in</w:t>
      </w:r>
      <w:r w:rsidRPr="00C42277">
        <w:rPr>
          <w:snapToGrid/>
          <w:color w:val="010101"/>
          <w:kern w:val="0"/>
          <w:szCs w:val="22"/>
        </w:rPr>
        <w:t xml:space="preserve"> paragraph (1)(</w:t>
      </w:r>
      <w:r w:rsidRPr="00C42277">
        <w:rPr>
          <w:snapToGrid/>
          <w:color w:val="010101"/>
          <w:kern w:val="0"/>
          <w:szCs w:val="22"/>
        </w:rPr>
        <w:t>i</w:t>
      </w:r>
      <w:r w:rsidRPr="00C42277">
        <w:rPr>
          <w:snapToGrid/>
          <w:color w:val="010101"/>
          <w:kern w:val="0"/>
          <w:szCs w:val="22"/>
        </w:rPr>
        <w:t xml:space="preserve">) of this section.  </w:t>
      </w:r>
    </w:p>
    <w:p w:rsidR="00EB312D" w:rsidP="00EB312D">
      <w:pPr>
        <w:widowControl/>
        <w:autoSpaceDE w:val="0"/>
        <w:autoSpaceDN w:val="0"/>
        <w:adjustRightInd w:val="0"/>
        <w:ind w:left="1440" w:hanging="720"/>
        <w:rPr>
          <w:snapToGrid/>
          <w:color w:val="010101"/>
          <w:kern w:val="0"/>
          <w:szCs w:val="22"/>
        </w:rPr>
      </w:pPr>
    </w:p>
    <w:p w:rsidR="00EB312D" w:rsidP="00EB312D">
      <w:pPr>
        <w:widowControl/>
        <w:autoSpaceDE w:val="0"/>
        <w:autoSpaceDN w:val="0"/>
        <w:adjustRightInd w:val="0"/>
        <w:ind w:left="1440" w:hanging="720"/>
        <w:rPr>
          <w:snapToGrid/>
          <w:color w:val="010101"/>
          <w:kern w:val="0"/>
          <w:szCs w:val="22"/>
        </w:rPr>
      </w:pPr>
      <w:r w:rsidRPr="005F31E4">
        <w:rPr>
          <w:snapToGrid/>
          <w:color w:val="010101"/>
          <w:kern w:val="0"/>
          <w:szCs w:val="22"/>
        </w:rPr>
        <w:t>(3</w:t>
      </w:r>
      <w:r>
        <w:rPr>
          <w:snapToGrid/>
          <w:color w:val="010101"/>
          <w:kern w:val="0"/>
          <w:szCs w:val="22"/>
        </w:rPr>
        <w:t>)</w:t>
      </w:r>
      <w:r>
        <w:rPr>
          <w:snapToGrid/>
          <w:color w:val="010101"/>
          <w:kern w:val="0"/>
          <w:szCs w:val="22"/>
        </w:rPr>
        <w:tab/>
        <w:t>A</w:t>
      </w:r>
      <w:r w:rsidRPr="00C42277">
        <w:rPr>
          <w:snapToGrid/>
          <w:color w:val="010101"/>
          <w:kern w:val="0"/>
          <w:szCs w:val="22"/>
        </w:rPr>
        <w:t xml:space="preserve"> </w:t>
      </w:r>
      <w:r>
        <w:rPr>
          <w:snapToGrid/>
          <w:color w:val="010101"/>
          <w:kern w:val="0"/>
          <w:szCs w:val="22"/>
        </w:rPr>
        <w:t xml:space="preserve">rate-of-return local exchange carrier </w:t>
      </w:r>
      <w:r w:rsidRPr="00C42277">
        <w:rPr>
          <w:snapToGrid/>
          <w:color w:val="010101"/>
          <w:kern w:val="0"/>
          <w:szCs w:val="22"/>
        </w:rPr>
        <w:t xml:space="preserve">will continue to be engaging in </w:t>
      </w:r>
      <w:r>
        <w:rPr>
          <w:snapToGrid/>
          <w:color w:val="010101"/>
          <w:kern w:val="0"/>
          <w:szCs w:val="22"/>
        </w:rPr>
        <w:t>A</w:t>
      </w:r>
      <w:r w:rsidRPr="00C42277">
        <w:rPr>
          <w:snapToGrid/>
          <w:color w:val="010101"/>
          <w:kern w:val="0"/>
          <w:szCs w:val="22"/>
        </w:rPr>
        <w:t xml:space="preserve">ccess </w:t>
      </w:r>
      <w:r>
        <w:rPr>
          <w:snapToGrid/>
          <w:color w:val="010101"/>
          <w:kern w:val="0"/>
          <w:szCs w:val="22"/>
        </w:rPr>
        <w:t>S</w:t>
      </w:r>
      <w:r w:rsidRPr="00C42277">
        <w:rPr>
          <w:snapToGrid/>
          <w:color w:val="010101"/>
          <w:kern w:val="0"/>
          <w:szCs w:val="22"/>
        </w:rPr>
        <w:t xml:space="preserve">timulation until:  for a carrier </w:t>
      </w:r>
      <w:r>
        <w:rPr>
          <w:snapToGrid/>
          <w:color w:val="010101"/>
          <w:kern w:val="0"/>
          <w:szCs w:val="22"/>
        </w:rPr>
        <w:t>engaging in Access Stimulation as defined in</w:t>
      </w:r>
      <w:r w:rsidRPr="00C42277">
        <w:rPr>
          <w:snapToGrid/>
          <w:color w:val="010101"/>
          <w:kern w:val="0"/>
          <w:szCs w:val="22"/>
        </w:rPr>
        <w:t xml:space="preserve"> paragraph (1)(</w:t>
      </w:r>
      <w:r w:rsidRPr="00C42277">
        <w:rPr>
          <w:snapToGrid/>
          <w:color w:val="010101"/>
          <w:kern w:val="0"/>
          <w:szCs w:val="22"/>
        </w:rPr>
        <w:t>i</w:t>
      </w:r>
      <w:r w:rsidRPr="00C42277">
        <w:rPr>
          <w:snapToGrid/>
          <w:color w:val="010101"/>
          <w:kern w:val="0"/>
          <w:szCs w:val="22"/>
        </w:rPr>
        <w:t xml:space="preserve">) of this section, it terminates all revenue sharing </w:t>
      </w:r>
      <w:r>
        <w:rPr>
          <w:snapToGrid/>
          <w:color w:val="010101"/>
          <w:kern w:val="0"/>
          <w:szCs w:val="22"/>
        </w:rPr>
        <w:t>agreements</w:t>
      </w:r>
      <w:r w:rsidRPr="00C42277">
        <w:rPr>
          <w:snapToGrid/>
          <w:color w:val="010101"/>
          <w:kern w:val="0"/>
          <w:szCs w:val="22"/>
        </w:rPr>
        <w:t xml:space="preserve"> covered in paragraph (1)(</w:t>
      </w:r>
      <w:r w:rsidRPr="00C42277">
        <w:rPr>
          <w:snapToGrid/>
          <w:color w:val="010101"/>
          <w:kern w:val="0"/>
          <w:szCs w:val="22"/>
        </w:rPr>
        <w:t>i</w:t>
      </w:r>
      <w:r w:rsidRPr="00C42277">
        <w:rPr>
          <w:snapToGrid/>
          <w:color w:val="010101"/>
          <w:kern w:val="0"/>
          <w:szCs w:val="22"/>
        </w:rPr>
        <w:t>) of this section</w:t>
      </w:r>
      <w:r>
        <w:rPr>
          <w:snapToGrid/>
          <w:color w:val="010101"/>
          <w:kern w:val="0"/>
          <w:szCs w:val="22"/>
        </w:rPr>
        <w:t xml:space="preserve"> and does not engage in Access Stimulation as defined in paragraph (1)(iii) of this section; and for a carrier engaging in Access Stimulation as defined in paragraph (1)(iii) of this section, its </w:t>
      </w:r>
      <w:r w:rsidRPr="00C42277">
        <w:rPr>
          <w:snapToGrid/>
          <w:color w:val="010101"/>
          <w:kern w:val="0"/>
          <w:szCs w:val="22"/>
        </w:rPr>
        <w:t xml:space="preserve">interstate terminating-to-originating traffic ratio </w:t>
      </w:r>
      <w:r>
        <w:rPr>
          <w:snapToGrid/>
          <w:color w:val="010101"/>
          <w:kern w:val="0"/>
          <w:szCs w:val="22"/>
        </w:rPr>
        <w:t>falls below</w:t>
      </w:r>
      <w:r w:rsidRPr="00C42277">
        <w:rPr>
          <w:snapToGrid/>
          <w:color w:val="010101"/>
          <w:kern w:val="0"/>
          <w:szCs w:val="22"/>
        </w:rPr>
        <w:t xml:space="preserve"> </w:t>
      </w:r>
      <w:r>
        <w:rPr>
          <w:snapToGrid/>
          <w:color w:val="010101"/>
          <w:kern w:val="0"/>
          <w:szCs w:val="22"/>
        </w:rPr>
        <w:t>10</w:t>
      </w:r>
      <w:r w:rsidRPr="00C42277">
        <w:rPr>
          <w:snapToGrid/>
          <w:color w:val="010101"/>
          <w:kern w:val="0"/>
          <w:szCs w:val="22"/>
        </w:rPr>
        <w:t>:1 for six consecutive months</w:t>
      </w:r>
      <w:r>
        <w:rPr>
          <w:snapToGrid/>
          <w:color w:val="010101"/>
          <w:kern w:val="0"/>
          <w:szCs w:val="22"/>
        </w:rPr>
        <w:t xml:space="preserve"> and its monthly interstate terminating minutes-of-use in an end office falls below 500,000</w:t>
      </w:r>
      <w:r w:rsidRPr="001B51B1">
        <w:rPr>
          <w:snapToGrid/>
          <w:color w:val="010101"/>
          <w:kern w:val="0"/>
          <w:szCs w:val="22"/>
        </w:rPr>
        <w:t xml:space="preserve"> </w:t>
      </w:r>
      <w:r w:rsidRPr="00C42277">
        <w:rPr>
          <w:snapToGrid/>
          <w:color w:val="010101"/>
          <w:kern w:val="0"/>
          <w:szCs w:val="22"/>
        </w:rPr>
        <w:t xml:space="preserve">for six consecutive months, and it does not </w:t>
      </w:r>
      <w:r>
        <w:rPr>
          <w:snapToGrid/>
          <w:color w:val="010101"/>
          <w:kern w:val="0"/>
          <w:szCs w:val="22"/>
        </w:rPr>
        <w:t>engage in Access Stimulation as defined in</w:t>
      </w:r>
      <w:r w:rsidRPr="00C42277">
        <w:rPr>
          <w:snapToGrid/>
          <w:color w:val="010101"/>
          <w:kern w:val="0"/>
          <w:szCs w:val="22"/>
        </w:rPr>
        <w:t xml:space="preserve"> paragraph (1)(</w:t>
      </w:r>
      <w:r w:rsidRPr="00C42277">
        <w:rPr>
          <w:snapToGrid/>
          <w:color w:val="010101"/>
          <w:kern w:val="0"/>
          <w:szCs w:val="22"/>
        </w:rPr>
        <w:t>i</w:t>
      </w:r>
      <w:r w:rsidRPr="00C42277">
        <w:rPr>
          <w:snapToGrid/>
          <w:color w:val="010101"/>
          <w:kern w:val="0"/>
          <w:szCs w:val="22"/>
        </w:rPr>
        <w:t xml:space="preserve">) of this section.  </w:t>
      </w:r>
    </w:p>
    <w:p w:rsidR="00EB312D" w:rsidP="00EB312D">
      <w:pPr>
        <w:widowControl/>
        <w:autoSpaceDE w:val="0"/>
        <w:autoSpaceDN w:val="0"/>
        <w:adjustRightInd w:val="0"/>
        <w:ind w:left="1440" w:hanging="720"/>
        <w:rPr>
          <w:snapToGrid/>
          <w:color w:val="010101"/>
          <w:kern w:val="0"/>
          <w:szCs w:val="22"/>
        </w:rPr>
      </w:pPr>
    </w:p>
    <w:p w:rsidR="00EB312D" w:rsidRPr="00C42277" w:rsidP="00EB312D">
      <w:pPr>
        <w:widowControl/>
        <w:autoSpaceDE w:val="0"/>
        <w:autoSpaceDN w:val="0"/>
        <w:adjustRightInd w:val="0"/>
        <w:ind w:left="1440" w:hanging="720"/>
        <w:rPr>
          <w:snapToGrid/>
          <w:color w:val="010101"/>
          <w:kern w:val="0"/>
          <w:szCs w:val="22"/>
        </w:rPr>
      </w:pPr>
      <w:r>
        <w:rPr>
          <w:snapToGrid/>
          <w:color w:val="010101"/>
          <w:kern w:val="0"/>
          <w:szCs w:val="22"/>
        </w:rPr>
        <w:t>(4)</w:t>
      </w:r>
      <w:r>
        <w:rPr>
          <w:snapToGrid/>
          <w:color w:val="010101"/>
          <w:kern w:val="0"/>
          <w:szCs w:val="22"/>
        </w:rPr>
        <w:tab/>
      </w:r>
      <w:r w:rsidRPr="00C42277">
        <w:rPr>
          <w:snapToGrid/>
          <w:color w:val="010101"/>
          <w:kern w:val="0"/>
          <w:szCs w:val="22"/>
        </w:rPr>
        <w:t xml:space="preserve">A local exchange carrier engaging in </w:t>
      </w:r>
      <w:r>
        <w:rPr>
          <w:snapToGrid/>
          <w:color w:val="010101"/>
          <w:kern w:val="0"/>
          <w:szCs w:val="22"/>
        </w:rPr>
        <w:t>A</w:t>
      </w:r>
      <w:r w:rsidRPr="00C42277">
        <w:rPr>
          <w:snapToGrid/>
          <w:color w:val="010101"/>
          <w:kern w:val="0"/>
          <w:szCs w:val="22"/>
        </w:rPr>
        <w:t xml:space="preserve">ccess </w:t>
      </w:r>
      <w:r>
        <w:rPr>
          <w:snapToGrid/>
          <w:color w:val="010101"/>
          <w:kern w:val="0"/>
          <w:szCs w:val="22"/>
        </w:rPr>
        <w:t>S</w:t>
      </w:r>
      <w:r w:rsidRPr="00C42277">
        <w:rPr>
          <w:snapToGrid/>
          <w:color w:val="010101"/>
          <w:kern w:val="0"/>
          <w:szCs w:val="22"/>
        </w:rPr>
        <w:t>timulation is subject to revised interstate switched access charge rules under § 61.26(</w:t>
      </w:r>
      <w:r w:rsidRPr="00717281">
        <w:rPr>
          <w:snapToGrid/>
          <w:color w:val="010101"/>
          <w:kern w:val="0"/>
          <w:szCs w:val="22"/>
        </w:rPr>
        <w:t>g) of this</w:t>
      </w:r>
      <w:r w:rsidRPr="00C42277">
        <w:rPr>
          <w:snapToGrid/>
          <w:color w:val="010101"/>
          <w:kern w:val="0"/>
          <w:szCs w:val="22"/>
        </w:rPr>
        <w:t xml:space="preserve"> part (for Competitive Local Exchange Carriers) or § 61.38 and § 69.3(e)(12) of this chapter (for rate-of-return local exchange carriers).</w:t>
      </w:r>
    </w:p>
    <w:p w:rsidR="00EB312D" w:rsidRPr="00C42277" w:rsidP="00EB312D">
      <w:pPr>
        <w:widowControl/>
        <w:autoSpaceDE w:val="0"/>
        <w:autoSpaceDN w:val="0"/>
        <w:adjustRightInd w:val="0"/>
      </w:pPr>
    </w:p>
    <w:p w:rsidR="00EB312D" w:rsidRPr="00C42277" w:rsidP="00EB312D">
      <w:pPr>
        <w:widowControl/>
        <w:autoSpaceDE w:val="0"/>
        <w:autoSpaceDN w:val="0"/>
        <w:adjustRightInd w:val="0"/>
      </w:pPr>
      <w:r w:rsidRPr="00C42277">
        <w:t>(ccc)</w:t>
      </w:r>
      <w:r w:rsidRPr="00C42277">
        <w:rPr>
          <w:i/>
        </w:rPr>
        <w:t xml:space="preserve"> </w:t>
      </w:r>
      <w:r w:rsidRPr="00C42277">
        <w:rPr>
          <w:i/>
        </w:rPr>
        <w:tab/>
        <w:t>Intermediate Access Provider</w:t>
      </w:r>
      <w:r w:rsidRPr="00C42277">
        <w:t xml:space="preserve"> means, for purposes of this part</w:t>
      </w:r>
      <w:r>
        <w:t xml:space="preserve"> and §§ 69.3(e)(12)(iv) and 69.5(b)</w:t>
      </w:r>
      <w:r w:rsidRPr="00C42277">
        <w:t xml:space="preserve">, any entity that carries or processes traffic at any point between the final Interexchange Carrier in a call path and a local exchange carrier engaged in </w:t>
      </w:r>
      <w:r>
        <w:t>A</w:t>
      </w:r>
      <w:r w:rsidRPr="00C42277">
        <w:t xml:space="preserve">ccess </w:t>
      </w:r>
      <w:r>
        <w:t>S</w:t>
      </w:r>
      <w:r w:rsidRPr="00C42277">
        <w:t xml:space="preserve">timulation, as defined </w:t>
      </w:r>
      <w:r>
        <w:t>in</w:t>
      </w:r>
      <w:r w:rsidRPr="00C42277">
        <w:t xml:space="preserve"> </w:t>
      </w:r>
      <w:r>
        <w:t>§ </w:t>
      </w:r>
      <w:r w:rsidRPr="00C42277">
        <w:t>61.3(</w:t>
      </w:r>
      <w:r w:rsidRPr="00C42277">
        <w:t>bbb</w:t>
      </w:r>
      <w:r w:rsidRPr="00C42277">
        <w:t>).</w:t>
      </w:r>
      <w:r>
        <w:t xml:space="preserve">  </w:t>
      </w:r>
    </w:p>
    <w:p w:rsidR="00EB312D" w:rsidRPr="00C42277" w:rsidP="00EB312D">
      <w:pPr>
        <w:widowControl/>
        <w:autoSpaceDE w:val="0"/>
        <w:autoSpaceDN w:val="0"/>
        <w:adjustRightInd w:val="0"/>
      </w:pPr>
    </w:p>
    <w:p w:rsidR="00EB312D" w:rsidRPr="00C42277" w:rsidP="00EB312D">
      <w:pPr>
        <w:widowControl/>
        <w:autoSpaceDE w:val="0"/>
        <w:autoSpaceDN w:val="0"/>
        <w:adjustRightInd w:val="0"/>
      </w:pPr>
      <w:r w:rsidRPr="00C42277">
        <w:t>(</w:t>
      </w:r>
      <w:r w:rsidRPr="00C42277">
        <w:t>ddd</w:t>
      </w:r>
      <w:r w:rsidRPr="00C42277">
        <w:t>)</w:t>
      </w:r>
      <w:r w:rsidRPr="00C42277">
        <w:tab/>
      </w:r>
      <w:r w:rsidRPr="00C42277">
        <w:rPr>
          <w:i/>
        </w:rPr>
        <w:t>Interexchange Carrier</w:t>
      </w:r>
      <w:r w:rsidRPr="00C42277">
        <w:t xml:space="preserve"> means, for purposes of this part</w:t>
      </w:r>
      <w:r>
        <w:t xml:space="preserve"> and §§ 69.3(e)(12)(iv) and 69.5(b)</w:t>
      </w:r>
      <w:r w:rsidRPr="00C42277">
        <w:t>, a retail or wholesale telecommunications carrier that uses the exchange access or information access services of another telecommunications carrier for the provision of telecommunications.</w:t>
      </w:r>
    </w:p>
    <w:p w:rsidR="00EB312D" w:rsidRPr="00C42277" w:rsidP="00EB312D">
      <w:pPr>
        <w:widowControl/>
        <w:autoSpaceDE w:val="0"/>
        <w:autoSpaceDN w:val="0"/>
        <w:adjustRightInd w:val="0"/>
      </w:pPr>
    </w:p>
    <w:p w:rsidR="00EB312D" w:rsidRPr="00C42277" w:rsidP="00EB312D">
      <w:pPr>
        <w:numPr>
          <w:ilvl w:val="0"/>
          <w:numId w:val="35"/>
        </w:numPr>
        <w:contextualSpacing/>
      </w:pPr>
      <w:r w:rsidRPr="00C42277">
        <w:t>Amend § 61.26 by adding paragraph (g)(3) to read as follows:</w:t>
      </w:r>
    </w:p>
    <w:p w:rsidR="00EB312D" w:rsidRPr="00C42277" w:rsidP="00EB312D"/>
    <w:p w:rsidR="00EB312D" w:rsidRPr="00C42277" w:rsidP="00EB312D">
      <w:pPr>
        <w:rPr>
          <w:b/>
        </w:rPr>
      </w:pPr>
      <w:r w:rsidRPr="00C42277">
        <w:rPr>
          <w:b/>
        </w:rPr>
        <w:t xml:space="preserve">§ </w:t>
      </w:r>
      <w:r w:rsidRPr="00C42277">
        <w:rPr>
          <w:b/>
        </w:rPr>
        <w:t>61.26  Tariffing</w:t>
      </w:r>
      <w:r w:rsidRPr="00C42277">
        <w:rPr>
          <w:b/>
        </w:rPr>
        <w:t xml:space="preserve"> of competitive interstate switched exchange access services.</w:t>
      </w:r>
    </w:p>
    <w:p w:rsidR="00EB312D" w:rsidRPr="00C42277" w:rsidP="00EB312D">
      <w:r w:rsidRPr="00C42277">
        <w:t>* * * * *</w:t>
      </w:r>
    </w:p>
    <w:p w:rsidR="00EB312D" w:rsidP="00EB312D"/>
    <w:p w:rsidR="00EB312D" w:rsidP="00EB312D">
      <w:r>
        <w:t xml:space="preserve">(g) * * * </w:t>
      </w:r>
    </w:p>
    <w:p w:rsidR="00EB312D" w:rsidRPr="00C42277" w:rsidP="00EB312D"/>
    <w:p w:rsidR="00EB312D" w:rsidRPr="00C42277" w:rsidP="00EB312D">
      <w:pPr>
        <w:ind w:left="720" w:hanging="720"/>
      </w:pPr>
      <w:r w:rsidRPr="00C42277">
        <w:t>(3)</w:t>
      </w:r>
      <w:r w:rsidRPr="00C42277">
        <w:tab/>
        <w:t xml:space="preserve">Notwithstanding any other provision of the Commission’s rules, if a </w:t>
      </w:r>
      <w:r>
        <w:t>CLEC</w:t>
      </w:r>
      <w:r w:rsidRPr="00C42277">
        <w:t xml:space="preserve"> is engaged in </w:t>
      </w:r>
      <w:r>
        <w:t>A</w:t>
      </w:r>
      <w:r w:rsidRPr="00C42277">
        <w:t xml:space="preserve">ccess </w:t>
      </w:r>
      <w:r>
        <w:t>S</w:t>
      </w:r>
      <w:r w:rsidRPr="00C42277">
        <w:t xml:space="preserve">timulation, as defined in </w:t>
      </w:r>
      <w:r>
        <w:t>§ </w:t>
      </w:r>
      <w:r w:rsidRPr="00C42277">
        <w:t>61.3(</w:t>
      </w:r>
      <w:r w:rsidRPr="00C42277">
        <w:t>bbb</w:t>
      </w:r>
      <w:r w:rsidRPr="00C42277">
        <w:t>) of this chapter, it shall:</w:t>
      </w:r>
    </w:p>
    <w:p w:rsidR="00EB312D" w:rsidRPr="00C42277" w:rsidP="00EB312D"/>
    <w:p w:rsidR="00EB312D" w:rsidP="00EB312D">
      <w:pPr>
        <w:ind w:left="1440" w:hanging="720"/>
      </w:pPr>
      <w:r w:rsidRPr="00C42277">
        <w:t>(</w:t>
      </w:r>
      <w:r>
        <w:t>i</w:t>
      </w:r>
      <w:r w:rsidRPr="00C42277">
        <w:t>)</w:t>
      </w:r>
      <w:r w:rsidRPr="00C42277">
        <w:tab/>
        <w:t xml:space="preserve">Within 45 days of commencing </w:t>
      </w:r>
      <w:r>
        <w:t>A</w:t>
      </w:r>
      <w:r w:rsidRPr="00C42277">
        <w:t xml:space="preserve">ccess </w:t>
      </w:r>
      <w:r>
        <w:t>S</w:t>
      </w:r>
      <w:r w:rsidRPr="00C42277">
        <w:t>timulation, or within 45 days of [</w:t>
      </w:r>
      <w:r>
        <w:rPr>
          <w:szCs w:val="22"/>
        </w:rPr>
        <w:t xml:space="preserve">INSERT DATE 30 DAYS AFTER DATE OF PUBLICATION IN THE </w:t>
      </w:r>
      <w:r w:rsidRPr="008D1DA2">
        <w:t>FEDERAL REGISTER</w:t>
      </w:r>
      <w:r w:rsidRPr="00C42277">
        <w:t xml:space="preserve">], whichever is later, </w:t>
      </w:r>
      <w:r>
        <w:t xml:space="preserve">file tariff revisions removing from its tariff terminating </w:t>
      </w:r>
      <w:r w:rsidRPr="00DC3B98">
        <w:rPr>
          <w:szCs w:val="22"/>
        </w:rPr>
        <w:t>switched access</w:t>
      </w:r>
      <w:r>
        <w:t xml:space="preserve"> tandem </w:t>
      </w:r>
      <w:r w:rsidRPr="00C42277">
        <w:t>switch</w:t>
      </w:r>
      <w:r>
        <w:t>ing</w:t>
      </w:r>
      <w:r w:rsidRPr="00C42277">
        <w:t xml:space="preserve"> </w:t>
      </w:r>
      <w:r>
        <w:t>and</w:t>
      </w:r>
      <w:r w:rsidRPr="00C42277">
        <w:t xml:space="preserve"> terminating </w:t>
      </w:r>
      <w:r w:rsidRPr="00DC3B98">
        <w:rPr>
          <w:szCs w:val="22"/>
        </w:rPr>
        <w:t>switched access</w:t>
      </w:r>
      <w:r>
        <w:t xml:space="preserve"> tandem </w:t>
      </w:r>
      <w:r w:rsidRPr="00C42277">
        <w:t xml:space="preserve">transport access charges </w:t>
      </w:r>
      <w:r>
        <w:t xml:space="preserve">assessable to an Interexchange Carrier </w:t>
      </w:r>
      <w:r w:rsidRPr="00C42277">
        <w:t>for any traffic between the tandem and the local exchange carrier’s terminating end office or equivalent; and</w:t>
      </w:r>
    </w:p>
    <w:p w:rsidR="00EB312D" w:rsidP="00EB312D">
      <w:pPr>
        <w:ind w:left="1440" w:hanging="720"/>
      </w:pPr>
    </w:p>
    <w:p w:rsidR="00EB312D" w:rsidRPr="00C42277" w:rsidP="00EB312D">
      <w:pPr>
        <w:ind w:left="1440" w:hanging="720"/>
      </w:pPr>
      <w:r>
        <w:t>(ii)</w:t>
      </w:r>
      <w:r>
        <w:tab/>
      </w:r>
      <w:r w:rsidRPr="00C42277">
        <w:t xml:space="preserve">Within 45 days of commencing </w:t>
      </w:r>
      <w:r>
        <w:t>A</w:t>
      </w:r>
      <w:r w:rsidRPr="00C42277">
        <w:t xml:space="preserve">ccess </w:t>
      </w:r>
      <w:r>
        <w:t>S</w:t>
      </w:r>
      <w:r w:rsidRPr="00C42277">
        <w:t>timulation, or within 45 days of [</w:t>
      </w:r>
      <w:r>
        <w:rPr>
          <w:szCs w:val="22"/>
        </w:rPr>
        <w:t xml:space="preserve">INSERT DATE 30 DAYS AFTER DATE OF PUBLICATION IN THE </w:t>
      </w:r>
      <w:r w:rsidRPr="008D1DA2">
        <w:t>FEDERAL REGISTER</w:t>
      </w:r>
      <w:r w:rsidRPr="00C42277">
        <w:t xml:space="preserve">], whichever is later, </w:t>
      </w:r>
      <w:r>
        <w:t xml:space="preserve">the CLEC shall </w:t>
      </w:r>
      <w:r w:rsidRPr="00C42277">
        <w:t xml:space="preserve">not file a tariffed rate </w:t>
      </w:r>
      <w:r>
        <w:t xml:space="preserve">that is assessable to an Interexchange Carrier </w:t>
      </w:r>
      <w:r w:rsidRPr="00C42277">
        <w:t xml:space="preserve">for terminating </w:t>
      </w:r>
      <w:r w:rsidRPr="00DC3B98">
        <w:rPr>
          <w:szCs w:val="22"/>
        </w:rPr>
        <w:t>switched access</w:t>
      </w:r>
      <w:r w:rsidRPr="00C42277">
        <w:t xml:space="preserve"> tandem switch</w:t>
      </w:r>
      <w:r>
        <w:t xml:space="preserve">ing </w:t>
      </w:r>
      <w:r w:rsidRPr="00C42277">
        <w:t xml:space="preserve">or terminating switched </w:t>
      </w:r>
      <w:r w:rsidRPr="00DC3B98">
        <w:rPr>
          <w:szCs w:val="22"/>
        </w:rPr>
        <w:t>access</w:t>
      </w:r>
      <w:r w:rsidRPr="00C42277">
        <w:t xml:space="preserve"> </w:t>
      </w:r>
      <w:r>
        <w:t>tandem</w:t>
      </w:r>
      <w:r w:rsidRPr="00C42277">
        <w:t xml:space="preserve"> transport </w:t>
      </w:r>
      <w:r>
        <w:t xml:space="preserve">access </w:t>
      </w:r>
      <w:r w:rsidRPr="00C42277">
        <w:t>charges for any traffic between the tandem and the local exchange carrier’s terminating end office or equivalent</w:t>
      </w:r>
      <w:r>
        <w:t>.</w:t>
      </w:r>
    </w:p>
    <w:p w:rsidR="00EB312D" w:rsidRPr="00C42277" w:rsidP="00EB312D">
      <w:pPr>
        <w:widowControl/>
        <w:autoSpaceDE w:val="0"/>
        <w:autoSpaceDN w:val="0"/>
        <w:adjustRightInd w:val="0"/>
      </w:pPr>
    </w:p>
    <w:p w:rsidR="00EB312D" w:rsidRPr="00C42277" w:rsidP="00EB312D">
      <w:pPr>
        <w:numPr>
          <w:ilvl w:val="0"/>
          <w:numId w:val="35"/>
        </w:numPr>
        <w:contextualSpacing/>
      </w:pPr>
      <w:r w:rsidRPr="00C42277">
        <w:t>Amend § 61.39 by revising paragraph (g) to read as follows:</w:t>
      </w:r>
    </w:p>
    <w:p w:rsidR="00EB312D" w:rsidRPr="00C42277" w:rsidP="00EB312D"/>
    <w:p w:rsidR="00EB312D" w:rsidRPr="00C42277" w:rsidP="00EB312D">
      <w:pPr>
        <w:widowControl/>
        <w:autoSpaceDE w:val="0"/>
        <w:autoSpaceDN w:val="0"/>
        <w:adjustRightInd w:val="0"/>
        <w:rPr>
          <w:b/>
          <w:bCs/>
          <w:snapToGrid/>
          <w:color w:val="010101"/>
          <w:kern w:val="0"/>
          <w:szCs w:val="22"/>
        </w:rPr>
      </w:pPr>
      <w:r w:rsidRPr="00C42277">
        <w:rPr>
          <w:b/>
          <w:bCs/>
          <w:snapToGrid/>
          <w:color w:val="010101"/>
          <w:kern w:val="0"/>
          <w:szCs w:val="22"/>
        </w:rPr>
        <w:t>§ </w:t>
      </w:r>
      <w:r w:rsidRPr="00C42277">
        <w:rPr>
          <w:b/>
          <w:bCs/>
          <w:snapToGrid/>
          <w:color w:val="010101"/>
          <w:kern w:val="0"/>
          <w:szCs w:val="22"/>
        </w:rPr>
        <w:t>61.39  Optional</w:t>
      </w:r>
      <w:r w:rsidRPr="00C42277">
        <w:rPr>
          <w:b/>
          <w:bCs/>
          <w:snapToGrid/>
          <w:color w:val="010101"/>
          <w:kern w:val="0"/>
          <w:szCs w:val="22"/>
        </w:rPr>
        <w:t xml:space="preserve"> supporting information to be submitted with letters of transmittal for Access Tariff filings by incumbent local exchange carriers serving 50,000 or fewer access lines in a given study area that are described as subset 3 carriers in § 69.602.</w:t>
      </w:r>
    </w:p>
    <w:p w:rsidR="00EB312D" w:rsidRPr="00C42277" w:rsidP="00EB312D">
      <w:pPr>
        <w:widowControl/>
        <w:autoSpaceDE w:val="0"/>
        <w:autoSpaceDN w:val="0"/>
        <w:adjustRightInd w:val="0"/>
        <w:rPr>
          <w:snapToGrid/>
          <w:color w:val="010101"/>
          <w:kern w:val="0"/>
          <w:szCs w:val="22"/>
        </w:rPr>
      </w:pPr>
      <w:r w:rsidRPr="00C42277">
        <w:rPr>
          <w:snapToGrid/>
          <w:color w:val="010101"/>
          <w:kern w:val="0"/>
          <w:szCs w:val="22"/>
        </w:rPr>
        <w:t>* * * * *</w:t>
      </w:r>
    </w:p>
    <w:p w:rsidR="00EB312D" w:rsidRPr="00C42277" w:rsidP="00EB312D">
      <w:pPr>
        <w:widowControl/>
        <w:autoSpaceDE w:val="0"/>
        <w:autoSpaceDN w:val="0"/>
        <w:adjustRightInd w:val="0"/>
      </w:pPr>
    </w:p>
    <w:p w:rsidR="00EB312D" w:rsidRPr="00C42277" w:rsidP="00EB312D">
      <w:pPr>
        <w:widowControl/>
        <w:autoSpaceDE w:val="0"/>
        <w:autoSpaceDN w:val="0"/>
        <w:adjustRightInd w:val="0"/>
        <w:rPr>
          <w:snapToGrid/>
          <w:color w:val="010101"/>
          <w:kern w:val="0"/>
          <w:szCs w:val="22"/>
        </w:rPr>
      </w:pPr>
      <w:r w:rsidRPr="00C42277">
        <w:rPr>
          <w:snapToGrid/>
          <w:color w:val="010101"/>
          <w:kern w:val="0"/>
          <w:szCs w:val="22"/>
        </w:rPr>
        <w:t>(g)</w:t>
      </w:r>
      <w:r w:rsidRPr="00C42277">
        <w:rPr>
          <w:snapToGrid/>
          <w:color w:val="010101"/>
          <w:kern w:val="0"/>
          <w:szCs w:val="22"/>
        </w:rPr>
        <w:tab/>
        <w:t xml:space="preserve">A local exchange carrier otherwise eligible to file a tariff pursuant to this section may not do so if it is engaging in </w:t>
      </w:r>
      <w:r>
        <w:rPr>
          <w:snapToGrid/>
          <w:color w:val="010101"/>
          <w:kern w:val="0"/>
          <w:szCs w:val="22"/>
        </w:rPr>
        <w:t>A</w:t>
      </w:r>
      <w:r w:rsidRPr="00C42277">
        <w:rPr>
          <w:snapToGrid/>
          <w:color w:val="010101"/>
          <w:kern w:val="0"/>
          <w:szCs w:val="22"/>
        </w:rPr>
        <w:t xml:space="preserve">ccess </w:t>
      </w:r>
      <w:r>
        <w:rPr>
          <w:snapToGrid/>
          <w:color w:val="010101"/>
          <w:kern w:val="0"/>
          <w:szCs w:val="22"/>
        </w:rPr>
        <w:t>S</w:t>
      </w:r>
      <w:r w:rsidRPr="00C42277">
        <w:rPr>
          <w:snapToGrid/>
          <w:color w:val="010101"/>
          <w:kern w:val="0"/>
          <w:szCs w:val="22"/>
        </w:rPr>
        <w:t>timulation, as that term is defined in § 61.3(</w:t>
      </w:r>
      <w:r w:rsidRPr="00C42277">
        <w:rPr>
          <w:snapToGrid/>
          <w:color w:val="010101"/>
          <w:kern w:val="0"/>
          <w:szCs w:val="22"/>
        </w:rPr>
        <w:t>bbb</w:t>
      </w:r>
      <w:r w:rsidRPr="00C42277">
        <w:rPr>
          <w:snapToGrid/>
          <w:color w:val="010101"/>
          <w:kern w:val="0"/>
          <w:szCs w:val="22"/>
        </w:rPr>
        <w:t>) of this part.  A carrier so engaged must file interstate access tariffs in accordance with § 61.38 of this part, and § 69.3(e)(12) of this chapter.</w:t>
      </w:r>
    </w:p>
    <w:p w:rsidR="00EB312D" w:rsidRPr="00C42277" w:rsidP="00EB312D">
      <w:pPr>
        <w:widowControl/>
        <w:autoSpaceDE w:val="0"/>
        <w:autoSpaceDN w:val="0"/>
        <w:adjustRightInd w:val="0"/>
        <w:ind w:left="720" w:hanging="720"/>
        <w:rPr>
          <w:snapToGrid/>
          <w:color w:val="010101"/>
          <w:kern w:val="0"/>
          <w:szCs w:val="22"/>
        </w:rPr>
      </w:pPr>
    </w:p>
    <w:p w:rsidR="00EB312D" w:rsidRPr="00C42277" w:rsidP="00EB312D">
      <w:pPr>
        <w:rPr>
          <w:b/>
        </w:rPr>
      </w:pPr>
      <w:r w:rsidRPr="00C42277">
        <w:rPr>
          <w:b/>
        </w:rPr>
        <w:t>PART 69 – ACCESS CHARGES</w:t>
      </w:r>
    </w:p>
    <w:p w:rsidR="00EB312D" w:rsidRPr="00C42277" w:rsidP="00EB312D"/>
    <w:p w:rsidR="00EB312D" w:rsidRPr="00C42277" w:rsidP="00EB312D">
      <w:pPr>
        <w:numPr>
          <w:ilvl w:val="0"/>
          <w:numId w:val="35"/>
        </w:numPr>
        <w:contextualSpacing/>
      </w:pPr>
      <w:r w:rsidRPr="00C42277">
        <w:t>Amend § 69.3 by revising paragraph (e)(12) by adding subsection (e)(12)(iv) to read as follows:</w:t>
      </w:r>
    </w:p>
    <w:p w:rsidR="00EB312D" w:rsidRPr="00C42277" w:rsidP="00EB312D"/>
    <w:p w:rsidR="00EB312D" w:rsidRPr="00C42277" w:rsidP="00EB312D">
      <w:pPr>
        <w:rPr>
          <w:b/>
        </w:rPr>
      </w:pPr>
      <w:r w:rsidRPr="00C42277">
        <w:rPr>
          <w:b/>
        </w:rPr>
        <w:t xml:space="preserve">§ </w:t>
      </w:r>
      <w:r w:rsidRPr="00C42277">
        <w:rPr>
          <w:b/>
        </w:rPr>
        <w:t>69.3  Filing</w:t>
      </w:r>
      <w:r w:rsidRPr="00C42277">
        <w:rPr>
          <w:b/>
        </w:rPr>
        <w:t xml:space="preserve"> of access service tariffs.</w:t>
      </w:r>
    </w:p>
    <w:p w:rsidR="00EB312D" w:rsidRPr="00C42277" w:rsidP="00EB312D">
      <w:r w:rsidRPr="00C42277">
        <w:t>* * * * *</w:t>
      </w:r>
    </w:p>
    <w:p w:rsidR="00EB312D" w:rsidP="00EB312D"/>
    <w:p w:rsidR="00EB312D" w:rsidP="00EB312D">
      <w:r>
        <w:t>(</w:t>
      </w:r>
      <w:r w:rsidRPr="002C1FF7">
        <w:t>e) *</w:t>
      </w:r>
      <w:r>
        <w:t xml:space="preserve"> * *</w:t>
      </w:r>
    </w:p>
    <w:p w:rsidR="00EB312D" w:rsidP="00EB312D"/>
    <w:p w:rsidR="00EB312D" w:rsidP="00EB312D">
      <w:r>
        <w:t>(</w:t>
      </w:r>
      <w:r w:rsidRPr="002C1FF7">
        <w:t>12) * *</w:t>
      </w:r>
      <w:r>
        <w:t xml:space="preserve"> * </w:t>
      </w:r>
    </w:p>
    <w:p w:rsidR="00EB312D" w:rsidRPr="00C42277" w:rsidP="00EB312D"/>
    <w:p w:rsidR="00EB312D" w:rsidRPr="00C42277" w:rsidP="00EB312D">
      <w:pPr>
        <w:ind w:left="720" w:hanging="720"/>
      </w:pPr>
      <w:r w:rsidRPr="00C42277">
        <w:t>(iv)</w:t>
      </w:r>
      <w:r w:rsidRPr="00C42277">
        <w:tab/>
        <w:t xml:space="preserve">Notwithstanding any other provision of the Commission’s rules, if a </w:t>
      </w:r>
      <w:r>
        <w:t xml:space="preserve">rate-of-return </w:t>
      </w:r>
      <w:r w:rsidRPr="00C42277">
        <w:t xml:space="preserve">local exchange carrier is engaged in </w:t>
      </w:r>
      <w:r>
        <w:t>A</w:t>
      </w:r>
      <w:r w:rsidRPr="00C42277">
        <w:t xml:space="preserve">ccess </w:t>
      </w:r>
      <w:r>
        <w:t>S</w:t>
      </w:r>
      <w:r w:rsidRPr="00C42277">
        <w:t>timulation,</w:t>
      </w:r>
      <w:r>
        <w:t xml:space="preserve"> or a group of affiliated carriers in which at least one carrier is engaging in Access Stimulation,</w:t>
      </w:r>
      <w:r w:rsidRPr="00C42277">
        <w:t xml:space="preserve"> as defined in </w:t>
      </w:r>
      <w:r>
        <w:t xml:space="preserve">§ </w:t>
      </w:r>
      <w:r w:rsidRPr="00C42277">
        <w:t>61.3(</w:t>
      </w:r>
      <w:r w:rsidRPr="00C42277">
        <w:t>bbb</w:t>
      </w:r>
      <w:r w:rsidRPr="00C42277">
        <w:t>) of this chapter, it shall:</w:t>
      </w:r>
    </w:p>
    <w:p w:rsidR="00EB312D" w:rsidRPr="00C42277" w:rsidP="00EB312D"/>
    <w:p w:rsidR="00EB312D" w:rsidRPr="00C42277" w:rsidP="00EB312D"/>
    <w:p w:rsidR="00EB312D" w:rsidP="00EB312D">
      <w:pPr>
        <w:ind w:left="1440" w:hanging="720"/>
      </w:pPr>
      <w:r w:rsidRPr="00C42277">
        <w:t>(</w:t>
      </w:r>
      <w:r>
        <w:t>A</w:t>
      </w:r>
      <w:r w:rsidRPr="00C42277">
        <w:t>)</w:t>
      </w:r>
      <w:r w:rsidRPr="00C42277">
        <w:tab/>
        <w:t xml:space="preserve">Within 45 days of commencing </w:t>
      </w:r>
      <w:r>
        <w:t>A</w:t>
      </w:r>
      <w:r w:rsidRPr="00C42277">
        <w:t xml:space="preserve">ccess </w:t>
      </w:r>
      <w:r>
        <w:t>S</w:t>
      </w:r>
      <w:r w:rsidRPr="00C42277">
        <w:t>timulation, or within 45 days of [</w:t>
      </w:r>
      <w:r>
        <w:rPr>
          <w:szCs w:val="22"/>
        </w:rPr>
        <w:t xml:space="preserve">INSERT DATE 30 DAYS AFTER DATE OF PUBLICATION IN THE </w:t>
      </w:r>
      <w:r w:rsidRPr="008D1DA2">
        <w:t>FEDERAL REGISTER</w:t>
      </w:r>
      <w:r w:rsidRPr="00C42277">
        <w:t xml:space="preserve">], whichever is later, </w:t>
      </w:r>
      <w:r>
        <w:t xml:space="preserve">file tariff revisions removing from its tariff terminating </w:t>
      </w:r>
      <w:r w:rsidRPr="00DC3B98">
        <w:rPr>
          <w:szCs w:val="22"/>
        </w:rPr>
        <w:t>switched access</w:t>
      </w:r>
      <w:r>
        <w:t xml:space="preserve"> tandem </w:t>
      </w:r>
      <w:r w:rsidRPr="00C42277">
        <w:t>switch</w:t>
      </w:r>
      <w:r>
        <w:t>ing</w:t>
      </w:r>
      <w:r w:rsidRPr="00C42277">
        <w:t xml:space="preserve"> </w:t>
      </w:r>
      <w:r>
        <w:t>and</w:t>
      </w:r>
      <w:r w:rsidRPr="00C42277">
        <w:t xml:space="preserve"> terminating </w:t>
      </w:r>
      <w:r w:rsidRPr="00DC3B98">
        <w:rPr>
          <w:szCs w:val="22"/>
        </w:rPr>
        <w:t>switched access</w:t>
      </w:r>
      <w:r>
        <w:t xml:space="preserve"> tandem </w:t>
      </w:r>
      <w:r w:rsidRPr="00C42277">
        <w:t xml:space="preserve">transport access charges </w:t>
      </w:r>
      <w:r>
        <w:t xml:space="preserve">assessable to an Interexchange Carrier </w:t>
      </w:r>
      <w:r w:rsidRPr="00C42277">
        <w:t>for any traffic between the tandem and the local exchange carrier’s terminating end office or equivalent; and</w:t>
      </w:r>
    </w:p>
    <w:p w:rsidR="00EB312D" w:rsidP="00EB312D">
      <w:pPr>
        <w:ind w:left="1440" w:hanging="720"/>
      </w:pPr>
    </w:p>
    <w:p w:rsidR="00EB312D" w:rsidRPr="00C42277" w:rsidP="00EB312D">
      <w:pPr>
        <w:ind w:left="1440" w:hanging="720"/>
      </w:pPr>
      <w:r>
        <w:t>(B)</w:t>
      </w:r>
      <w:r>
        <w:tab/>
      </w:r>
      <w:r w:rsidRPr="00C42277">
        <w:t xml:space="preserve">Within 45 days of commencing </w:t>
      </w:r>
      <w:r>
        <w:t>A</w:t>
      </w:r>
      <w:r w:rsidRPr="00C42277">
        <w:t xml:space="preserve">ccess </w:t>
      </w:r>
      <w:r>
        <w:t>S</w:t>
      </w:r>
      <w:r w:rsidRPr="00C42277">
        <w:t>timulation, or within 45 days of [</w:t>
      </w:r>
      <w:r>
        <w:rPr>
          <w:szCs w:val="22"/>
        </w:rPr>
        <w:t xml:space="preserve">INSERT DATE 30 DAYS AFTER DATE OF PUBLICATION IN THE </w:t>
      </w:r>
      <w:r w:rsidRPr="008D1DA2">
        <w:t>FEDERAL REGISTER</w:t>
      </w:r>
      <w:r w:rsidRPr="00C42277">
        <w:t xml:space="preserve">], whichever is later, </w:t>
      </w:r>
      <w:r>
        <w:t xml:space="preserve">the </w:t>
      </w:r>
      <w:r w:rsidRPr="00C42277">
        <w:t>local exchange carrier</w:t>
      </w:r>
      <w:r>
        <w:t xml:space="preserve"> </w:t>
      </w:r>
      <w:r>
        <w:t xml:space="preserve">shall </w:t>
      </w:r>
      <w:r w:rsidRPr="00C42277">
        <w:t xml:space="preserve">not file a tariffed rate for terminating </w:t>
      </w:r>
      <w:r w:rsidRPr="00DC3B98">
        <w:rPr>
          <w:szCs w:val="22"/>
        </w:rPr>
        <w:t>switched access</w:t>
      </w:r>
      <w:r w:rsidRPr="00C42277">
        <w:t xml:space="preserve"> tandem switch</w:t>
      </w:r>
      <w:r>
        <w:t>ing</w:t>
      </w:r>
      <w:r w:rsidRPr="00C42277">
        <w:t xml:space="preserve"> or terminating switched </w:t>
      </w:r>
      <w:r w:rsidRPr="00DC3B98">
        <w:rPr>
          <w:szCs w:val="22"/>
        </w:rPr>
        <w:t>access</w:t>
      </w:r>
      <w:r w:rsidRPr="00C42277">
        <w:t xml:space="preserve"> </w:t>
      </w:r>
      <w:r>
        <w:t xml:space="preserve">tandem </w:t>
      </w:r>
      <w:r w:rsidRPr="00C42277">
        <w:t xml:space="preserve">transport access charges </w:t>
      </w:r>
      <w:r>
        <w:t xml:space="preserve">that is assessable to an Interexchange Carrier </w:t>
      </w:r>
      <w:r w:rsidRPr="00C42277">
        <w:t>for any traffic between the tandem and the local exchange carrier’s terminating end office or equivalent</w:t>
      </w:r>
      <w:r>
        <w:t>.</w:t>
      </w:r>
    </w:p>
    <w:p w:rsidR="00EB312D" w:rsidRPr="00C42277" w:rsidP="00EB312D"/>
    <w:p w:rsidR="00EB312D" w:rsidRPr="00C42277" w:rsidP="00EB312D">
      <w:r w:rsidRPr="00C42277">
        <w:t>* * * * *</w:t>
      </w:r>
    </w:p>
    <w:p w:rsidR="00EB312D" w:rsidRPr="00C42277" w:rsidP="00EB312D"/>
    <w:p w:rsidR="00EB312D" w:rsidRPr="00C42277" w:rsidP="00EB312D">
      <w:pPr>
        <w:numPr>
          <w:ilvl w:val="0"/>
          <w:numId w:val="35"/>
        </w:numPr>
        <w:contextualSpacing/>
      </w:pPr>
      <w:r w:rsidRPr="00C42277">
        <w:t xml:space="preserve">Amend </w:t>
      </w:r>
      <w:r>
        <w:t>§ </w:t>
      </w:r>
      <w:r w:rsidRPr="00C42277">
        <w:t>69.4 by adding paragraph (l) to read as follows:</w:t>
      </w:r>
    </w:p>
    <w:p w:rsidR="00EB312D" w:rsidRPr="00C42277" w:rsidP="00EB312D">
      <w:pPr>
        <w:shd w:val="clear" w:color="auto" w:fill="FFFFFF"/>
        <w:spacing w:before="200"/>
      </w:pPr>
      <w:r w:rsidRPr="00C42277">
        <w:rPr>
          <w:b/>
        </w:rPr>
        <w:t xml:space="preserve">§ </w:t>
      </w:r>
      <w:r w:rsidRPr="00C42277">
        <w:rPr>
          <w:b/>
        </w:rPr>
        <w:t>69.4  Charges</w:t>
      </w:r>
      <w:r w:rsidRPr="00C42277">
        <w:rPr>
          <w:b/>
        </w:rPr>
        <w:t xml:space="preserve"> to be filed.</w:t>
      </w:r>
    </w:p>
    <w:p w:rsidR="00EB312D" w:rsidRPr="00C42277" w:rsidP="00EB312D">
      <w:pPr>
        <w:spacing w:after="120"/>
      </w:pPr>
      <w:r w:rsidRPr="00C42277">
        <w:t>* * * * *</w:t>
      </w:r>
    </w:p>
    <w:p w:rsidR="00EB312D" w:rsidRPr="00C42277" w:rsidP="00EB312D">
      <w:pPr>
        <w:contextualSpacing/>
      </w:pPr>
      <w:r w:rsidRPr="00C42277">
        <w:t xml:space="preserve">(l) </w:t>
      </w:r>
      <w:r>
        <w:tab/>
      </w:r>
      <w:r w:rsidRPr="00C42277">
        <w:t xml:space="preserve">Notwithstanding paragraph (b)(5), a local exchange carrier </w:t>
      </w:r>
      <w:r>
        <w:t xml:space="preserve">engaged in Access Stimulation </w:t>
      </w:r>
      <w:r w:rsidRPr="00C42277">
        <w:t xml:space="preserve">as defined in </w:t>
      </w:r>
      <w:r>
        <w:t>§ </w:t>
      </w:r>
      <w:r w:rsidRPr="00C42277">
        <w:t>61.3(</w:t>
      </w:r>
      <w:r w:rsidRPr="00C42277">
        <w:t>bbb</w:t>
      </w:r>
      <w:r w:rsidRPr="00C42277">
        <w:t xml:space="preserve">) of this Chapter </w:t>
      </w:r>
      <w:r>
        <w:t xml:space="preserve">or the Intermediate Access Provider it subtends </w:t>
      </w:r>
      <w:r w:rsidRPr="00C42277">
        <w:t xml:space="preserve">may not </w:t>
      </w:r>
      <w:r>
        <w:t>bill an Interexchange Carrier as defined in § 61.3(</w:t>
      </w:r>
      <w:r>
        <w:t>bbb</w:t>
      </w:r>
      <w:r>
        <w:t xml:space="preserve">) of this Chapter </w:t>
      </w:r>
      <w:r w:rsidRPr="00DC3B98">
        <w:rPr>
          <w:szCs w:val="22"/>
        </w:rPr>
        <w:t xml:space="preserve">for terminating switched access tandem switching or terminating </w:t>
      </w:r>
      <w:r>
        <w:rPr>
          <w:szCs w:val="22"/>
        </w:rPr>
        <w:t>s</w:t>
      </w:r>
      <w:r w:rsidRPr="00DC3B98">
        <w:rPr>
          <w:szCs w:val="22"/>
        </w:rPr>
        <w:t xml:space="preserve">witched access </w:t>
      </w:r>
      <w:r>
        <w:rPr>
          <w:szCs w:val="22"/>
        </w:rPr>
        <w:t>tandem</w:t>
      </w:r>
      <w:r w:rsidRPr="00DC3B98">
        <w:rPr>
          <w:szCs w:val="22"/>
        </w:rPr>
        <w:t xml:space="preserve"> transport charges for any traffic between such local exchange carrier’s terminating end office or equivalent and the associated access tandem switch</w:t>
      </w:r>
      <w:r w:rsidRPr="00C42277">
        <w:t>.</w:t>
      </w:r>
    </w:p>
    <w:p w:rsidR="00EB312D" w:rsidRPr="00C42277" w:rsidP="00EB312D"/>
    <w:p w:rsidR="00EB312D" w:rsidRPr="00643092" w:rsidP="00EB312D">
      <w:pPr>
        <w:pStyle w:val="ListParagraph"/>
        <w:numPr>
          <w:ilvl w:val="0"/>
          <w:numId w:val="35"/>
        </w:numPr>
        <w:rPr>
          <w:rFonts w:ascii="Times New Roman" w:hAnsi="Times New Roman"/>
        </w:rPr>
      </w:pPr>
      <w:r w:rsidRPr="00643092">
        <w:rPr>
          <w:rFonts w:ascii="Times New Roman" w:hAnsi="Times New Roman"/>
        </w:rPr>
        <w:t>Amend § 69.5 by revising paragraph (b) to read as follows:</w:t>
      </w:r>
    </w:p>
    <w:p w:rsidR="00EB312D" w:rsidRPr="00C42277" w:rsidP="00EB312D">
      <w:pPr>
        <w:widowControl/>
        <w:autoSpaceDE w:val="0"/>
        <w:autoSpaceDN w:val="0"/>
        <w:adjustRightInd w:val="0"/>
        <w:ind w:left="720" w:hanging="720"/>
      </w:pPr>
    </w:p>
    <w:p w:rsidR="00EB312D" w:rsidRPr="00C42277" w:rsidP="00EB312D">
      <w:pPr>
        <w:widowControl/>
        <w:autoSpaceDE w:val="0"/>
        <w:autoSpaceDN w:val="0"/>
        <w:adjustRightInd w:val="0"/>
        <w:ind w:left="720" w:hanging="720"/>
      </w:pPr>
      <w:r w:rsidRPr="00C42277">
        <w:rPr>
          <w:b/>
        </w:rPr>
        <w:t xml:space="preserve">§ </w:t>
      </w:r>
      <w:r w:rsidRPr="00C42277">
        <w:rPr>
          <w:b/>
        </w:rPr>
        <w:t>69.5  Persons</w:t>
      </w:r>
      <w:r w:rsidRPr="00C42277">
        <w:rPr>
          <w:b/>
        </w:rPr>
        <w:t xml:space="preserve"> to be assessed.</w:t>
      </w:r>
    </w:p>
    <w:p w:rsidR="00EB312D" w:rsidRPr="00C42277" w:rsidP="00EB312D">
      <w:pPr>
        <w:widowControl/>
        <w:autoSpaceDE w:val="0"/>
        <w:autoSpaceDN w:val="0"/>
        <w:adjustRightInd w:val="0"/>
      </w:pPr>
      <w:r w:rsidRPr="00C42277">
        <w:t>* * * * *</w:t>
      </w:r>
    </w:p>
    <w:p w:rsidR="00EB312D" w:rsidRPr="00C42277" w:rsidP="00EB312D">
      <w:pPr>
        <w:widowControl/>
        <w:autoSpaceDE w:val="0"/>
        <w:autoSpaceDN w:val="0"/>
        <w:adjustRightInd w:val="0"/>
        <w:ind w:left="720" w:hanging="720"/>
      </w:pPr>
    </w:p>
    <w:p w:rsidR="00EB312D" w:rsidRPr="00C42277" w:rsidP="00EB312D">
      <w:r w:rsidRPr="00C42277">
        <w:t xml:space="preserve">(b) </w:t>
      </w:r>
      <w:r w:rsidRPr="00C42277">
        <w:tab/>
        <w:t xml:space="preserve">Carrier’s carrier charges shall be computed and assessed upon all </w:t>
      </w:r>
      <w:r>
        <w:t>I</w:t>
      </w:r>
      <w:r w:rsidRPr="00C42277">
        <w:t xml:space="preserve">nterexchange </w:t>
      </w:r>
      <w:r>
        <w:t>C</w:t>
      </w:r>
      <w:r w:rsidRPr="00C42277">
        <w:t>arriers that use local exchange switching facilities for the provision of interstate or foreign telecommunications services, except that:</w:t>
      </w:r>
    </w:p>
    <w:p w:rsidR="00EB312D" w:rsidRPr="00395167" w:rsidP="00EB312D">
      <w:pPr>
        <w:ind w:left="720" w:hanging="720"/>
        <w:rPr>
          <w:snapToGrid/>
          <w:kern w:val="0"/>
        </w:rPr>
      </w:pPr>
    </w:p>
    <w:p w:rsidR="00EB312D" w:rsidRPr="00395167" w:rsidP="00EB312D">
      <w:pPr>
        <w:pStyle w:val="ListParagraph"/>
        <w:numPr>
          <w:ilvl w:val="0"/>
          <w:numId w:val="29"/>
        </w:numPr>
        <w:snapToGrid w:val="0"/>
        <w:rPr>
          <w:rFonts w:ascii="Times New Roman" w:hAnsi="Times New Roman"/>
          <w:snapToGrid/>
        </w:rPr>
      </w:pPr>
      <w:r w:rsidRPr="00395167">
        <w:rPr>
          <w:rFonts w:ascii="Times New Roman" w:hAnsi="Times New Roman"/>
        </w:rPr>
        <w:t xml:space="preserve">Local exchange carriers may not assess a </w:t>
      </w:r>
      <w:bookmarkStart w:id="621" w:name="_Hlk18059832"/>
      <w:r w:rsidRPr="00DC3B98">
        <w:rPr>
          <w:rFonts w:ascii="Times New Roman" w:hAnsi="Times New Roman"/>
        </w:rPr>
        <w:t xml:space="preserve">terminating switched access tandem switching or terminating </w:t>
      </w:r>
      <w:r>
        <w:rPr>
          <w:rFonts w:ascii="Times New Roman" w:hAnsi="Times New Roman"/>
        </w:rPr>
        <w:t>s</w:t>
      </w:r>
      <w:r w:rsidRPr="00DC3B98">
        <w:rPr>
          <w:rFonts w:ascii="Times New Roman" w:hAnsi="Times New Roman"/>
        </w:rPr>
        <w:t xml:space="preserve">witched access </w:t>
      </w:r>
      <w:r>
        <w:rPr>
          <w:rFonts w:ascii="Times New Roman" w:hAnsi="Times New Roman"/>
        </w:rPr>
        <w:t xml:space="preserve">tandem </w:t>
      </w:r>
      <w:r w:rsidRPr="00DC3B98">
        <w:rPr>
          <w:rFonts w:ascii="Times New Roman" w:hAnsi="Times New Roman"/>
        </w:rPr>
        <w:t xml:space="preserve">transport </w:t>
      </w:r>
      <w:bookmarkEnd w:id="621"/>
      <w:r w:rsidRPr="00395167">
        <w:rPr>
          <w:rFonts w:ascii="Times New Roman" w:hAnsi="Times New Roman"/>
        </w:rPr>
        <w:t xml:space="preserve">charge described in </w:t>
      </w:r>
      <w:r>
        <w:rPr>
          <w:rFonts w:ascii="Times New Roman" w:hAnsi="Times New Roman"/>
        </w:rPr>
        <w:t>§ </w:t>
      </w:r>
      <w:r w:rsidRPr="00395167">
        <w:rPr>
          <w:rFonts w:ascii="Times New Roman" w:hAnsi="Times New Roman"/>
        </w:rPr>
        <w:t xml:space="preserve">69.4(b)(5) on </w:t>
      </w:r>
      <w:r>
        <w:rPr>
          <w:rFonts w:ascii="Times New Roman" w:hAnsi="Times New Roman"/>
        </w:rPr>
        <w:t>I</w:t>
      </w:r>
      <w:r w:rsidRPr="00395167">
        <w:rPr>
          <w:rFonts w:ascii="Times New Roman" w:hAnsi="Times New Roman"/>
        </w:rPr>
        <w:t xml:space="preserve">nterexchange </w:t>
      </w:r>
      <w:r>
        <w:rPr>
          <w:rFonts w:ascii="Times New Roman" w:hAnsi="Times New Roman"/>
        </w:rPr>
        <w:t>C</w:t>
      </w:r>
      <w:r w:rsidRPr="00395167">
        <w:rPr>
          <w:rFonts w:ascii="Times New Roman" w:hAnsi="Times New Roman"/>
        </w:rPr>
        <w:t xml:space="preserve">arriers when the terminating traffic is destined for a local exchange carrier </w:t>
      </w:r>
      <w:r w:rsidRPr="00395167">
        <w:rPr>
          <w:rFonts w:ascii="Times New Roman" w:hAnsi="Times New Roman"/>
        </w:rPr>
        <w:t xml:space="preserve">engaged in </w:t>
      </w:r>
      <w:r>
        <w:rPr>
          <w:rFonts w:ascii="Times New Roman" w:hAnsi="Times New Roman"/>
        </w:rPr>
        <w:t>A</w:t>
      </w:r>
      <w:r w:rsidRPr="00395167">
        <w:rPr>
          <w:rFonts w:ascii="Times New Roman" w:hAnsi="Times New Roman"/>
        </w:rPr>
        <w:t xml:space="preserve">ccess </w:t>
      </w:r>
      <w:r>
        <w:rPr>
          <w:rFonts w:ascii="Times New Roman" w:hAnsi="Times New Roman"/>
        </w:rPr>
        <w:t>S</w:t>
      </w:r>
      <w:r w:rsidRPr="00395167">
        <w:rPr>
          <w:rFonts w:ascii="Times New Roman" w:hAnsi="Times New Roman"/>
        </w:rPr>
        <w:t xml:space="preserve">timulation, as that term is defined in </w:t>
      </w:r>
      <w:r>
        <w:rPr>
          <w:rFonts w:ascii="Times New Roman" w:hAnsi="Times New Roman"/>
        </w:rPr>
        <w:t>§ </w:t>
      </w:r>
      <w:r w:rsidRPr="00395167">
        <w:rPr>
          <w:rFonts w:ascii="Times New Roman" w:hAnsi="Times New Roman"/>
        </w:rPr>
        <w:t>6</w:t>
      </w:r>
      <w:r>
        <w:rPr>
          <w:rFonts w:ascii="Times New Roman" w:hAnsi="Times New Roman"/>
        </w:rPr>
        <w:t>1</w:t>
      </w:r>
      <w:r w:rsidRPr="00395167">
        <w:rPr>
          <w:rFonts w:ascii="Times New Roman" w:hAnsi="Times New Roman"/>
        </w:rPr>
        <w:t>.3(</w:t>
      </w:r>
      <w:r w:rsidRPr="00395167">
        <w:rPr>
          <w:rFonts w:ascii="Times New Roman" w:hAnsi="Times New Roman"/>
        </w:rPr>
        <w:t>bbb</w:t>
      </w:r>
      <w:r w:rsidRPr="00395167">
        <w:rPr>
          <w:rFonts w:ascii="Times New Roman" w:hAnsi="Times New Roman"/>
        </w:rPr>
        <w:t>) of this part</w:t>
      </w:r>
      <w:r>
        <w:rPr>
          <w:rFonts w:ascii="Times New Roman" w:hAnsi="Times New Roman"/>
        </w:rPr>
        <w:t xml:space="preserve"> </w:t>
      </w:r>
      <w:r w:rsidRPr="00395167">
        <w:rPr>
          <w:rFonts w:ascii="Times New Roman" w:hAnsi="Times New Roman"/>
        </w:rPr>
        <w:t xml:space="preserve">consistent with the provisions of </w:t>
      </w:r>
      <w:r>
        <w:rPr>
          <w:rFonts w:ascii="Times New Roman" w:hAnsi="Times New Roman"/>
        </w:rPr>
        <w:t>§§ </w:t>
      </w:r>
      <w:r w:rsidRPr="00395167">
        <w:rPr>
          <w:rFonts w:ascii="Times New Roman" w:hAnsi="Times New Roman"/>
        </w:rPr>
        <w:t xml:space="preserve">61.26(g)(3) and 69.3(e)(12)(iv) of this </w:t>
      </w:r>
      <w:r>
        <w:rPr>
          <w:rFonts w:ascii="Times New Roman" w:hAnsi="Times New Roman"/>
        </w:rPr>
        <w:t>C</w:t>
      </w:r>
      <w:r w:rsidRPr="00395167">
        <w:rPr>
          <w:rFonts w:ascii="Times New Roman" w:hAnsi="Times New Roman"/>
        </w:rPr>
        <w:t>hapter.</w:t>
      </w:r>
    </w:p>
    <w:p w:rsidR="00EB312D" w:rsidRPr="00395167" w:rsidP="00EB312D">
      <w:pPr>
        <w:widowControl/>
        <w:snapToGrid w:val="0"/>
        <w:ind w:left="1080"/>
        <w:contextualSpacing/>
        <w:rPr>
          <w:snapToGrid/>
          <w:kern w:val="0"/>
        </w:rPr>
      </w:pPr>
    </w:p>
    <w:p w:rsidR="00EB312D" w:rsidRPr="00395167" w:rsidP="00EB312D">
      <w:pPr>
        <w:pStyle w:val="ListParagraph"/>
        <w:numPr>
          <w:ilvl w:val="0"/>
          <w:numId w:val="29"/>
        </w:numPr>
        <w:snapToGrid w:val="0"/>
        <w:rPr>
          <w:rFonts w:ascii="Times New Roman" w:hAnsi="Times New Roman"/>
        </w:rPr>
      </w:pPr>
      <w:r>
        <w:rPr>
          <w:rFonts w:ascii="Times New Roman" w:hAnsi="Times New Roman"/>
        </w:rPr>
        <w:t>I</w:t>
      </w:r>
      <w:r w:rsidRPr="00395167">
        <w:rPr>
          <w:rFonts w:ascii="Times New Roman" w:hAnsi="Times New Roman"/>
        </w:rPr>
        <w:t xml:space="preserve">ntermediate </w:t>
      </w:r>
      <w:r>
        <w:rPr>
          <w:rFonts w:ascii="Times New Roman" w:hAnsi="Times New Roman"/>
        </w:rPr>
        <w:t>A</w:t>
      </w:r>
      <w:r w:rsidRPr="00395167">
        <w:rPr>
          <w:rFonts w:ascii="Times New Roman" w:hAnsi="Times New Roman"/>
        </w:rPr>
        <w:t xml:space="preserve">ccess </w:t>
      </w:r>
      <w:r>
        <w:rPr>
          <w:rFonts w:ascii="Times New Roman" w:hAnsi="Times New Roman"/>
        </w:rPr>
        <w:t>P</w:t>
      </w:r>
      <w:r w:rsidRPr="00395167">
        <w:rPr>
          <w:rFonts w:ascii="Times New Roman" w:hAnsi="Times New Roman"/>
        </w:rPr>
        <w:t xml:space="preserve">roviders may assess a </w:t>
      </w:r>
      <w:bookmarkStart w:id="622" w:name="_Hlk20215813"/>
      <w:r w:rsidRPr="00DC3B98">
        <w:rPr>
          <w:rFonts w:ascii="Times New Roman" w:hAnsi="Times New Roman"/>
        </w:rPr>
        <w:t xml:space="preserve">terminating switched access tandem switching or terminating </w:t>
      </w:r>
      <w:r>
        <w:rPr>
          <w:rFonts w:ascii="Times New Roman" w:hAnsi="Times New Roman"/>
        </w:rPr>
        <w:t>s</w:t>
      </w:r>
      <w:r w:rsidRPr="00DC3B98">
        <w:rPr>
          <w:rFonts w:ascii="Times New Roman" w:hAnsi="Times New Roman"/>
        </w:rPr>
        <w:t xml:space="preserve">witched access </w:t>
      </w:r>
      <w:r>
        <w:rPr>
          <w:rFonts w:ascii="Times New Roman" w:hAnsi="Times New Roman"/>
        </w:rPr>
        <w:t xml:space="preserve">tandem </w:t>
      </w:r>
      <w:r w:rsidRPr="00DC3B98">
        <w:rPr>
          <w:rFonts w:ascii="Times New Roman" w:hAnsi="Times New Roman"/>
        </w:rPr>
        <w:t>transport</w:t>
      </w:r>
      <w:r w:rsidRPr="00395167">
        <w:rPr>
          <w:rFonts w:ascii="Times New Roman" w:hAnsi="Times New Roman"/>
        </w:rPr>
        <w:t xml:space="preserve"> </w:t>
      </w:r>
      <w:bookmarkEnd w:id="622"/>
      <w:r w:rsidRPr="00395167">
        <w:rPr>
          <w:rFonts w:ascii="Times New Roman" w:hAnsi="Times New Roman"/>
        </w:rPr>
        <w:t xml:space="preserve">charge described in </w:t>
      </w:r>
      <w:r>
        <w:rPr>
          <w:rFonts w:ascii="Times New Roman" w:hAnsi="Times New Roman"/>
        </w:rPr>
        <w:t>§ </w:t>
      </w:r>
      <w:r w:rsidRPr="00395167">
        <w:rPr>
          <w:rFonts w:ascii="Times New Roman" w:hAnsi="Times New Roman"/>
        </w:rPr>
        <w:t xml:space="preserve">69.4(b)(5) on local exchange carriers when the terminating traffic is destined for a local exchange carrier engaged in </w:t>
      </w:r>
      <w:r>
        <w:rPr>
          <w:rFonts w:ascii="Times New Roman" w:hAnsi="Times New Roman"/>
        </w:rPr>
        <w:t>A</w:t>
      </w:r>
      <w:r w:rsidRPr="00395167">
        <w:rPr>
          <w:rFonts w:ascii="Times New Roman" w:hAnsi="Times New Roman"/>
        </w:rPr>
        <w:t xml:space="preserve">ccess </w:t>
      </w:r>
      <w:r>
        <w:rPr>
          <w:rFonts w:ascii="Times New Roman" w:hAnsi="Times New Roman"/>
        </w:rPr>
        <w:t>S</w:t>
      </w:r>
      <w:r w:rsidRPr="00395167">
        <w:rPr>
          <w:rFonts w:ascii="Times New Roman" w:hAnsi="Times New Roman"/>
        </w:rPr>
        <w:t xml:space="preserve">timulation, as that term is defined in </w:t>
      </w:r>
      <w:r>
        <w:rPr>
          <w:rFonts w:ascii="Times New Roman" w:hAnsi="Times New Roman"/>
        </w:rPr>
        <w:t>§ </w:t>
      </w:r>
      <w:r w:rsidRPr="00395167">
        <w:rPr>
          <w:rFonts w:ascii="Times New Roman" w:hAnsi="Times New Roman"/>
        </w:rPr>
        <w:t>6</w:t>
      </w:r>
      <w:r>
        <w:rPr>
          <w:rFonts w:ascii="Times New Roman" w:hAnsi="Times New Roman"/>
        </w:rPr>
        <w:t>1</w:t>
      </w:r>
      <w:r w:rsidRPr="00395167">
        <w:rPr>
          <w:rFonts w:ascii="Times New Roman" w:hAnsi="Times New Roman"/>
        </w:rPr>
        <w:t>.3(</w:t>
      </w:r>
      <w:r w:rsidRPr="00395167">
        <w:rPr>
          <w:rFonts w:ascii="Times New Roman" w:hAnsi="Times New Roman"/>
        </w:rPr>
        <w:t>bbb</w:t>
      </w:r>
      <w:r w:rsidRPr="00395167">
        <w:rPr>
          <w:rFonts w:ascii="Times New Roman" w:hAnsi="Times New Roman"/>
        </w:rPr>
        <w:t>) of this part</w:t>
      </w:r>
      <w:r>
        <w:rPr>
          <w:rFonts w:ascii="Times New Roman" w:hAnsi="Times New Roman"/>
        </w:rPr>
        <w:t xml:space="preserve"> </w:t>
      </w:r>
      <w:r w:rsidRPr="00395167">
        <w:rPr>
          <w:rFonts w:ascii="Times New Roman" w:hAnsi="Times New Roman"/>
        </w:rPr>
        <w:t xml:space="preserve">consistent with the provisions of </w:t>
      </w:r>
      <w:r>
        <w:rPr>
          <w:rFonts w:ascii="Times New Roman" w:hAnsi="Times New Roman"/>
        </w:rPr>
        <w:t xml:space="preserve">§§ </w:t>
      </w:r>
      <w:r w:rsidRPr="00395167">
        <w:rPr>
          <w:rFonts w:ascii="Times New Roman" w:hAnsi="Times New Roman"/>
        </w:rPr>
        <w:t xml:space="preserve">61.26(g)(3) and 69.3(e)(12)(iv) of this </w:t>
      </w:r>
      <w:r>
        <w:rPr>
          <w:rFonts w:ascii="Times New Roman" w:hAnsi="Times New Roman"/>
        </w:rPr>
        <w:t>C</w:t>
      </w:r>
      <w:r w:rsidRPr="00395167">
        <w:rPr>
          <w:rFonts w:ascii="Times New Roman" w:hAnsi="Times New Roman"/>
        </w:rPr>
        <w:t>hapter.</w:t>
      </w:r>
    </w:p>
    <w:p w:rsidR="00EB312D" w:rsidRPr="00C42277" w:rsidP="00EB312D">
      <w:pPr>
        <w:snapToGrid w:val="0"/>
      </w:pPr>
    </w:p>
    <w:p w:rsidR="00EB312D" w:rsidP="009B0DED">
      <w:pPr>
        <w:widowControl/>
        <w:tabs>
          <w:tab w:val="left" w:pos="1440"/>
        </w:tabs>
        <w:autoSpaceDE w:val="0"/>
        <w:autoSpaceDN w:val="0"/>
        <w:adjustRightInd w:val="0"/>
      </w:pPr>
      <w:r w:rsidRPr="005151FC">
        <w:t>* *</w:t>
      </w:r>
      <w:r w:rsidRPr="00260224">
        <w:t xml:space="preserve"> * * *</w:t>
      </w:r>
      <w:r w:rsidR="009B0DED">
        <w:tab/>
      </w:r>
    </w:p>
    <w:p w:rsidR="00EB312D" w:rsidRPr="0044240B" w:rsidP="00EB312D">
      <w:pPr>
        <w:rPr>
          <w:szCs w:val="22"/>
        </w:rPr>
        <w:sectPr w:rsidSect="002D6012">
          <w:footerReference w:type="even" r:id="rId11"/>
          <w:footerReference w:type="default" r:id="rId12"/>
          <w:footnotePr>
            <w:numRestart w:val="eachSect"/>
          </w:footnotePr>
          <w:endnotePr>
            <w:numFmt w:val="decimal"/>
          </w:endnotePr>
          <w:pgSz w:w="12240" w:h="15840"/>
          <w:pgMar w:top="1440" w:right="1440" w:bottom="720" w:left="1440" w:header="720" w:footer="720" w:gutter="0"/>
          <w:cols w:space="720"/>
          <w:noEndnote/>
          <w:docGrid w:linePitch="299"/>
        </w:sectPr>
      </w:pPr>
    </w:p>
    <w:bookmarkEnd w:id="618"/>
    <w:p w:rsidR="00EB312D" w:rsidRPr="0044240B" w:rsidP="00EB312D">
      <w:pPr>
        <w:widowControl/>
        <w:jc w:val="center"/>
        <w:rPr>
          <w:szCs w:val="22"/>
        </w:rPr>
      </w:pPr>
      <w:r w:rsidRPr="0044240B">
        <w:rPr>
          <w:b/>
          <w:szCs w:val="22"/>
        </w:rPr>
        <w:t>APPENDIX B</w:t>
      </w:r>
    </w:p>
    <w:p w:rsidR="00EB312D" w:rsidRPr="0044240B" w:rsidP="00EB312D">
      <w:pPr>
        <w:jc w:val="center"/>
        <w:rPr>
          <w:b/>
          <w:szCs w:val="22"/>
        </w:rPr>
      </w:pPr>
    </w:p>
    <w:p w:rsidR="00EB312D" w:rsidRPr="0044240B" w:rsidP="00EB312D">
      <w:pPr>
        <w:jc w:val="center"/>
        <w:rPr>
          <w:b/>
          <w:szCs w:val="22"/>
        </w:rPr>
      </w:pPr>
      <w:r w:rsidRPr="0044240B">
        <w:rPr>
          <w:b/>
          <w:szCs w:val="22"/>
        </w:rPr>
        <w:t>Final Regulatory Flexibility Analysis</w:t>
      </w:r>
    </w:p>
    <w:p w:rsidR="00EB312D" w:rsidRPr="0044240B" w:rsidP="00EB312D">
      <w:pPr>
        <w:rPr>
          <w:szCs w:val="22"/>
        </w:rPr>
      </w:pPr>
    </w:p>
    <w:p w:rsidR="00EB312D" w:rsidRPr="00866B03" w:rsidP="00EB312D">
      <w:pPr>
        <w:numPr>
          <w:ilvl w:val="0"/>
          <w:numId w:val="10"/>
        </w:numPr>
        <w:tabs>
          <w:tab w:val="clear" w:pos="1080"/>
        </w:tabs>
        <w:spacing w:after="120"/>
      </w:pPr>
      <w:r w:rsidRPr="000F420B">
        <w:t xml:space="preserve">As required by the Regulatory Flexibility Act of </w:t>
      </w:r>
      <w:r w:rsidRPr="00117E95">
        <w:t>1980, as amended (RFA),</w:t>
      </w:r>
      <w:r>
        <w:rPr>
          <w:sz w:val="20"/>
          <w:vertAlign w:val="superscript"/>
        </w:rPr>
        <w:footnoteReference w:id="364"/>
      </w:r>
      <w:r w:rsidRPr="000F420B">
        <w:t xml:space="preserve"> an Initial Regulatory Flexibility Analysis (IRFA) was incorporated in the </w:t>
      </w:r>
      <w:r w:rsidRPr="62D2C496">
        <w:rPr>
          <w:i/>
          <w:iCs/>
        </w:rPr>
        <w:t>Notice of Proposed Rulemaking</w:t>
      </w:r>
      <w:r w:rsidRPr="00EF2848">
        <w:t xml:space="preserve"> for the access arbitrage proceeding.</w:t>
      </w:r>
      <w:r>
        <w:rPr>
          <w:sz w:val="20"/>
          <w:vertAlign w:val="superscript"/>
        </w:rPr>
        <w:footnoteReference w:id="365"/>
      </w:r>
      <w:r w:rsidRPr="000F420B">
        <w:t xml:space="preserve">  The Commission sought written public </w:t>
      </w:r>
      <w:r w:rsidRPr="00260224">
        <w:t>comments on</w:t>
      </w:r>
      <w:r w:rsidRPr="000F420B">
        <w:t xml:space="preserve"> the proposals in the </w:t>
      </w:r>
      <w:r w:rsidRPr="62D2C496">
        <w:rPr>
          <w:i/>
          <w:iCs/>
        </w:rPr>
        <w:t>Notice</w:t>
      </w:r>
      <w:r w:rsidRPr="00EF2848">
        <w:t>, including c</w:t>
      </w:r>
      <w:r w:rsidRPr="000F46F3">
        <w:t>omment on the IRF</w:t>
      </w:r>
      <w:r w:rsidRPr="007F2AF3">
        <w:t>A.  This present Final Regulatory Flexibility Analysis (FRFA) conforms to the RFA.</w:t>
      </w:r>
      <w:r>
        <w:rPr>
          <w:sz w:val="20"/>
          <w:vertAlign w:val="superscript"/>
        </w:rPr>
        <w:footnoteReference w:id="366"/>
      </w:r>
    </w:p>
    <w:p w:rsidR="00EB312D" w:rsidRPr="0044240B" w:rsidP="00EB312D">
      <w:pPr>
        <w:pStyle w:val="Heading2"/>
      </w:pPr>
      <w:bookmarkStart w:id="623" w:name="_Toc15028078"/>
      <w:bookmarkStart w:id="624" w:name="_Toc15310195"/>
      <w:bookmarkStart w:id="625" w:name="_Toc16762080"/>
      <w:bookmarkStart w:id="626" w:name="_Toc16843642"/>
      <w:bookmarkStart w:id="627" w:name="_Toc16863797"/>
      <w:bookmarkStart w:id="628" w:name="_Toc17048653"/>
      <w:bookmarkStart w:id="629" w:name="_Toc17364737"/>
      <w:bookmarkStart w:id="630" w:name="_Toc17469833"/>
      <w:bookmarkStart w:id="631" w:name="_Toc17887591"/>
      <w:bookmarkStart w:id="632" w:name="_Toc18423507"/>
      <w:bookmarkStart w:id="633" w:name="_Toc18423562"/>
      <w:bookmarkStart w:id="634" w:name="_Toc18423638"/>
      <w:bookmarkStart w:id="635" w:name="_Toc18486777"/>
      <w:bookmarkStart w:id="636" w:name="_Toc18487387"/>
      <w:bookmarkStart w:id="637" w:name="_Toc18487892"/>
      <w:bookmarkStart w:id="638" w:name="_Toc18488000"/>
      <w:bookmarkStart w:id="639" w:name="_Toc18488123"/>
      <w:bookmarkStart w:id="640" w:name="_Toc20056863"/>
      <w:bookmarkStart w:id="641" w:name="_Toc20219912"/>
      <w:r w:rsidRPr="0044240B">
        <w:t>Need for, and Objectives of, the Order</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EB312D" w:rsidP="00EB312D">
      <w:pPr>
        <w:pStyle w:val="ParaNum"/>
        <w:numPr>
          <w:ilvl w:val="0"/>
          <w:numId w:val="10"/>
        </w:numPr>
        <w:tabs>
          <w:tab w:val="clear" w:pos="1080"/>
        </w:tabs>
      </w:pPr>
      <w:r w:rsidRPr="000F420B">
        <w:t>Although the Commission’s earlier rules</w:t>
      </w:r>
      <w:r>
        <w:t xml:space="preserve">, adopted in the </w:t>
      </w:r>
      <w:r w:rsidRPr="00652BB4">
        <w:rPr>
          <w:i/>
        </w:rPr>
        <w:t>USF/ICC Transformation Order</w:t>
      </w:r>
      <w:r>
        <w:t>,</w:t>
      </w:r>
      <w:r w:rsidRPr="000F420B">
        <w:t xml:space="preserve"> made significant strides in reducing access stimulation,</w:t>
      </w:r>
      <w:r w:rsidRPr="0044240B">
        <w:t xml:space="preserve"> arbitragers have reacted to </w:t>
      </w:r>
      <w:r>
        <w:t xml:space="preserve">those </w:t>
      </w:r>
      <w:r w:rsidRPr="0044240B">
        <w:t>reforms by revising their schemes to take advantage of access charges that remain in place for tandem switching and transport services.</w:t>
      </w:r>
      <w:r>
        <w:rPr>
          <w:sz w:val="20"/>
          <w:vertAlign w:val="superscript"/>
        </w:rPr>
        <w:footnoteReference w:id="367"/>
      </w:r>
      <w:r w:rsidRPr="0044240B">
        <w:t xml:space="preserve">  N</w:t>
      </w:r>
      <w:r w:rsidRPr="000F420B">
        <w:t>ew forms of arbitrage now command significant resources and create significan</w:t>
      </w:r>
      <w:r w:rsidRPr="00117E95">
        <w:t>t costs, which together raise costs for consumers.</w:t>
      </w:r>
      <w:r>
        <w:rPr>
          <w:sz w:val="20"/>
          <w:vertAlign w:val="superscript"/>
        </w:rPr>
        <w:footnoteReference w:id="368"/>
      </w:r>
      <w:r w:rsidRPr="000F420B">
        <w:t xml:space="preserve">  In general, the intercarrier compensation regime allows access-stimulating </w:t>
      </w:r>
      <w:r>
        <w:t>local exchange carriers (</w:t>
      </w:r>
      <w:r w:rsidRPr="000F420B">
        <w:t>LECs</w:t>
      </w:r>
      <w:r>
        <w:t>)</w:t>
      </w:r>
      <w:r w:rsidRPr="000F420B">
        <w:t xml:space="preserve"> to shift the costs of call termination to </w:t>
      </w:r>
      <w:r w:rsidRPr="00117E95">
        <w:t>interexchange carriers (</w:t>
      </w:r>
      <w:r w:rsidRPr="00EF2848">
        <w:t>IXCs</w:t>
      </w:r>
      <w:r w:rsidRPr="007F2AF3">
        <w:t>)</w:t>
      </w:r>
      <w:r w:rsidRPr="009A0E15">
        <w:t xml:space="preserve"> and </w:t>
      </w:r>
      <w:r w:rsidRPr="007C723D">
        <w:t xml:space="preserve">their customers </w:t>
      </w:r>
      <w:r w:rsidRPr="00B66607">
        <w:t>via tandem switching and transport rates, creating perverse ince</w:t>
      </w:r>
      <w:r w:rsidRPr="006E55BF">
        <w:t xml:space="preserve">ntives for access-stimulating LECs to route network traffic inefficiently in a manner that maximizes those rates.  IXCs are obligated to pay these charges but are left without any choice about how the traffic is </w:t>
      </w:r>
      <w:r w:rsidRPr="006E55BF">
        <w:t>routed, and</w:t>
      </w:r>
      <w:r w:rsidRPr="006E55BF">
        <w:t xml:space="preserve"> pass those inflated costs along</w:t>
      </w:r>
      <w:r w:rsidRPr="00A67F16">
        <w:t xml:space="preserve"> to their customers in turn, raising the price for consumers generally.</w:t>
      </w:r>
      <w:r>
        <w:rPr>
          <w:sz w:val="20"/>
          <w:vertAlign w:val="superscript"/>
        </w:rPr>
        <w:footnoteReference w:id="369"/>
      </w:r>
    </w:p>
    <w:p w:rsidR="00EB312D" w:rsidP="00EB312D">
      <w:pPr>
        <w:pStyle w:val="ParaNum"/>
        <w:numPr>
          <w:ilvl w:val="0"/>
          <w:numId w:val="10"/>
        </w:numPr>
        <w:tabs>
          <w:tab w:val="clear" w:pos="1080"/>
        </w:tabs>
        <w:rPr>
          <w:szCs w:val="22"/>
        </w:rPr>
      </w:pPr>
      <w:r w:rsidRPr="00866B03">
        <w:rPr>
          <w:szCs w:val="22"/>
        </w:rPr>
        <w:t xml:space="preserve">In this </w:t>
      </w:r>
      <w:r w:rsidRPr="009B619A">
        <w:rPr>
          <w:i/>
          <w:szCs w:val="22"/>
        </w:rPr>
        <w:t>Order</w:t>
      </w:r>
      <w:r w:rsidRPr="00866B03">
        <w:rPr>
          <w:szCs w:val="22"/>
        </w:rPr>
        <w:t xml:space="preserve">, to reduce the incentives to engage in the latest iteration of access stimulation, as well as to continue the reforms of the </w:t>
      </w:r>
      <w:r w:rsidRPr="00866B03">
        <w:rPr>
          <w:i/>
          <w:szCs w:val="22"/>
        </w:rPr>
        <w:t>USF/ICC Transformation Order</w:t>
      </w:r>
      <w:r w:rsidRPr="00866B03">
        <w:rPr>
          <w:szCs w:val="22"/>
        </w:rPr>
        <w:t>, we adopt rule</w:t>
      </w:r>
      <w:r>
        <w:rPr>
          <w:szCs w:val="22"/>
        </w:rPr>
        <w:t>s</w:t>
      </w:r>
      <w:r w:rsidRPr="00866B03">
        <w:rPr>
          <w:szCs w:val="22"/>
        </w:rPr>
        <w:t xml:space="preserve"> making access-stimulating LECs, rather than IXCs, financially responsible for the tandem switching and transport service access charges associated with the delivery of traffic from the IXC to the access-stimulating LEC end office or its functional equivalent.  </w:t>
      </w:r>
    </w:p>
    <w:p w:rsidR="00EB312D" w:rsidRPr="00866B03" w:rsidP="00EB312D">
      <w:pPr>
        <w:pStyle w:val="ParaNum"/>
        <w:numPr>
          <w:ilvl w:val="0"/>
          <w:numId w:val="10"/>
        </w:numPr>
        <w:tabs>
          <w:tab w:val="clear" w:pos="1080"/>
        </w:tabs>
      </w:pPr>
      <w:r w:rsidRPr="000F420B">
        <w:t xml:space="preserve">The rules adopted in today’s </w:t>
      </w:r>
      <w:r w:rsidRPr="62D2C496">
        <w:rPr>
          <w:i/>
          <w:iCs/>
        </w:rPr>
        <w:t>Order</w:t>
      </w:r>
      <w:r w:rsidRPr="00EF2848">
        <w:t xml:space="preserve"> will thus require </w:t>
      </w:r>
      <w:r w:rsidRPr="007F2AF3">
        <w:t xml:space="preserve">switched </w:t>
      </w:r>
      <w:r w:rsidRPr="009A0E15">
        <w:t xml:space="preserve">tandem and transport costs to be charged to the carrier that chooses the transport route. </w:t>
      </w:r>
      <w:r w:rsidRPr="007C723D">
        <w:t xml:space="preserve"> This change will encourage cost-efficient network routing and investme</w:t>
      </w:r>
      <w:r w:rsidRPr="00D14B8B">
        <w:t xml:space="preserve">nt decisions, and remove the incentives that lead to inefficient interconnection </w:t>
      </w:r>
      <w:r w:rsidRPr="00B66607">
        <w:t xml:space="preserve">and call routing </w:t>
      </w:r>
      <w:r w:rsidRPr="006E55BF">
        <w:t>requirements.</w:t>
      </w:r>
      <w:r>
        <w:rPr>
          <w:sz w:val="20"/>
          <w:vertAlign w:val="superscript"/>
        </w:rPr>
        <w:footnoteReference w:id="370"/>
      </w:r>
      <w:r w:rsidRPr="000F420B">
        <w:t xml:space="preserve">  We also modify the definition of access stimulation to include </w:t>
      </w:r>
      <w:r>
        <w:t>two</w:t>
      </w:r>
      <w:r w:rsidRPr="000F420B">
        <w:t xml:space="preserve"> additional traffic volume trigger</w:t>
      </w:r>
      <w:r>
        <w:t>s</w:t>
      </w:r>
      <w:r w:rsidRPr="000F420B">
        <w:t>.</w:t>
      </w:r>
      <w:r>
        <w:rPr>
          <w:sz w:val="20"/>
          <w:vertAlign w:val="superscript"/>
        </w:rPr>
        <w:footnoteReference w:id="371"/>
      </w:r>
      <w:r w:rsidRPr="000F420B">
        <w:t xml:space="preserve">  We add t</w:t>
      </w:r>
      <w:r>
        <w:t>wo</w:t>
      </w:r>
      <w:r w:rsidRPr="000F420B">
        <w:t xml:space="preserve"> higher ratio</w:t>
      </w:r>
      <w:r>
        <w:t>s</w:t>
      </w:r>
      <w:r w:rsidRPr="000F420B">
        <w:t xml:space="preserve"> </w:t>
      </w:r>
      <w:r w:rsidRPr="0044240B">
        <w:t>to capture access-stimulating LECs that do not have a revenue</w:t>
      </w:r>
      <w:r>
        <w:t xml:space="preserve"> </w:t>
      </w:r>
      <w:r w:rsidRPr="0044240B">
        <w:t>sharing agreement, which would have escaped our current definition.</w:t>
      </w:r>
    </w:p>
    <w:p w:rsidR="00EB312D" w:rsidRPr="0044240B" w:rsidP="00EB312D">
      <w:pPr>
        <w:pStyle w:val="Heading2"/>
      </w:pPr>
      <w:bookmarkStart w:id="642" w:name="_Toc15028079"/>
      <w:bookmarkStart w:id="643" w:name="_Toc15310196"/>
      <w:bookmarkStart w:id="644" w:name="_Toc16762081"/>
      <w:bookmarkStart w:id="645" w:name="_Toc16843643"/>
      <w:bookmarkStart w:id="646" w:name="_Toc16863798"/>
      <w:bookmarkStart w:id="647" w:name="_Toc17048654"/>
      <w:bookmarkStart w:id="648" w:name="_Toc17364738"/>
      <w:bookmarkStart w:id="649" w:name="_Toc17469834"/>
      <w:bookmarkStart w:id="650" w:name="_Toc17887592"/>
      <w:bookmarkStart w:id="651" w:name="_Toc18423508"/>
      <w:bookmarkStart w:id="652" w:name="_Toc18423563"/>
      <w:bookmarkStart w:id="653" w:name="_Toc18423639"/>
      <w:bookmarkStart w:id="654" w:name="_Toc18486778"/>
      <w:bookmarkStart w:id="655" w:name="_Toc18487388"/>
      <w:bookmarkStart w:id="656" w:name="_Toc18487893"/>
      <w:bookmarkStart w:id="657" w:name="_Toc18488001"/>
      <w:bookmarkStart w:id="658" w:name="_Toc18488124"/>
      <w:bookmarkStart w:id="659" w:name="_Toc20056864"/>
      <w:bookmarkStart w:id="660" w:name="_Toc20219913"/>
      <w:r w:rsidRPr="0044240B">
        <w:t>Summary of Significant Issues Raised by Public Comments in Response to the IRFA</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EB312D" w:rsidRPr="0044240B" w:rsidP="00EB312D">
      <w:pPr>
        <w:pStyle w:val="ParaNum"/>
      </w:pPr>
      <w:r w:rsidRPr="0044240B">
        <w:t>The Commission did not receive comments specifically addressing the rules and policies proposed in the IRFA.</w:t>
      </w:r>
      <w:r>
        <w:t xml:space="preserve">  </w:t>
      </w:r>
      <w:r>
        <w:t>FailSafe</w:t>
      </w:r>
      <w:r>
        <w:t xml:space="preserve"> Communications, Inc., a self-described “end-user” and small business “disaster recovery” service provider, articulated related concerns elsewhere.  It requested an exemption from our rules “for CABS access traffic associated with bona-fide SMB [small and medium-sized businesses] end users with less than 24 phone lines,” arguing it and its “Independent Telephone Company” and competitive LEC partners would be adversely affected by the </w:t>
      </w:r>
      <w:r w:rsidRPr="002B1C36">
        <w:rPr>
          <w:i/>
        </w:rPr>
        <w:t>Order</w:t>
      </w:r>
      <w:r>
        <w:t xml:space="preserve"> and the requirements for access-stimulating LECs, but failing to propose a less burdensome alternative that would mitigate their concerns.</w:t>
      </w:r>
      <w:r>
        <w:rPr>
          <w:rStyle w:val="FootnoteReference"/>
        </w:rPr>
        <w:footnoteReference w:id="372"/>
      </w:r>
      <w:r>
        <w:t xml:space="preserve">  </w:t>
      </w:r>
      <w:r>
        <w:t>FailSafe</w:t>
      </w:r>
      <w:r>
        <w:t xml:space="preserve"> offers no evidence in support of its concern nor any explanation for why the exemption it proposes would resolve its concerns.  We thus decline to grant such an exemption at this time, but note here, as we do in the </w:t>
      </w:r>
      <w:r w:rsidRPr="008E7E2D">
        <w:rPr>
          <w:i/>
        </w:rPr>
        <w:t>Order</w:t>
      </w:r>
      <w:r>
        <w:t>, that affected rate-of-return LECs and competitive LECs may seek a waiver of our rules, particularly in compelling cases that may implicate the provision of emergency services.</w:t>
      </w:r>
      <w:r>
        <w:rPr>
          <w:rStyle w:val="FootnoteReference"/>
        </w:rPr>
        <w:footnoteReference w:id="373"/>
      </w:r>
    </w:p>
    <w:p w:rsidR="00EB312D" w:rsidRPr="0044240B" w:rsidP="00EB312D">
      <w:pPr>
        <w:pStyle w:val="Heading2"/>
      </w:pPr>
      <w:bookmarkStart w:id="661" w:name="_Toc15028080"/>
      <w:bookmarkStart w:id="662" w:name="_Toc15310197"/>
      <w:bookmarkStart w:id="663" w:name="_Toc16762082"/>
      <w:bookmarkStart w:id="664" w:name="_Toc16843644"/>
      <w:bookmarkStart w:id="665" w:name="_Toc16863799"/>
      <w:bookmarkStart w:id="666" w:name="_Toc17048655"/>
      <w:bookmarkStart w:id="667" w:name="_Toc17364739"/>
      <w:bookmarkStart w:id="668" w:name="_Toc17469835"/>
      <w:bookmarkStart w:id="669" w:name="_Toc17887593"/>
      <w:bookmarkStart w:id="670" w:name="_Toc18423509"/>
      <w:bookmarkStart w:id="671" w:name="_Toc18423564"/>
      <w:bookmarkStart w:id="672" w:name="_Toc18423640"/>
      <w:bookmarkStart w:id="673" w:name="_Toc18486779"/>
      <w:bookmarkStart w:id="674" w:name="_Toc18487389"/>
      <w:bookmarkStart w:id="675" w:name="_Toc18487894"/>
      <w:bookmarkStart w:id="676" w:name="_Toc18488002"/>
      <w:bookmarkStart w:id="677" w:name="_Toc18488125"/>
      <w:bookmarkStart w:id="678" w:name="_Toc20056865"/>
      <w:bookmarkStart w:id="679" w:name="_Toc20219914"/>
      <w:r w:rsidRPr="0044240B">
        <w:t>Response to Comments by Chief Counsel for Advocacy of the Small Business Administration</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rsidR="00EB312D" w:rsidP="00EB312D">
      <w:pPr>
        <w:pStyle w:val="ParaNum"/>
      </w:pPr>
      <w:r w:rsidRPr="0044240B">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sz w:val="20"/>
          <w:vertAlign w:val="superscript"/>
        </w:rPr>
        <w:footnoteReference w:id="374"/>
      </w:r>
      <w:r w:rsidRPr="0044240B">
        <w:t xml:space="preserve"> </w:t>
      </w:r>
    </w:p>
    <w:p w:rsidR="00EB312D" w:rsidRPr="0044240B" w:rsidP="00EB312D">
      <w:pPr>
        <w:pStyle w:val="ParaNum"/>
      </w:pPr>
      <w:r w:rsidRPr="0044240B">
        <w:t>The Chief Counsel did not file any comments in response to this proceeding.</w:t>
      </w:r>
    </w:p>
    <w:p w:rsidR="00EB312D" w:rsidRPr="0044240B" w:rsidP="00EB312D">
      <w:pPr>
        <w:pStyle w:val="Heading2"/>
      </w:pPr>
      <w:bookmarkStart w:id="680" w:name="_Hlk9435559"/>
      <w:bookmarkStart w:id="681" w:name="_Toc15028081"/>
      <w:bookmarkStart w:id="682" w:name="_Toc15310198"/>
      <w:bookmarkStart w:id="683" w:name="_Toc16762083"/>
      <w:bookmarkStart w:id="684" w:name="_Toc16843645"/>
      <w:bookmarkStart w:id="685" w:name="_Toc16863800"/>
      <w:bookmarkStart w:id="686" w:name="_Toc17048656"/>
      <w:bookmarkStart w:id="687" w:name="_Toc17364740"/>
      <w:bookmarkStart w:id="688" w:name="_Toc17469836"/>
      <w:bookmarkStart w:id="689" w:name="_Toc17887594"/>
      <w:bookmarkStart w:id="690" w:name="_Toc18423510"/>
      <w:bookmarkStart w:id="691" w:name="_Toc18423565"/>
      <w:bookmarkStart w:id="692" w:name="_Toc18423641"/>
      <w:bookmarkStart w:id="693" w:name="_Toc18486780"/>
      <w:bookmarkStart w:id="694" w:name="_Toc18487390"/>
      <w:bookmarkStart w:id="695" w:name="_Toc18487895"/>
      <w:bookmarkStart w:id="696" w:name="_Toc18488003"/>
      <w:bookmarkStart w:id="697" w:name="_Toc18488126"/>
      <w:bookmarkStart w:id="698" w:name="_Toc20056866"/>
      <w:bookmarkStart w:id="699" w:name="_Toc20219915"/>
      <w:r w:rsidRPr="0044240B">
        <w:t>Description and Estimate of the Number of Small Entities to Which the Rules Will Apply</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rsidR="00EB312D" w:rsidP="00EB312D">
      <w:pPr>
        <w:pStyle w:val="ParaNum"/>
      </w:pPr>
      <w:r w:rsidRPr="0044240B">
        <w:t>The RFA directs agencies to provide a description of, and, where feasible, an estimate of, the number of small entities that may be affected by the rules adopted herein.</w:t>
      </w:r>
      <w:r>
        <w:rPr>
          <w:sz w:val="20"/>
          <w:vertAlign w:val="superscript"/>
        </w:rPr>
        <w:footnoteReference w:id="375"/>
      </w:r>
      <w:r w:rsidRPr="0044240B">
        <w:t xml:space="preserve">  The RFA generally defines the term “small entity” as having the same meaning as the terms “small business,” “small organization,” and “small governmental jurisdiction.”</w:t>
      </w:r>
      <w:r>
        <w:rPr>
          <w:sz w:val="20"/>
          <w:vertAlign w:val="superscript"/>
        </w:rPr>
        <w:footnoteReference w:id="376"/>
      </w:r>
      <w:r w:rsidRPr="0044240B">
        <w:t xml:space="preserve">  In addition, the term “small business” has the </w:t>
      </w:r>
      <w:r w:rsidRPr="0044240B">
        <w:t>same meaning as the term “small business concern” under the Small Business Act.</w:t>
      </w:r>
      <w:r>
        <w:rPr>
          <w:sz w:val="20"/>
          <w:vertAlign w:val="superscript"/>
        </w:rPr>
        <w:footnoteReference w:id="377"/>
      </w:r>
      <w:r w:rsidRPr="0044240B">
        <w:t xml:space="preserve">  A “small business concern” is one which: (1)</w:t>
      </w:r>
      <w:r>
        <w:t> </w:t>
      </w:r>
      <w:r w:rsidRPr="0044240B">
        <w:t>is independently owned and operated; (2)</w:t>
      </w:r>
      <w:r>
        <w:t> </w:t>
      </w:r>
      <w:r w:rsidRPr="0044240B">
        <w:t>is not dominant in its field of operation; and (3)</w:t>
      </w:r>
      <w:r>
        <w:t> </w:t>
      </w:r>
      <w:r w:rsidRPr="0044240B">
        <w:t>satisfies any additional criteria established by the Small Business Administration (SBA).</w:t>
      </w:r>
      <w:r>
        <w:rPr>
          <w:sz w:val="20"/>
          <w:vertAlign w:val="superscript"/>
        </w:rPr>
        <w:footnoteReference w:id="378"/>
      </w:r>
    </w:p>
    <w:p w:rsidR="00EB312D" w:rsidRPr="00866B03" w:rsidP="00EB312D">
      <w:pPr>
        <w:pStyle w:val="ParaNum"/>
        <w:widowControl/>
      </w:pPr>
      <w:r w:rsidRPr="62D2C496">
        <w:rPr>
          <w:i/>
          <w:iCs/>
        </w:rPr>
        <w:t>Small Businesses, Small Organizations, Small Governmental Jurisdictions</w:t>
      </w:r>
      <w:r w:rsidRPr="0044240B">
        <w:t>.  Our actions, over time, may affect small entities that are not easily categorized at present.  We therefore describe here, at the outset, three broad groups of small entities that could be directly affected herein.</w:t>
      </w:r>
      <w:r>
        <w:rPr>
          <w:sz w:val="20"/>
          <w:vertAlign w:val="superscript"/>
        </w:rPr>
        <w:footnoteReference w:id="379"/>
      </w:r>
      <w:r w:rsidRPr="0044240B">
        <w:t xml:space="preserve">  First, while there are industry-specific size standards for small businesses that are used in the regulatory flexibility analysis, according to data from the SBA’s Office of Advocacy, in general a small business is an independent business having fewer than 500 employees.</w:t>
      </w:r>
      <w:r>
        <w:rPr>
          <w:sz w:val="20"/>
          <w:vertAlign w:val="superscript"/>
        </w:rPr>
        <w:footnoteReference w:id="380"/>
      </w:r>
      <w:r w:rsidRPr="0044240B">
        <w:t xml:space="preserve">  These types of small businesses represent 99.9% of all businesses in the United States which translates to 28.8 million businesses.</w:t>
      </w:r>
      <w:r>
        <w:rPr>
          <w:sz w:val="20"/>
          <w:vertAlign w:val="superscript"/>
        </w:rPr>
        <w:footnoteReference w:id="381"/>
      </w:r>
      <w:r w:rsidRPr="000F420B">
        <w:t xml:space="preserve"> </w:t>
      </w:r>
    </w:p>
    <w:p w:rsidR="00EB312D" w:rsidP="00EB312D">
      <w:pPr>
        <w:pStyle w:val="ParaNum"/>
      </w:pPr>
      <w:r w:rsidRPr="000F420B">
        <w:t>Next, the type o</w:t>
      </w:r>
      <w:r w:rsidRPr="00117E95">
        <w:t xml:space="preserve">f small entity described as </w:t>
      </w:r>
      <w:r w:rsidRPr="0044240B">
        <w:t>a “small organization” is generally “any not-for-profit enterprise which is independently owned and operated and is not dominant in its field.”</w:t>
      </w:r>
      <w:r>
        <w:rPr>
          <w:sz w:val="20"/>
          <w:vertAlign w:val="superscript"/>
        </w:rPr>
        <w:footnoteReference w:id="382"/>
      </w:r>
      <w:r w:rsidRPr="0044240B">
        <w:t xml:space="preserve">  Nationwide, as of August 2016, there were approximately 356,494 small organizations based on registration and tax data filed by nonprofits with the Internal Revenue Service (IRS).</w:t>
      </w:r>
      <w:r>
        <w:rPr>
          <w:sz w:val="20"/>
          <w:vertAlign w:val="superscript"/>
        </w:rPr>
        <w:footnoteReference w:id="383"/>
      </w:r>
      <w:r w:rsidRPr="0044240B">
        <w:t xml:space="preserve">  </w:t>
      </w:r>
    </w:p>
    <w:p w:rsidR="00EB312D" w:rsidP="00EB312D">
      <w:pPr>
        <w:pStyle w:val="ParaNum"/>
      </w:pPr>
      <w:r w:rsidRPr="0044240B">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384"/>
      </w:r>
      <w:r w:rsidRPr="0044240B">
        <w:t xml:space="preserve">  U.S. Census Bureau data from the 2012 Census of Governments</w:t>
      </w:r>
      <w:r>
        <w:rPr>
          <w:sz w:val="20"/>
          <w:vertAlign w:val="superscript"/>
        </w:rPr>
        <w:footnoteReference w:id="385"/>
      </w:r>
      <w:r w:rsidRPr="0044240B">
        <w:t xml:space="preserve"> indicate that there were </w:t>
      </w:r>
      <w:r w:rsidRPr="00866B03">
        <w:rPr>
          <w:color w:val="000000"/>
        </w:rPr>
        <w:t xml:space="preserve">90,056 </w:t>
      </w:r>
      <w:r w:rsidRPr="0044240B">
        <w:t xml:space="preserve">local governmental jurisdictions consisting of general </w:t>
      </w:r>
      <w:r w:rsidRPr="0044240B">
        <w:t>purpose governments and special purpose governments in the United States.</w:t>
      </w:r>
      <w:r>
        <w:rPr>
          <w:sz w:val="20"/>
          <w:vertAlign w:val="superscript"/>
        </w:rPr>
        <w:footnoteReference w:id="386"/>
      </w:r>
      <w:r w:rsidRPr="0044240B">
        <w:t xml:space="preserve">  Of this number there were 37, 132 General purpose governments (county</w:t>
      </w:r>
      <w:r>
        <w:rPr>
          <w:sz w:val="20"/>
          <w:vertAlign w:val="superscript"/>
        </w:rPr>
        <w:footnoteReference w:id="387"/>
      </w:r>
      <w:r w:rsidRPr="0044240B">
        <w:t>, municipal and town or township</w:t>
      </w:r>
      <w:r>
        <w:rPr>
          <w:sz w:val="20"/>
          <w:vertAlign w:val="superscript"/>
        </w:rPr>
        <w:footnoteReference w:id="388"/>
      </w:r>
      <w:r w:rsidRPr="0044240B">
        <w:t>) with populations of less than 50,000 and 12,184 Special purpose governments (independent school districts</w:t>
      </w:r>
      <w:r>
        <w:rPr>
          <w:sz w:val="20"/>
          <w:vertAlign w:val="superscript"/>
        </w:rPr>
        <w:footnoteReference w:id="389"/>
      </w:r>
      <w:r w:rsidRPr="0044240B">
        <w:t xml:space="preserve"> and special districts</w:t>
      </w:r>
      <w:r>
        <w:rPr>
          <w:sz w:val="20"/>
          <w:vertAlign w:val="superscript"/>
        </w:rPr>
        <w:footnoteReference w:id="390"/>
      </w:r>
      <w:r w:rsidRPr="0044240B">
        <w:t xml:space="preserve">) with populations of less than 50,000.  The 2012 U.S. Census Bureau data for most types of governments in the local government category show that </w:t>
      </w:r>
      <w:r w:rsidRPr="0044240B">
        <w:t>the majority of</w:t>
      </w:r>
      <w:r w:rsidRPr="0044240B">
        <w:t xml:space="preserve"> these governments have populations of less than 50,000.</w:t>
      </w:r>
      <w:r>
        <w:rPr>
          <w:sz w:val="20"/>
          <w:vertAlign w:val="superscript"/>
        </w:rPr>
        <w:footnoteReference w:id="391"/>
      </w:r>
      <w:r w:rsidRPr="0044240B">
        <w:t xml:space="preserve"> Based on this data we estimate that at least 49,316 local government jurisdictions fall in the category of “small governmental jurisdictions.”</w:t>
      </w:r>
      <w:r>
        <w:rPr>
          <w:sz w:val="20"/>
          <w:vertAlign w:val="superscript"/>
        </w:rPr>
        <w:footnoteReference w:id="392"/>
      </w:r>
      <w:bookmarkStart w:id="700" w:name="_Hlk9435507"/>
    </w:p>
    <w:p w:rsidR="00EB312D" w:rsidP="00EB312D">
      <w:pPr>
        <w:pStyle w:val="ParaNum"/>
      </w:pPr>
      <w:r w:rsidRPr="62D2C496">
        <w:rPr>
          <w:i/>
          <w:iCs/>
        </w:rPr>
        <w:t>Wired Telecommunications Carriers</w:t>
      </w:r>
      <w:r w:rsidRPr="0044240B">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393"/>
      </w:r>
      <w:r w:rsidRPr="0044240B">
        <w:t xml:space="preserve">  The SBA has developed a small business size standard for Wired Telecommunications Carriers, which consists of all such companies having 1,500 or fewer employees.</w:t>
      </w:r>
      <w:r>
        <w:rPr>
          <w:sz w:val="20"/>
          <w:vertAlign w:val="superscript"/>
        </w:rPr>
        <w:footnoteReference w:id="394"/>
      </w:r>
      <w:r w:rsidRPr="0044240B">
        <w:t xml:space="preserve">  Census data for 2012 show that there were 3,117 firms that operated </w:t>
      </w:r>
      <w:r w:rsidRPr="0044240B">
        <w:t xml:space="preserve">that year.  Of this total, 3,083 operated with fewer than 1,000 employees.  Thus, under this size standard, </w:t>
      </w:r>
      <w:r w:rsidRPr="0044240B">
        <w:t>the majority of</w:t>
      </w:r>
      <w:r w:rsidRPr="0044240B">
        <w:t xml:space="preserve"> firms in this industry can be considered small.</w:t>
      </w:r>
      <w:bookmarkEnd w:id="700"/>
    </w:p>
    <w:p w:rsidR="00EB312D" w:rsidP="00EB312D">
      <w:pPr>
        <w:pStyle w:val="ParaNum"/>
      </w:pPr>
      <w:r w:rsidRPr="62D2C496">
        <w:rPr>
          <w:i/>
          <w:iCs/>
        </w:rPr>
        <w:t>Local Exchange Carriers (LECs)</w:t>
      </w:r>
      <w:r w:rsidRPr="0044240B">
        <w:t>.  Neither the Commission nor the SBA has developed a size standard for small businesses specifically applicable to local exchange services.  The closest applicable NAICS Code category is Wired Telecommunications Carriers as defined above.  Under the applicable SBA size standard, such a business is small if it has 1,500 or fewer employees.</w:t>
      </w:r>
      <w:r>
        <w:rPr>
          <w:sz w:val="20"/>
          <w:vertAlign w:val="superscript"/>
        </w:rPr>
        <w:footnoteReference w:id="395"/>
      </w:r>
      <w:r w:rsidRPr="0044240B">
        <w:t xml:space="preserve">  According to Commission data, census data for 2012 shows that there were 3,117 firms that operated that year.  Of this total, 3,083 operated with fewer than 1,000 employees.</w:t>
      </w:r>
      <w:r>
        <w:rPr>
          <w:sz w:val="20"/>
          <w:vertAlign w:val="superscript"/>
        </w:rPr>
        <w:footnoteReference w:id="396"/>
      </w:r>
      <w:r w:rsidRPr="0044240B">
        <w:t xml:space="preserve">  The Commission therefore estimates that most providers of local exchange carrier service are small entities that may be affected by the rules adopted.</w:t>
      </w:r>
      <w:bookmarkStart w:id="702" w:name="_Hlk9435687"/>
    </w:p>
    <w:p w:rsidR="00EB312D" w:rsidP="00EB312D">
      <w:pPr>
        <w:pStyle w:val="ParaNum"/>
      </w:pPr>
      <w:r w:rsidRPr="62D2C496">
        <w:rPr>
          <w:i/>
          <w:iCs/>
        </w:rPr>
        <w:t>Incumbent LECs</w:t>
      </w:r>
      <w:r w:rsidRPr="0044240B">
        <w:t>.  Neither the Commission nor the SBA has developed a small business size standard specifically for incumbent local exchange services.  The closest applicable NAICS Code category is Wired Telecommunications Carriers as defined above.  Under that size standard, such a business is small if it has 1,500 or fewer employees.</w:t>
      </w:r>
      <w:r>
        <w:rPr>
          <w:sz w:val="20"/>
          <w:vertAlign w:val="superscript"/>
        </w:rPr>
        <w:footnoteReference w:id="397"/>
      </w:r>
      <w:r w:rsidRPr="0044240B">
        <w:t xml:space="preserve">  According to Commission data, 3,117 firms operated in that year.  Of this total, 3,083 operated with fewer than 1,000 employees.</w:t>
      </w:r>
      <w:r>
        <w:rPr>
          <w:sz w:val="20"/>
          <w:vertAlign w:val="superscript"/>
        </w:rPr>
        <w:footnoteReference w:id="398"/>
      </w:r>
      <w:r w:rsidRPr="0044240B">
        <w:t xml:space="preserve">  Consequently, the Commission estimates that most providers of incumbent local exchange service are small businesses that may be affected by the rules and policies adopted.  Three hundred and seven (1,307) Incumbent Local Exchange Carriers reported that they were incumbent local exchange service providers.</w:t>
      </w:r>
      <w:r>
        <w:rPr>
          <w:kern w:val="0"/>
          <w:sz w:val="20"/>
          <w:vertAlign w:val="superscript"/>
        </w:rPr>
        <w:footnoteReference w:id="399"/>
      </w:r>
      <w:r w:rsidRPr="0044240B">
        <w:t xml:space="preserve">  Of this total, an estimated 1,006 have 1,500 or fewer employees.</w:t>
      </w:r>
      <w:r>
        <w:rPr>
          <w:sz w:val="20"/>
          <w:vertAlign w:val="superscript"/>
        </w:rPr>
        <w:footnoteReference w:id="400"/>
      </w:r>
      <w:bookmarkEnd w:id="702"/>
    </w:p>
    <w:p w:rsidR="00EB312D" w:rsidP="00EB312D">
      <w:pPr>
        <w:pStyle w:val="ParaNum"/>
      </w:pPr>
      <w:r w:rsidRPr="62D2C496">
        <w:rPr>
          <w:i/>
          <w:iCs/>
        </w:rPr>
        <w:t>Competitive Local Exchange Carriers (Competitive LECs), Competitive Access Providers (CAPs), Shared-Tenant Service Providers, and Other Local Service Providers</w:t>
      </w:r>
      <w:r w:rsidRPr="0044240B">
        <w:t>.  Neither the Commission nor the SBA has developed a small business size standard specifically for these service providers.  The appropriate NAICS Code category is Wired Telecommunications Carriers, as defined above.  Under that size standard, such a business is small if it has 1,500 or fewer employees.</w:t>
      </w:r>
      <w:r>
        <w:rPr>
          <w:sz w:val="20"/>
          <w:vertAlign w:val="superscript"/>
        </w:rPr>
        <w:footnoteReference w:id="401"/>
      </w:r>
      <w:r w:rsidRPr="0044240B">
        <w:t xml:space="preserve">  U.S. Census data for 2012 indicate that 3,117 firms operated during that year.  Of that number, 3,083 operated with fewer than 1,000 employees.</w:t>
      </w:r>
      <w:r>
        <w:rPr>
          <w:sz w:val="20"/>
          <w:vertAlign w:val="superscript"/>
        </w:rPr>
        <w:footnoteReference w:id="402"/>
      </w:r>
      <w:r w:rsidRPr="0044240B">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  Of these 1,442 carriers, an estimated 1,256 have 1,500 or fewer employees.  In addition, 17 carriers have reported that they are Shared-Tenant Service Providers, and all 17 are estimated to have 1,500 or fewer employees.  Also, 72 carriers have reported that they are Other Local Service Providers.  Of this total, 70 have 1,500 or fewer </w:t>
      </w:r>
      <w:r w:rsidRPr="0044240B">
        <w:t>employees.  Consequently, based on internally researched FCC data, the Commission estimates that most providers of competitive local exchange service, competitive access providers, Shared-Tenant Service Providers, and Other Local Service Providers are small entities.</w:t>
      </w:r>
    </w:p>
    <w:p w:rsidR="00EB312D" w:rsidP="00EB312D">
      <w:pPr>
        <w:pStyle w:val="ParaNum"/>
      </w:pPr>
      <w:r w:rsidRPr="0044240B">
        <w:t xml:space="preserve">We have included small incumbent LECs in this present RFA analysis.  As noted above, a “small business” under the RFA is one that, </w:t>
      </w:r>
      <w:r w:rsidRPr="62D2C496">
        <w:rPr>
          <w:i/>
          <w:iCs/>
        </w:rPr>
        <w:t>inter alia</w:t>
      </w:r>
      <w:r w:rsidRPr="0044240B">
        <w:t>, meets the pertinent small business size standard (e.g., a telephone communications business having 1,500 or fewer employees), and “is not dominant in its field of operation.”</w:t>
      </w:r>
      <w:r>
        <w:rPr>
          <w:sz w:val="20"/>
          <w:vertAlign w:val="superscript"/>
        </w:rPr>
        <w:footnoteReference w:id="403"/>
      </w:r>
      <w:r w:rsidRPr="0044240B">
        <w:t xml:space="preserve">  The SBA’s Office of Advocacy contends that, for RFA purposes, small incumbent LECs are not dominant in their field of operation because any such dominance is not “national” in scope.</w:t>
      </w:r>
      <w:r>
        <w:rPr>
          <w:sz w:val="20"/>
          <w:vertAlign w:val="superscript"/>
        </w:rPr>
        <w:footnoteReference w:id="404"/>
      </w:r>
      <w:r w:rsidRPr="0044240B">
        <w:t xml:space="preserve">  We have therefore included small incumbent LECs in this RFA analysis, although we emphasize that this RFA action has no effect on Commission analyses and determinations in other, non-RFA contexts.</w:t>
      </w:r>
    </w:p>
    <w:p w:rsidR="00EB312D" w:rsidP="00EB312D">
      <w:pPr>
        <w:pStyle w:val="ParaNum"/>
      </w:pPr>
      <w:r w:rsidRPr="62D2C496">
        <w:rPr>
          <w:i/>
          <w:iCs/>
        </w:rPr>
        <w:t>Interexchange Carriers (IXCs)</w:t>
      </w:r>
      <w:r w:rsidRPr="0044240B">
        <w:t>.  Neither the Commission nor the SBA has developed a definition for Interexchange Carriers.  The closest NAICS Code category is Wired Telecommunications Carriers as defined above.  The applicable size standard under SBA rules is that such a business is small if it has 1,500 or fewer employees.</w:t>
      </w:r>
      <w:r>
        <w:rPr>
          <w:sz w:val="20"/>
          <w:vertAlign w:val="superscript"/>
        </w:rPr>
        <w:footnoteReference w:id="405"/>
      </w:r>
      <w:r w:rsidRPr="0044240B">
        <w:t xml:space="preserve">  U.S. Census data for 2012 indicates that 3,117 firms operated during that year.  Of that number, 3,083 operated with fewer than 1,000 employees.</w:t>
      </w:r>
      <w:r>
        <w:rPr>
          <w:sz w:val="20"/>
          <w:vertAlign w:val="superscript"/>
        </w:rPr>
        <w:footnoteReference w:id="406"/>
      </w:r>
      <w:r w:rsidRPr="0044240B">
        <w:t xml:space="preserve">  According to internally developed Commission data, 359 companies reported that their primary telecommunications service activity was the provision of interexchange services.</w:t>
      </w:r>
      <w:r>
        <w:rPr>
          <w:sz w:val="20"/>
          <w:vertAlign w:val="superscript"/>
        </w:rPr>
        <w:footnoteReference w:id="407"/>
      </w:r>
      <w:r w:rsidRPr="0044240B">
        <w:t xml:space="preserve">  Of this total, an estimated 317 have 1,500 or fewer employees.  Consequently, the Commission estimates that the majority of IXCs are small entities that may be affected by our proposed rules.</w:t>
      </w:r>
    </w:p>
    <w:p w:rsidR="00EB312D" w:rsidP="00EB312D">
      <w:pPr>
        <w:pStyle w:val="ParaNum"/>
      </w:pPr>
      <w:r w:rsidRPr="62D2C496">
        <w:rPr>
          <w:i/>
          <w:iCs/>
        </w:rPr>
        <w:t>Local Resellers</w:t>
      </w:r>
      <w:r w:rsidRPr="0044240B">
        <w:t>.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sz w:val="20"/>
          <w:vertAlign w:val="superscript"/>
        </w:rPr>
        <w:footnoteReference w:id="408"/>
      </w:r>
      <w:r w:rsidRPr="0044240B">
        <w:t xml:space="preserve">  Under that size standard, such a business is small if it has 1,500 or fewer employees.</w:t>
      </w:r>
      <w:r>
        <w:rPr>
          <w:sz w:val="20"/>
          <w:vertAlign w:val="superscript"/>
        </w:rPr>
        <w:footnoteReference w:id="409"/>
      </w:r>
      <w:r w:rsidRPr="0044240B">
        <w:t xml:space="preserve">  Census data for 2012 show that 1,341 firms provided resale services during that year.  Of that number, all operated with fewer than 1,000 employees.  Thus, under this category and the associated small business size standard, </w:t>
      </w:r>
      <w:r w:rsidRPr="0044240B">
        <w:t>the majority of</w:t>
      </w:r>
      <w:r w:rsidRPr="0044240B">
        <w:t xml:space="preserve"> these resellers can be considered small entities.</w:t>
      </w:r>
    </w:p>
    <w:p w:rsidR="00EB312D" w:rsidP="00EB312D">
      <w:pPr>
        <w:pStyle w:val="ParaNum"/>
      </w:pPr>
      <w:r w:rsidRPr="62D2C496">
        <w:rPr>
          <w:i/>
          <w:iCs/>
        </w:rPr>
        <w:t>Toll Resellers</w:t>
      </w:r>
      <w:r w:rsidRPr="0044240B">
        <w:t xml:space="preserve">.  The Commission has not developed a definition for Toll Resellers.  The closest NAICS Code Category is Telecommunications Resellers.  The Telecommunications Resellers industry comprises establishments engaged in purchasing access and network capacity from owners and </w:t>
      </w:r>
      <w:r w:rsidRPr="0044240B">
        <w:t>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sz w:val="20"/>
          <w:vertAlign w:val="superscript"/>
        </w:rPr>
        <w:footnoteReference w:id="410"/>
      </w:r>
      <w:r w:rsidRPr="0044240B">
        <w:t xml:space="preserve">  The SBA has developed a small business size standard for the category of Telecommunications Resellers.</w:t>
      </w:r>
      <w:r>
        <w:rPr>
          <w:sz w:val="20"/>
          <w:vertAlign w:val="superscript"/>
        </w:rPr>
        <w:footnoteReference w:id="411"/>
      </w:r>
      <w:r w:rsidRPr="0044240B">
        <w:t xml:space="preserve">  Under that size standard, such a business is small if it has 1,500 or fewer employees.</w:t>
      </w:r>
      <w:r>
        <w:rPr>
          <w:sz w:val="20"/>
          <w:vertAlign w:val="superscript"/>
        </w:rPr>
        <w:footnoteReference w:id="412"/>
      </w:r>
      <w:r w:rsidRPr="0044240B">
        <w:t xml:space="preserve">  Census data for 2012 show that 1,341 firms provided resale services during that year.  Of that number, 1,341 operated with fewer than 1,000 employees.  Thus, under this category and the associated small business size standard, </w:t>
      </w:r>
      <w:r w:rsidRPr="0044240B">
        <w:t>the majority of</w:t>
      </w:r>
      <w:r w:rsidRPr="0044240B">
        <w:t xml:space="preserve"> these resellers can be considered small entities.  According to Commission data, 881 carriers have reported that they are engaged in the provision of toll resale services.  Of this total, an estimated 857 have 1,500 or fewer employees.  Consequently, the Commission estimates that </w:t>
      </w:r>
      <w:r w:rsidRPr="0044240B">
        <w:t>the majority of</w:t>
      </w:r>
      <w:r w:rsidRPr="0044240B">
        <w:t xml:space="preserve"> toll resellers are small entities.</w:t>
      </w:r>
    </w:p>
    <w:p w:rsidR="00EB312D" w:rsidP="00EB312D">
      <w:pPr>
        <w:pStyle w:val="ParaNum"/>
      </w:pPr>
      <w:r w:rsidRPr="62D2C496">
        <w:rPr>
          <w:i/>
          <w:iCs/>
        </w:rPr>
        <w:t>Other Toll Carriers</w:t>
      </w:r>
      <w:r w:rsidRPr="0044240B">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above.  Under the applicable SBA size standard, such a business is small if it has 1,500 or fewer employees.</w:t>
      </w:r>
      <w:r>
        <w:rPr>
          <w:sz w:val="20"/>
          <w:vertAlign w:val="superscript"/>
        </w:rPr>
        <w:footnoteReference w:id="413"/>
      </w:r>
      <w:r w:rsidRPr="0044240B">
        <w:t xml:space="preserve">  Census data for 2012 shows that there were 3,117 firms that operated that year.  Of this total, 3,083 operated with fewer than 1,000 employees.</w:t>
      </w:r>
      <w:r>
        <w:rPr>
          <w:sz w:val="20"/>
          <w:vertAlign w:val="superscript"/>
        </w:rPr>
        <w:footnoteReference w:id="414"/>
      </w:r>
      <w:r w:rsidRPr="0044240B">
        <w:t xml:space="preserve">  Thus, under this category and the associated small business size standard, the majority of Other Toll Carriers can be considered small.  According to internally developed Commission data, 284 companies reported that their primary telecommunications service activity was the provision of other toll carriage.</w:t>
      </w:r>
      <w:r>
        <w:rPr>
          <w:sz w:val="20"/>
          <w:vertAlign w:val="superscript"/>
        </w:rPr>
        <w:footnoteReference w:id="415"/>
      </w:r>
      <w:r w:rsidRPr="0044240B">
        <w:t xml:space="preserve">  Of these, an estimated 279 have 1,500 or fewer employees.  Consequently, the Commission estimates that most Other Toll Carriers are small entities that may be affected by rules adopted pursuant to the Notice.</w:t>
      </w:r>
    </w:p>
    <w:p w:rsidR="00EB312D" w:rsidP="005F5484">
      <w:pPr>
        <w:pStyle w:val="ParaNum"/>
        <w:widowControl/>
      </w:pPr>
      <w:r w:rsidRPr="62D2C496">
        <w:rPr>
          <w:i/>
          <w:iCs/>
        </w:rPr>
        <w:t>Prepaid Calling Card Providers</w:t>
      </w:r>
      <w:r w:rsidRPr="0044240B">
        <w:t>.  The SBA has developed a definition for small businesses within the category of Telecommunications Resellers.  Under that SBA definition, such a business is small if it has 1,500 or fewer employees.</w:t>
      </w:r>
      <w:r>
        <w:rPr>
          <w:sz w:val="20"/>
          <w:vertAlign w:val="superscript"/>
        </w:rPr>
        <w:footnoteReference w:id="416"/>
      </w:r>
      <w:r w:rsidRPr="0044240B">
        <w:t xml:space="preserve">  According to the Commission's Form 499 Filer Database, 500 companies reported that they were engaged in the provision of prepaid calling cards.</w:t>
      </w:r>
      <w:r>
        <w:rPr>
          <w:sz w:val="20"/>
          <w:vertAlign w:val="superscript"/>
        </w:rPr>
        <w:footnoteReference w:id="417"/>
      </w:r>
      <w:r w:rsidRPr="0044240B">
        <w:t xml:space="preserve">  The Commission does not have data regarding how many of these 500 companies have 1,500 or fewer employees.  Consequently, the Commission estimates that there are 500 or fewer prepaid calling card providers that may be affected by the rules.</w:t>
      </w:r>
    </w:p>
    <w:p w:rsidR="00EB312D" w:rsidP="00EB312D">
      <w:pPr>
        <w:pStyle w:val="ParaNum"/>
      </w:pPr>
      <w:r w:rsidRPr="62D2C496">
        <w:rPr>
          <w:i/>
          <w:iCs/>
        </w:rPr>
        <w:t>Wireless Telecommunications Carriers (except Satellite)</w:t>
      </w:r>
      <w:r w:rsidRPr="0044240B">
        <w:t xml:space="preserve">. This industry comprises establishments engaged in operating and maintaining switching and transmission facilities to provide </w:t>
      </w:r>
      <w:r w:rsidRPr="0044240B">
        <w:t>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418"/>
      </w:r>
      <w:r w:rsidRPr="0044240B">
        <w:t xml:space="preserve">  The appropriate size standard under SBA rules is that such a business is small if it has 1,500 or fewer employees.</w:t>
      </w:r>
      <w:r>
        <w:rPr>
          <w:sz w:val="20"/>
          <w:vertAlign w:val="superscript"/>
        </w:rPr>
        <w:footnoteReference w:id="419"/>
      </w:r>
      <w:r w:rsidRPr="0044240B">
        <w:t xml:space="preserve">  For this industry, U.S. Census data for 2012 show that there were 967 firms that operated for the entire year.</w:t>
      </w:r>
      <w:r>
        <w:rPr>
          <w:sz w:val="20"/>
          <w:vertAlign w:val="superscript"/>
        </w:rPr>
        <w:footnoteReference w:id="420"/>
      </w:r>
      <w:r w:rsidRPr="0044240B">
        <w:t xml:space="preserve">  Of this total, 955 firms had employment of 999 or fewer employees and 12 had employment of 1000 employees or more.</w:t>
      </w:r>
      <w:r>
        <w:rPr>
          <w:sz w:val="20"/>
          <w:vertAlign w:val="superscript"/>
        </w:rPr>
        <w:footnoteReference w:id="421"/>
      </w:r>
      <w:r w:rsidRPr="0044240B">
        <w:t xml:space="preserve">  Thus under this category and the associated size standard, the Commission estimates that the majority of wireless telecommunications carriers (except satellite) are small entities.</w:t>
      </w:r>
    </w:p>
    <w:p w:rsidR="00EB312D" w:rsidP="00EB312D">
      <w:pPr>
        <w:pStyle w:val="ParaNum"/>
      </w:pPr>
      <w:r w:rsidRPr="0044240B">
        <w:t>The Commission’s own data—available in its Universal Licensing System—indicate that, as of October 25, 2016, there are 280 Cellular licensees that may be affected by our actions today.</w:t>
      </w:r>
      <w:r>
        <w:rPr>
          <w:sz w:val="20"/>
          <w:vertAlign w:val="superscript"/>
        </w:rPr>
        <w:footnoteReference w:id="422"/>
      </w:r>
      <w:r w:rsidRPr="0044240B">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and Specialized Mobile Radio Telephony services.</w:t>
      </w:r>
      <w:r>
        <w:rPr>
          <w:sz w:val="20"/>
          <w:vertAlign w:val="superscript"/>
        </w:rPr>
        <w:footnoteReference w:id="423"/>
      </w:r>
      <w:r w:rsidRPr="0044240B">
        <w:t xml:space="preserve">  Of this total, an estimated 261 have 1,500 or fewer employees, and 152 have more than 1,500 employees.  Thus, using available data, we estimate that </w:t>
      </w:r>
      <w:r w:rsidRPr="0044240B">
        <w:t>the majority of</w:t>
      </w:r>
      <w:r w:rsidRPr="0044240B">
        <w:t xml:space="preserve"> wireless firms can be considered small.</w:t>
      </w:r>
    </w:p>
    <w:p w:rsidR="00EB312D" w:rsidP="00EB312D">
      <w:pPr>
        <w:pStyle w:val="ParaNum"/>
      </w:pPr>
      <w:r w:rsidRPr="62D2C496">
        <w:rPr>
          <w:i/>
          <w:iCs/>
        </w:rPr>
        <w:t>Wireless Communications Services</w:t>
      </w:r>
      <w:r w:rsidRPr="0044240B">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sz w:val="20"/>
          <w:vertAlign w:val="superscript"/>
        </w:rPr>
        <w:footnoteReference w:id="424"/>
      </w:r>
      <w:r w:rsidRPr="0044240B">
        <w:t xml:space="preserve">  The SBA has approved these definitions.</w:t>
      </w:r>
      <w:r>
        <w:rPr>
          <w:sz w:val="20"/>
          <w:vertAlign w:val="superscript"/>
        </w:rPr>
        <w:footnoteReference w:id="425"/>
      </w:r>
    </w:p>
    <w:p w:rsidR="00EB312D" w:rsidP="00EB312D">
      <w:pPr>
        <w:pStyle w:val="ParaNum"/>
      </w:pPr>
      <w:r w:rsidRPr="62D2C496">
        <w:rPr>
          <w:i/>
          <w:iCs/>
        </w:rPr>
        <w:t>Wireless Telephony</w:t>
      </w:r>
      <w:r w:rsidRPr="0044240B">
        <w:t>.  Wireless telephony includes cellular, personal communications services, and specialized mobile radio telephony carriers.  As noted, the SBA has developed a small business size standard for Wireless Telecommunications Carriers (except Satellite).</w:t>
      </w:r>
      <w:r>
        <w:rPr>
          <w:sz w:val="20"/>
          <w:vertAlign w:val="superscript"/>
        </w:rPr>
        <w:footnoteReference w:id="426"/>
      </w:r>
      <w:r w:rsidRPr="0044240B">
        <w:t xml:space="preserve">  Under the SBA small business size standard, a business is small if it has 1,500 or fewer employees.</w:t>
      </w:r>
      <w:r>
        <w:rPr>
          <w:sz w:val="20"/>
          <w:vertAlign w:val="superscript"/>
        </w:rPr>
        <w:footnoteReference w:id="427"/>
      </w:r>
      <w:r w:rsidRPr="0044240B">
        <w:t xml:space="preserve">  According to </w:t>
      </w:r>
      <w:r w:rsidRPr="0044240B">
        <w:t>Commission data, 413 carriers reported that they were engaged in wireless telephony.</w:t>
      </w:r>
      <w:r>
        <w:rPr>
          <w:sz w:val="20"/>
          <w:vertAlign w:val="superscript"/>
        </w:rPr>
        <w:footnoteReference w:id="428"/>
      </w:r>
      <w:r w:rsidRPr="0044240B">
        <w:t xml:space="preserve">  Of these, an estimated 261 have 1,500 or fewer employees and 152 have more than 1,500 employees.  Therefore, a little less than one third of these entities can be considered small.</w:t>
      </w:r>
    </w:p>
    <w:p w:rsidR="00EB312D" w:rsidP="00EB312D">
      <w:pPr>
        <w:pStyle w:val="ParaNum"/>
      </w:pPr>
      <w:r w:rsidRPr="62D2C496">
        <w:rPr>
          <w:i/>
          <w:iCs/>
        </w:rPr>
        <w:t>Cable and Other Subscription Programming</w:t>
      </w:r>
      <w:r w:rsidRPr="0044240B">
        <w:t>.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sz w:val="20"/>
          <w:vertAlign w:val="superscript"/>
        </w:rPr>
        <w:footnoteReference w:id="429"/>
      </w:r>
      <w:r w:rsidRPr="0044240B">
        <w:t xml:space="preserve"> The SBA has established a size standard for this industry stating that a business in this industry is small if it has 1,500 or fewer employees.</w:t>
      </w:r>
      <w:r>
        <w:rPr>
          <w:sz w:val="20"/>
          <w:vertAlign w:val="superscript"/>
        </w:rPr>
        <w:footnoteReference w:id="430"/>
      </w:r>
      <w:r w:rsidRPr="0044240B">
        <w:t xml:space="preserve">  The 2012 Economic Census indicates that 367 firms were operational for that entire year.  Of this total, 357 operated with less than 1,000 employees.</w:t>
      </w:r>
      <w:r>
        <w:rPr>
          <w:sz w:val="20"/>
          <w:vertAlign w:val="superscript"/>
        </w:rPr>
        <w:footnoteReference w:id="431"/>
      </w:r>
      <w:r w:rsidRPr="0044240B">
        <w:t xml:space="preserve">  Accordingly we conclude that a substantial majority of firms in this industry are small under the applicable SBA size standard.</w:t>
      </w:r>
    </w:p>
    <w:p w:rsidR="00EB312D" w:rsidP="00EB312D">
      <w:pPr>
        <w:pStyle w:val="ParaNum"/>
      </w:pPr>
      <w:r w:rsidRPr="62D2C496">
        <w:rPr>
          <w:i/>
          <w:iCs/>
        </w:rPr>
        <w:t>Cable Companies and Systems (Rate Regulation)</w:t>
      </w:r>
      <w:r w:rsidRPr="0044240B">
        <w:t>.  The Commission has developed its own small business size standards for the purpose of cable rate regulation.  Under the Commission’s rules, a “small cable company” is one serving 400,000 or fewer subscribers nationwide.</w:t>
      </w:r>
      <w:r>
        <w:rPr>
          <w:sz w:val="20"/>
          <w:vertAlign w:val="superscript"/>
        </w:rPr>
        <w:footnoteReference w:id="432"/>
      </w:r>
      <w:r w:rsidRPr="0044240B">
        <w:t xml:space="preserve">  Industry data indicate that there are currently 4,600 active cable systems in the United States.</w:t>
      </w:r>
      <w:r>
        <w:rPr>
          <w:sz w:val="20"/>
          <w:vertAlign w:val="superscript"/>
        </w:rPr>
        <w:footnoteReference w:id="433"/>
      </w:r>
      <w:r w:rsidRPr="0044240B">
        <w:t xml:space="preserve">  Of this total, all but eleven cable operators nationwide are small under the 400,000-subscriber size standard.</w:t>
      </w:r>
      <w:r>
        <w:rPr>
          <w:sz w:val="20"/>
          <w:vertAlign w:val="superscript"/>
        </w:rPr>
        <w:footnoteReference w:id="434"/>
      </w:r>
      <w:r w:rsidRPr="0044240B">
        <w:t xml:space="preserve">  In addition, under the Commission’s rate regulation rules, a “small system” is a cable system serving 15,000 or fewer subscribers.</w:t>
      </w:r>
      <w:r>
        <w:rPr>
          <w:sz w:val="20"/>
          <w:vertAlign w:val="superscript"/>
        </w:rPr>
        <w:footnoteReference w:id="435"/>
      </w:r>
      <w:r w:rsidRPr="0044240B">
        <w:t xml:space="preserve">  Current Commission records show 4,600 cable systems nationwide.  Of this total, 3,900 cable systems have fewer than 15,000 subscribers, and 700 systems have 15,000 or more subscribers, based on the same records.</w:t>
      </w:r>
      <w:r>
        <w:rPr>
          <w:sz w:val="20"/>
          <w:vertAlign w:val="superscript"/>
        </w:rPr>
        <w:footnoteReference w:id="436"/>
      </w:r>
      <w:r w:rsidRPr="0044240B">
        <w:t xml:space="preserve">  Thus, under this standard as well, we estimate that most cable systems are small entities.</w:t>
      </w:r>
    </w:p>
    <w:p w:rsidR="00EB312D" w:rsidP="00EB312D">
      <w:pPr>
        <w:pStyle w:val="ParaNum"/>
      </w:pPr>
      <w:r w:rsidRPr="62D2C496">
        <w:rPr>
          <w:i/>
          <w:iCs/>
        </w:rPr>
        <w:t>Cable System Operators (Telecom Act Standard)</w:t>
      </w:r>
      <w:r w:rsidRPr="0044240B">
        <w:t>.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sz w:val="20"/>
          <w:vertAlign w:val="superscript"/>
        </w:rPr>
        <w:footnoteReference w:id="437"/>
      </w:r>
      <w:r w:rsidRPr="0044240B">
        <w:t xml:space="preserve">  There are approximately 52,403,705 cable video subscribers in the United States </w:t>
      </w:r>
      <w:r w:rsidRPr="0044240B">
        <w:t>today.</w:t>
      </w:r>
      <w:r>
        <w:rPr>
          <w:sz w:val="20"/>
          <w:vertAlign w:val="superscript"/>
        </w:rPr>
        <w:footnoteReference w:id="438"/>
      </w:r>
      <w:r w:rsidRPr="0044240B">
        <w:t xml:space="preserve">  Accordingly, an operator serving fewer than 524,037 subscribers shall be deemed a small operator if its annual revenues, when combined with the total annual revenues of all its affiliates, do not exceed $250 million in the aggregate.</w:t>
      </w:r>
      <w:r>
        <w:rPr>
          <w:sz w:val="20"/>
          <w:vertAlign w:val="superscript"/>
        </w:rPr>
        <w:footnoteReference w:id="439"/>
      </w:r>
      <w:r w:rsidRPr="0044240B">
        <w:t xml:space="preserve">  Based on available data, we find that all but nine incumbent cable operators are small entities under this size standard.</w:t>
      </w:r>
      <w:r>
        <w:rPr>
          <w:sz w:val="20"/>
          <w:vertAlign w:val="superscript"/>
        </w:rPr>
        <w:footnoteReference w:id="440"/>
      </w:r>
      <w:r w:rsidRPr="0044240B">
        <w:t xml:space="preserve">  We note that the Commission neither requests nor collects information on whether cable system operators are affiliated with entities whose gross annual revenues exceed $250 million.</w:t>
      </w:r>
      <w:r>
        <w:rPr>
          <w:sz w:val="20"/>
          <w:vertAlign w:val="superscript"/>
        </w:rPr>
        <w:footnoteReference w:id="441"/>
      </w:r>
      <w:r w:rsidRPr="0044240B">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EB312D" w:rsidRPr="0044240B" w:rsidP="00EB312D">
      <w:pPr>
        <w:pStyle w:val="ParaNum"/>
      </w:pPr>
      <w:r w:rsidRPr="62D2C496">
        <w:rPr>
          <w:i/>
          <w:iCs/>
        </w:rPr>
        <w:t>All Other Telecommunications</w:t>
      </w:r>
      <w:r w:rsidRPr="0044240B">
        <w:t>.  The “All Other Telecommunications”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sz w:val="20"/>
          <w:vertAlign w:val="superscript"/>
        </w:rPr>
        <w:footnoteReference w:id="442"/>
      </w:r>
      <w:r w:rsidRPr="0044240B">
        <w:t xml:space="preserve">  The SBA has developed a small business size standard for “All Other Telecommunications,” which consists of all such firms with gross annual receipts of $32.5 million or less.</w:t>
      </w:r>
      <w:r>
        <w:rPr>
          <w:sz w:val="20"/>
          <w:vertAlign w:val="superscript"/>
        </w:rPr>
        <w:footnoteReference w:id="443"/>
      </w:r>
      <w:r w:rsidRPr="0044240B">
        <w:t xml:space="preserve">  For this category, U.S. Census data for 2012 show that there were 1,442 firms that operated for the entire year.  Of these firms, a total of 1,400 had gross annual receipts of less than $25 million.</w:t>
      </w:r>
      <w:r>
        <w:rPr>
          <w:sz w:val="20"/>
          <w:vertAlign w:val="superscript"/>
        </w:rPr>
        <w:footnoteReference w:id="444"/>
      </w:r>
      <w:r w:rsidRPr="0044240B">
        <w:t xml:space="preserve">  Thus a majority of “All Other Telecommunications” firms potentially may be affected by our action can be considered small.</w:t>
      </w:r>
    </w:p>
    <w:p w:rsidR="00EB312D" w:rsidRPr="0044240B" w:rsidP="00EB312D">
      <w:pPr>
        <w:pStyle w:val="Heading2"/>
      </w:pPr>
      <w:bookmarkStart w:id="704" w:name="_Toc15028082"/>
      <w:bookmarkStart w:id="705" w:name="_Toc15310199"/>
      <w:bookmarkStart w:id="706" w:name="_Toc16762084"/>
      <w:bookmarkStart w:id="707" w:name="_Toc16843646"/>
      <w:bookmarkStart w:id="708" w:name="_Toc16863801"/>
      <w:bookmarkStart w:id="709" w:name="_Toc17048657"/>
      <w:bookmarkStart w:id="710" w:name="_Toc17364741"/>
      <w:bookmarkStart w:id="711" w:name="_Toc17469837"/>
      <w:bookmarkStart w:id="712" w:name="_Toc17887595"/>
      <w:bookmarkStart w:id="713" w:name="_Toc18423511"/>
      <w:bookmarkStart w:id="714" w:name="_Toc18423566"/>
      <w:bookmarkStart w:id="715" w:name="_Toc18423642"/>
      <w:bookmarkStart w:id="716" w:name="_Toc18486781"/>
      <w:bookmarkStart w:id="717" w:name="_Toc18487391"/>
      <w:bookmarkStart w:id="718" w:name="_Toc18487896"/>
      <w:bookmarkStart w:id="719" w:name="_Toc18488004"/>
      <w:bookmarkStart w:id="720" w:name="_Toc18488127"/>
      <w:bookmarkStart w:id="721" w:name="_Toc20056867"/>
      <w:bookmarkStart w:id="722" w:name="_Toc20219916"/>
      <w:r w:rsidRPr="0044240B">
        <w:t>Description of Projected Reporting, Recordkeeping, and Other Compliance Requirements for Small Entities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rsidR="00EB312D" w:rsidRPr="0044240B" w:rsidP="00EB312D">
      <w:pPr>
        <w:pStyle w:val="ParaNum"/>
      </w:pPr>
      <w:r w:rsidRPr="62D2C496">
        <w:rPr>
          <w:i/>
          <w:iCs/>
        </w:rPr>
        <w:t>Recordkeeping and Reporting</w:t>
      </w:r>
      <w:r w:rsidRPr="0044240B">
        <w:t xml:space="preserve">.  The rule revisions adopted in the </w:t>
      </w:r>
      <w:r w:rsidRPr="62D2C496">
        <w:rPr>
          <w:i/>
          <w:iCs/>
        </w:rPr>
        <w:t>Order</w:t>
      </w:r>
      <w:r w:rsidRPr="0044240B">
        <w:t xml:space="preserve"> include notification requirements for access-stimulating LECs, which may impact small entities.</w:t>
      </w:r>
      <w:r>
        <w:rPr>
          <w:sz w:val="20"/>
          <w:vertAlign w:val="superscript"/>
        </w:rPr>
        <w:footnoteReference w:id="445"/>
      </w:r>
      <w:r w:rsidRPr="0044240B">
        <w:t xml:space="preserve">  Those LECs </w:t>
      </w:r>
      <w:r>
        <w:t>engaged in</w:t>
      </w:r>
      <w:r w:rsidRPr="0044240B">
        <w:t xml:space="preserve"> access stimulat</w:t>
      </w:r>
      <w:r>
        <w:t>ion</w:t>
      </w:r>
      <w:r w:rsidRPr="0044240B">
        <w:t xml:space="preserve"> are required to notify affected intermediate access providers and affected IXCs of their status as access stimulators and of their acceptance of financial responsibility for the tandem and transport switched access charges </w:t>
      </w:r>
      <w:r>
        <w:t>IXCs</w:t>
      </w:r>
      <w:r w:rsidRPr="0044240B">
        <w:t xml:space="preserve"> used to bear.  An access-stimulating LEC must also publicly file a record of its access-stimulating status and acceptance of financial responsibility in the Commission’s </w:t>
      </w:r>
      <w:r w:rsidRPr="009D01A9">
        <w:rPr>
          <w:i/>
        </w:rPr>
        <w:t>Access Arbitrage</w:t>
      </w:r>
      <w:r w:rsidRPr="0044240B">
        <w:t xml:space="preserve"> docket on the same day that it issues notice to IXC(s) and/or intermediate access provider(s).</w:t>
      </w:r>
    </w:p>
    <w:p w:rsidR="00EB312D" w:rsidRPr="0044240B" w:rsidP="00EB312D">
      <w:pPr>
        <w:pStyle w:val="ParaNum"/>
        <w:rPr>
          <w:szCs w:val="22"/>
        </w:rPr>
      </w:pPr>
      <w:r w:rsidRPr="0044240B">
        <w:t xml:space="preserve">Rule changes may also necessitate that affected carriers make various revisions to their billing systems.  For example, intermediate access providers that serve access-stimulating LECs will now charge terminating </w:t>
      </w:r>
      <w:r>
        <w:t xml:space="preserve">tandem </w:t>
      </w:r>
      <w:r w:rsidRPr="0044240B">
        <w:t xml:space="preserve">switched access rates and transport rates to the corresponding LECs, whereas IXCs that serve access-stimulating LECs will no longer be required to pay such charges.  </w:t>
      </w:r>
      <w:r w:rsidRPr="0044240B">
        <w:rPr>
          <w:rFonts w:eastAsia="Calibri"/>
        </w:rPr>
        <w:t xml:space="preserve">As </w:t>
      </w:r>
      <w:r>
        <w:rPr>
          <w:rFonts w:eastAsia="Calibri"/>
        </w:rPr>
        <w:t xml:space="preserve">intermediate access providers </w:t>
      </w:r>
      <w:r w:rsidRPr="0044240B">
        <w:rPr>
          <w:rFonts w:eastAsia="Calibri"/>
        </w:rPr>
        <w:t xml:space="preserve">cease billing </w:t>
      </w:r>
      <w:r>
        <w:rPr>
          <w:rFonts w:eastAsia="Calibri"/>
        </w:rPr>
        <w:t>IXCs</w:t>
      </w:r>
      <w:r w:rsidRPr="0044240B">
        <w:rPr>
          <w:rFonts w:eastAsia="Calibri"/>
        </w:rPr>
        <w:t xml:space="preserve">, and instead </w:t>
      </w:r>
      <w:r>
        <w:rPr>
          <w:rFonts w:eastAsia="Calibri"/>
        </w:rPr>
        <w:t>bill access-stimulating LECs</w:t>
      </w:r>
      <w:r w:rsidRPr="0044240B">
        <w:rPr>
          <w:rFonts w:eastAsia="Calibri"/>
        </w:rPr>
        <w:t>, they will likely need to make corresponding adjustments to their billing systems.</w:t>
      </w:r>
    </w:p>
    <w:p w:rsidR="00EB312D" w:rsidRPr="0044240B" w:rsidP="00EB312D">
      <w:pPr>
        <w:pStyle w:val="ParaNum"/>
        <w:rPr>
          <w:szCs w:val="22"/>
        </w:rPr>
      </w:pPr>
      <w:r w:rsidRPr="0044240B">
        <w:rPr>
          <w:szCs w:val="22"/>
        </w:rPr>
        <w:t xml:space="preserve">Today’s </w:t>
      </w:r>
      <w:r w:rsidRPr="00AD535B">
        <w:rPr>
          <w:i/>
          <w:szCs w:val="22"/>
        </w:rPr>
        <w:t>Order</w:t>
      </w:r>
      <w:r w:rsidRPr="0044240B">
        <w:rPr>
          <w:szCs w:val="22"/>
        </w:rPr>
        <w:t xml:space="preserve"> </w:t>
      </w:r>
      <w:r>
        <w:rPr>
          <w:szCs w:val="22"/>
        </w:rPr>
        <w:t>may also</w:t>
      </w:r>
      <w:r w:rsidRPr="0044240B">
        <w:rPr>
          <w:szCs w:val="22"/>
        </w:rPr>
        <w:t xml:space="preserve"> require access-stimulating LECs to file tariff revisions to remove any tariff provisions they have filed for terminating tandem switched access or terminating switched access transport charges.  Although we decline to opine on whether today’s </w:t>
      </w:r>
      <w:r w:rsidRPr="00AD535B">
        <w:rPr>
          <w:i/>
          <w:szCs w:val="22"/>
        </w:rPr>
        <w:t>Order</w:t>
      </w:r>
      <w:r w:rsidRPr="0044240B">
        <w:rPr>
          <w:szCs w:val="22"/>
        </w:rPr>
        <w:t xml:space="preserve"> requires carriers to file further tariff revisions, affected carriers may nonetheless choose to file additional tariff revisions to add provisions allowing them to charge access-stimulating LECs, rather than IXCs, for the termination of traffic to the access-stimulating LEC.  These revisions may necessitate some effort to revise the rates (and who pays them), including </w:t>
      </w:r>
      <w:r w:rsidRPr="0044240B">
        <w:t xml:space="preserve">terminating </w:t>
      </w:r>
      <w:r>
        <w:t>tandem switching</w:t>
      </w:r>
      <w:r w:rsidRPr="0044240B">
        <w:t xml:space="preserve"> rates and transport rates.  The requirement to remove related provisions, and the choice to make any additional revisions, would apply to all affected carriers, regardless of entity size.  The adopted rule revisions will facilitate Commission and public access to the most accurate and up-to-date tariffs as well as lower rates paid by the public for the affected services.</w:t>
      </w:r>
    </w:p>
    <w:p w:rsidR="00EB312D" w:rsidRPr="0044240B" w:rsidP="00EB312D">
      <w:pPr>
        <w:pStyle w:val="ParaNum"/>
        <w:rPr>
          <w:szCs w:val="22"/>
        </w:rPr>
      </w:pPr>
      <w:r w:rsidRPr="0044240B">
        <w:rPr>
          <w:szCs w:val="22"/>
        </w:rPr>
        <w:t>Existing access-stimulating LECs, or LECs who later become access</w:t>
      </w:r>
      <w:r>
        <w:rPr>
          <w:szCs w:val="22"/>
        </w:rPr>
        <w:t>-</w:t>
      </w:r>
      <w:r w:rsidRPr="0044240B">
        <w:rPr>
          <w:szCs w:val="22"/>
        </w:rPr>
        <w:t>stimulat</w:t>
      </w:r>
      <w:r>
        <w:rPr>
          <w:szCs w:val="22"/>
        </w:rPr>
        <w:t>ing LECs</w:t>
      </w:r>
      <w:r w:rsidRPr="0044240B">
        <w:rPr>
          <w:szCs w:val="22"/>
        </w:rPr>
        <w:t>, will also face similar reporting and recordkeeping requirements should they later choose to cease access stimulation.  These steps are virtually identical as the steps discussed above that are required or may be necessary when commencing access stimulation, including providing third-party notice, filing a notice with the Commission, potential billing system changes, removing tariff provisions, and potentially preparing and filing a revised tariff.</w:t>
      </w:r>
    </w:p>
    <w:p w:rsidR="00EB312D" w:rsidRPr="0044240B" w:rsidP="00EB312D">
      <w:pPr>
        <w:pStyle w:val="Heading2"/>
      </w:pPr>
      <w:bookmarkStart w:id="723" w:name="_Toc15028083"/>
      <w:bookmarkStart w:id="724" w:name="_Toc15310200"/>
      <w:bookmarkStart w:id="725" w:name="_Toc16762085"/>
      <w:bookmarkStart w:id="726" w:name="_Toc16843647"/>
      <w:bookmarkStart w:id="727" w:name="_Toc16863802"/>
      <w:bookmarkStart w:id="728" w:name="_Toc17048658"/>
      <w:bookmarkStart w:id="729" w:name="_Toc17364742"/>
      <w:bookmarkStart w:id="730" w:name="_Toc17469838"/>
      <w:bookmarkStart w:id="731" w:name="_Toc17887596"/>
      <w:bookmarkStart w:id="732" w:name="_Toc18423512"/>
      <w:bookmarkStart w:id="733" w:name="_Toc18423567"/>
      <w:bookmarkStart w:id="734" w:name="_Toc18423643"/>
      <w:bookmarkStart w:id="735" w:name="_Toc18486782"/>
      <w:bookmarkStart w:id="736" w:name="_Toc18487392"/>
      <w:bookmarkStart w:id="737" w:name="_Toc18487897"/>
      <w:bookmarkStart w:id="738" w:name="_Toc18488005"/>
      <w:bookmarkStart w:id="739" w:name="_Toc18488128"/>
      <w:bookmarkStart w:id="740" w:name="_Toc20056868"/>
      <w:bookmarkStart w:id="741" w:name="_Toc20219917"/>
      <w:r w:rsidRPr="0044240B">
        <w:t>Steps Taken to Minimize the Significant Economic Impact on Small Entities, and Significant Alternatives Considered</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rsidR="00EB312D" w:rsidRPr="0044240B" w:rsidP="00EB312D">
      <w:pPr>
        <w:pStyle w:val="ParaNum"/>
      </w:pPr>
      <w:r w:rsidRPr="000F420B">
        <w:t>The RFA requires an agency to describe any significant alternatives that it has consi</w:t>
      </w:r>
      <w:r w:rsidRPr="00117E95">
        <w:t>dered in developing its approach, which may include the following four alternatives (among others):  “(1)</w:t>
      </w:r>
      <w:r>
        <w:t> </w:t>
      </w:r>
      <w:r w:rsidRPr="00117E95">
        <w:t>the establishment of differing compliance or reporting requirements or timetables that take into account the resources available to small entities; (2</w:t>
      </w:r>
      <w:r w:rsidRPr="007F2AF3">
        <w:t>)</w:t>
      </w:r>
      <w:r>
        <w:t> </w:t>
      </w:r>
      <w:r w:rsidRPr="007F2AF3">
        <w:t>the clarification, consolidation, or simplification of compliance and reporting requirements under the rule for such small entities; (3)</w:t>
      </w:r>
      <w:r>
        <w:t> </w:t>
      </w:r>
      <w:r w:rsidRPr="007F2AF3">
        <w:t>the use of performance rather than design standards; and (4)</w:t>
      </w:r>
      <w:r>
        <w:t> </w:t>
      </w:r>
      <w:r w:rsidRPr="007F2AF3">
        <w:t xml:space="preserve">an exemption from coverage of the </w:t>
      </w:r>
      <w:r w:rsidRPr="009A0E15">
        <w:t>rule, or any part ther</w:t>
      </w:r>
      <w:r w:rsidRPr="00433EBE">
        <w:t>eof, for such small entities.”</w:t>
      </w:r>
      <w:r>
        <w:rPr>
          <w:sz w:val="20"/>
          <w:vertAlign w:val="superscript"/>
        </w:rPr>
        <w:footnoteReference w:id="446"/>
      </w:r>
    </w:p>
    <w:p w:rsidR="00EB312D" w:rsidRPr="0044240B" w:rsidP="00EB312D">
      <w:pPr>
        <w:pStyle w:val="ParaNum"/>
      </w:pPr>
      <w:r w:rsidRPr="62D2C496">
        <w:rPr>
          <w:i/>
          <w:iCs/>
        </w:rPr>
        <w:t>Transition Period</w:t>
      </w:r>
      <w:r w:rsidRPr="00117E95">
        <w:t xml:space="preserve">.  To minimize the impact of the changes affected carriers may need to make under today’s </w:t>
      </w:r>
      <w:r w:rsidRPr="62D2C496">
        <w:rPr>
          <w:i/>
          <w:iCs/>
        </w:rPr>
        <w:t>Order</w:t>
      </w:r>
      <w:r w:rsidRPr="009A0E15">
        <w:t xml:space="preserve">, we implement </w:t>
      </w:r>
      <w:r>
        <w:t xml:space="preserve">up to </w:t>
      </w:r>
      <w:r w:rsidRPr="009A0E15">
        <w:t xml:space="preserve">a </w:t>
      </w:r>
      <w:r>
        <w:t>45 day</w:t>
      </w:r>
      <w:r>
        <w:t xml:space="preserve"> </w:t>
      </w:r>
      <w:r w:rsidRPr="009A0E15">
        <w:t>transition period for the related recordkeeping and reporting st</w:t>
      </w:r>
      <w:r w:rsidRPr="007C723D">
        <w:t xml:space="preserve">eps.  </w:t>
      </w:r>
      <w:r>
        <w:t>To give effect to the financial shift of responsibility, w</w:t>
      </w:r>
      <w:r w:rsidRPr="00D14B8B">
        <w:t xml:space="preserve">e require that access-stimulating LECs </w:t>
      </w:r>
      <w:r w:rsidRPr="00A67F16">
        <w:t>remove any existing tariff provisions for</w:t>
      </w:r>
      <w:r>
        <w:t xml:space="preserve"> terminating tandem switching or terminating tandem switched transport access charges wit</w:t>
      </w:r>
      <w:r w:rsidRPr="00A67F16">
        <w:t>hin the same period</w:t>
      </w:r>
      <w:r>
        <w:t xml:space="preserve">, i.e., </w:t>
      </w:r>
      <w:r w:rsidRPr="00D14B8B">
        <w:t>within 45 days of t</w:t>
      </w:r>
      <w:r w:rsidRPr="00B66607">
        <w:t>he effective date of t</w:t>
      </w:r>
      <w:r w:rsidRPr="006E55BF">
        <w:t xml:space="preserve">he </w:t>
      </w:r>
      <w:r w:rsidRPr="62D2C496">
        <w:rPr>
          <w:i/>
          <w:iCs/>
        </w:rPr>
        <w:t>Order</w:t>
      </w:r>
      <w:r>
        <w:rPr>
          <w:i/>
          <w:iCs/>
        </w:rPr>
        <w:t xml:space="preserve"> </w:t>
      </w:r>
      <w:r w:rsidRPr="00A67F16">
        <w:t xml:space="preserve">(or, for those carriers who later engage in access stimulation, </w:t>
      </w:r>
      <w:r>
        <w:t xml:space="preserve">within 45 days </w:t>
      </w:r>
      <w:r w:rsidRPr="00A67F16">
        <w:t xml:space="preserve">from the </w:t>
      </w:r>
      <w:r>
        <w:t xml:space="preserve">date </w:t>
      </w:r>
      <w:r w:rsidRPr="00A67F16">
        <w:t>it commences access stimulation)</w:t>
      </w:r>
      <w:r>
        <w:t>.  This will also allow time if parties choose to make additional changes to their operations as a result of our reforms to further reduce access stimulation.</w:t>
      </w:r>
      <w:r>
        <w:rPr>
          <w:rStyle w:val="FootnoteReference"/>
        </w:rPr>
        <w:footnoteReference w:id="447"/>
      </w:r>
      <w:r>
        <w:t xml:space="preserve">  T</w:t>
      </w:r>
      <w:r w:rsidRPr="007C723D">
        <w:t>o ensure</w:t>
      </w:r>
      <w:r w:rsidRPr="00D14B8B">
        <w:t xml:space="preserve"> clarity and increase transparency, we require that access-stimulating LECs notify affected IXCs and intermediate access providers of their access-stimulating status and their acceptance of financial responsibility </w:t>
      </w:r>
      <w:r w:rsidRPr="00DD1E5F">
        <w:t xml:space="preserve">within 45 days </w:t>
      </w:r>
      <w:r>
        <w:t xml:space="preserve">of PRA approval </w:t>
      </w:r>
      <w:r w:rsidRPr="00A67F16">
        <w:t xml:space="preserve">(or, for </w:t>
      </w:r>
      <w:r>
        <w:t>a</w:t>
      </w:r>
      <w:r w:rsidRPr="00A67F16">
        <w:t xml:space="preserve"> carrier who later engage</w:t>
      </w:r>
      <w:r>
        <w:t>s</w:t>
      </w:r>
      <w:r w:rsidRPr="00A67F16">
        <w:t xml:space="preserve"> in access stimulation, </w:t>
      </w:r>
      <w:r>
        <w:t xml:space="preserve">within 45 days </w:t>
      </w:r>
      <w:r w:rsidRPr="00A67F16">
        <w:t xml:space="preserve">from the </w:t>
      </w:r>
      <w:r>
        <w:t xml:space="preserve">date </w:t>
      </w:r>
      <w:r w:rsidRPr="00A67F16">
        <w:t xml:space="preserve">it commences access stimulation), and file a notice in the Commission’s Access Arbitrage docket on the same date and to the same effect.  The Commission announced the notice aspects of the transition </w:t>
      </w:r>
      <w:r w:rsidRPr="00A67F16">
        <w:t xml:space="preserve">period in the proposed rule in the </w:t>
      </w:r>
      <w:r w:rsidRPr="62D2C496">
        <w:rPr>
          <w:i/>
          <w:iCs/>
        </w:rPr>
        <w:t>Access Arbitrage Notice</w:t>
      </w:r>
      <w:r w:rsidRPr="00A67F16">
        <w:t>, and while several commenters voiced support, none cited any specific problems nor concerns associated with these notice requirements.</w:t>
      </w:r>
      <w:r>
        <w:rPr>
          <w:sz w:val="20"/>
          <w:vertAlign w:val="superscript"/>
        </w:rPr>
        <w:footnoteReference w:id="448"/>
      </w:r>
      <w:r w:rsidRPr="000F420B">
        <w:t xml:space="preserve">  </w:t>
      </w:r>
      <w:r w:rsidRPr="0044240B">
        <w:t>These notice requirements for such carriers to self-identify will help parties conserve resources by limiting potential disputes between IXCs and intermediate access providers concerning whether the LEC to which traffic is bound is engaged in access stimulation.</w:t>
      </w:r>
      <w:r w:rsidRPr="000F420B">
        <w:t xml:space="preserve">  </w:t>
      </w:r>
      <w:r>
        <w:t xml:space="preserve">Such changes are also subject to the Paperwork Reduction Act approval process which allows for additional notice and comment on the burdens associated with the requirement.  This process will occur after adoption of this </w:t>
      </w:r>
      <w:r w:rsidRPr="00F4381F">
        <w:rPr>
          <w:i/>
        </w:rPr>
        <w:t>Order</w:t>
      </w:r>
      <w:r>
        <w:t>, thus providing additional time for parties to make the changes necessary to comply with the newly adopted rules.  Also, being</w:t>
      </w:r>
      <w:r w:rsidRPr="000F420B">
        <w:t xml:space="preserve"> mindful of the attendant costs of any reporting obligations, we do not require that carriers adhere to a specific not</w:t>
      </w:r>
      <w:r w:rsidRPr="00117E95">
        <w:t xml:space="preserve">ice format.  Instead, we allow each responding carrier to prepare third-party notice and notice to the Commission in the manner they deem to be most cost-effective and least burdensome, provided the notice announces the carrier’s access-stimulating status and acceptance of financial responsibility.  </w:t>
      </w:r>
      <w:r>
        <w:t>Furthermore,</w:t>
      </w:r>
      <w:r w:rsidRPr="00117E95">
        <w:t xml:space="preserve"> by electing not to require carriers to fully withdraw and file entirely new tariffs and requiring only that they revise their tariffs to remove relevant provisions, we mitigate the filing burden on affect</w:t>
      </w:r>
      <w:r w:rsidRPr="007F2AF3">
        <w:t>ed carriers.</w:t>
      </w:r>
    </w:p>
    <w:p w:rsidR="00EB312D" w:rsidRPr="0044240B" w:rsidP="00EB312D">
      <w:pPr>
        <w:pStyle w:val="ParaNum"/>
        <w:rPr>
          <w:szCs w:val="22"/>
        </w:rPr>
      </w:pPr>
      <w:r w:rsidRPr="0044240B">
        <w:rPr>
          <w:szCs w:val="22"/>
        </w:rPr>
        <w:t xml:space="preserve">We recognize that intermediate access providers may need to revise their billing systems to reflect the shift in financial responsibility and may also elect to file revised tariffs.  Though we believe the potential billing system changes to be straightforward, to </w:t>
      </w:r>
      <w:r>
        <w:rPr>
          <w:szCs w:val="22"/>
        </w:rPr>
        <w:t>allow</w:t>
      </w:r>
      <w:r w:rsidRPr="0044240B">
        <w:rPr>
          <w:szCs w:val="22"/>
        </w:rPr>
        <w:t xml:space="preserve"> </w:t>
      </w:r>
      <w:r w:rsidRPr="0044240B">
        <w:rPr>
          <w:szCs w:val="22"/>
        </w:rPr>
        <w:t>sufficient</w:t>
      </w:r>
      <w:r w:rsidRPr="0044240B">
        <w:rPr>
          <w:szCs w:val="22"/>
        </w:rPr>
        <w:t xml:space="preserve"> time for affected parties to make any adjustments, we also </w:t>
      </w:r>
      <w:r>
        <w:rPr>
          <w:szCs w:val="22"/>
        </w:rPr>
        <w:t>grant them the same period</w:t>
      </w:r>
      <w:r w:rsidRPr="0044240B">
        <w:rPr>
          <w:szCs w:val="22"/>
        </w:rPr>
        <w:t xml:space="preserve"> from the </w:t>
      </w:r>
      <w:r>
        <w:rPr>
          <w:szCs w:val="22"/>
        </w:rPr>
        <w:t xml:space="preserve">effective </w:t>
      </w:r>
      <w:r w:rsidRPr="0044240B">
        <w:rPr>
          <w:szCs w:val="22"/>
        </w:rPr>
        <w:t xml:space="preserve">date for implementing such changes.  Thus, affected intermediate access </w:t>
      </w:r>
      <w:r>
        <w:rPr>
          <w:szCs w:val="22"/>
        </w:rPr>
        <w:t>providers</w:t>
      </w:r>
      <w:r w:rsidRPr="0044240B">
        <w:rPr>
          <w:szCs w:val="22"/>
        </w:rPr>
        <w:t xml:space="preserve"> have 45 days from the </w:t>
      </w:r>
      <w:r>
        <w:rPr>
          <w:szCs w:val="22"/>
        </w:rPr>
        <w:t xml:space="preserve">effective </w:t>
      </w:r>
      <w:r w:rsidRPr="0044240B">
        <w:rPr>
          <w:szCs w:val="22"/>
        </w:rPr>
        <w:t xml:space="preserve">date </w:t>
      </w:r>
      <w:r>
        <w:rPr>
          <w:szCs w:val="22"/>
        </w:rPr>
        <w:t xml:space="preserve">of this rule </w:t>
      </w:r>
      <w:r w:rsidRPr="00A67F16">
        <w:t xml:space="preserve">(or, </w:t>
      </w:r>
      <w:r>
        <w:t>with respect to</w:t>
      </w:r>
      <w:r w:rsidRPr="00A67F16">
        <w:t xml:space="preserve"> those carriers who later engage in access stimulation, </w:t>
      </w:r>
      <w:r>
        <w:t xml:space="preserve">within 45 days </w:t>
      </w:r>
      <w:r w:rsidRPr="00A67F16">
        <w:t xml:space="preserve">from the </w:t>
      </w:r>
      <w:r>
        <w:t xml:space="preserve">date such carriers </w:t>
      </w:r>
      <w:r w:rsidRPr="00A67F16">
        <w:t>commence access stimulation)</w:t>
      </w:r>
      <w:r>
        <w:rPr>
          <w:szCs w:val="22"/>
        </w:rPr>
        <w:t xml:space="preserve"> </w:t>
      </w:r>
      <w:r w:rsidRPr="0044240B">
        <w:rPr>
          <w:szCs w:val="22"/>
        </w:rPr>
        <w:t xml:space="preserve">to implement any billing system changes or prepare any tariff revisions which they may see fit to file.  The time granted by this period should help carriers make an orderly, less burdensome, transition.  </w:t>
      </w:r>
    </w:p>
    <w:p w:rsidR="00EB312D" w:rsidRPr="0044240B" w:rsidP="00EB312D">
      <w:pPr>
        <w:pStyle w:val="ParaNum"/>
        <w:rPr>
          <w:szCs w:val="22"/>
        </w:rPr>
      </w:pPr>
      <w:r w:rsidRPr="0044240B">
        <w:rPr>
          <w:szCs w:val="22"/>
        </w:rPr>
        <w:t xml:space="preserve">These same considerations were </w:t>
      </w:r>
      <w:r w:rsidRPr="0044240B">
        <w:rPr>
          <w:szCs w:val="22"/>
        </w:rPr>
        <w:t>taken into account</w:t>
      </w:r>
      <w:r w:rsidRPr="0044240B">
        <w:rPr>
          <w:szCs w:val="22"/>
        </w:rPr>
        <w:t xml:space="preserve"> for LECs that cease access stimulation, a change </w:t>
      </w:r>
      <w:r>
        <w:rPr>
          <w:szCs w:val="22"/>
        </w:rPr>
        <w:t>that</w:t>
      </w:r>
      <w:r w:rsidRPr="0044240B">
        <w:rPr>
          <w:szCs w:val="22"/>
        </w:rPr>
        <w:t xml:space="preserve"> carries concomitant reporting obligations and to which we apply associated transition periods for billing changes and/or for tariff revisions that, collectively, are virtually identical to those mentioned above.</w:t>
      </w:r>
    </w:p>
    <w:p w:rsidR="00EB312D" w:rsidRPr="0044240B" w:rsidP="00EB312D">
      <w:pPr>
        <w:pStyle w:val="ParaNum"/>
      </w:pPr>
      <w:r w:rsidRPr="0044240B">
        <w:t xml:space="preserve">In comments not identified as IRFA-related, </w:t>
      </w:r>
      <w:r>
        <w:t>centralized equal access (</w:t>
      </w:r>
      <w:r w:rsidRPr="0044240B">
        <w:t>CEA</w:t>
      </w:r>
      <w:r>
        <w:t>)</w:t>
      </w:r>
      <w:r w:rsidRPr="0044240B">
        <w:t xml:space="preserve"> providers </w:t>
      </w:r>
      <w:r w:rsidRPr="0044240B">
        <w:t>Aureon</w:t>
      </w:r>
      <w:r w:rsidRPr="0044240B">
        <w:t xml:space="preserve"> and SDN argued that the potential billing changes and tariff revisions that would arise from making LECs financially responsible constitute an undue burden that “would render it financially infeasible for the CEA network to remain operational.”</w:t>
      </w:r>
      <w:r>
        <w:rPr>
          <w:sz w:val="20"/>
          <w:vertAlign w:val="superscript"/>
        </w:rPr>
        <w:footnoteReference w:id="449"/>
      </w:r>
      <w:r w:rsidRPr="0044240B">
        <w:t xml:space="preserve">  </w:t>
      </w:r>
      <w:r w:rsidRPr="0044240B">
        <w:t>Aureon’s</w:t>
      </w:r>
      <w:r w:rsidRPr="0044240B">
        <w:t xml:space="preserve"> sole support for this assertion is that this change would “necessitate significant changes to the compensation arrangements for CEA service.”</w:t>
      </w:r>
      <w:r>
        <w:rPr>
          <w:sz w:val="20"/>
          <w:vertAlign w:val="superscript"/>
        </w:rPr>
        <w:footnoteReference w:id="450"/>
      </w:r>
      <w:r w:rsidRPr="0044240B">
        <w:t xml:space="preserve"> </w:t>
      </w:r>
      <w:r w:rsidRPr="62D2C496">
        <w:rPr>
          <w:i/>
          <w:iCs/>
        </w:rPr>
        <w:t xml:space="preserve"> </w:t>
      </w:r>
      <w:r w:rsidRPr="00117E95">
        <w:t>We have considered these costs but are not persuaded that these costs are significant enough t</w:t>
      </w:r>
      <w:r w:rsidRPr="007F2AF3">
        <w:t xml:space="preserve">o rise to an undue burden on </w:t>
      </w:r>
      <w:r w:rsidRPr="009A0E15">
        <w:t>affected carriers</w:t>
      </w:r>
      <w:r w:rsidRPr="007C723D">
        <w:t xml:space="preserve">.  </w:t>
      </w:r>
      <w:r w:rsidRPr="0044240B">
        <w:rPr>
          <w:rFonts w:eastAsia="Calibri"/>
        </w:rPr>
        <w:t xml:space="preserve">We believe these changes to be straightforward, particularly because the identities of the relevant parties will already be known to one another </w:t>
      </w:r>
      <w:r>
        <w:rPr>
          <w:rFonts w:eastAsia="Calibri"/>
        </w:rPr>
        <w:t xml:space="preserve">because of </w:t>
      </w:r>
      <w:r w:rsidRPr="0044240B">
        <w:rPr>
          <w:rFonts w:eastAsia="Calibri"/>
        </w:rPr>
        <w:t xml:space="preserve">existing relationships between them, and because they have previously charged others for the same services.  </w:t>
      </w:r>
      <w:r w:rsidRPr="000F420B">
        <w:t xml:space="preserve">There is no reason to believe that these changes will be </w:t>
      </w:r>
      <w:r w:rsidRPr="000F420B">
        <w:t>onerous</w:t>
      </w:r>
      <w:r w:rsidRPr="000F420B">
        <w:t xml:space="preserve"> and the record is bereft of evidence of material incremental costs of making the necessary changes to implement billing arrangements with</w:t>
      </w:r>
      <w:r w:rsidRPr="00117E95">
        <w:t xml:space="preserve"> subtending access-stimulating LECs.  </w:t>
      </w:r>
      <w:r w:rsidRPr="0044240B">
        <w:t xml:space="preserve">We find no further evidence in the record of financial difficulties that CEAs </w:t>
      </w:r>
      <w:r>
        <w:t xml:space="preserve">would experience </w:t>
      </w:r>
      <w:r w:rsidRPr="0044240B">
        <w:t>from this switch.</w:t>
      </w:r>
      <w:r w:rsidRPr="000F420B">
        <w:t xml:space="preserve">  In addition, we revise the definition of access stimulation to apply only to </w:t>
      </w:r>
      <w:r w:rsidRPr="000F420B">
        <w:t>LECs that serve end users.  Thi</w:t>
      </w:r>
      <w:r w:rsidRPr="00117E95">
        <w:t>s definitional change will narrow the providers who will be deemed access stimulators by excluding CEA providers, as they do not serve end users.</w:t>
      </w:r>
      <w:r>
        <w:t xml:space="preserve">  We also adopt two alternate triggers in the access stimulation definition, one for competitive LECs and one for rate-of-return LECs, which should further limit the applicability of these new rules to small providers.  </w:t>
      </w:r>
    </w:p>
    <w:p w:rsidR="00EB312D" w:rsidRPr="00EE184A" w:rsidP="005F5484">
      <w:pPr>
        <w:pStyle w:val="ParaNum"/>
        <w:rPr>
          <w:iCs/>
          <w:szCs w:val="22"/>
        </w:rPr>
      </w:pPr>
      <w:bookmarkStart w:id="742" w:name="_Toc15028084"/>
      <w:bookmarkStart w:id="743" w:name="_Toc15310201"/>
      <w:bookmarkStart w:id="744" w:name="_Toc17887597"/>
      <w:r w:rsidRPr="62D2C496">
        <w:rPr>
          <w:b/>
          <w:bCs/>
        </w:rPr>
        <w:t>Report to Congress</w:t>
      </w:r>
      <w:bookmarkEnd w:id="742"/>
      <w:bookmarkEnd w:id="743"/>
      <w:r w:rsidRPr="62D2C496">
        <w:rPr>
          <w:b/>
          <w:bCs/>
        </w:rPr>
        <w:t xml:space="preserve">:  </w:t>
      </w:r>
      <w:r w:rsidRPr="00117E95">
        <w:t xml:space="preserve">The Commission will send a copy of the </w:t>
      </w:r>
      <w:r w:rsidRPr="62D2C496">
        <w:rPr>
          <w:i/>
          <w:iCs/>
        </w:rPr>
        <w:t>Order</w:t>
      </w:r>
      <w:r w:rsidRPr="009A0E15">
        <w:t xml:space="preserve">, including this FRFA, in a report to be </w:t>
      </w:r>
      <w:r w:rsidRPr="00433EBE">
        <w:t>sent to Congress pursuant to the Congressional Review Act.</w:t>
      </w:r>
      <w:r>
        <w:rPr>
          <w:sz w:val="20"/>
          <w:vertAlign w:val="superscript"/>
        </w:rPr>
        <w:footnoteReference w:id="451"/>
      </w:r>
      <w:r w:rsidRPr="000F420B">
        <w:t xml:space="preserve">  In addition, the Commission will send a copy of the </w:t>
      </w:r>
      <w:r w:rsidRPr="62D2C496">
        <w:rPr>
          <w:i/>
          <w:iCs/>
        </w:rPr>
        <w:t>Order</w:t>
      </w:r>
      <w:r w:rsidRPr="007F2AF3">
        <w:t xml:space="preserve">, including this FRFA, to the Chief Counsel for Advocacy of the SBA.  A copy of the </w:t>
      </w:r>
      <w:r w:rsidRPr="62D2C496">
        <w:rPr>
          <w:i/>
          <w:iCs/>
        </w:rPr>
        <w:t>Order</w:t>
      </w:r>
      <w:r w:rsidRPr="007C723D">
        <w:t xml:space="preserve"> and FRFA (or summaries thereof) will also be pub</w:t>
      </w:r>
      <w:r w:rsidRPr="00D14B8B">
        <w:t>lished in the Federal Register.</w:t>
      </w:r>
      <w:r>
        <w:rPr>
          <w:sz w:val="20"/>
          <w:vertAlign w:val="superscript"/>
        </w:rPr>
        <w:footnoteReference w:id="452"/>
      </w:r>
      <w:bookmarkEnd w:id="744"/>
    </w:p>
    <w:p w:rsidR="00EB312D" w:rsidRPr="0044240B" w:rsidP="00EB312D">
      <w:pPr>
        <w:widowControl/>
        <w:rPr>
          <w:szCs w:val="22"/>
        </w:rPr>
      </w:pPr>
    </w:p>
    <w:p w:rsidR="00EB312D" w:rsidRPr="000F2933" w:rsidP="00EB312D">
      <w:pPr>
        <w:widowControl/>
      </w:pPr>
    </w:p>
    <w:p w:rsidR="00EB312D" w:rsidRPr="00834879" w:rsidP="00EB312D"/>
    <w:p w:rsidR="00EB312D" w:rsidRPr="00235BBC" w:rsidP="00EB312D"/>
    <w:p w:rsidR="00F00790" w:rsidRPr="00F00790" w:rsidP="00F00790">
      <w:pPr>
        <w:jc w:val="center"/>
        <w:rPr>
          <w:b/>
        </w:rPr>
      </w:pPr>
      <w:r>
        <w:br w:type="page"/>
      </w:r>
      <w:r w:rsidRPr="00F00790">
        <w:rPr>
          <w:b/>
        </w:rPr>
        <w:t>STATEMENT OF</w:t>
      </w:r>
    </w:p>
    <w:p w:rsidR="00F00790" w:rsidRPr="00F00790" w:rsidP="00F00790">
      <w:pPr>
        <w:spacing w:after="240"/>
        <w:jc w:val="center"/>
        <w:rPr>
          <w:b/>
        </w:rPr>
      </w:pPr>
      <w:r w:rsidRPr="00F00790">
        <w:rPr>
          <w:b/>
        </w:rPr>
        <w:t>CHAIRMAN AJIT PAI</w:t>
      </w:r>
    </w:p>
    <w:p w:rsidR="00F00790" w:rsidRPr="00F00790" w:rsidP="00F00790">
      <w:pPr>
        <w:spacing w:after="240"/>
        <w:ind w:left="720" w:hanging="720"/>
      </w:pPr>
      <w:r w:rsidRPr="00F00790">
        <w:t>Re:</w:t>
      </w:r>
      <w:r w:rsidRPr="00F00790">
        <w:tab/>
      </w:r>
      <w:r w:rsidRPr="00F00790">
        <w:rPr>
          <w:i/>
        </w:rPr>
        <w:t>Updating the Intercarrier Compensation Regime to Eliminate Access Arbitrage</w:t>
      </w:r>
      <w:r w:rsidRPr="00F00790">
        <w:t>, WC Docket No. 18-155.</w:t>
      </w:r>
    </w:p>
    <w:p w:rsidR="00F00790" w:rsidRPr="00F00790" w:rsidP="00F00790">
      <w:pPr>
        <w:spacing w:after="120"/>
        <w:ind w:firstLine="720"/>
      </w:pPr>
      <w:r w:rsidRPr="00F00790">
        <w:t xml:space="preserve">You’ve probably heard the expression “there’s no such thing as a free lunch.”  As it turns out, there’s also no such thing as a free conference call.  Instead, we all end up footing the bill for these purportedly “free” calls.  </w:t>
      </w:r>
    </w:p>
    <w:p w:rsidR="00F00790" w:rsidRPr="00F00790" w:rsidP="00F00790">
      <w:pPr>
        <w:spacing w:after="120"/>
        <w:ind w:firstLine="720"/>
      </w:pPr>
      <w:r w:rsidRPr="00F00790">
        <w:t xml:space="preserve">A detailed explanation of how this works could serve as a substitute for Ambien so I’ll just try to summarize the basics.  Today, the intercarrier compensation system governs how phone companies pay each other for carrying and completing calls.  High-volume calling services like “free” conference calling and chat lines take advantage of inefficiencies in this system.  Specifically, local phone companies </w:t>
      </w:r>
      <w:r w:rsidRPr="00F00790">
        <w:t>make arrangements</w:t>
      </w:r>
      <w:r w:rsidRPr="00F00790">
        <w:t xml:space="preserve"> with providers of high-volume calling services to inflate their incoming call traffic.  This artificially increases their access charge revenues.  This practice is called “access stimulation.”  And it’s a profitable arbitrage that results in excessive access charges that long-distance companies are forced to pay—to the tune of $60 to $80 million a year.  But of course, this lunch isn’t free; long-distance carriers generally spread those costs across </w:t>
      </w:r>
      <w:r w:rsidRPr="00F00790">
        <w:t>all of</w:t>
      </w:r>
      <w:r w:rsidRPr="00F00790">
        <w:t xml:space="preserve"> their customers, regardless of which ones actually made calls to high-volume calling services.  </w:t>
      </w:r>
      <w:r w:rsidRPr="00F00790">
        <w:t>So</w:t>
      </w:r>
      <w:r w:rsidRPr="00F00790">
        <w:t xml:space="preserve"> all of us American consumers ultimately pay for these “free” services.</w:t>
      </w:r>
    </w:p>
    <w:p w:rsidR="00F00790" w:rsidRPr="00F00790" w:rsidP="00F00790">
      <w:pPr>
        <w:spacing w:after="120"/>
        <w:ind w:firstLine="720"/>
      </w:pPr>
      <w:r w:rsidRPr="00F00790">
        <w:t xml:space="preserve">To combat wasteful access stimulation schemes, the FCC made several reforms in 2011.  But gaming of the system has persisted.  So today, we </w:t>
      </w:r>
      <w:r w:rsidRPr="00F00790">
        <w:t>take action</w:t>
      </w:r>
      <w:r w:rsidRPr="00F00790">
        <w:t xml:space="preserve"> to remove the financial incentives to engage in this arbitrage.  </w:t>
      </w:r>
    </w:p>
    <w:p w:rsidR="00F00790" w:rsidRPr="00F00790" w:rsidP="00F00790">
      <w:pPr>
        <w:spacing w:after="120"/>
        <w:ind w:firstLine="720"/>
      </w:pPr>
      <w:r w:rsidRPr="00F00790">
        <w:rPr>
          <w:i/>
        </w:rPr>
        <w:t>First</w:t>
      </w:r>
      <w:r w:rsidRPr="00F00790">
        <w:t xml:space="preserve">, to eliminate the use of our intercarrier compensation system to subsidize “free” high-volume calling services, we shift the financial responsibility for paying certain access charges to the access-stimulating carriers that are responsible for generating them.  </w:t>
      </w:r>
    </w:p>
    <w:p w:rsidR="00F00790" w:rsidRPr="00F00790" w:rsidP="00F00790">
      <w:pPr>
        <w:spacing w:after="120"/>
        <w:ind w:firstLine="720"/>
      </w:pPr>
      <w:r w:rsidRPr="00F00790">
        <w:rPr>
          <w:i/>
        </w:rPr>
        <w:t>Second</w:t>
      </w:r>
      <w:r w:rsidRPr="00F00790">
        <w:t>, recognizing the evolving nature of these schemes, we close a loophole that allowed access-stimulating carriers to profit from high-volume calling even without using a revenue sharing agreement.  At the same time, we calibrate the traffic ratios in our new rules to avoid ensnaring rural carriers that have higher ratios of inbound to outbound calling traffic but are not engaged in access stimulation.</w:t>
      </w:r>
    </w:p>
    <w:p w:rsidR="00F00790" w:rsidRPr="00F00790" w:rsidP="00F00790">
      <w:pPr>
        <w:ind w:firstLine="720"/>
      </w:pPr>
      <w:r w:rsidRPr="00F00790">
        <w:t>For their outstanding work, I’d like to thank Irina Asoskov, Allison Baker, Susan Bahr, Lynne Engledow, Amy Goodman, Lisa Hone, John Hunter, Albert Lewis, Jodie May, Kris Monteith, Erik Raven-Hansen, Marvin Sacks, Douglas Slotten, and Gil Strobel from the Wireline Competition Bureau; Anthony DeLaurentis, Lisa Griffin, and Rosemary McEnery from the Enforcement Bureau; Octavian Carare, Patrick DeGraba, Richard Kwiatkowski, Eric Ralph, Emily Talaga, and Shane Taylor from the Office of Economics and Analytics; Michael Carlson, Andrea Kearney, Elizabeth Lyle, Marcus Maher, Richard Mallen, Linda Oliver, William Richardson, and William Scher from the Office of General Counsel; and Maura McGowan and Chana Wilkerson from the Office of Communications Business Opportunities.</w:t>
      </w:r>
    </w:p>
    <w:p w:rsidR="00412FC5" w:rsidP="00EB312D"/>
    <w:p w:rsidR="00F00790" w:rsidRPr="00F00790" w:rsidP="009D74F0">
      <w:pPr>
        <w:jc w:val="center"/>
        <w:rPr>
          <w:b/>
        </w:rPr>
      </w:pPr>
      <w:r>
        <w:br w:type="page"/>
      </w:r>
      <w:bookmarkStart w:id="745" w:name="_Hlk20136776"/>
      <w:r w:rsidRPr="00F00790">
        <w:rPr>
          <w:b/>
        </w:rPr>
        <w:t>STATEMENT OF</w:t>
      </w:r>
    </w:p>
    <w:p w:rsidR="00F00790" w:rsidRPr="00F00790" w:rsidP="009D74F0">
      <w:pPr>
        <w:spacing w:after="240"/>
        <w:jc w:val="center"/>
      </w:pPr>
      <w:r w:rsidRPr="00F00790">
        <w:rPr>
          <w:b/>
        </w:rPr>
        <w:t>COMMISSIONER MICHAEL O’RIELLY</w:t>
      </w:r>
    </w:p>
    <w:p w:rsidR="00F00790" w:rsidRPr="00F00790" w:rsidP="009D74F0">
      <w:pPr>
        <w:spacing w:after="240"/>
        <w:ind w:left="720" w:hanging="720"/>
      </w:pPr>
      <w:r w:rsidRPr="00F00790">
        <w:t>Re:</w:t>
      </w:r>
      <w:r w:rsidRPr="00F00790">
        <w:tab/>
      </w:r>
      <w:r w:rsidRPr="00F00790">
        <w:rPr>
          <w:i/>
        </w:rPr>
        <w:t>Updating the Intercarrier Compensation Regime to Eliminate Access Arbitrage</w:t>
      </w:r>
      <w:r w:rsidRPr="00F00790">
        <w:t>, WC Docket No. 18-155.</w:t>
      </w:r>
    </w:p>
    <w:bookmarkEnd w:id="745"/>
    <w:p w:rsidR="00F00790" w:rsidRPr="00F00790" w:rsidP="009D74F0">
      <w:pPr>
        <w:spacing w:after="120"/>
        <w:ind w:firstLine="720"/>
      </w:pPr>
      <w:r w:rsidRPr="00F00790">
        <w:t xml:space="preserve">As with other relics of our legacy telephone network—such as jurisdictional separations, tariffing, and Part 32 cost accounting—one might reasonably assume that our intercarrier compensation system would be fading from relevance on its own.  Nonetheless, the record makes clear that entire businesses and markets have developed around interstate access charges, even in the aftermath of the Commission’s 2011 efforts to shift end office terminating charges to bill-and-keep and establish that framework as the ultimate end state of intercarrier compensation traffic.  </w:t>
      </w:r>
    </w:p>
    <w:p w:rsidR="00F00790" w:rsidRPr="00F00790" w:rsidP="009D74F0">
      <w:pPr>
        <w:spacing w:after="120"/>
        <w:ind w:firstLine="720"/>
      </w:pPr>
      <w:r w:rsidRPr="00F00790">
        <w:t>Based on the numbers cited in the draft, the current costs imposed by access stimulation pale in comparison to those that existed prior to the USF/ICC Transformation Order.  While access arbitrage is by no means the problem it once was, I support efforts by the Commission to reform our intercarrier compensation rules and drive out inefficiencies that continue to plague the system.</w:t>
      </w:r>
    </w:p>
    <w:p w:rsidR="00F00790" w:rsidRPr="00F00790" w:rsidP="009D74F0">
      <w:pPr>
        <w:spacing w:after="120"/>
        <w:ind w:firstLine="720"/>
      </w:pPr>
      <w:r w:rsidRPr="00F00790">
        <w:t>In terms of this item, the steps we take today on tandem switching and transport are well-meaning, and I certainly support revisions to the draft to try to ensure our new trigger does not capture innocent parties.  At the same time, I do worry that delineating between rural local exchange carriers (LECs) and competitive LECs runs counter to the spirit, if not the letter, of the Telecom Act.  Moreover, I have concerns over the particulars of this line-drawing effort and suspect that it will need to be revisited in the future.  Over the long-term, we should shift the entire system to bill-and-keep, which I believe is the only true viable solution, and I hope more comprehensive reform is in the works to do just that.</w:t>
      </w:r>
    </w:p>
    <w:p w:rsidR="00F00790" w:rsidRPr="00F00790" w:rsidP="00D41A4E">
      <w:pPr>
        <w:spacing w:after="240"/>
        <w:jc w:val="center"/>
        <w:rPr>
          <w:b/>
        </w:rPr>
      </w:pPr>
      <w:r>
        <w:br w:type="page"/>
      </w:r>
      <w:r w:rsidRPr="00F00790">
        <w:rPr>
          <w:b/>
        </w:rPr>
        <w:t xml:space="preserve">STATEMENT OF </w:t>
      </w:r>
      <w:r w:rsidRPr="00F00790">
        <w:rPr>
          <w:b/>
        </w:rPr>
        <w:br/>
        <w:t>COMMISSIONER BRENDAN CARR</w:t>
      </w:r>
    </w:p>
    <w:p w:rsidR="00F00790" w:rsidRPr="00F00790" w:rsidP="00D41A4E">
      <w:pPr>
        <w:spacing w:after="240"/>
        <w:ind w:left="720" w:hanging="720"/>
      </w:pPr>
      <w:r w:rsidRPr="00F00790">
        <w:t>Re:</w:t>
      </w:r>
      <w:r w:rsidRPr="00F00790">
        <w:tab/>
      </w:r>
      <w:r w:rsidRPr="00F00790">
        <w:rPr>
          <w:i/>
        </w:rPr>
        <w:t>Updating the Intercarrier Compensation Regime to Eliminate Access Arbitrage</w:t>
      </w:r>
      <w:r w:rsidRPr="00F00790">
        <w:t xml:space="preserve">, WC Docket No. 18-155. </w:t>
      </w:r>
    </w:p>
    <w:p w:rsidR="00F00790" w:rsidRPr="00F00790" w:rsidP="00D41A4E">
      <w:pPr>
        <w:spacing w:after="120"/>
      </w:pPr>
      <w:r w:rsidRPr="00F00790">
        <w:tab/>
        <w:t xml:space="preserve">In the classic 1993 sci-fi film </w:t>
      </w:r>
      <w:r w:rsidRPr="00F00790">
        <w:rPr>
          <w:i/>
        </w:rPr>
        <w:t>Jurassic Park</w:t>
      </w:r>
      <w:r w:rsidRPr="00F00790">
        <w:t>, Jeff Goldblum’s character Dr. Ian Malcolm famously remarks that “life finds a way.”  Despite complex systems in place, the fictional dinosaurs bypassed the checks and expanded their population.  In telecom, it’s arbitrage that finds a way.  And there’s no clearer example of that than the case before us today.</w:t>
      </w:r>
    </w:p>
    <w:p w:rsidR="00F00790" w:rsidRPr="00F00790" w:rsidP="00D41A4E">
      <w:pPr>
        <w:spacing w:after="120"/>
      </w:pPr>
      <w:r w:rsidRPr="00F00790">
        <w:tab/>
        <w:t xml:space="preserve">The FCC has a complex set of rules that we refer to as the intercarrier compensation regime.  We designed the system in the 1980s to ensure that families living in rural America had access to affordable telephone service.  And we accomplished this goal through a series of implicit subsidies.  </w:t>
      </w:r>
      <w:r w:rsidRPr="00F00790">
        <w:t>Generally speaking, the</w:t>
      </w:r>
      <w:r w:rsidRPr="00F00790">
        <w:t xml:space="preserve"> system required a carrier, known as an interexchange carrier or IXC, to pay high rates whenever they delivered a call to a local carrier serving a rural community.  While we have largely replaced implicit subsidies for rural areas with explicit ones (in the form of our universal service program), vestiges of the old intercarrier compensation regime remain.  </w:t>
      </w:r>
      <w:r w:rsidRPr="00F00790">
        <w:t>Thus</w:t>
      </w:r>
      <w:r w:rsidRPr="00F00790">
        <w:t xml:space="preserve"> enters the modern day Velociraptor.  These are carriers that abuse the intercarrier compensation system for their own profit and leave ordinary Americans footing the bill.</w:t>
      </w:r>
    </w:p>
    <w:p w:rsidR="00F00790" w:rsidRPr="00F00790" w:rsidP="00D41A4E">
      <w:pPr>
        <w:spacing w:after="120"/>
      </w:pPr>
      <w:r w:rsidRPr="00F00790">
        <w:tab/>
        <w:t>One way they do that is through access stimulation.  They set up schemes to drive an extreme volume of calls to a carrier that charges high terminating rates.  In 2011, the FCC took targeted action to address this abuse, and it made a significant difference.  Before the FCC’s decision, access arbitrage schemes cost American ratepayers between $330 million and $440 million each year.</w:t>
      </w:r>
    </w:p>
    <w:p w:rsidR="00F00790" w:rsidRPr="00F00790" w:rsidP="00D41A4E">
      <w:pPr>
        <w:spacing w:after="120"/>
      </w:pPr>
      <w:r w:rsidRPr="00F00790">
        <w:t xml:space="preserve">But arbitrage finds a way.  And some simply adjusted their schemes.  The record identifies one case in which a carrier found 33 cell phones at a single cell site in Florida that were each placing calls lasting more than 16 hours per day to a known access arbitrager.  Another found that a carrier was delivering more traffic to a small town in rural South Dakota than through </w:t>
      </w:r>
      <w:r w:rsidRPr="00F00790">
        <w:t>all of</w:t>
      </w:r>
      <w:r w:rsidRPr="00F00790">
        <w:t xml:space="preserve"> a major carrier’s facilities in New York City.  </w:t>
      </w:r>
      <w:r w:rsidRPr="00F00790">
        <w:t>So</w:t>
      </w:r>
      <w:r w:rsidRPr="00F00790">
        <w:t xml:space="preserve"> while the problem has declined in the years since the FCC’s 2011 decision, abuse still costs American ratepayers about $60-80 million per year.</w:t>
      </w:r>
    </w:p>
    <w:p w:rsidR="00F00790" w:rsidRPr="00F00790" w:rsidP="00D41A4E">
      <w:pPr>
        <w:spacing w:after="120"/>
      </w:pPr>
      <w:r w:rsidRPr="00F00790">
        <w:tab/>
        <w:t>Today’s order gets to the heart of the problem by correcting the incentives.  If a carrier engages in access stimulation, they will not be able to foist those costs onto ratepayers and profit at our expense.  While this might not put a final nail in the coffin in all efforts to abuse the system, it is a significant step towards protecting ratepayers from costly arbitrage schemes.</w:t>
      </w:r>
    </w:p>
    <w:p w:rsidR="00F00790" w:rsidRPr="00F00790" w:rsidP="00D41A4E">
      <w:pPr>
        <w:spacing w:after="120"/>
      </w:pPr>
      <w:r w:rsidRPr="00F00790">
        <w:tab/>
        <w:t>I want to thank the Wireline Competition Bureau and the Office of Economics and Analytics for their work on this item.  It has my support.</w:t>
      </w:r>
    </w:p>
    <w:p w:rsidR="00F00790" w:rsidRPr="00F00790" w:rsidP="00F00790"/>
    <w:p w:rsidR="00F00790" w:rsidRPr="00F00790" w:rsidP="00D41A4E">
      <w:pPr>
        <w:jc w:val="center"/>
        <w:rPr>
          <w:b/>
        </w:rPr>
      </w:pPr>
      <w:r>
        <w:br w:type="page"/>
      </w:r>
      <w:r w:rsidRPr="00F00790">
        <w:rPr>
          <w:b/>
        </w:rPr>
        <w:t>STATEMENT OF</w:t>
      </w:r>
    </w:p>
    <w:p w:rsidR="00F00790" w:rsidRPr="00F00790" w:rsidP="00D41A4E">
      <w:pPr>
        <w:spacing w:after="240"/>
        <w:jc w:val="center"/>
        <w:rPr>
          <w:b/>
        </w:rPr>
      </w:pPr>
      <w:r w:rsidRPr="00F00790">
        <w:rPr>
          <w:b/>
        </w:rPr>
        <w:t>COMMISSIONER GEOFFREY STARKS</w:t>
      </w:r>
    </w:p>
    <w:p w:rsidR="00F00790" w:rsidRPr="00F00790" w:rsidP="00D41A4E">
      <w:pPr>
        <w:spacing w:after="240"/>
        <w:ind w:left="720" w:hanging="720"/>
      </w:pPr>
      <w:r w:rsidRPr="00F00790">
        <w:t xml:space="preserve">Re: </w:t>
      </w:r>
      <w:r w:rsidRPr="00F00790">
        <w:tab/>
      </w:r>
      <w:r w:rsidRPr="00F00790">
        <w:rPr>
          <w:i/>
        </w:rPr>
        <w:t xml:space="preserve">Updating the Intercarrier Compensation Regime to Eliminate Access Arbitrage, </w:t>
      </w:r>
      <w:r w:rsidRPr="00F00790">
        <w:t>WC Docket No. 18-155.</w:t>
      </w:r>
    </w:p>
    <w:p w:rsidR="00F00790" w:rsidRPr="00F00790" w:rsidP="00D41A4E">
      <w:pPr>
        <w:spacing w:after="120"/>
        <w:ind w:firstLine="720"/>
      </w:pPr>
      <w:r w:rsidRPr="00F00790">
        <w:t xml:space="preserve">With today’s order, the Commission takes further action to stop access arbitrage activity that misuses the access charge system and improperly shifts the costs of completing calls.  I support this effort.  </w:t>
      </w:r>
    </w:p>
    <w:p w:rsidR="00F00790" w:rsidRPr="00F00790" w:rsidP="00D41A4E">
      <w:pPr>
        <w:spacing w:after="120"/>
        <w:ind w:firstLine="720"/>
      </w:pPr>
      <w:r w:rsidRPr="00F00790">
        <w:t>Access arbitrage is a scheme where companies stimulate traffic to high-cost areas, rack up huge numbers of calling minutes, and are paid a portion of the resulting revenue.</w:t>
      </w:r>
      <w:r w:rsidRPr="00F00790">
        <w:t xml:space="preserve">  </w:t>
      </w:r>
      <w:r w:rsidRPr="00F00790">
        <w:t>Despite previous Commission efforts to thwart this activity, the practice has continued.  And so today we take another action that goes to the heart of the matter – curbing the financial incentives that make arbitrage so lucrative.  Ultimately, the costs associated with these schemes are borne by consumers on their phone bills and I am hopeful that today’s item will provide some much-needed relief.</w:t>
      </w:r>
    </w:p>
    <w:p w:rsidR="00F00790" w:rsidRPr="00F00790" w:rsidP="00D41A4E">
      <w:pPr>
        <w:spacing w:after="120"/>
        <w:ind w:firstLine="720"/>
      </w:pPr>
      <w:r w:rsidRPr="00F00790">
        <w:t>My thanks to the staff of the Wireline Competition Bureau for your work on this item, and for your tireless efforts to eliminate wasteful arbitrage.</w:t>
      </w:r>
    </w:p>
    <w:p w:rsidR="00F00790" w:rsidRPr="00EB312D" w:rsidP="00EB312D"/>
    <w:sectPr w:rsidSect="009B0DED">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code="1"/>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D1E" w:rsidP="002D6012">
    <w:pPr>
      <w:pStyle w:val="Footer"/>
      <w:framePr w:wrap="around" w:vAnchor="text" w:hAnchor="margin" w:xAlign="center" w:y="1"/>
    </w:pPr>
    <w:r>
      <w:fldChar w:fldCharType="begin"/>
    </w:r>
    <w:r>
      <w:instrText xml:space="preserve">PAGE  </w:instrText>
    </w:r>
    <w:r>
      <w:fldChar w:fldCharType="separate"/>
    </w:r>
    <w:r>
      <w:fldChar w:fldCharType="end"/>
    </w:r>
  </w:p>
  <w:p w:rsidR="00844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D1E" w:rsidP="002D6012">
    <w:pPr>
      <w:pStyle w:val="Footer"/>
      <w:jc w:val="center"/>
    </w:pPr>
    <w:r>
      <w:fldChar w:fldCharType="begin"/>
    </w:r>
    <w:r>
      <w:instrText xml:space="preserve"> PAGE   \* MERGEFORMAT </w:instrText>
    </w:r>
    <w:r>
      <w:fldChar w:fldCharType="separate"/>
    </w:r>
    <w:r>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D1E" w:rsidP="002D601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D1E" w:rsidP="0055614C">
    <w:pPr>
      <w:pStyle w:val="Footer"/>
      <w:framePr w:wrap="around" w:vAnchor="text" w:hAnchor="margin" w:xAlign="center" w:y="1"/>
    </w:pPr>
    <w:r>
      <w:fldChar w:fldCharType="begin"/>
    </w:r>
    <w:r>
      <w:instrText xml:space="preserve">PAGE  </w:instrText>
    </w:r>
    <w:r>
      <w:fldChar w:fldCharType="separate"/>
    </w:r>
    <w:r>
      <w:fldChar w:fldCharType="end"/>
    </w:r>
  </w:p>
  <w:p w:rsidR="00844D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D1E" w:rsidP="0055614C">
    <w:pPr>
      <w:pStyle w:val="Footer"/>
      <w:framePr w:wrap="around" w:vAnchor="text" w:hAnchor="margin" w:xAlign="center" w:y="1"/>
    </w:pPr>
    <w:r>
      <w:fldChar w:fldCharType="begin"/>
    </w:r>
    <w:r>
      <w:instrText xml:space="preserve">PAGE  </w:instrText>
    </w:r>
    <w:r>
      <w:fldChar w:fldCharType="separate"/>
    </w:r>
    <w:r>
      <w:rPr>
        <w:noProof/>
      </w:rPr>
      <w:t>29</w:t>
    </w:r>
    <w:r>
      <w:fldChar w:fldCharType="end"/>
    </w:r>
  </w:p>
  <w:p w:rsidR="00844D1E">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D1E" w:rsidP="0055614C">
    <w:pPr>
      <w:pStyle w:val="Footer"/>
      <w:framePr w:wrap="around" w:vAnchor="text" w:hAnchor="margin" w:xAlign="center" w:y="1"/>
    </w:pPr>
    <w:r>
      <w:fldChar w:fldCharType="begin"/>
    </w:r>
    <w:r>
      <w:instrText xml:space="preserve">PAGE  </w:instrText>
    </w:r>
    <w:r>
      <w:fldChar w:fldCharType="separate"/>
    </w:r>
    <w:r>
      <w:fldChar w:fldCharType="end"/>
    </w:r>
  </w:p>
  <w:p w:rsidR="00844D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D1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D1E">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58C2">
      <w:r>
        <w:separator/>
      </w:r>
    </w:p>
  </w:footnote>
  <w:footnote w:type="continuationSeparator" w:id="1">
    <w:p w:rsidR="002B58C2" w:rsidP="00C721AC">
      <w:pPr>
        <w:spacing w:before="120"/>
        <w:rPr>
          <w:sz w:val="20"/>
        </w:rPr>
      </w:pPr>
      <w:r>
        <w:rPr>
          <w:sz w:val="20"/>
        </w:rPr>
        <w:t xml:space="preserve">(Continued from previous page)  </w:t>
      </w:r>
      <w:r>
        <w:rPr>
          <w:sz w:val="20"/>
        </w:rPr>
        <w:separator/>
      </w:r>
    </w:p>
  </w:footnote>
  <w:footnote w:type="continuationNotice" w:id="2">
    <w:p w:rsidR="002B58C2" w:rsidP="00C721AC">
      <w:pPr>
        <w:jc w:val="right"/>
        <w:rPr>
          <w:sz w:val="20"/>
        </w:rPr>
      </w:pPr>
      <w:r>
        <w:rPr>
          <w:sz w:val="20"/>
        </w:rPr>
        <w:t>(continued….)</w:t>
      </w:r>
    </w:p>
  </w:footnote>
  <w:footnote w:id="3">
    <w:p w:rsidR="00844D1E" w:rsidP="00EB312D">
      <w:pPr>
        <w:pStyle w:val="FootnoteText"/>
      </w:pPr>
      <w:r>
        <w:rPr>
          <w:rStyle w:val="FootnoteReference"/>
        </w:rPr>
        <w:footnoteRef/>
      </w:r>
      <w:r>
        <w:t xml:space="preserve"> The term IXC as used in this </w:t>
      </w:r>
      <w:r w:rsidRPr="008D440A">
        <w:rPr>
          <w:i/>
        </w:rPr>
        <w:t>Order</w:t>
      </w:r>
      <w:r>
        <w:t xml:space="preserve"> encompasses wireless carriers to the </w:t>
      </w:r>
      <w:r>
        <w:t>extent</w:t>
      </w:r>
      <w:r>
        <w:t xml:space="preserve"> they are payers of switched access charges.  </w:t>
      </w:r>
    </w:p>
  </w:footnote>
  <w:footnote w:id="4">
    <w:p w:rsidR="00844D1E" w:rsidP="00EB312D">
      <w:pPr>
        <w:pStyle w:val="FootnoteText"/>
      </w:pPr>
      <w:r>
        <w:rPr>
          <w:rStyle w:val="FootnoteReference"/>
        </w:rPr>
        <w:footnoteRef/>
      </w:r>
      <w:r>
        <w:t xml:space="preserve"> </w:t>
      </w:r>
      <w:r w:rsidRPr="004F3FA2">
        <w:rPr>
          <w:i/>
          <w:iCs/>
        </w:rPr>
        <w:t>See Connect America Fund et al.</w:t>
      </w:r>
      <w:r w:rsidRPr="004F3FA2">
        <w:t>, WC Docket No. 10-90 et al., Report and Order and Further Notice of Prop</w:t>
      </w:r>
      <w:r w:rsidRPr="00E10000">
        <w:t>osed</w:t>
      </w:r>
      <w:r w:rsidRPr="004B33E5">
        <w:t xml:space="preserve"> Rul</w:t>
      </w:r>
      <w:r w:rsidRPr="00E10000">
        <w:t xml:space="preserve">emaking, 26 FCC </w:t>
      </w:r>
      <w:r w:rsidRPr="00E10000">
        <w:t>Rcd</w:t>
      </w:r>
      <w:r w:rsidRPr="00E10000">
        <w:t xml:space="preserve"> 17663 (2011) (</w:t>
      </w:r>
      <w:r w:rsidRPr="00E10000">
        <w:rPr>
          <w:i/>
        </w:rPr>
        <w:t xml:space="preserve">USF/ICC Transformation Order </w:t>
      </w:r>
      <w:r w:rsidRPr="00E10000">
        <w:t xml:space="preserve">or </w:t>
      </w:r>
      <w:r w:rsidRPr="00E10000">
        <w:rPr>
          <w:i/>
        </w:rPr>
        <w:t>USF/ICC Transformation Further Notice</w:t>
      </w:r>
      <w:r w:rsidRPr="00E10000">
        <w:t>),</w:t>
      </w:r>
      <w:r w:rsidRPr="00E10000">
        <w:rPr>
          <w:i/>
        </w:rPr>
        <w:t xml:space="preserve"> aff’d</w:t>
      </w:r>
      <w:r w:rsidRPr="00E10000">
        <w:t xml:space="preserve">, </w:t>
      </w:r>
      <w:r w:rsidRPr="00E10000">
        <w:rPr>
          <w:i/>
        </w:rPr>
        <w:t>In re FCC 11-161</w:t>
      </w:r>
      <w:r w:rsidRPr="00E10000">
        <w:t>, 753 F.3d 1015 (10</w:t>
      </w:r>
      <w:r w:rsidRPr="00E10000">
        <w:rPr>
          <w:vertAlign w:val="superscript"/>
        </w:rPr>
        <w:t>th</w:t>
      </w:r>
      <w:r w:rsidRPr="00E10000">
        <w:t xml:space="preserve"> Cir. 2014) (</w:t>
      </w:r>
      <w:r w:rsidRPr="00E10000">
        <w:rPr>
          <w:i/>
        </w:rPr>
        <w:t>In re FCC 11-161</w:t>
      </w:r>
      <w:r w:rsidRPr="00E10000">
        <w:t>)</w:t>
      </w:r>
      <w:r>
        <w:t xml:space="preserve">, </w:t>
      </w:r>
      <w:bookmarkStart w:id="103" w:name="_Hlk18413717"/>
      <w:r w:rsidRPr="00E15FB6">
        <w:rPr>
          <w:i/>
        </w:rPr>
        <w:t>cert. denied</w:t>
      </w:r>
      <w:r w:rsidRPr="00E15FB6">
        <w:t>, 135 S. Ct. 2050, and 135 S. Ct. 2072 (2015)</w:t>
      </w:r>
      <w:bookmarkEnd w:id="103"/>
      <w:r w:rsidRPr="00E10000">
        <w:t>.</w:t>
      </w:r>
      <w:r w:rsidRPr="00E10000">
        <w:rPr>
          <w:rFonts w:ascii="TimesNewRomanPSMT" w:hAnsi="TimesNewRomanPSMT" w:cs="TimesNewRomanPSMT"/>
        </w:rPr>
        <w:t xml:space="preserve">  </w:t>
      </w:r>
      <w:r w:rsidRPr="00E10000">
        <w:t xml:space="preserve">In the </w:t>
      </w:r>
      <w:r w:rsidRPr="00E10000">
        <w:rPr>
          <w:i/>
        </w:rPr>
        <w:t>Access Arbitrage Notice</w:t>
      </w:r>
      <w:r w:rsidRPr="00E10000">
        <w:t>,</w:t>
      </w:r>
      <w:r w:rsidRPr="00E10000">
        <w:rPr>
          <w:i/>
        </w:rPr>
        <w:t xml:space="preserve"> </w:t>
      </w:r>
      <w:r w:rsidRPr="00E10000">
        <w:t>the</w:t>
      </w:r>
      <w:r w:rsidRPr="00FD4432">
        <w:t xml:space="preserve"> Commission incorporated filings from WC Docket Nos. 10-90 and 07-135, and CC Docket No. 01-92 into the record of this proceeding.  </w:t>
      </w:r>
      <w:r w:rsidRPr="00FD4432">
        <w:rPr>
          <w:i/>
        </w:rPr>
        <w:t>Updating the Intercarrier Compensation Regime to Eliminate Access Arbitrage</w:t>
      </w:r>
      <w:r w:rsidRPr="00FD4432">
        <w:t xml:space="preserve">, </w:t>
      </w:r>
      <w:r>
        <w:t xml:space="preserve">WC Docket No. 18-155, Notice of Proposed Rulemaking, </w:t>
      </w:r>
      <w:r w:rsidRPr="00FD4432">
        <w:t xml:space="preserve">33 FCC </w:t>
      </w:r>
      <w:r w:rsidRPr="00FD4432">
        <w:t>Rcd</w:t>
      </w:r>
      <w:r w:rsidRPr="00FD4432">
        <w:t xml:space="preserve"> 5466, 5467 n.7 (2018) (</w:t>
      </w:r>
      <w:r w:rsidRPr="00FD4432">
        <w:rPr>
          <w:i/>
        </w:rPr>
        <w:t>Access Arbitrage Notice</w:t>
      </w:r>
      <w:r>
        <w:t xml:space="preserve"> or </w:t>
      </w:r>
      <w:r w:rsidRPr="009B42F9">
        <w:rPr>
          <w:i/>
        </w:rPr>
        <w:t>Notice</w:t>
      </w:r>
      <w:r w:rsidRPr="00FD4432">
        <w:t>).</w:t>
      </w:r>
      <w:r w:rsidRPr="00FD4432">
        <w:rPr>
          <w:i/>
        </w:rPr>
        <w:t xml:space="preserve">  </w:t>
      </w:r>
      <w:r w:rsidRPr="00FD4432">
        <w:t xml:space="preserve">We refer to documents filed in those dockets in this </w:t>
      </w:r>
      <w:r w:rsidRPr="00FD4432">
        <w:rPr>
          <w:i/>
        </w:rPr>
        <w:t>Order</w:t>
      </w:r>
      <w:r w:rsidRPr="00FD4432">
        <w:t xml:space="preserve">.  </w:t>
      </w:r>
    </w:p>
  </w:footnote>
  <w:footnote w:id="5">
    <w:p w:rsidR="00844D1E" w:rsidRPr="00E755F3" w:rsidP="00EB312D">
      <w:pPr>
        <w:pStyle w:val="FootnoteText"/>
      </w:pPr>
      <w:r>
        <w:rPr>
          <w:rStyle w:val="FootnoteReference"/>
        </w:rPr>
        <w:footnoteRef/>
      </w:r>
      <w:r>
        <w:t xml:space="preserve"> Letter from Keith Buell, Senior Counsel, Sprint, to Marlene Dortch, Secretary, FCC, WC Docket No. 18-155, at 7 (filed May 16, 2019) (Sprint May 16, 2019 </w:t>
      </w:r>
      <w:r>
        <w:rPr>
          <w:i/>
        </w:rPr>
        <w:t>Ex Parte</w:t>
      </w:r>
      <w:r>
        <w:t>)</w:t>
      </w:r>
      <w:r>
        <w:rPr>
          <w:szCs w:val="22"/>
        </w:rPr>
        <w:t xml:space="preserve"> </w:t>
      </w:r>
      <w:r>
        <w:t xml:space="preserve">(providing a screen shot of a Facebook page advertising one such scheme).  </w:t>
      </w:r>
      <w:r>
        <w:rPr>
          <w:i/>
        </w:rPr>
        <w:t>But cf.</w:t>
      </w:r>
      <w:r>
        <w:t xml:space="preserve"> Letter from G. David Carter, Counsel to Joint CLECs, to Marlene Dortch, Secretary, FCC, WC Docket No. 18-155, at 1-2 (filed May 13, 2019) (Joint CLEC May 13, 2019 </w:t>
      </w:r>
      <w:r>
        <w:rPr>
          <w:i/>
        </w:rPr>
        <w:t>Ex Parte</w:t>
      </w:r>
      <w:r>
        <w:t>) (claiming there is still insufficient evidence of the “harm and negative consequences” of access stimulation).</w:t>
      </w:r>
    </w:p>
  </w:footnote>
  <w:footnote w:id="6">
    <w:p w:rsidR="00844D1E" w:rsidP="00EB312D">
      <w:pPr>
        <w:pStyle w:val="FootnoteText"/>
      </w:pPr>
      <w:r>
        <w:rPr>
          <w:rStyle w:val="FootnoteReference"/>
        </w:rPr>
        <w:footnoteRef/>
      </w:r>
      <w:r>
        <w:t xml:space="preserve"> Sprint May 16, 2019 </w:t>
      </w:r>
      <w:r w:rsidRPr="0009070B">
        <w:rPr>
          <w:i/>
        </w:rPr>
        <w:t>Ex Parte</w:t>
      </w:r>
      <w:r>
        <w:t xml:space="preserve"> at 7-8; </w:t>
      </w:r>
      <w:r w:rsidRPr="00BA1EE3">
        <w:rPr>
          <w:i/>
        </w:rPr>
        <w:t xml:space="preserve">see also </w:t>
      </w:r>
      <w:r w:rsidRPr="00BA1EE3">
        <w:t>Letter from Keith Buell, Senior Counsel, Sprint</w:t>
      </w:r>
      <w:r>
        <w:t>,</w:t>
      </w:r>
      <w:r w:rsidRPr="00BA1EE3">
        <w:t xml:space="preserve"> to Marlene Dortch, Secretary, FCC, WC Docket No. 18-155, at 1-2 (filed Sept. 3, 2019) (Sprint Sept. 3, 2019 </w:t>
      </w:r>
      <w:r w:rsidRPr="00BA1EE3">
        <w:rPr>
          <w:i/>
        </w:rPr>
        <w:t>Ex Parte</w:t>
      </w:r>
      <w:r w:rsidRPr="00BA1EE3">
        <w:t>).</w:t>
      </w:r>
    </w:p>
  </w:footnote>
  <w:footnote w:id="7">
    <w:p w:rsidR="00844D1E" w:rsidP="00EB312D">
      <w:pPr>
        <w:pStyle w:val="FootnoteText"/>
      </w:pPr>
      <w:r>
        <w:rPr>
          <w:rStyle w:val="FootnoteReference"/>
        </w:rPr>
        <w:footnoteRef/>
      </w:r>
      <w:r>
        <w:t xml:space="preserve"> </w:t>
      </w:r>
      <w:bookmarkStart w:id="104" w:name="_Hlk18321192"/>
      <w:r>
        <w:t xml:space="preserve">Sprint May 16, 2019 </w:t>
      </w:r>
      <w:r>
        <w:rPr>
          <w:i/>
        </w:rPr>
        <w:t>Ex Parte</w:t>
      </w:r>
      <w:bookmarkEnd w:id="104"/>
      <w:r>
        <w:t xml:space="preserve"> at 9.</w:t>
      </w:r>
    </w:p>
  </w:footnote>
  <w:footnote w:id="8">
    <w:p w:rsidR="00844D1E" w:rsidP="00EB312D">
      <w:pPr>
        <w:pStyle w:val="FootnoteText"/>
      </w:pPr>
      <w:r>
        <w:rPr>
          <w:rStyle w:val="FootnoteReference"/>
        </w:rPr>
        <w:footnoteRef/>
      </w:r>
      <w:r>
        <w:t xml:space="preserve"> </w:t>
      </w:r>
      <w:r>
        <w:rPr>
          <w:i/>
        </w:rPr>
        <w:t>Access Arbitrage Notice</w:t>
      </w:r>
      <w:r>
        <w:t xml:space="preserve">, 33 FCC </w:t>
      </w:r>
      <w:r>
        <w:t>Rcd</w:t>
      </w:r>
      <w:r>
        <w:t xml:space="preserve"> at 5467, para. 3. </w:t>
      </w:r>
    </w:p>
  </w:footnote>
  <w:footnote w:id="9">
    <w:p w:rsidR="00844D1E" w:rsidRPr="00D2284F" w:rsidP="00EB312D">
      <w:pPr>
        <w:pStyle w:val="FootnoteText"/>
        <w:rPr>
          <w:i/>
        </w:rPr>
      </w:pPr>
      <w:r>
        <w:rPr>
          <w:rStyle w:val="FootnoteReference"/>
        </w:rPr>
        <w:footnoteRef/>
      </w:r>
      <w:r>
        <w:t xml:space="preserve"> </w:t>
      </w:r>
      <w:r w:rsidRPr="00D2284F">
        <w:rPr>
          <w:i/>
        </w:rPr>
        <w:t xml:space="preserve">See </w:t>
      </w:r>
      <w:r w:rsidRPr="003E28FA">
        <w:rPr>
          <w:i/>
        </w:rPr>
        <w:t>Access Charge Reform</w:t>
      </w:r>
      <w:r>
        <w:t>, CC Docket No. 96-262,</w:t>
      </w:r>
      <w:r w:rsidRPr="003E28FA">
        <w:rPr>
          <w:i/>
        </w:rPr>
        <w:t xml:space="preserve"> </w:t>
      </w:r>
      <w:r>
        <w:t xml:space="preserve">First Report and Order, 12 FCC </w:t>
      </w:r>
      <w:r>
        <w:t>Rcd</w:t>
      </w:r>
      <w:r>
        <w:t xml:space="preserve"> 15982, 15991, para. 21 (1997)</w:t>
      </w:r>
      <w:r>
        <w:rPr>
          <w:i/>
        </w:rPr>
        <w:t xml:space="preserve"> </w:t>
      </w:r>
      <w:r>
        <w:t>(</w:t>
      </w:r>
      <w:r>
        <w:rPr>
          <w:i/>
        </w:rPr>
        <w:t>Access Charge Reform Order</w:t>
      </w:r>
      <w:r>
        <w:t xml:space="preserve">) (citing </w:t>
      </w:r>
      <w:r w:rsidRPr="000F791E">
        <w:rPr>
          <w:i/>
        </w:rPr>
        <w:t>MTS and WATS Market Structure</w:t>
      </w:r>
      <w:r>
        <w:t xml:space="preserve">, Third Report and Order, CC Docket No. 78-72, Phase 1, </w:t>
      </w:r>
      <w:r w:rsidRPr="002B74C2">
        <w:t xml:space="preserve">93 F.C.C.2d 241, </w:t>
      </w:r>
      <w:r w:rsidRPr="002B74C2">
        <w:rPr>
          <w:i/>
        </w:rPr>
        <w:t>recon</w:t>
      </w:r>
      <w:r w:rsidRPr="002B74C2">
        <w:t>., 97 F.C.C.2d 682 (19</w:t>
      </w:r>
      <w:r>
        <w:t>8</w:t>
      </w:r>
      <w:r w:rsidRPr="002B74C2">
        <w:t xml:space="preserve">3), </w:t>
      </w:r>
      <w:r w:rsidRPr="002B74C2">
        <w:rPr>
          <w:i/>
        </w:rPr>
        <w:t>second recon</w:t>
      </w:r>
      <w:r w:rsidRPr="002B74C2">
        <w:t>., 97 F.C.C.2d 834 (1984))</w:t>
      </w:r>
      <w:r>
        <w:t xml:space="preserve">, </w:t>
      </w:r>
      <w:r w:rsidRPr="00B36FA4">
        <w:rPr>
          <w:i/>
        </w:rPr>
        <w:t>aff</w:t>
      </w:r>
      <w:r>
        <w:rPr>
          <w:i/>
        </w:rPr>
        <w:t>’</w:t>
      </w:r>
      <w:r w:rsidRPr="00B36FA4">
        <w:rPr>
          <w:i/>
        </w:rPr>
        <w:t>d sub. nom. Southwestern Bell v. FCC</w:t>
      </w:r>
      <w:r>
        <w:t>, 153 F.3d 523 (8</w:t>
      </w:r>
      <w:r w:rsidRPr="000F791E">
        <w:t>th</w:t>
      </w:r>
      <w:r>
        <w:t xml:space="preserve"> Cir. 1998)</w:t>
      </w:r>
      <w:r w:rsidRPr="002B74C2">
        <w:t xml:space="preserve">. </w:t>
      </w:r>
    </w:p>
  </w:footnote>
  <w:footnote w:id="10">
    <w:p w:rsidR="00844D1E" w:rsidP="00EB312D">
      <w:pPr>
        <w:pStyle w:val="FootnoteText"/>
      </w:pPr>
      <w:r>
        <w:rPr>
          <w:rStyle w:val="FootnoteReference"/>
        </w:rPr>
        <w:footnoteRef/>
      </w:r>
      <w:r>
        <w:t xml:space="preserve"> </w:t>
      </w:r>
      <w:r w:rsidRPr="003E28FA">
        <w:rPr>
          <w:i/>
        </w:rPr>
        <w:t>Access Charge Reform; Reform of Access Charges Imposed by Competitive Local Exchange Carriers</w:t>
      </w:r>
      <w:r>
        <w:t xml:space="preserve">, CC Docket No. 96-262, Seventh Report and Order and Further Notice of Proposed Rulemaking, 16 FCC </w:t>
      </w:r>
      <w:r>
        <w:t>Rcd</w:t>
      </w:r>
      <w:r>
        <w:t xml:space="preserve"> 9923, 9934, para. 28 (2001</w:t>
      </w:r>
      <w:r w:rsidRPr="002B74C2">
        <w:t>).</w:t>
      </w:r>
    </w:p>
  </w:footnote>
  <w:footnote w:id="11">
    <w:p w:rsidR="00844D1E" w:rsidP="00EB312D">
      <w:pPr>
        <w:pStyle w:val="FootnoteText"/>
      </w:pPr>
      <w:r>
        <w:rPr>
          <w:rStyle w:val="FootnoteReference"/>
        </w:rPr>
        <w:footnoteRef/>
      </w:r>
      <w:r>
        <w:t xml:space="preserve"> </w:t>
      </w:r>
      <w:r w:rsidRPr="00B36FA4">
        <w:rPr>
          <w:i/>
        </w:rPr>
        <w:t>Access Charge Reform Order</w:t>
      </w:r>
      <w:r>
        <w:t xml:space="preserve">, 12 FCC </w:t>
      </w:r>
      <w:r>
        <w:t>Rcd</w:t>
      </w:r>
      <w:r>
        <w:t xml:space="preserve"> at 15985, paras. 1, 4.</w:t>
      </w:r>
    </w:p>
  </w:footnote>
  <w:footnote w:id="12">
    <w:p w:rsidR="00844D1E" w:rsidP="00EB312D">
      <w:pPr>
        <w:pStyle w:val="FootnoteText"/>
      </w:pPr>
      <w:r>
        <w:rPr>
          <w:rStyle w:val="FootnoteReference"/>
        </w:rPr>
        <w:footnoteRef/>
      </w:r>
      <w:r>
        <w:t xml:space="preserve"> </w:t>
      </w:r>
      <w:r w:rsidRPr="00B36FA4">
        <w:rPr>
          <w:i/>
        </w:rPr>
        <w:t>See, e.g.</w:t>
      </w:r>
      <w:r>
        <w:t xml:space="preserve">, </w:t>
      </w:r>
      <w:r w:rsidRPr="000F791E">
        <w:rPr>
          <w:i/>
        </w:rPr>
        <w:t>Federal-State Board on Universal Service</w:t>
      </w:r>
      <w:r>
        <w:t xml:space="preserve">, CC Docket No. 96-45, Report and Order, 12 FCC </w:t>
      </w:r>
      <w:r>
        <w:t>Rcd</w:t>
      </w:r>
      <w:r>
        <w:t xml:space="preserve"> 8776 (1997</w:t>
      </w:r>
      <w:r w:rsidRPr="002B74C2">
        <w:t>);</w:t>
      </w:r>
      <w:r>
        <w:t xml:space="preserve"> </w:t>
      </w:r>
      <w:r w:rsidRPr="000F791E">
        <w:rPr>
          <w:i/>
        </w:rPr>
        <w:t>Implementation of the Local Competition Provisions in the Telecommunications Act of 1996</w:t>
      </w:r>
      <w:r>
        <w:t xml:space="preserve">, CC Docket No. 96-98, First Report and Order, 11 FCC </w:t>
      </w:r>
      <w:r>
        <w:t>Rcd</w:t>
      </w:r>
      <w:r>
        <w:t xml:space="preserve"> 15499 (1996), </w:t>
      </w:r>
      <w:r w:rsidRPr="001E73E9">
        <w:rPr>
          <w:i/>
          <w:iCs/>
        </w:rPr>
        <w:t xml:space="preserve">aff'd in part and vacated in part sub </w:t>
      </w:r>
      <w:r w:rsidRPr="002B74C2">
        <w:rPr>
          <w:i/>
          <w:iCs/>
        </w:rPr>
        <w:t>nom.</w:t>
      </w:r>
      <w:r w:rsidRPr="002B74C2">
        <w:rPr>
          <w:iCs/>
        </w:rPr>
        <w:t xml:space="preserve"> </w:t>
      </w:r>
      <w:r w:rsidRPr="00DC4DF1">
        <w:rPr>
          <w:i/>
        </w:rPr>
        <w:t>Comp. Tel. Assoc. v. FCC</w:t>
      </w:r>
      <w:r w:rsidRPr="00E407A9">
        <w:t>, 117 F.3d 1068 (8th Cir. 1997)</w:t>
      </w:r>
      <w:r>
        <w:rPr>
          <w:rStyle w:val="Hyperlink"/>
          <w:u w:val="none"/>
        </w:rPr>
        <w:t xml:space="preserve"> </w:t>
      </w:r>
      <w:r w:rsidRPr="002B74C2">
        <w:t xml:space="preserve">and </w:t>
      </w:r>
      <w:r w:rsidRPr="00DC4DF1">
        <w:rPr>
          <w:i/>
        </w:rPr>
        <w:t xml:space="preserve">Iowa </w:t>
      </w:r>
      <w:r w:rsidRPr="00DC4DF1">
        <w:rPr>
          <w:i/>
        </w:rPr>
        <w:t>Utils</w:t>
      </w:r>
      <w:r w:rsidRPr="00DC4DF1">
        <w:rPr>
          <w:i/>
        </w:rPr>
        <w:t>. Bd. v. FCC</w:t>
      </w:r>
      <w:r w:rsidRPr="00E407A9">
        <w:t>, 120 F.3d 753 (8th Cir. 1997)</w:t>
      </w:r>
      <w:r w:rsidRPr="002B74C2">
        <w:t xml:space="preserve">, </w:t>
      </w:r>
      <w:r w:rsidRPr="002B74C2">
        <w:rPr>
          <w:i/>
          <w:iCs/>
        </w:rPr>
        <w:t xml:space="preserve">aff'd in part and remanded, </w:t>
      </w:r>
      <w:r w:rsidRPr="00D57292">
        <w:rPr>
          <w:i/>
        </w:rPr>
        <w:t xml:space="preserve">AT&amp;T v. Iowa </w:t>
      </w:r>
      <w:r w:rsidRPr="00D57292">
        <w:rPr>
          <w:i/>
        </w:rPr>
        <w:t>Utils</w:t>
      </w:r>
      <w:r w:rsidRPr="00D57292">
        <w:rPr>
          <w:i/>
        </w:rPr>
        <w:t>. Bd.</w:t>
      </w:r>
      <w:r w:rsidRPr="00E407A9">
        <w:t>, 525 U.S. 366 (1999)</w:t>
      </w:r>
      <w:r w:rsidRPr="002B74C2">
        <w:t xml:space="preserve">; </w:t>
      </w:r>
      <w:r w:rsidRPr="002B74C2">
        <w:rPr>
          <w:i/>
          <w:iCs/>
        </w:rPr>
        <w:t xml:space="preserve">on remand </w:t>
      </w:r>
      <w:r w:rsidRPr="00DC4DF1">
        <w:rPr>
          <w:i/>
        </w:rPr>
        <w:t xml:space="preserve">Iowa </w:t>
      </w:r>
      <w:r w:rsidRPr="00DC4DF1">
        <w:rPr>
          <w:i/>
        </w:rPr>
        <w:t>Utils</w:t>
      </w:r>
      <w:r w:rsidRPr="00DC4DF1">
        <w:rPr>
          <w:i/>
        </w:rPr>
        <w:t>. Bd. v. FCC</w:t>
      </w:r>
      <w:r w:rsidRPr="00E407A9">
        <w:t>, 219 F.3d 744 (8th Cir. 2000)</w:t>
      </w:r>
      <w:r w:rsidRPr="002B74C2">
        <w:t xml:space="preserve">, </w:t>
      </w:r>
      <w:r w:rsidRPr="002B74C2">
        <w:rPr>
          <w:i/>
          <w:iCs/>
        </w:rPr>
        <w:t xml:space="preserve">reversed in part sub nom. </w:t>
      </w:r>
      <w:r w:rsidRPr="00DC4DF1">
        <w:rPr>
          <w:i/>
        </w:rPr>
        <w:t>Verizon Communications, Inc. v. FCC</w:t>
      </w:r>
      <w:r w:rsidRPr="00E407A9">
        <w:t>, 535 U.S. 467 (2002)</w:t>
      </w:r>
      <w:r w:rsidRPr="002B74C2">
        <w:t xml:space="preserve">.  </w:t>
      </w:r>
    </w:p>
  </w:footnote>
  <w:footnote w:id="13">
    <w:p w:rsidR="00844D1E" w:rsidP="00EB312D">
      <w:pPr>
        <w:pStyle w:val="FootnoteText"/>
      </w:pPr>
      <w:r>
        <w:rPr>
          <w:rStyle w:val="FootnoteReference"/>
        </w:rPr>
        <w:footnoteRef/>
      </w:r>
      <w:r>
        <w:t xml:space="preserve"> </w:t>
      </w:r>
      <w:r w:rsidRPr="00BE19B7">
        <w:rPr>
          <w:i/>
        </w:rPr>
        <w:t xml:space="preserve">USF/ICC Transformation </w:t>
      </w:r>
      <w:r>
        <w:rPr>
          <w:i/>
        </w:rPr>
        <w:t>Order</w:t>
      </w:r>
      <w:r w:rsidRPr="00BE19B7">
        <w:t xml:space="preserve">, 26 FCC </w:t>
      </w:r>
      <w:r w:rsidRPr="00BE19B7">
        <w:t>Rcd</w:t>
      </w:r>
      <w:r w:rsidRPr="00BE19B7">
        <w:t xml:space="preserve"> at 17</w:t>
      </w:r>
      <w:r>
        <w:t xml:space="preserve">676, para. 34. </w:t>
      </w:r>
      <w:r w:rsidRPr="00BE19B7">
        <w:t xml:space="preserve"> </w:t>
      </w:r>
    </w:p>
  </w:footnote>
  <w:footnote w:id="14">
    <w:p w:rsidR="00844D1E" w:rsidP="00EB312D">
      <w:pPr>
        <w:pStyle w:val="FootnoteText"/>
      </w:pPr>
      <w:r>
        <w:rPr>
          <w:rStyle w:val="FootnoteReference"/>
        </w:rPr>
        <w:footnoteRef/>
      </w:r>
      <w:r>
        <w:t xml:space="preserve"> </w:t>
      </w:r>
      <w:r w:rsidRPr="0023282A">
        <w:rPr>
          <w:i/>
        </w:rPr>
        <w:t>Id</w:t>
      </w:r>
      <w:r>
        <w:t>.</w:t>
      </w:r>
      <w:r w:rsidRPr="00CF7AF7">
        <w:t xml:space="preserve"> at 17</w:t>
      </w:r>
      <w:r>
        <w:t>677, para. 35.</w:t>
      </w:r>
      <w:r w:rsidRPr="00CF7AF7">
        <w:t xml:space="preserve">  </w:t>
      </w:r>
    </w:p>
  </w:footnote>
  <w:footnote w:id="15">
    <w:p w:rsidR="00844D1E" w:rsidP="00EB312D">
      <w:pPr>
        <w:pStyle w:val="FootnoteText"/>
      </w:pPr>
      <w:r>
        <w:rPr>
          <w:rStyle w:val="FootnoteReference"/>
        </w:rPr>
        <w:footnoteRef/>
      </w:r>
      <w:r>
        <w:t xml:space="preserve"> </w:t>
      </w:r>
      <w:r w:rsidRPr="0023282A">
        <w:rPr>
          <w:i/>
        </w:rPr>
        <w:t>Id</w:t>
      </w:r>
      <w:r>
        <w:t xml:space="preserve">. at 17904, para. 738. </w:t>
      </w:r>
      <w:r w:rsidRPr="003824DF">
        <w:t xml:space="preserve"> </w:t>
      </w:r>
    </w:p>
  </w:footnote>
  <w:footnote w:id="16">
    <w:p w:rsidR="00844D1E" w:rsidRPr="00943CDF" w:rsidP="00EB312D">
      <w:pPr>
        <w:pStyle w:val="FootnoteText"/>
        <w:rPr>
          <w:i/>
        </w:rPr>
      </w:pPr>
      <w:r>
        <w:rPr>
          <w:rStyle w:val="FootnoteReference"/>
        </w:rPr>
        <w:footnoteRef/>
      </w:r>
      <w:r>
        <w:t xml:space="preserve"> </w:t>
      </w:r>
      <w:bookmarkStart w:id="161" w:name="_Hlk17790045"/>
      <w:r w:rsidRPr="0023282A">
        <w:rPr>
          <w:i/>
        </w:rPr>
        <w:t>Id</w:t>
      </w:r>
      <w:r>
        <w:t xml:space="preserve">. at 17874, para. 657. </w:t>
      </w:r>
      <w:r w:rsidRPr="003824DF">
        <w:t xml:space="preserve"> </w:t>
      </w:r>
      <w:bookmarkEnd w:id="161"/>
    </w:p>
  </w:footnote>
  <w:footnote w:id="17">
    <w:p w:rsidR="00844D1E" w:rsidP="00EB312D">
      <w:pPr>
        <w:pStyle w:val="FootnoteText"/>
      </w:pPr>
      <w:r>
        <w:rPr>
          <w:rStyle w:val="FootnoteReference"/>
        </w:rPr>
        <w:footnoteRef/>
      </w:r>
      <w:r w:rsidRPr="1A1760E4">
        <w:t xml:space="preserve"> </w:t>
      </w:r>
      <w:r w:rsidRPr="0023282A">
        <w:rPr>
          <w:i/>
        </w:rPr>
        <w:t>Id</w:t>
      </w:r>
      <w:r>
        <w:t xml:space="preserve">. at 17875, para. 663.  </w:t>
      </w:r>
    </w:p>
  </w:footnote>
  <w:footnote w:id="18">
    <w:p w:rsidR="00844D1E" w:rsidRPr="00520576" w:rsidP="00EB312D">
      <w:pPr>
        <w:pStyle w:val="FootnoteText"/>
      </w:pPr>
      <w:r>
        <w:rPr>
          <w:rStyle w:val="FootnoteReference"/>
        </w:rPr>
        <w:footnoteRef/>
      </w:r>
      <w:r>
        <w:t xml:space="preserve"> </w:t>
      </w:r>
      <w:r>
        <w:rPr>
          <w:i/>
        </w:rPr>
        <w:t>Id</w:t>
      </w:r>
      <w:r>
        <w:t>. at 17875, para. 663.</w:t>
      </w:r>
    </w:p>
  </w:footnote>
  <w:footnote w:id="19">
    <w:p w:rsidR="00844D1E" w:rsidP="00EB312D">
      <w:pPr>
        <w:pStyle w:val="FootnoteText"/>
      </w:pPr>
      <w:r>
        <w:rPr>
          <w:rStyle w:val="FootnoteReference"/>
        </w:rPr>
        <w:footnoteRef/>
      </w:r>
      <w:r>
        <w:t xml:space="preserve"> </w:t>
      </w:r>
      <w:r w:rsidRPr="0023282A">
        <w:rPr>
          <w:i/>
        </w:rPr>
        <w:t>Id</w:t>
      </w:r>
      <w:r>
        <w:t>. at 17874, 17883, paras. 657, 684-85</w:t>
      </w:r>
      <w:r w:rsidRPr="007C77AD">
        <w:t>; 47 U.S.C. § 201(b).</w:t>
      </w:r>
    </w:p>
  </w:footnote>
  <w:footnote w:id="20">
    <w:p w:rsidR="00844D1E" w:rsidRPr="00166774" w:rsidP="00EB312D">
      <w:pPr>
        <w:pStyle w:val="FootnoteText"/>
      </w:pPr>
      <w:r>
        <w:rPr>
          <w:rStyle w:val="FootnoteReference"/>
        </w:rPr>
        <w:footnoteRef/>
      </w:r>
      <w:r w:rsidRPr="00C6640D">
        <w:t xml:space="preserve"> </w:t>
      </w:r>
      <w:r w:rsidRPr="0023282A">
        <w:rPr>
          <w:i/>
        </w:rPr>
        <w:t>Id</w:t>
      </w:r>
      <w:r>
        <w:t xml:space="preserve">. at 17874-75, paras. 656-60. </w:t>
      </w:r>
      <w:r w:rsidRPr="003824DF">
        <w:t xml:space="preserve"> </w:t>
      </w:r>
    </w:p>
  </w:footnote>
  <w:footnote w:id="21">
    <w:p w:rsidR="00844D1E" w:rsidRPr="0036257E" w:rsidP="00EB312D">
      <w:pPr>
        <w:pStyle w:val="FootnoteText"/>
      </w:pPr>
      <w:r>
        <w:rPr>
          <w:rStyle w:val="FootnoteReference"/>
        </w:rPr>
        <w:footnoteRef/>
      </w:r>
      <w:r>
        <w:t xml:space="preserve"> 47 CFR § 61.3(</w:t>
      </w:r>
      <w:r>
        <w:t>bbb</w:t>
      </w:r>
      <w:r>
        <w:t>)(1)(</w:t>
      </w:r>
      <w:r>
        <w:t>i</w:t>
      </w:r>
      <w:r>
        <w:t xml:space="preserve">).  </w:t>
      </w:r>
      <w:r w:rsidRPr="00CE2189">
        <w:t>When determining whether there is a net</w:t>
      </w:r>
      <w:r>
        <w:t xml:space="preserve"> payment, “all payments, discounts, credits, services, features, functions, and other items of value, regardless of form, provided by the rate-of-return local exchange carrier or Competitive Local Exchange Carrier to the other party to the agreement shall be taken into account.”  47 CFR § 61.3(</w:t>
      </w:r>
      <w:r>
        <w:t>bbb</w:t>
      </w:r>
      <w:r>
        <w:t>)(1)(</w:t>
      </w:r>
      <w:r>
        <w:t>i</w:t>
      </w:r>
      <w:r>
        <w:t xml:space="preserve">).  Our access stimulation rules only apply to rate-of-return LECs and competitive LECs.  </w:t>
      </w:r>
      <w:r w:rsidRPr="00017CBE">
        <w:rPr>
          <w:i/>
        </w:rPr>
        <w:t>S</w:t>
      </w:r>
      <w:r>
        <w:rPr>
          <w:i/>
        </w:rPr>
        <w:t>ee</w:t>
      </w:r>
      <w:r>
        <w:t xml:space="preserve"> </w:t>
      </w:r>
      <w:r w:rsidRPr="000F704A">
        <w:rPr>
          <w:i/>
        </w:rPr>
        <w:t xml:space="preserve">USF/ICC Transformation </w:t>
      </w:r>
      <w:r>
        <w:rPr>
          <w:i/>
        </w:rPr>
        <w:t>Order</w:t>
      </w:r>
      <w:r>
        <w:t xml:space="preserve">, 26 FCC </w:t>
      </w:r>
      <w:r>
        <w:t>Rcd</w:t>
      </w:r>
      <w:r>
        <w:t xml:space="preserve"> at 17882-89, paras. 679-98.  </w:t>
      </w:r>
    </w:p>
  </w:footnote>
  <w:footnote w:id="22">
    <w:p w:rsidR="00844D1E" w:rsidP="00EB312D">
      <w:pPr>
        <w:pStyle w:val="FootnoteText"/>
      </w:pPr>
      <w:r>
        <w:rPr>
          <w:rStyle w:val="FootnoteReference"/>
        </w:rPr>
        <w:footnoteRef/>
      </w:r>
      <w:r>
        <w:t xml:space="preserve"> 47 CFR § 61.3(</w:t>
      </w:r>
      <w:r>
        <w:t>bbb</w:t>
      </w:r>
      <w:r>
        <w:t>)(1)(ii).</w:t>
      </w:r>
    </w:p>
  </w:footnote>
  <w:footnote w:id="23">
    <w:p w:rsidR="00844D1E" w:rsidRPr="00D25ABF" w:rsidP="00EB312D">
      <w:pPr>
        <w:pStyle w:val="FootnoteText"/>
        <w:rPr>
          <w:i/>
        </w:rPr>
      </w:pPr>
      <w:r>
        <w:rPr>
          <w:rStyle w:val="FootnoteReference"/>
        </w:rPr>
        <w:footnoteRef/>
      </w:r>
      <w:r w:rsidRPr="00D25ABF">
        <w:t xml:space="preserve"> </w:t>
      </w:r>
      <w:r w:rsidRPr="00D25ABF">
        <w:rPr>
          <w:i/>
        </w:rPr>
        <w:t>USF/ICC Transformation Order</w:t>
      </w:r>
      <w:r>
        <w:t xml:space="preserve">, 26 FCC </w:t>
      </w:r>
      <w:r>
        <w:t>Rcd</w:t>
      </w:r>
      <w:r>
        <w:t xml:space="preserve"> at 17882, para. 679; </w:t>
      </w:r>
      <w:r>
        <w:rPr>
          <w:i/>
        </w:rPr>
        <w:t>s</w:t>
      </w:r>
      <w:r w:rsidRPr="0071572F">
        <w:rPr>
          <w:i/>
        </w:rPr>
        <w:t>ee also</w:t>
      </w:r>
      <w:r>
        <w:t xml:space="preserve"> 47 CFR § 61.39(g) (prohibiting the filing of access tariffs using historical costs under section 61.39 by access-stimulating rate-of-return LECs and requiring that they file access tariffs using projected costs under section 61.38 of the Commission’s rules); 47 CFR </w:t>
      </w:r>
      <w:bookmarkStart w:id="162" w:name="_Hlk15243184"/>
      <w:r>
        <w:t>§ </w:t>
      </w:r>
      <w:bookmarkEnd w:id="162"/>
      <w:r>
        <w:t>69.3(e)(12)(</w:t>
      </w:r>
      <w:r>
        <w:t>i</w:t>
      </w:r>
      <w:r>
        <w:t xml:space="preserve">) (requiring an access-stimulating rate-of-return LEC to file its own interstate switched access tariff); 47 CFR § 69.3(e)(12)(ii) (prohibiting an access-stimulating LEC from participating in a National Exchange Carrier Association (NECA) tariff). </w:t>
      </w:r>
    </w:p>
  </w:footnote>
  <w:footnote w:id="24">
    <w:p w:rsidR="00844D1E" w:rsidRPr="00D10964" w:rsidP="00EB312D">
      <w:pPr>
        <w:pStyle w:val="FootnoteText"/>
      </w:pPr>
      <w:r>
        <w:rPr>
          <w:rStyle w:val="FootnoteReference"/>
        </w:rPr>
        <w:footnoteRef/>
      </w:r>
      <w:r w:rsidRPr="00D10964">
        <w:t xml:space="preserve"> </w:t>
      </w:r>
      <w:r>
        <w:t>47 CFR § 61.26(g)(1).</w:t>
      </w:r>
    </w:p>
  </w:footnote>
  <w:footnote w:id="25">
    <w:p w:rsidR="00844D1E" w:rsidRPr="005D7503" w:rsidP="00EB312D">
      <w:pPr>
        <w:pStyle w:val="FootnoteText"/>
      </w:pPr>
      <w:r>
        <w:rPr>
          <w:rStyle w:val="FootnoteReference"/>
        </w:rPr>
        <w:footnoteRef/>
      </w:r>
      <w:r w:rsidRPr="005D7503">
        <w:t xml:space="preserve"> </w:t>
      </w:r>
      <w:r>
        <w:rPr>
          <w:i/>
        </w:rPr>
        <w:t>See, e.g.</w:t>
      </w:r>
      <w:r>
        <w:t xml:space="preserve">, Sprint Comments at 1; </w:t>
      </w:r>
      <w:r>
        <w:t>Inteliquent</w:t>
      </w:r>
      <w:r>
        <w:t xml:space="preserve"> Comments at 1; AT&amp;T Comments at 6.  </w:t>
      </w:r>
      <w:r w:rsidRPr="00C15108">
        <w:rPr>
          <w:i/>
        </w:rPr>
        <w:t>B</w:t>
      </w:r>
      <w:r w:rsidRPr="0009070B">
        <w:rPr>
          <w:i/>
        </w:rPr>
        <w:t>ut see</w:t>
      </w:r>
      <w:r>
        <w:t xml:space="preserve"> Letter from James Troup, Counsel for </w:t>
      </w:r>
      <w:r>
        <w:t>Aureon</w:t>
      </w:r>
      <w:r>
        <w:t xml:space="preserve">, to Marlene Dortch, Secretary, FCC, WC Docket No. </w:t>
      </w:r>
      <w:r w:rsidRPr="274A614C">
        <w:t>18-</w:t>
      </w:r>
      <w:r w:rsidRPr="009C64D2">
        <w:t>155, at</w:t>
      </w:r>
      <w:r w:rsidRPr="274A614C">
        <w:t xml:space="preserve"> </w:t>
      </w:r>
      <w:r>
        <w:t>6</w:t>
      </w:r>
      <w:r w:rsidRPr="274A614C">
        <w:t xml:space="preserve"> (filed May 23, 2019) </w:t>
      </w:r>
      <w:r>
        <w:t>(</w:t>
      </w:r>
      <w:r>
        <w:t>Aureon</w:t>
      </w:r>
      <w:r>
        <w:t xml:space="preserve"> May 23, 2019 </w:t>
      </w:r>
      <w:r w:rsidRPr="00C41DE5">
        <w:rPr>
          <w:i/>
        </w:rPr>
        <w:t>Ex Parte</w:t>
      </w:r>
      <w:r>
        <w:t>) (“[T]he Commission’s predictive judgment that changes to intercarrier compensation would reduce wasteful arbitrage did not come true.” (footnote omitted)).</w:t>
      </w:r>
    </w:p>
  </w:footnote>
  <w:footnote w:id="26">
    <w:p w:rsidR="00844D1E" w:rsidP="00EB312D">
      <w:pPr>
        <w:pStyle w:val="FootnoteText"/>
      </w:pPr>
      <w:r>
        <w:rPr>
          <w:rStyle w:val="FootnoteReference"/>
        </w:rPr>
        <w:footnoteRef/>
      </w:r>
      <w:r>
        <w:t xml:space="preserve"> </w:t>
      </w:r>
      <w:r w:rsidRPr="00166774">
        <w:rPr>
          <w:i/>
        </w:rPr>
        <w:t>USF/ICC Transformation Order</w:t>
      </w:r>
      <w:r>
        <w:t xml:space="preserve">, 26 FCC </w:t>
      </w:r>
      <w:r>
        <w:t>Rcd</w:t>
      </w:r>
      <w:r>
        <w:t xml:space="preserve"> at 17876, para. 664. </w:t>
      </w:r>
      <w:r w:rsidRPr="003824DF">
        <w:t xml:space="preserve"> </w:t>
      </w:r>
    </w:p>
  </w:footnote>
  <w:footnote w:id="27">
    <w:p w:rsidR="00844D1E" w:rsidP="00EB312D">
      <w:pPr>
        <w:pStyle w:val="FootnoteText"/>
        <w:spacing w:before="120"/>
      </w:pPr>
      <w:r>
        <w:rPr>
          <w:rStyle w:val="FootnoteReference"/>
        </w:rPr>
        <w:footnoteRef/>
      </w:r>
      <w:r>
        <w:t xml:space="preserve"> </w:t>
      </w:r>
      <w:r w:rsidRPr="00DB797E">
        <w:rPr>
          <w:i/>
        </w:rPr>
        <w:t>See</w:t>
      </w:r>
      <w:r>
        <w:t xml:space="preserve"> Letter from Matthew DelNero and Thomas Parisi, Counsel to </w:t>
      </w:r>
      <w:r>
        <w:t>Inteliquent</w:t>
      </w:r>
      <w:r>
        <w:t>, to Marlene Dortch, Secretary, FCC, WC Docket No. 18-155, Attach. at 2 (filed Apr. 18, 2019) (</w:t>
      </w:r>
      <w:r>
        <w:t>Inteliquent</w:t>
      </w:r>
      <w:r w:rsidRPr="007C6913">
        <w:t xml:space="preserve"> </w:t>
      </w:r>
      <w:r>
        <w:t>Apr.</w:t>
      </w:r>
      <w:r w:rsidRPr="007C6913">
        <w:t xml:space="preserve"> 1</w:t>
      </w:r>
      <w:r>
        <w:t>8</w:t>
      </w:r>
      <w:r w:rsidRPr="007C6913">
        <w:t>, 201</w:t>
      </w:r>
      <w:r>
        <w:t xml:space="preserve">9 </w:t>
      </w:r>
      <w:r w:rsidRPr="002C49C0">
        <w:rPr>
          <w:i/>
        </w:rPr>
        <w:t>Ex Parte</w:t>
      </w:r>
      <w:r>
        <w:t>)</w:t>
      </w:r>
      <w:r w:rsidRPr="00F347D2">
        <w:t xml:space="preserve"> </w:t>
      </w:r>
      <w:r w:rsidRPr="00DC43DD">
        <w:t>(estimating</w:t>
      </w:r>
      <w:r>
        <w:t xml:space="preserve"> that access-stimulation</w:t>
      </w:r>
      <w:r w:rsidRPr="00DC43DD">
        <w:t xml:space="preserve"> </w:t>
      </w:r>
      <w:r>
        <w:t>schemes cost the telecommunications industry</w:t>
      </w:r>
      <w:r w:rsidRPr="00DC43DD">
        <w:t xml:space="preserve"> over </w:t>
      </w:r>
      <w:r w:rsidRPr="00F347D2">
        <w:t xml:space="preserve">$60 million </w:t>
      </w:r>
      <w:r w:rsidRPr="00DC43DD">
        <w:t>annually</w:t>
      </w:r>
      <w:r>
        <w:t xml:space="preserve">); </w:t>
      </w:r>
      <w:r w:rsidRPr="00950C41">
        <w:t xml:space="preserve">Letter from Matthew </w:t>
      </w:r>
      <w:r w:rsidRPr="00950C41">
        <w:t>Nodine</w:t>
      </w:r>
      <w:r w:rsidRPr="00950C41">
        <w:t>, Ass</w:t>
      </w:r>
      <w:r>
        <w:t xml:space="preserve">istant Vice President, AT&amp;T </w:t>
      </w:r>
      <w:r w:rsidRPr="00950C41">
        <w:t>Services, Inc., to Marlene Dortch, Secretary, FCC, WC Docket No. 18-1</w:t>
      </w:r>
      <w:r w:rsidRPr="000371B0">
        <w:t>5</w:t>
      </w:r>
      <w:r w:rsidRPr="000E39AA">
        <w:t>5, a</w:t>
      </w:r>
      <w:r w:rsidRPr="000371B0">
        <w:t>t 4</w:t>
      </w:r>
      <w:r w:rsidRPr="00950C41">
        <w:t xml:space="preserve"> (</w:t>
      </w:r>
      <w:r>
        <w:t>filed Feb. 5, 2019) (</w:t>
      </w:r>
      <w:r w:rsidRPr="00950C41">
        <w:t xml:space="preserve">AT&amp;T Feb. 5, 2019 </w:t>
      </w:r>
      <w:r w:rsidRPr="00950C41">
        <w:rPr>
          <w:i/>
        </w:rPr>
        <w:t>Ex Parte</w:t>
      </w:r>
      <w:r w:rsidRPr="00950C41">
        <w:t>)</w:t>
      </w:r>
      <w:r w:rsidRPr="00DC43DD">
        <w:t xml:space="preserve"> (estimating </w:t>
      </w:r>
      <w:r>
        <w:t xml:space="preserve">that access stimulation costs the telecommunications industry </w:t>
      </w:r>
      <w:r w:rsidRPr="00DC43DD">
        <w:t>$80</w:t>
      </w:r>
      <w:r>
        <w:t xml:space="preserve"> </w:t>
      </w:r>
      <w:r w:rsidRPr="00DC43DD">
        <w:t>m</w:t>
      </w:r>
      <w:r>
        <w:t>illion</w:t>
      </w:r>
      <w:r w:rsidRPr="00D94D6E">
        <w:t xml:space="preserve"> </w:t>
      </w:r>
      <w:r>
        <w:t>annually).</w:t>
      </w:r>
    </w:p>
  </w:footnote>
  <w:footnote w:id="28">
    <w:p w:rsidR="00844D1E" w:rsidRPr="005F0A8C" w:rsidP="00EB312D">
      <w:pPr>
        <w:pStyle w:val="FootnoteText"/>
      </w:pPr>
      <w:r>
        <w:rPr>
          <w:rStyle w:val="FootnoteReference"/>
        </w:rPr>
        <w:footnoteRef/>
      </w:r>
      <w:r>
        <w:t xml:space="preserve"> </w:t>
      </w:r>
      <w:r>
        <w:rPr>
          <w:i/>
        </w:rPr>
        <w:t>See infra</w:t>
      </w:r>
      <w:r>
        <w:t xml:space="preserve"> para. 15 &amp; note 42 (identifying at least 21 competitive LECs currently engaged in access stimulation); </w:t>
      </w:r>
      <w:r w:rsidRPr="005F0A8C">
        <w:rPr>
          <w:i/>
        </w:rPr>
        <w:t>see also</w:t>
      </w:r>
      <w:r>
        <w:t xml:space="preserve"> Joint CL</w:t>
      </w:r>
      <w:r w:rsidRPr="007545A7">
        <w:t>EC C</w:t>
      </w:r>
      <w:r>
        <w:t>omments at 1 (The five Joint CLECs expressly identify themselves as “</w:t>
      </w:r>
      <w:r>
        <w:t>participat</w:t>
      </w:r>
      <w:r>
        <w:t>[</w:t>
      </w:r>
      <w:r>
        <w:t>ing</w:t>
      </w:r>
      <w:r>
        <w:t>] in access stimulation as defined by the Commission’s rules.”).</w:t>
      </w:r>
    </w:p>
  </w:footnote>
  <w:footnote w:id="29">
    <w:p w:rsidR="00844D1E" w:rsidRPr="00693E1B" w:rsidP="00EB312D">
      <w:pPr>
        <w:widowControl/>
        <w:autoSpaceDE w:val="0"/>
        <w:autoSpaceDN w:val="0"/>
        <w:adjustRightInd w:val="0"/>
        <w:spacing w:after="120"/>
        <w:rPr>
          <w:sz w:val="20"/>
        </w:rPr>
      </w:pPr>
      <w:r w:rsidRPr="00693E1B">
        <w:rPr>
          <w:rStyle w:val="FootnoteReference"/>
        </w:rPr>
        <w:footnoteRef/>
      </w:r>
      <w:r w:rsidRPr="00693E1B">
        <w:rPr>
          <w:sz w:val="20"/>
        </w:rPr>
        <w:t xml:space="preserve"> </w:t>
      </w:r>
      <w:r w:rsidRPr="004A3E9E">
        <w:rPr>
          <w:i/>
          <w:sz w:val="20"/>
        </w:rPr>
        <w:t>See</w:t>
      </w:r>
      <w:r w:rsidRPr="004A3E9E">
        <w:rPr>
          <w:sz w:val="20"/>
        </w:rPr>
        <w:t xml:space="preserve"> Letter from Michael Romano, Senior Vice President, Industry Affairs &amp; Business Development, NTCA</w:t>
      </w:r>
      <w:r>
        <w:rPr>
          <w:sz w:val="20"/>
        </w:rPr>
        <w:t>,</w:t>
      </w:r>
      <w:r w:rsidRPr="004A3E9E">
        <w:rPr>
          <w:sz w:val="20"/>
        </w:rPr>
        <w:t xml:space="preserve"> to Marlene Dortch, Secretary, FCC, WC Docket No. 18-155, at 5 (filed Sept. 11, 2019) (NTCA Sept. 11, 2019 </w:t>
      </w:r>
      <w:r w:rsidRPr="004A3E9E">
        <w:rPr>
          <w:i/>
          <w:sz w:val="20"/>
        </w:rPr>
        <w:t>Ex Parte</w:t>
      </w:r>
      <w:r w:rsidRPr="004A3E9E">
        <w:rPr>
          <w:sz w:val="20"/>
        </w:rPr>
        <w:t>)</w:t>
      </w:r>
      <w:r w:rsidRPr="007545A7">
        <w:rPr>
          <w:sz w:val="20"/>
        </w:rPr>
        <w:t xml:space="preserve">; </w:t>
      </w:r>
      <w:r w:rsidRPr="007545A7">
        <w:rPr>
          <w:snapToGrid/>
          <w:kern w:val="0"/>
          <w:sz w:val="20"/>
        </w:rPr>
        <w:t>L</w:t>
      </w:r>
      <w:r>
        <w:rPr>
          <w:iCs/>
          <w:snapToGrid/>
          <w:kern w:val="0"/>
          <w:sz w:val="20"/>
        </w:rPr>
        <w:t xml:space="preserve">etter from Michael Romano, Senior Vice President, Industry Affairs &amp; Business Development, NTCA, and Matthew </w:t>
      </w:r>
      <w:r>
        <w:rPr>
          <w:iCs/>
          <w:snapToGrid/>
          <w:kern w:val="0"/>
          <w:sz w:val="20"/>
        </w:rPr>
        <w:t>Nodine</w:t>
      </w:r>
      <w:r>
        <w:rPr>
          <w:iCs/>
          <w:snapToGrid/>
          <w:kern w:val="0"/>
          <w:sz w:val="20"/>
        </w:rPr>
        <w:t>, Asst. Vice President, Federal Regulatory, AT&amp;T Services, Inc., to Marlene Dortch, Secretary, FCC, WC Docket No. 18-15</w:t>
      </w:r>
      <w:r w:rsidRPr="007545A7">
        <w:rPr>
          <w:snapToGrid/>
          <w:kern w:val="0"/>
          <w:sz w:val="20"/>
        </w:rPr>
        <w:t>5. a</w:t>
      </w:r>
      <w:r>
        <w:rPr>
          <w:iCs/>
          <w:snapToGrid/>
          <w:kern w:val="0"/>
          <w:sz w:val="20"/>
        </w:rPr>
        <w:t xml:space="preserve">t 1 (filed Sept. 20, 2019) (NTCA and AT&amp;T Sept. 20, 2019 </w:t>
      </w:r>
      <w:r>
        <w:rPr>
          <w:i/>
          <w:iCs/>
          <w:snapToGrid/>
          <w:kern w:val="0"/>
          <w:sz w:val="20"/>
        </w:rPr>
        <w:t>Ex Parte</w:t>
      </w:r>
      <w:r>
        <w:rPr>
          <w:iCs/>
          <w:snapToGrid/>
          <w:kern w:val="0"/>
          <w:sz w:val="20"/>
        </w:rPr>
        <w:t>) (noting “limited evidence that [rate-of-return] LECs have engaged in such [access stimulation] practices and the potential consequences for universal service in rural areas if [a rate-of-return] LEC were deemed to have engaged in such a practice”).</w:t>
      </w:r>
    </w:p>
  </w:footnote>
  <w:footnote w:id="30">
    <w:p w:rsidR="00844D1E" w:rsidP="00EB312D">
      <w:pPr>
        <w:pStyle w:val="FootnoteText"/>
      </w:pPr>
      <w:r w:rsidRPr="007C77AD">
        <w:rPr>
          <w:rStyle w:val="FootnoteReference"/>
        </w:rPr>
        <w:footnoteRef/>
      </w:r>
      <w:r w:rsidRPr="007C77AD">
        <w:t xml:space="preserve"> </w:t>
      </w:r>
      <w:r w:rsidRPr="007C77AD">
        <w:rPr>
          <w:i/>
        </w:rPr>
        <w:t>See Access</w:t>
      </w:r>
      <w:r>
        <w:rPr>
          <w:i/>
        </w:rPr>
        <w:t xml:space="preserve"> Arbitrage Notice</w:t>
      </w:r>
      <w:r>
        <w:t xml:space="preserve">, 33 FCC </w:t>
      </w:r>
      <w:r>
        <w:t>Rcd</w:t>
      </w:r>
      <w:r>
        <w:t xml:space="preserve"> at 5476, para. 30; </w:t>
      </w:r>
      <w:r w:rsidRPr="00AE2A83">
        <w:rPr>
          <w:i/>
        </w:rPr>
        <w:t>see also</w:t>
      </w:r>
      <w:r w:rsidRPr="00AE2A83">
        <w:t xml:space="preserve"> </w:t>
      </w:r>
      <w:r>
        <w:t>AT&amp;T Comments at 1.</w:t>
      </w:r>
    </w:p>
  </w:footnote>
  <w:footnote w:id="31">
    <w:p w:rsidR="00844D1E" w:rsidP="00EB312D">
      <w:pPr>
        <w:pStyle w:val="FootnoteText"/>
      </w:pPr>
      <w:r>
        <w:rPr>
          <w:rStyle w:val="FootnoteReference"/>
        </w:rPr>
        <w:footnoteRef/>
      </w:r>
      <w:r>
        <w:t xml:space="preserve"> </w:t>
      </w:r>
      <w:r w:rsidRPr="009C64D2">
        <w:rPr>
          <w:rFonts w:ascii="TimesNewRomanPSMT" w:hAnsi="TimesNewRomanPSMT" w:cs="TimesNewRomanPSMT"/>
          <w:i/>
        </w:rPr>
        <w:t>Access Arbitrage Notice</w:t>
      </w:r>
      <w:r w:rsidRPr="009C64D2">
        <w:rPr>
          <w:rFonts w:ascii="TimesNewRomanPSMT" w:hAnsi="TimesNewRomanPSMT" w:cs="TimesNewRomanPSMT"/>
        </w:rPr>
        <w:t xml:space="preserve">, 33 FCC </w:t>
      </w:r>
      <w:r w:rsidRPr="009C64D2">
        <w:rPr>
          <w:rFonts w:ascii="TimesNewRomanPSMT" w:hAnsi="TimesNewRomanPSMT" w:cs="TimesNewRomanPSMT"/>
        </w:rPr>
        <w:t>Rcd</w:t>
      </w:r>
      <w:r w:rsidRPr="009C64D2">
        <w:rPr>
          <w:rFonts w:ascii="TimesNewRomanPSMT" w:hAnsi="TimesNewRomanPSMT" w:cs="TimesNewRomanPSMT"/>
        </w:rPr>
        <w:t xml:space="preserve"> at 5469, para. 7 </w:t>
      </w:r>
      <w:r>
        <w:rPr>
          <w:rFonts w:ascii="TimesNewRomanPSMT" w:hAnsi="TimesNewRomanPSMT" w:cs="TimesNewRomanPSMT"/>
        </w:rPr>
        <w:t xml:space="preserve">&amp; </w:t>
      </w:r>
      <w:r w:rsidRPr="009C64D2">
        <w:rPr>
          <w:rFonts w:ascii="TimesNewRomanPSMT" w:hAnsi="TimesNewRomanPSMT" w:cs="TimesNewRomanPSMT"/>
        </w:rPr>
        <w:t>n.17</w:t>
      </w:r>
      <w:r>
        <w:rPr>
          <w:rFonts w:ascii="TimesNewRomanPSMT" w:hAnsi="TimesNewRomanPSMT" w:cs="TimesNewRomanPSMT"/>
        </w:rPr>
        <w:t>.</w:t>
      </w:r>
      <w:r w:rsidRPr="009C64D2">
        <w:rPr>
          <w:rFonts w:ascii="TimesNewRomanPSMT" w:hAnsi="TimesNewRomanPSMT" w:cs="TimesNewRomanPSMT"/>
        </w:rPr>
        <w:t xml:space="preserve"> </w:t>
      </w:r>
      <w:r w:rsidRPr="009C64D2">
        <w:rPr>
          <w:rFonts w:ascii="TimesNewRomanPSMT" w:hAnsi="TimesNewRomanPSMT" w:cs="TimesNewRomanPSMT"/>
        </w:rPr>
        <w:t xml:space="preserve"> </w:t>
      </w:r>
    </w:p>
  </w:footnote>
  <w:footnote w:id="32">
    <w:p w:rsidR="00844D1E" w:rsidP="00EB312D">
      <w:pPr>
        <w:pStyle w:val="FootnoteText"/>
      </w:pPr>
      <w:r>
        <w:rPr>
          <w:rStyle w:val="FootnoteReference"/>
        </w:rPr>
        <w:footnoteRef/>
      </w:r>
      <w:r>
        <w:t xml:space="preserve"> </w:t>
      </w:r>
      <w:r w:rsidRPr="00597850">
        <w:t xml:space="preserve">47 U.S.C. § 214(a); </w:t>
      </w:r>
      <w:r w:rsidRPr="00597850">
        <w:rPr>
          <w:i/>
          <w:spacing w:val="-1"/>
        </w:rPr>
        <w:t>Application</w:t>
      </w:r>
      <w:r w:rsidRPr="00597850">
        <w:rPr>
          <w:i/>
          <w:spacing w:val="-6"/>
        </w:rPr>
        <w:t xml:space="preserve"> </w:t>
      </w:r>
      <w:r w:rsidRPr="00597850">
        <w:rPr>
          <w:i/>
        </w:rPr>
        <w:t>of</w:t>
      </w:r>
      <w:r w:rsidRPr="00597850">
        <w:rPr>
          <w:i/>
          <w:spacing w:val="-8"/>
        </w:rPr>
        <w:t xml:space="preserve"> </w:t>
      </w:r>
      <w:r w:rsidRPr="00597850">
        <w:rPr>
          <w:i/>
        </w:rPr>
        <w:t>Iowa</w:t>
      </w:r>
      <w:r w:rsidRPr="00597850">
        <w:rPr>
          <w:i/>
          <w:spacing w:val="-3"/>
        </w:rPr>
        <w:t xml:space="preserve"> </w:t>
      </w:r>
      <w:r w:rsidRPr="00597850">
        <w:rPr>
          <w:i/>
          <w:spacing w:val="-1"/>
        </w:rPr>
        <w:t>Network</w:t>
      </w:r>
      <w:r w:rsidRPr="00597850">
        <w:rPr>
          <w:i/>
          <w:spacing w:val="-5"/>
        </w:rPr>
        <w:t xml:space="preserve"> </w:t>
      </w:r>
      <w:r w:rsidRPr="00597850">
        <w:rPr>
          <w:i/>
          <w:spacing w:val="-1"/>
        </w:rPr>
        <w:t>Access</w:t>
      </w:r>
      <w:r w:rsidRPr="00597850">
        <w:rPr>
          <w:i/>
          <w:spacing w:val="-3"/>
        </w:rPr>
        <w:t xml:space="preserve"> </w:t>
      </w:r>
      <w:r w:rsidRPr="00597850">
        <w:rPr>
          <w:i/>
          <w:spacing w:val="-1"/>
        </w:rPr>
        <w:t>Div.</w:t>
      </w:r>
      <w:r w:rsidRPr="00597850">
        <w:rPr>
          <w:spacing w:val="-1"/>
        </w:rPr>
        <w:t>,</w:t>
      </w:r>
      <w:r w:rsidRPr="00597850">
        <w:rPr>
          <w:spacing w:val="-4"/>
        </w:rPr>
        <w:t xml:space="preserve"> </w:t>
      </w:r>
      <w:r w:rsidRPr="00597850">
        <w:t>File No. W-P-C-6025, Memorandum</w:t>
      </w:r>
      <w:r w:rsidRPr="00597850">
        <w:rPr>
          <w:spacing w:val="-6"/>
        </w:rPr>
        <w:t xml:space="preserve"> </w:t>
      </w:r>
      <w:r w:rsidRPr="00597850">
        <w:rPr>
          <w:spacing w:val="-1"/>
        </w:rPr>
        <w:t>Opinion,</w:t>
      </w:r>
      <w:r w:rsidRPr="00597850">
        <w:rPr>
          <w:spacing w:val="-4"/>
        </w:rPr>
        <w:t xml:space="preserve"> </w:t>
      </w:r>
      <w:r w:rsidRPr="00597850">
        <w:t>Order</w:t>
      </w:r>
      <w:r w:rsidRPr="00597850">
        <w:rPr>
          <w:spacing w:val="-4"/>
        </w:rPr>
        <w:t xml:space="preserve"> </w:t>
      </w:r>
      <w:r w:rsidRPr="00597850">
        <w:rPr>
          <w:spacing w:val="-1"/>
        </w:rPr>
        <w:t>and</w:t>
      </w:r>
      <w:r w:rsidRPr="00597850">
        <w:rPr>
          <w:spacing w:val="-4"/>
        </w:rPr>
        <w:t xml:space="preserve"> </w:t>
      </w:r>
      <w:r w:rsidRPr="00597850">
        <w:rPr>
          <w:spacing w:val="-1"/>
        </w:rPr>
        <w:t>Certificate,</w:t>
      </w:r>
      <w:r w:rsidRPr="00597850">
        <w:rPr>
          <w:spacing w:val="-3"/>
        </w:rPr>
        <w:t xml:space="preserve"> </w:t>
      </w:r>
      <w:r w:rsidRPr="00597850">
        <w:t>3</w:t>
      </w:r>
      <w:r w:rsidRPr="00597850">
        <w:rPr>
          <w:spacing w:val="-4"/>
        </w:rPr>
        <w:t xml:space="preserve"> </w:t>
      </w:r>
      <w:r w:rsidRPr="00597850">
        <w:t>FCC</w:t>
      </w:r>
      <w:r w:rsidRPr="00597850">
        <w:rPr>
          <w:spacing w:val="-6"/>
        </w:rPr>
        <w:t xml:space="preserve"> </w:t>
      </w:r>
      <w:r w:rsidRPr="00597850">
        <w:rPr>
          <w:spacing w:val="-1"/>
        </w:rPr>
        <w:t>Rcd</w:t>
      </w:r>
      <w:r w:rsidRPr="00597850">
        <w:rPr>
          <w:spacing w:val="-1"/>
        </w:rPr>
        <w:t xml:space="preserve"> </w:t>
      </w:r>
      <w:r w:rsidRPr="00597850">
        <w:t>1468</w:t>
      </w:r>
      <w:r w:rsidRPr="00597850">
        <w:rPr>
          <w:spacing w:val="-6"/>
        </w:rPr>
        <w:t xml:space="preserve"> </w:t>
      </w:r>
      <w:r w:rsidRPr="00597850">
        <w:t>(CCB 1988) (</w:t>
      </w:r>
      <w:r w:rsidRPr="00597850">
        <w:rPr>
          <w:i/>
        </w:rPr>
        <w:t>Aureon</w:t>
      </w:r>
      <w:r w:rsidRPr="00597850">
        <w:rPr>
          <w:i/>
        </w:rPr>
        <w:t xml:space="preserve"> Section 214 Order</w:t>
      </w:r>
      <w:r w:rsidRPr="00597850">
        <w:t xml:space="preserve">); </w:t>
      </w:r>
      <w:r w:rsidRPr="00597850">
        <w:rPr>
          <w:i/>
        </w:rPr>
        <w:t xml:space="preserve">Application of SDCEA, </w:t>
      </w:r>
      <w:r w:rsidRPr="009C64D2">
        <w:rPr>
          <w:i/>
        </w:rPr>
        <w:t>Inc., to</w:t>
      </w:r>
      <w:r w:rsidRPr="00597850">
        <w:rPr>
          <w:i/>
        </w:rPr>
        <w:t xml:space="preserve"> Lease Transmission Facilities to Provide Centralized Equal Access Service to Interexchange Carriers in the State of South Dakota</w:t>
      </w:r>
      <w:r w:rsidRPr="00597850">
        <w:t>, File No. W</w:t>
      </w:r>
      <w:r>
        <w:t>-</w:t>
      </w:r>
      <w:r w:rsidRPr="00597850">
        <w:t>P</w:t>
      </w:r>
      <w:r>
        <w:t>-</w:t>
      </w:r>
      <w:r w:rsidRPr="00597850">
        <w:t>C</w:t>
      </w:r>
      <w:r>
        <w:t>-</w:t>
      </w:r>
      <w:r w:rsidRPr="00597850">
        <w:t xml:space="preserve">6486, Memorandum Opinion, Order and Certificate, 5 FCC </w:t>
      </w:r>
      <w:r w:rsidRPr="00597850">
        <w:t>Rcd</w:t>
      </w:r>
      <w:r w:rsidRPr="00597850">
        <w:t xml:space="preserve"> 6978 (CCB 1990) (</w:t>
      </w:r>
      <w:r w:rsidRPr="00597850">
        <w:rPr>
          <w:i/>
        </w:rPr>
        <w:t>SDN Section 214 Order</w:t>
      </w:r>
      <w:r w:rsidRPr="00597850">
        <w:t xml:space="preserve">); Report No. D-570-A, Public Notice, 1990 FCC LEXIS 6582, at *5 (Dec. 12, 1990) (announcing the grant of the section 214 application for SDCEA, Inc., W-P-C-6486); </w:t>
      </w:r>
      <w:r w:rsidRPr="00597850">
        <w:rPr>
          <w:i/>
          <w:iCs/>
        </w:rPr>
        <w:t>Application of Minnesota Independent Equal Access Corp.</w:t>
      </w:r>
      <w:r w:rsidRPr="00597850">
        <w:t xml:space="preserve">, </w:t>
      </w:r>
      <w:r w:rsidRPr="001D133B">
        <w:t>File No. W-P-C-6400</w:t>
      </w:r>
      <w:r>
        <w:t xml:space="preserve">, </w:t>
      </w:r>
      <w:r w:rsidRPr="00597850">
        <w:t>Memorandum Opinion, Order and Certificate</w:t>
      </w:r>
      <w:r w:rsidRPr="00597850">
        <w:t xml:space="preserve"> </w:t>
      </w:r>
      <w:r w:rsidRPr="00597850">
        <w:t xml:space="preserve">(rel. Aug. 22, 1990).  The Iowa, South Dakota and Minnesota commissions also granted authorizations.  </w:t>
      </w:r>
      <w:r w:rsidRPr="00597850">
        <w:rPr>
          <w:i/>
          <w:spacing w:val="-1"/>
        </w:rPr>
        <w:t>Iowa Network Access Division, Division of Iowa Network Services</w:t>
      </w:r>
      <w:r w:rsidRPr="00597850">
        <w:rPr>
          <w:spacing w:val="-1"/>
        </w:rPr>
        <w:t>, Docket No. RPU-88-2, Final Decision and Order, 1988 Iowa PUC LEXIS 1 (Iowa P.U.C. Oct. 18, 1988),</w:t>
      </w:r>
      <w:r w:rsidRPr="00597850">
        <w:rPr>
          <w:i/>
          <w:spacing w:val="-1"/>
        </w:rPr>
        <w:t xml:space="preserve"> subsequent appeal sub nom. Northwestern Bell Telephone Co. v. Iowa Utilities Board</w:t>
      </w:r>
      <w:r w:rsidRPr="00597850">
        <w:rPr>
          <w:spacing w:val="-1"/>
        </w:rPr>
        <w:t xml:space="preserve">, 477 N.W.2d 678 (Iowa 1991); </w:t>
      </w:r>
      <w:r w:rsidRPr="00597850">
        <w:rPr>
          <w:i/>
          <w:spacing w:val="-1"/>
        </w:rPr>
        <w:t xml:space="preserve">Application of South Dakota Network, </w:t>
      </w:r>
      <w:r w:rsidRPr="009C64D2">
        <w:rPr>
          <w:i/>
          <w:spacing w:val="-1"/>
        </w:rPr>
        <w:t>Inc., and</w:t>
      </w:r>
      <w:r w:rsidRPr="00597850">
        <w:rPr>
          <w:i/>
          <w:spacing w:val="-1"/>
        </w:rPr>
        <w:t xml:space="preserve"> SDCEA, Inc., for Permission to Construct Centralized Equal Access Facilities</w:t>
      </w:r>
      <w:r w:rsidRPr="00597850">
        <w:rPr>
          <w:spacing w:val="-1"/>
        </w:rPr>
        <w:t xml:space="preserve">, Amended Order Granting Construction Permit and Approving Tariff, F-3860 (S.D. P.U.C. Apr. 12, 1991), </w:t>
      </w:r>
      <w:hyperlink r:id="rId1" w:history="1">
        <w:r w:rsidRPr="00597850">
          <w:rPr>
            <w:rStyle w:val="Hyperlink"/>
            <w:spacing w:val="-1"/>
          </w:rPr>
          <w:t>https://puc.sd.gov/commission/dockets/misc/2011/ms11-001/010511a.pdf</w:t>
        </w:r>
      </w:hyperlink>
      <w:r w:rsidRPr="00597850">
        <w:rPr>
          <w:spacing w:val="-1"/>
        </w:rPr>
        <w:t xml:space="preserve">; </w:t>
      </w:r>
      <w:r w:rsidRPr="00597850">
        <w:rPr>
          <w:i/>
        </w:rPr>
        <w:t>Minnesota Independent Equal Access Corp.’s Application for a Certificate of Public Convenience and Necessity</w:t>
      </w:r>
      <w:r w:rsidRPr="00597850">
        <w:t>, Docket P-3007/NA-89-76, 119 PUR4th 8, 1991 WL 50178, 1991 Minn. PUC LEXIS 11 (Minn. P.U.C. Jan. 10, 1991) (</w:t>
      </w:r>
      <w:r w:rsidRPr="00597850">
        <w:rPr>
          <w:i/>
        </w:rPr>
        <w:t>MIEAC Minn. P.U.C. Order</w:t>
      </w:r>
      <w:r w:rsidRPr="00597850">
        <w:t>)</w:t>
      </w:r>
      <w:r w:rsidRPr="00597850">
        <w:rPr>
          <w:i/>
        </w:rPr>
        <w:t xml:space="preserve"> </w:t>
      </w:r>
      <w:r w:rsidRPr="00597850">
        <w:t>(granting, in part, MIEAC’s application for a certificate of authority to provide CEA services to IXCs on behalf of any independent LEC that chose to use its services; MIEAC does not have mandatory use authority)</w:t>
      </w:r>
      <w:r w:rsidRPr="00597850">
        <w:rPr>
          <w:i/>
        </w:rPr>
        <w:t>.</w:t>
      </w:r>
    </w:p>
  </w:footnote>
  <w:footnote w:id="33">
    <w:p w:rsidR="00844D1E" w:rsidP="00EB312D">
      <w:pPr>
        <w:pStyle w:val="FootnoteText"/>
      </w:pPr>
      <w:r>
        <w:rPr>
          <w:rStyle w:val="FootnoteReference"/>
        </w:rPr>
        <w:footnoteRef/>
      </w:r>
      <w:r>
        <w:t xml:space="preserve"> </w:t>
      </w:r>
      <w:r w:rsidRPr="00730190">
        <w:rPr>
          <w:i/>
        </w:rPr>
        <w:t>Aureon</w:t>
      </w:r>
      <w:r w:rsidRPr="00730190">
        <w:rPr>
          <w:i/>
        </w:rPr>
        <w:t xml:space="preserve"> Section 214 Order</w:t>
      </w:r>
      <w:r w:rsidRPr="00730190">
        <w:t xml:space="preserve">, 3 FCC </w:t>
      </w:r>
      <w:r w:rsidRPr="00730190">
        <w:t>Rcd</w:t>
      </w:r>
      <w:r w:rsidRPr="00730190">
        <w:t xml:space="preserve"> at </w:t>
      </w:r>
      <w:r w:rsidRPr="007C77AD">
        <w:t>1473, para. 33.</w:t>
      </w:r>
    </w:p>
  </w:footnote>
  <w:footnote w:id="34">
    <w:p w:rsidR="00844D1E" w:rsidP="00EB312D">
      <w:pPr>
        <w:pStyle w:val="FootnoteText"/>
      </w:pPr>
      <w:r>
        <w:rPr>
          <w:rStyle w:val="FootnoteReference"/>
        </w:rPr>
        <w:footnoteRef/>
      </w:r>
      <w:r>
        <w:t xml:space="preserve"> </w:t>
      </w:r>
      <w:r w:rsidRPr="00611716">
        <w:rPr>
          <w:i/>
        </w:rPr>
        <w:t>SDN Section 214 Order</w:t>
      </w:r>
      <w:r w:rsidRPr="007A76B4">
        <w:t xml:space="preserve">, 5 FCC </w:t>
      </w:r>
      <w:r w:rsidRPr="007A76B4">
        <w:t>Rcd</w:t>
      </w:r>
      <w:r w:rsidRPr="007A76B4">
        <w:t xml:space="preserve"> </w:t>
      </w:r>
      <w:r>
        <w:t xml:space="preserve">at 6981, </w:t>
      </w:r>
      <w:r w:rsidRPr="0037684D">
        <w:t>para. 24</w:t>
      </w:r>
      <w:r>
        <w:t>.</w:t>
      </w:r>
      <w:r w:rsidRPr="007A76B4">
        <w:t xml:space="preserve"> </w:t>
      </w:r>
      <w:r>
        <w:t xml:space="preserve"> </w:t>
      </w:r>
    </w:p>
  </w:footnote>
  <w:footnote w:id="35">
    <w:p w:rsidR="00844D1E" w:rsidP="00EB312D">
      <w:pPr>
        <w:pStyle w:val="FootnoteText"/>
      </w:pPr>
      <w:r>
        <w:rPr>
          <w:rStyle w:val="FootnoteReference"/>
        </w:rPr>
        <w:footnoteRef/>
      </w:r>
      <w:r>
        <w:t xml:space="preserve"> </w:t>
      </w:r>
      <w:r w:rsidRPr="008A130C">
        <w:rPr>
          <w:i/>
        </w:rPr>
        <w:t xml:space="preserve">MIEAC </w:t>
      </w:r>
      <w:r>
        <w:rPr>
          <w:i/>
        </w:rPr>
        <w:t>Minn.</w:t>
      </w:r>
      <w:r w:rsidRPr="008A130C">
        <w:rPr>
          <w:i/>
        </w:rPr>
        <w:t xml:space="preserve"> P</w:t>
      </w:r>
      <w:r>
        <w:rPr>
          <w:i/>
        </w:rPr>
        <w:t>.</w:t>
      </w:r>
      <w:r w:rsidRPr="008A130C">
        <w:rPr>
          <w:i/>
        </w:rPr>
        <w:t>U</w:t>
      </w:r>
      <w:r>
        <w:rPr>
          <w:i/>
        </w:rPr>
        <w:t>.</w:t>
      </w:r>
      <w:r w:rsidRPr="008A130C">
        <w:rPr>
          <w:i/>
        </w:rPr>
        <w:t>C</w:t>
      </w:r>
      <w:r>
        <w:rPr>
          <w:i/>
        </w:rPr>
        <w:t>.</w:t>
      </w:r>
      <w:r w:rsidRPr="008A130C">
        <w:rPr>
          <w:i/>
        </w:rPr>
        <w:t xml:space="preserve"> Order</w:t>
      </w:r>
      <w:r>
        <w:t xml:space="preserve">, 119 PUR4th 8, 1991 WL 501782, 1991 Minn. PUC LEXIS 11, at *45-*46.  </w:t>
      </w:r>
    </w:p>
  </w:footnote>
  <w:footnote w:id="36">
    <w:p w:rsidR="00844D1E" w:rsidP="00EB312D">
      <w:pPr>
        <w:pStyle w:val="FootnoteText"/>
      </w:pPr>
      <w:r>
        <w:rPr>
          <w:rStyle w:val="FootnoteReference"/>
        </w:rPr>
        <w:footnoteRef/>
      </w:r>
      <w:r>
        <w:t xml:space="preserve"> </w:t>
      </w:r>
      <w:r w:rsidRPr="004A7E4D">
        <w:rPr>
          <w:i/>
        </w:rPr>
        <w:t xml:space="preserve">Access Arbitrage </w:t>
      </w:r>
      <w:r>
        <w:rPr>
          <w:i/>
        </w:rPr>
        <w:t>Notice</w:t>
      </w:r>
      <w:r w:rsidRPr="004A7E4D">
        <w:t xml:space="preserve">, 33 FCC </w:t>
      </w:r>
      <w:r w:rsidRPr="004A7E4D">
        <w:t>Rcd</w:t>
      </w:r>
      <w:r w:rsidRPr="004A7E4D">
        <w:t xml:space="preserve"> at 5469</w:t>
      </w:r>
      <w:r>
        <w:t>-70</w:t>
      </w:r>
      <w:r w:rsidRPr="004A7E4D">
        <w:t>, para</w:t>
      </w:r>
      <w:r>
        <w:t>s</w:t>
      </w:r>
      <w:r w:rsidRPr="004A7E4D">
        <w:t>. 8</w:t>
      </w:r>
      <w:r>
        <w:t>-9</w:t>
      </w:r>
      <w:r w:rsidRPr="004A7E4D">
        <w:t>.</w:t>
      </w:r>
    </w:p>
  </w:footnote>
  <w:footnote w:id="37">
    <w:p w:rsidR="00844D1E" w:rsidP="00EB312D">
      <w:pPr>
        <w:pStyle w:val="FootnoteText"/>
      </w:pPr>
      <w:r>
        <w:rPr>
          <w:rStyle w:val="FootnoteReference"/>
        </w:rPr>
        <w:footnoteRef/>
      </w:r>
      <w:r>
        <w:t xml:space="preserve"> </w:t>
      </w:r>
      <w:r w:rsidRPr="0023282A">
        <w:rPr>
          <w:i/>
        </w:rPr>
        <w:t>Id</w:t>
      </w:r>
      <w:r>
        <w:t>. at 5470, paras. 10-12.</w:t>
      </w:r>
    </w:p>
  </w:footnote>
  <w:footnote w:id="38">
    <w:p w:rsidR="00844D1E" w:rsidP="00EB312D">
      <w:pPr>
        <w:pStyle w:val="FootnoteText"/>
      </w:pPr>
      <w:r>
        <w:rPr>
          <w:rStyle w:val="FootnoteReference"/>
        </w:rPr>
        <w:footnoteRef/>
      </w:r>
      <w:r>
        <w:t xml:space="preserve"> </w:t>
      </w:r>
      <w:r w:rsidRPr="0023282A">
        <w:rPr>
          <w:i/>
        </w:rPr>
        <w:t>Id</w:t>
      </w:r>
      <w:r>
        <w:t>. at 5470-72, paras. 13-15.</w:t>
      </w:r>
    </w:p>
  </w:footnote>
  <w:footnote w:id="39">
    <w:p w:rsidR="00844D1E" w:rsidRPr="00571BE2" w:rsidP="00EB312D">
      <w:pPr>
        <w:pStyle w:val="FootnoteText"/>
      </w:pPr>
      <w:r>
        <w:rPr>
          <w:rStyle w:val="FootnoteReference"/>
        </w:rPr>
        <w:footnoteRef/>
      </w:r>
      <w:r>
        <w:t xml:space="preserve"> </w:t>
      </w:r>
      <w:r w:rsidRPr="0023282A">
        <w:rPr>
          <w:i/>
        </w:rPr>
        <w:t>Id</w:t>
      </w:r>
      <w:r>
        <w:t>. at 5473, paras. 19-20.</w:t>
      </w:r>
    </w:p>
  </w:footnote>
  <w:footnote w:id="40">
    <w:p w:rsidR="00844D1E" w:rsidP="00EB312D">
      <w:pPr>
        <w:pStyle w:val="FootnoteText"/>
      </w:pPr>
      <w:r>
        <w:rPr>
          <w:rStyle w:val="FootnoteReference"/>
        </w:rPr>
        <w:footnoteRef/>
      </w:r>
      <w:r>
        <w:t xml:space="preserve"> </w:t>
      </w:r>
      <w:r w:rsidRPr="0023282A">
        <w:rPr>
          <w:i/>
        </w:rPr>
        <w:t>Id</w:t>
      </w:r>
      <w:r>
        <w:t>. at 5475-77, paras. 26-33.</w:t>
      </w:r>
    </w:p>
  </w:footnote>
  <w:footnote w:id="41">
    <w:p w:rsidR="00844D1E" w:rsidRPr="00C87896" w:rsidP="00EB312D">
      <w:pPr>
        <w:pStyle w:val="FootnoteText"/>
      </w:pPr>
      <w:r>
        <w:rPr>
          <w:rStyle w:val="FootnoteReference"/>
        </w:rPr>
        <w:footnoteRef/>
      </w:r>
      <w:r>
        <w:rPr>
          <w:szCs w:val="22"/>
        </w:rPr>
        <w:t xml:space="preserve"> </w:t>
      </w:r>
      <w:r w:rsidRPr="0023282A">
        <w:rPr>
          <w:i/>
        </w:rPr>
        <w:t>Id</w:t>
      </w:r>
      <w:r>
        <w:t>.</w:t>
      </w:r>
      <w:r>
        <w:rPr>
          <w:szCs w:val="22"/>
        </w:rPr>
        <w:t xml:space="preserve"> at 5468-69, paras. 6-7.</w:t>
      </w:r>
    </w:p>
  </w:footnote>
  <w:footnote w:id="42">
    <w:p w:rsidR="00844D1E" w:rsidP="00EB312D">
      <w:pPr>
        <w:pStyle w:val="FootnoteText"/>
      </w:pPr>
      <w:r>
        <w:rPr>
          <w:rStyle w:val="FootnoteReference"/>
        </w:rPr>
        <w:footnoteRef/>
      </w:r>
      <w:r>
        <w:t xml:space="preserve"> AT&amp;T Comments at </w:t>
      </w:r>
      <w:r w:rsidRPr="00AC5D6A">
        <w:t>9 n.21</w:t>
      </w:r>
      <w:r>
        <w:t xml:space="preserve"> (“AT&amp;T data indicates that some companies route more minutes from remote switches than host switches, raising questions as to whether they send high volumes of traffic to these remote offices in lieu of the host in order to avoid direct trunk requests and to increase mileage charges.  These arrangements cause the IXC to pay high access charges for remote office to host mileage, and then from the host to the access tandem.  The concern is not limited to the volumes of minutes from the remote office, but also the cost.  For example, while a million minutes from a lower access rated [Regional Bell Operating Company] remote office might not cost very much, the same million minutes via an inefficient host/remote arrangement can incur significantly more expense due to the high tariffed rural rates.”).</w:t>
      </w:r>
    </w:p>
  </w:footnote>
  <w:footnote w:id="43">
    <w:p w:rsidR="00844D1E" w:rsidP="00EB312D">
      <w:pPr>
        <w:pStyle w:val="FootnoteText"/>
      </w:pPr>
      <w:r>
        <w:rPr>
          <w:rStyle w:val="FootnoteReference"/>
        </w:rPr>
        <w:footnoteRef/>
      </w:r>
      <w:r>
        <w:t xml:space="preserve"> </w:t>
      </w:r>
      <w:r w:rsidRPr="0023282A">
        <w:rPr>
          <w:i/>
        </w:rPr>
        <w:t>Id</w:t>
      </w:r>
      <w:r>
        <w:t>. at 1 (emphasis in original).</w:t>
      </w:r>
    </w:p>
  </w:footnote>
  <w:footnote w:id="44">
    <w:p w:rsidR="00844D1E" w:rsidP="00EB312D">
      <w:pPr>
        <w:pStyle w:val="FootnoteText"/>
      </w:pPr>
      <w:r>
        <w:rPr>
          <w:rStyle w:val="FootnoteReference"/>
        </w:rPr>
        <w:footnoteRef/>
      </w:r>
      <w:r>
        <w:t xml:space="preserve"> </w:t>
      </w:r>
      <w:r>
        <w:rPr>
          <w:i/>
          <w:iCs/>
          <w:snapToGrid w:val="0"/>
        </w:rPr>
        <w:t xml:space="preserve">See </w:t>
      </w:r>
      <w:r>
        <w:rPr>
          <w:iCs/>
          <w:snapToGrid w:val="0"/>
        </w:rPr>
        <w:t xml:space="preserve">Letter from Joseph Cavender, </w:t>
      </w:r>
      <w:r w:rsidRPr="00153341">
        <w:t>V</w:t>
      </w:r>
      <w:r>
        <w:t xml:space="preserve">ice President </w:t>
      </w:r>
      <w:r w:rsidRPr="00153341">
        <w:t>&amp; Ass</w:t>
      </w:r>
      <w:r>
        <w:t>is</w:t>
      </w:r>
      <w:r w:rsidRPr="00153341">
        <w:t>t</w:t>
      </w:r>
      <w:r>
        <w:t>ant</w:t>
      </w:r>
      <w:r w:rsidRPr="00153341">
        <w:t xml:space="preserve"> General Counsel</w:t>
      </w:r>
      <w:r w:rsidRPr="00153341">
        <w:t>,</w:t>
      </w:r>
      <w:r w:rsidRPr="00153341">
        <w:t xml:space="preserve"> CenturyLink</w:t>
      </w:r>
      <w:r>
        <w:t>,</w:t>
      </w:r>
      <w:r w:rsidRPr="00153341">
        <w:t xml:space="preserve"> to Marlene Dortch, Secretary, FCC, WC Docket No. 18-155</w:t>
      </w:r>
      <w:r>
        <w:t>,</w:t>
      </w:r>
      <w:r w:rsidRPr="00153341">
        <w:t xml:space="preserve"> </w:t>
      </w:r>
      <w:r>
        <w:t>Attach., Description of Methodology</w:t>
      </w:r>
      <w:r w:rsidRPr="00153341">
        <w:t xml:space="preserve"> </w:t>
      </w:r>
      <w:r>
        <w:t xml:space="preserve">at 1 </w:t>
      </w:r>
      <w:r w:rsidRPr="00153341">
        <w:t xml:space="preserve">(filed Apr. 30, </w:t>
      </w:r>
      <w:r>
        <w:t>2</w:t>
      </w:r>
      <w:r w:rsidRPr="00153341">
        <w:t xml:space="preserve">019) (CenturyLink Apr. 30, 2019 </w:t>
      </w:r>
      <w:r w:rsidRPr="00153341">
        <w:rPr>
          <w:i/>
        </w:rPr>
        <w:t>Ex Parte</w:t>
      </w:r>
      <w:r>
        <w:rPr>
          <w:snapToGrid w:val="0"/>
        </w:rPr>
        <w:t xml:space="preserve">) (providing a list of 21 carriers it considers to be access-stimulating LECs).  Secondary sources indicate the existence of additional access-stimulating LECs.  Affidavit of Paige V. Schroeder in Support of Defendants’ Opposition to </w:t>
      </w:r>
      <w:r>
        <w:rPr>
          <w:snapToGrid w:val="0"/>
        </w:rPr>
        <w:t>Inteliquent</w:t>
      </w:r>
      <w:r>
        <w:rPr>
          <w:snapToGrid w:val="0"/>
        </w:rPr>
        <w:t xml:space="preserve"> Inc.’s Motion to Compel </w:t>
      </w:r>
      <w:r>
        <w:rPr>
          <w:snapToGrid w:val="0"/>
        </w:rPr>
        <w:t>Zenoradio</w:t>
      </w:r>
      <w:r>
        <w:rPr>
          <w:snapToGrid w:val="0"/>
        </w:rPr>
        <w:t>, LL</w:t>
      </w:r>
      <w:r w:rsidRPr="00864E01">
        <w:rPr>
          <w:snapToGrid w:val="0"/>
        </w:rPr>
        <w:t>C,</w:t>
      </w:r>
      <w:r>
        <w:rPr>
          <w:snapToGrid w:val="0"/>
        </w:rPr>
        <w:t xml:space="preserve"> and </w:t>
      </w:r>
      <w:r>
        <w:rPr>
          <w:snapToGrid w:val="0"/>
        </w:rPr>
        <w:t>Zenofon</w:t>
      </w:r>
      <w:r>
        <w:rPr>
          <w:snapToGrid w:val="0"/>
        </w:rPr>
        <w:t xml:space="preserve">, LLC, </w:t>
      </w:r>
      <w:r>
        <w:rPr>
          <w:i/>
          <w:snapToGrid w:val="0"/>
        </w:rPr>
        <w:t>Inteliquent</w:t>
      </w:r>
      <w:r>
        <w:rPr>
          <w:i/>
          <w:snapToGrid w:val="0"/>
        </w:rPr>
        <w:t>, Inc. v. Free Conferencing Corp. et al.</w:t>
      </w:r>
      <w:r>
        <w:rPr>
          <w:snapToGrid w:val="0"/>
        </w:rPr>
        <w:t>, Case No. 1:16-CV-</w:t>
      </w:r>
      <w:r w:rsidRPr="00864E01">
        <w:rPr>
          <w:snapToGrid w:val="0"/>
        </w:rPr>
        <w:t xml:space="preserve">06976, </w:t>
      </w:r>
      <w:r w:rsidRPr="00864E01">
        <w:rPr>
          <w:snapToGrid w:val="0"/>
        </w:rPr>
        <w:t>Exh</w:t>
      </w:r>
      <w:r>
        <w:rPr>
          <w:snapToGrid w:val="0"/>
        </w:rPr>
        <w:t xml:space="preserve">. 1 at 8 (N.D. Ill. Sept. 19, 2017) (Free Conferencing Corp.’s responses to Interrogatories providing a list of access-stimulating LECs that include three more carriers beyond those listed by CenturyLink).  </w:t>
      </w:r>
    </w:p>
  </w:footnote>
  <w:footnote w:id="45">
    <w:p w:rsidR="00844D1E" w:rsidP="00EB312D">
      <w:pPr>
        <w:pStyle w:val="FootnoteText"/>
        <w:tabs>
          <w:tab w:val="left" w:pos="7920"/>
        </w:tabs>
      </w:pPr>
      <w:r>
        <w:rPr>
          <w:rStyle w:val="FootnoteReference"/>
        </w:rPr>
        <w:footnoteRef/>
      </w:r>
      <w:r>
        <w:t xml:space="preserve"> </w:t>
      </w:r>
      <w:r w:rsidRPr="00950C41">
        <w:t xml:space="preserve">AT&amp;T Feb. 5, 2019 </w:t>
      </w:r>
      <w:r w:rsidRPr="00950C41">
        <w:rPr>
          <w:i/>
        </w:rPr>
        <w:t>Ex Parte</w:t>
      </w:r>
      <w:r w:rsidRPr="000E39AA">
        <w:t xml:space="preserve"> a</w:t>
      </w:r>
      <w:r w:rsidRPr="000371B0">
        <w:t>t 4</w:t>
      </w:r>
      <w:r>
        <w:t xml:space="preserve">; Sprint May 16, 2019 </w:t>
      </w:r>
      <w:r>
        <w:rPr>
          <w:i/>
        </w:rPr>
        <w:t xml:space="preserve">Ex Parte </w:t>
      </w:r>
      <w:r>
        <w:t>at 5-6.  Peerless and West incorrectly assert that access stimulation only exists within CEA networks, when that would account for only two or three of the 11 states in which LECs engaged in access stimulation are operating.  Letter from Philip Macres, Counsel for Peerless Network, Inc., and West Telecom Services, LLC, to Marlene Dortch, Secretary, FCC,</w:t>
      </w:r>
      <w:r w:rsidRPr="0052166F">
        <w:t xml:space="preserve"> </w:t>
      </w:r>
      <w:r>
        <w:t>WC Docket No. 18-</w:t>
      </w:r>
      <w:r w:rsidRPr="007545A7">
        <w:t>155, at</w:t>
      </w:r>
      <w:r>
        <w:t xml:space="preserve"> 2 (filed Sept.18, 2019) (Peerless and West Sept. 18, 2019</w:t>
      </w:r>
      <w:r>
        <w:rPr>
          <w:i/>
          <w:iCs/>
        </w:rPr>
        <w:t xml:space="preserve"> Ex Parte</w:t>
      </w:r>
      <w:r>
        <w:rPr>
          <w:iCs/>
        </w:rPr>
        <w:t>)</w:t>
      </w:r>
      <w:r>
        <w:t>.</w:t>
      </w:r>
    </w:p>
  </w:footnote>
  <w:footnote w:id="46">
    <w:p w:rsidR="00844D1E" w:rsidP="00EB312D">
      <w:pPr>
        <w:pStyle w:val="FootnoteText"/>
      </w:pPr>
      <w:r>
        <w:rPr>
          <w:rStyle w:val="FootnoteReference"/>
        </w:rPr>
        <w:footnoteRef/>
      </w:r>
      <w:r>
        <w:t xml:space="preserve"> AT&amp;T Feb. 5, 2019 </w:t>
      </w:r>
      <w:r w:rsidRPr="00BE41BB">
        <w:rPr>
          <w:i/>
        </w:rPr>
        <w:t>Ex Parte</w:t>
      </w:r>
      <w:r>
        <w:t xml:space="preserve"> at 3 (emphasis in original).</w:t>
      </w:r>
    </w:p>
  </w:footnote>
  <w:footnote w:id="47">
    <w:p w:rsidR="00844D1E" w:rsidP="00EB312D">
      <w:pPr>
        <w:pStyle w:val="FootnoteText"/>
      </w:pPr>
      <w:r>
        <w:rPr>
          <w:rStyle w:val="FootnoteReference"/>
        </w:rPr>
        <w:footnoteRef/>
      </w:r>
      <w:r>
        <w:t xml:space="preserve"> Sprint May 16, 2019 </w:t>
      </w:r>
      <w:r>
        <w:rPr>
          <w:i/>
        </w:rPr>
        <w:t>Ex Parte</w:t>
      </w:r>
      <w:r>
        <w:t xml:space="preserve"> at 5</w:t>
      </w:r>
      <w:r>
        <w:rPr>
          <w:szCs w:val="22"/>
        </w:rPr>
        <w:t>.</w:t>
      </w:r>
    </w:p>
  </w:footnote>
  <w:footnote w:id="48">
    <w:p w:rsidR="00844D1E" w:rsidRPr="00D72547" w:rsidP="00EB312D">
      <w:pPr>
        <w:pStyle w:val="FootnoteText"/>
      </w:pPr>
      <w:r>
        <w:rPr>
          <w:rStyle w:val="FootnoteReference"/>
        </w:rPr>
        <w:footnoteRef/>
      </w:r>
      <w:r>
        <w:t xml:space="preserve"> </w:t>
      </w:r>
      <w:r w:rsidRPr="0023282A">
        <w:rPr>
          <w:i/>
        </w:rPr>
        <w:t>Id</w:t>
      </w:r>
      <w:r>
        <w:t>.</w:t>
      </w:r>
    </w:p>
  </w:footnote>
  <w:footnote w:id="49">
    <w:p w:rsidR="00844D1E" w:rsidP="00EB312D">
      <w:pPr>
        <w:pStyle w:val="FootnoteText"/>
      </w:pPr>
      <w:r>
        <w:rPr>
          <w:rStyle w:val="FootnoteReference"/>
        </w:rPr>
        <w:footnoteRef/>
      </w:r>
      <w:r>
        <w:t xml:space="preserve"> </w:t>
      </w:r>
      <w:r w:rsidRPr="00DB797E">
        <w:rPr>
          <w:i/>
        </w:rPr>
        <w:t>See</w:t>
      </w:r>
      <w:r>
        <w:t xml:space="preserve"> Letter from Matthew </w:t>
      </w:r>
      <w:r>
        <w:t>Nodine</w:t>
      </w:r>
      <w:r>
        <w:t xml:space="preserve">, Asst. VP, Federal Regulatory, AT&amp;T Services, Inc., to Marlene Dortch, Secretary, FCC, WC Docket No. 18-155, at 24 (filed Apr. 9, 2019) (AT&amp;T Apr. 9, 2019 </w:t>
      </w:r>
      <w:r w:rsidRPr="00CA01B2">
        <w:rPr>
          <w:i/>
        </w:rPr>
        <w:t>Ex Parte</w:t>
      </w:r>
      <w:r>
        <w:t xml:space="preserve">); Sprint May 16, 2019 </w:t>
      </w:r>
      <w:r w:rsidRPr="00CA01B2">
        <w:rPr>
          <w:i/>
        </w:rPr>
        <w:t>Ex Parte</w:t>
      </w:r>
      <w:r>
        <w:t xml:space="preserve"> at 6-7 (“The high rates in Iowa are premised on typical volumes to high-cost rural exchanges.  The rates imposed by tariff by the centralized equal access provider have created a price umbrella that other entities slightly undercut but still are far above the rates charged in other states.”).</w:t>
      </w:r>
      <w:r>
        <w:t xml:space="preserve"> </w:t>
      </w:r>
    </w:p>
  </w:footnote>
  <w:footnote w:id="50">
    <w:p w:rsidR="00844D1E" w:rsidP="00EB312D">
      <w:pPr>
        <w:pStyle w:val="FootnoteText"/>
      </w:pPr>
      <w:r>
        <w:rPr>
          <w:rStyle w:val="FootnoteReference"/>
        </w:rPr>
        <w:footnoteRef/>
      </w:r>
      <w:r>
        <w:t xml:space="preserve"> </w:t>
      </w:r>
      <w:r w:rsidRPr="00D04A44">
        <w:t xml:space="preserve">Letter from Matthew </w:t>
      </w:r>
      <w:r w:rsidRPr="00D04A44">
        <w:t>Nodine</w:t>
      </w:r>
      <w:r w:rsidRPr="00D04A44">
        <w:t>, Assistant Vice President,</w:t>
      </w:r>
      <w:r>
        <w:t xml:space="preserve"> Federal Regulatory, AT&amp;T Services, Inc., to Marlene Dortch, Secretary, FCC, CC Docket No. 01-92; WC Docket Nos. 07-135, 10-90 and 18-155, at 2 n.3 (filed June 12, 2019) (AT&amp;T June 12, 2019 </w:t>
      </w:r>
      <w:r w:rsidRPr="00CA01B2">
        <w:rPr>
          <w:i/>
        </w:rPr>
        <w:t>Ex Parte</w:t>
      </w:r>
      <w:r>
        <w:t xml:space="preserve">).  The record reflects that in Iowa and South Dakota, much access stimulation traffic is bypassing CEA networks pursuant to commercial agreements, notwithstanding mandatory use requirements applicable to IXCs.  </w:t>
      </w:r>
      <w:r w:rsidRPr="009B42F9">
        <w:rPr>
          <w:i/>
        </w:rPr>
        <w:t>See</w:t>
      </w:r>
      <w:r>
        <w:t xml:space="preserve"> </w:t>
      </w:r>
      <w:r w:rsidRPr="00D04A44">
        <w:t xml:space="preserve">Letter from </w:t>
      </w:r>
      <w:r>
        <w:t>David Erickson</w:t>
      </w:r>
      <w:r w:rsidRPr="00D04A44">
        <w:t>, President,</w:t>
      </w:r>
      <w:r>
        <w:t xml:space="preserve"> HD Tandem, to Marlene Dortch, Secretary, FCC, WC Docket No. 18-155, at 2 (filed Apr. 8, 2019).</w:t>
      </w:r>
    </w:p>
  </w:footnote>
  <w:footnote w:id="51">
    <w:p w:rsidR="00844D1E" w:rsidRPr="00437034" w:rsidP="00EB312D">
      <w:pPr>
        <w:spacing w:before="120" w:after="120"/>
        <w:rPr>
          <w:rFonts w:eastAsia="Calibri"/>
          <w:snapToGrid/>
          <w:kern w:val="0"/>
          <w:sz w:val="20"/>
        </w:rPr>
      </w:pPr>
      <w:r>
        <w:rPr>
          <w:rStyle w:val="FootnoteReference"/>
        </w:rPr>
        <w:footnoteRef/>
      </w:r>
      <w:r w:rsidRPr="00437034">
        <w:rPr>
          <w:sz w:val="20"/>
        </w:rPr>
        <w:t xml:space="preserve"> </w:t>
      </w:r>
      <w:r w:rsidRPr="00BF7707">
        <w:rPr>
          <w:rFonts w:eastAsia="Calibri"/>
          <w:snapToGrid/>
          <w:kern w:val="0"/>
          <w:sz w:val="20"/>
        </w:rPr>
        <w:t xml:space="preserve">Throughout this </w:t>
      </w:r>
      <w:r w:rsidRPr="00BF7707">
        <w:rPr>
          <w:rFonts w:eastAsia="Calibri"/>
          <w:i/>
          <w:snapToGrid/>
          <w:kern w:val="0"/>
          <w:sz w:val="20"/>
        </w:rPr>
        <w:t>Order</w:t>
      </w:r>
      <w:r w:rsidRPr="00BF7707">
        <w:rPr>
          <w:rFonts w:eastAsia="Calibri"/>
          <w:snapToGrid/>
          <w:kern w:val="0"/>
          <w:sz w:val="20"/>
        </w:rPr>
        <w:t xml:space="preserve">, we primarily </w:t>
      </w:r>
      <w:r>
        <w:rPr>
          <w:rFonts w:eastAsia="Calibri"/>
          <w:snapToGrid/>
          <w:kern w:val="0"/>
          <w:sz w:val="20"/>
        </w:rPr>
        <w:t xml:space="preserve">discuss </w:t>
      </w:r>
      <w:r w:rsidRPr="00BF7707">
        <w:rPr>
          <w:rFonts w:eastAsia="Calibri"/>
          <w:snapToGrid/>
          <w:kern w:val="0"/>
          <w:sz w:val="20"/>
        </w:rPr>
        <w:t xml:space="preserve">connections between an access-stimulating LEC and an IXC where those connections </w:t>
      </w:r>
      <w:r>
        <w:rPr>
          <w:rFonts w:eastAsia="Calibri"/>
          <w:snapToGrid/>
          <w:kern w:val="0"/>
          <w:sz w:val="20"/>
        </w:rPr>
        <w:t xml:space="preserve">go through </w:t>
      </w:r>
      <w:r w:rsidRPr="00BF7707">
        <w:rPr>
          <w:rFonts w:eastAsia="Calibri"/>
          <w:snapToGrid/>
          <w:kern w:val="0"/>
          <w:sz w:val="20"/>
        </w:rPr>
        <w:t xml:space="preserve">a tandem.  Terminating “tandem switching and tandem switched transport” are the two key interstate exchange access services that are affected by this </w:t>
      </w:r>
      <w:r w:rsidRPr="00BF7707">
        <w:rPr>
          <w:rFonts w:eastAsia="Calibri"/>
          <w:i/>
          <w:snapToGrid/>
          <w:kern w:val="0"/>
          <w:sz w:val="20"/>
        </w:rPr>
        <w:t>Order</w:t>
      </w:r>
      <w:r w:rsidRPr="00BF7707">
        <w:rPr>
          <w:rFonts w:eastAsia="Calibri"/>
          <w:snapToGrid/>
          <w:kern w:val="0"/>
          <w:sz w:val="20"/>
        </w:rPr>
        <w:t xml:space="preserve">.  These access services may be </w:t>
      </w:r>
      <w:r>
        <w:rPr>
          <w:rFonts w:eastAsia="Calibri"/>
          <w:snapToGrid/>
          <w:kern w:val="0"/>
          <w:sz w:val="20"/>
        </w:rPr>
        <w:t>referred to</w:t>
      </w:r>
      <w:r w:rsidRPr="00BF7707">
        <w:rPr>
          <w:rFonts w:eastAsia="Calibri"/>
          <w:snapToGrid/>
          <w:kern w:val="0"/>
          <w:sz w:val="20"/>
        </w:rPr>
        <w:t xml:space="preserve"> </w:t>
      </w:r>
      <w:r>
        <w:rPr>
          <w:rFonts w:eastAsia="Calibri"/>
          <w:snapToGrid/>
          <w:kern w:val="0"/>
          <w:sz w:val="20"/>
        </w:rPr>
        <w:t xml:space="preserve">using different terms </w:t>
      </w:r>
      <w:r w:rsidRPr="00BF7707">
        <w:rPr>
          <w:rFonts w:eastAsia="Calibri"/>
          <w:snapToGrid/>
          <w:kern w:val="0"/>
          <w:sz w:val="20"/>
        </w:rPr>
        <w:t>in a LEC’s tariff</w:t>
      </w:r>
      <w:r>
        <w:rPr>
          <w:rFonts w:eastAsia="Calibri"/>
          <w:snapToGrid/>
          <w:kern w:val="0"/>
          <w:sz w:val="20"/>
        </w:rPr>
        <w:t xml:space="preserve"> or applicable contracts</w:t>
      </w:r>
      <w:r w:rsidRPr="00BF7707">
        <w:rPr>
          <w:rFonts w:eastAsia="Calibri"/>
          <w:snapToGrid/>
          <w:kern w:val="0"/>
          <w:sz w:val="20"/>
        </w:rPr>
        <w:t xml:space="preserve">.  For example, a LEC may have rate elements for tandem switched transport termination and tandem switched transport facility or may have a rate element called “common transport” as part of its tandem switched transport offering.  </w:t>
      </w:r>
      <w:r w:rsidRPr="00D16F9E">
        <w:rPr>
          <w:rFonts w:eastAsia="Calibri"/>
          <w:i/>
          <w:snapToGrid/>
          <w:kern w:val="0"/>
          <w:sz w:val="20"/>
        </w:rPr>
        <w:t>See</w:t>
      </w:r>
      <w:r>
        <w:rPr>
          <w:rFonts w:eastAsia="Calibri"/>
          <w:snapToGrid/>
          <w:kern w:val="0"/>
          <w:sz w:val="20"/>
        </w:rPr>
        <w:t xml:space="preserve"> </w:t>
      </w:r>
      <w:r w:rsidRPr="00BF7707">
        <w:rPr>
          <w:rFonts w:eastAsia="Calibri"/>
          <w:snapToGrid/>
          <w:kern w:val="0"/>
          <w:sz w:val="20"/>
        </w:rPr>
        <w:t xml:space="preserve">47 CFR </w:t>
      </w:r>
      <w:r w:rsidRPr="007B7708">
        <w:rPr>
          <w:rFonts w:eastAsia="Calibri"/>
          <w:snapToGrid/>
          <w:kern w:val="0"/>
          <w:sz w:val="20"/>
        </w:rPr>
        <w:t>§ 61</w:t>
      </w:r>
      <w:r w:rsidRPr="00BF7707">
        <w:rPr>
          <w:rFonts w:eastAsia="Calibri"/>
          <w:snapToGrid/>
          <w:kern w:val="0"/>
          <w:sz w:val="20"/>
        </w:rPr>
        <w:t xml:space="preserve">.26(a)(3) (defining “switched exchange access services” for competitive LECs to include “[t]he functional equivalent of the ILEC interstate exchange access services typically associated with the following rate </w:t>
      </w:r>
      <w:r w:rsidRPr="007B7708">
        <w:rPr>
          <w:rFonts w:eastAsia="Calibri"/>
          <w:snapToGrid/>
          <w:kern w:val="0"/>
          <w:sz w:val="20"/>
        </w:rPr>
        <w:t>elements:  C</w:t>
      </w:r>
      <w:r w:rsidRPr="00BF7707">
        <w:rPr>
          <w:rFonts w:eastAsia="Calibri"/>
          <w:snapToGrid/>
          <w:kern w:val="0"/>
          <w:sz w:val="20"/>
        </w:rPr>
        <w:t xml:space="preserve">arrier common line (originating); carrier common line (terminating); local end office switching; interconnection charge; information surcharge; tandem switched transport termination (fixed); tandem switched transport facility (per mile); tandem switching”); </w:t>
      </w:r>
      <w:r w:rsidRPr="002A7F62">
        <w:rPr>
          <w:rFonts w:eastAsia="Calibri"/>
          <w:i/>
          <w:snapToGrid/>
          <w:kern w:val="0"/>
          <w:sz w:val="20"/>
        </w:rPr>
        <w:t>see also</w:t>
      </w:r>
      <w:r>
        <w:rPr>
          <w:rFonts w:eastAsia="Calibri"/>
          <w:snapToGrid/>
          <w:kern w:val="0"/>
          <w:sz w:val="20"/>
        </w:rPr>
        <w:t xml:space="preserve"> </w:t>
      </w:r>
      <w:r w:rsidRPr="00BF7707">
        <w:rPr>
          <w:rFonts w:eastAsia="Calibri"/>
          <w:snapToGrid/>
          <w:kern w:val="0"/>
          <w:sz w:val="20"/>
        </w:rPr>
        <w:t>47 CFR § 69.1</w:t>
      </w:r>
      <w:r w:rsidRPr="007C77AD">
        <w:rPr>
          <w:rFonts w:eastAsia="Calibri"/>
          <w:snapToGrid/>
          <w:kern w:val="0"/>
          <w:sz w:val="20"/>
        </w:rPr>
        <w:t xml:space="preserve">11(a)(2).  </w:t>
      </w:r>
      <w:r>
        <w:rPr>
          <w:rFonts w:eastAsia="Calibri"/>
          <w:snapToGrid/>
          <w:kern w:val="0"/>
          <w:sz w:val="20"/>
        </w:rPr>
        <w:t xml:space="preserve">We intend this </w:t>
      </w:r>
      <w:r w:rsidRPr="006956AF">
        <w:rPr>
          <w:rFonts w:eastAsia="Calibri"/>
          <w:i/>
          <w:snapToGrid/>
          <w:kern w:val="0"/>
          <w:sz w:val="20"/>
        </w:rPr>
        <w:t>Order</w:t>
      </w:r>
      <w:r>
        <w:rPr>
          <w:rFonts w:eastAsia="Calibri"/>
          <w:snapToGrid/>
          <w:kern w:val="0"/>
          <w:sz w:val="20"/>
        </w:rPr>
        <w:t xml:space="preserve"> and the rules we adopt herein to cover such services regardless of the terms used.</w:t>
      </w:r>
    </w:p>
  </w:footnote>
  <w:footnote w:id="52">
    <w:p w:rsidR="00844D1E" w:rsidRPr="002B3826" w:rsidP="00EB312D">
      <w:pPr>
        <w:pStyle w:val="FootnoteText"/>
      </w:pPr>
      <w:r>
        <w:rPr>
          <w:rStyle w:val="FootnoteReference"/>
        </w:rPr>
        <w:footnoteRef/>
      </w:r>
      <w:r>
        <w:t xml:space="preserve"> </w:t>
      </w:r>
      <w:r>
        <w:rPr>
          <w:i/>
        </w:rPr>
        <w:t>Access Arbitrage Notice</w:t>
      </w:r>
      <w:r>
        <w:t xml:space="preserve">, 33 FCC </w:t>
      </w:r>
      <w:r>
        <w:t>Rcd</w:t>
      </w:r>
      <w:r>
        <w:t xml:space="preserve"> at 5470-71, paras. 13-14.</w:t>
      </w:r>
    </w:p>
  </w:footnote>
  <w:footnote w:id="53">
    <w:p w:rsidR="00844D1E" w:rsidP="00EB312D">
      <w:pPr>
        <w:pStyle w:val="FootnoteText"/>
      </w:pPr>
      <w:r>
        <w:rPr>
          <w:rStyle w:val="FootnoteReference"/>
        </w:rPr>
        <w:footnoteRef/>
      </w:r>
      <w:r>
        <w:t xml:space="preserve"> </w:t>
      </w:r>
      <w:r w:rsidRPr="002A7F62">
        <w:rPr>
          <w:i/>
        </w:rPr>
        <w:t>See, e.g.</w:t>
      </w:r>
      <w:r>
        <w:t xml:space="preserve">, </w:t>
      </w:r>
      <w:r w:rsidRPr="005948D6">
        <w:t xml:space="preserve">Verizon Reply at 1-3, Letter from Matthew </w:t>
      </w:r>
      <w:r w:rsidRPr="005948D6">
        <w:t>Nodine</w:t>
      </w:r>
      <w:r w:rsidRPr="005948D6">
        <w:t>, Ass</w:t>
      </w:r>
      <w:r>
        <w:t xml:space="preserve">istant Vice President, </w:t>
      </w:r>
      <w:r w:rsidRPr="005948D6">
        <w:t xml:space="preserve">AT&amp;T Services, </w:t>
      </w:r>
      <w:r w:rsidRPr="000B15AC">
        <w:t>Inc., to</w:t>
      </w:r>
      <w:r w:rsidRPr="005948D6">
        <w:t xml:space="preserve"> Marlene Dortch, Secretary, FCC, WC Docket No. 18-</w:t>
      </w:r>
      <w:r w:rsidRPr="000B15AC">
        <w:t>155, at</w:t>
      </w:r>
      <w:r w:rsidRPr="005948D6">
        <w:t xml:space="preserve"> 1 (filed Mar. 7, 2019) (AT&amp;T Mar. 7</w:t>
      </w:r>
      <w:r w:rsidRPr="00206B44">
        <w:t xml:space="preserve">, </w:t>
      </w:r>
      <w:r w:rsidRPr="00206B44">
        <w:t>201</w:t>
      </w:r>
      <w:r w:rsidRPr="00206B44">
        <w:t>9</w:t>
      </w:r>
      <w:r w:rsidRPr="00206B44">
        <w:t xml:space="preserve"> </w:t>
      </w:r>
      <w:r w:rsidRPr="00206B44">
        <w:rPr>
          <w:i/>
        </w:rPr>
        <w:t>Ex Parte</w:t>
      </w:r>
      <w:r w:rsidRPr="005948D6">
        <w:t>);</w:t>
      </w:r>
      <w:r w:rsidRPr="00206B44">
        <w:t xml:space="preserve"> Sprint May 16, 2019 </w:t>
      </w:r>
      <w:r w:rsidRPr="00206B44">
        <w:rPr>
          <w:i/>
        </w:rPr>
        <w:t>Ex Parte</w:t>
      </w:r>
      <w:r w:rsidRPr="00206B44">
        <w:t xml:space="preserve"> at 3</w:t>
      </w:r>
      <w:r>
        <w:t>;</w:t>
      </w:r>
      <w:r w:rsidRPr="00713A4D">
        <w:t xml:space="preserve"> </w:t>
      </w:r>
      <w:r>
        <w:t xml:space="preserve">Letter from Beth </w:t>
      </w:r>
      <w:r>
        <w:t>Choroser</w:t>
      </w:r>
      <w:r>
        <w:t xml:space="preserve">, Vice President, Regulatory Affairs, </w:t>
      </w:r>
      <w:r w:rsidRPr="00E52B8B">
        <w:t>Comcast</w:t>
      </w:r>
      <w:r>
        <w:t>, to Marlene Dortch, Secretary, FCC, WC Docket No. 18-155, at 1 (filed</w:t>
      </w:r>
      <w:r w:rsidRPr="00E52B8B">
        <w:t xml:space="preserve"> Mar. 21, 2019</w:t>
      </w:r>
      <w:r>
        <w:t xml:space="preserve">) (Comcast Mar. 21, 2019 </w:t>
      </w:r>
      <w:r>
        <w:rPr>
          <w:i/>
        </w:rPr>
        <w:t>Ex Parte</w:t>
      </w:r>
      <w:r>
        <w:t>)</w:t>
      </w:r>
      <w:r w:rsidRPr="00E52B8B">
        <w:t>; INCOMPAS Reply at 1-2.</w:t>
      </w:r>
    </w:p>
  </w:footnote>
  <w:footnote w:id="54">
    <w:p w:rsidR="00844D1E" w:rsidRPr="00993463" w:rsidP="00EB312D">
      <w:pPr>
        <w:widowControl/>
        <w:autoSpaceDE w:val="0"/>
        <w:autoSpaceDN w:val="0"/>
        <w:adjustRightInd w:val="0"/>
        <w:spacing w:after="120"/>
        <w:rPr>
          <w:sz w:val="20"/>
        </w:rPr>
      </w:pPr>
      <w:r>
        <w:rPr>
          <w:rStyle w:val="FootnoteReference"/>
        </w:rPr>
        <w:footnoteRef/>
      </w:r>
      <w:r w:rsidRPr="006956AF">
        <w:rPr>
          <w:sz w:val="20"/>
        </w:rPr>
        <w:t xml:space="preserve"> </w:t>
      </w:r>
      <w:r w:rsidRPr="00BF369E">
        <w:rPr>
          <w:sz w:val="20"/>
        </w:rPr>
        <w:t xml:space="preserve">Letter from </w:t>
      </w:r>
      <w:r w:rsidRPr="00BF369E">
        <w:rPr>
          <w:sz w:val="20"/>
        </w:rPr>
        <w:t>Norina</w:t>
      </w:r>
      <w:r w:rsidRPr="00BF369E">
        <w:rPr>
          <w:sz w:val="20"/>
        </w:rPr>
        <w:t xml:space="preserve"> Moy, Director, Government Affairs, Sprint, to Marlene Dortch, Secretary, FCC, WC Docket No. 18-155, at 1 (filed Sept. 19, 2019) (Sprint Sept. 19, 2019</w:t>
      </w:r>
      <w:r w:rsidRPr="00BF369E">
        <w:rPr>
          <w:i/>
          <w:iCs/>
          <w:sz w:val="20"/>
        </w:rPr>
        <w:t xml:space="preserve"> Ex Parte</w:t>
      </w:r>
      <w:r w:rsidRPr="00BF369E">
        <w:rPr>
          <w:iCs/>
          <w:sz w:val="20"/>
        </w:rPr>
        <w:t>)</w:t>
      </w:r>
      <w:r w:rsidRPr="006956AF">
        <w:rPr>
          <w:sz w:val="20"/>
        </w:rPr>
        <w:t xml:space="preserve">; </w:t>
      </w:r>
      <w:r>
        <w:rPr>
          <w:sz w:val="20"/>
        </w:rPr>
        <w:t xml:space="preserve">Letter from Keith M. </w:t>
      </w:r>
      <w:r>
        <w:rPr>
          <w:sz w:val="20"/>
        </w:rPr>
        <w:t>Krom</w:t>
      </w:r>
      <w:r>
        <w:rPr>
          <w:sz w:val="20"/>
        </w:rPr>
        <w:t>, Assistant Vice President, Senior Legal Counsel, AT&amp;T, to Marlene Dortch, Secretary, FCC, WC Docket No. 18-155, at 1 (filed Sept. 18, 2019) (</w:t>
      </w:r>
      <w:r w:rsidRPr="006956AF">
        <w:rPr>
          <w:sz w:val="20"/>
        </w:rPr>
        <w:t xml:space="preserve">AT&amp;T Sept. 18, 2019 </w:t>
      </w:r>
      <w:r w:rsidRPr="006956AF">
        <w:rPr>
          <w:i/>
          <w:sz w:val="20"/>
        </w:rPr>
        <w:t>Ex Parte</w:t>
      </w:r>
      <w:r w:rsidRPr="00E41438">
        <w:rPr>
          <w:sz w:val="20"/>
        </w:rPr>
        <w:t>)</w:t>
      </w:r>
      <w:r w:rsidRPr="006956AF">
        <w:rPr>
          <w:sz w:val="20"/>
        </w:rPr>
        <w:t xml:space="preserve">; Letter from Mike Saperstein, Vice President, Policy &amp; Advocacy, </w:t>
      </w:r>
      <w:r w:rsidRPr="006956AF">
        <w:rPr>
          <w:sz w:val="20"/>
        </w:rPr>
        <w:t>USTelecom</w:t>
      </w:r>
      <w:r w:rsidRPr="006956AF">
        <w:rPr>
          <w:sz w:val="20"/>
        </w:rPr>
        <w:t>, to Marlene Dortch, Secretary, FCC, WC Docket No. 18-155, at 1 (filed Sept. 18, 2019) (</w:t>
      </w:r>
      <w:r w:rsidRPr="006956AF">
        <w:rPr>
          <w:sz w:val="20"/>
        </w:rPr>
        <w:t>USTelecom</w:t>
      </w:r>
      <w:r w:rsidRPr="006956AF">
        <w:rPr>
          <w:sz w:val="20"/>
        </w:rPr>
        <w:t xml:space="preserve"> Sept. 18, 2019</w:t>
      </w:r>
      <w:r w:rsidRPr="006956AF">
        <w:rPr>
          <w:i/>
          <w:sz w:val="20"/>
        </w:rPr>
        <w:t xml:space="preserve"> Ex Parte</w:t>
      </w:r>
      <w:r w:rsidRPr="006956AF">
        <w:rPr>
          <w:sz w:val="20"/>
        </w:rPr>
        <w:t>); Verizon Reply at 1-3</w:t>
      </w:r>
      <w:r>
        <w:rPr>
          <w:sz w:val="20"/>
        </w:rPr>
        <w:t>;</w:t>
      </w:r>
      <w:r w:rsidRPr="006956AF">
        <w:rPr>
          <w:sz w:val="20"/>
        </w:rPr>
        <w:t xml:space="preserve"> Comcast Mar. 21, 2019 </w:t>
      </w:r>
      <w:r w:rsidRPr="006956AF">
        <w:rPr>
          <w:i/>
          <w:sz w:val="20"/>
        </w:rPr>
        <w:t>Ex Parte</w:t>
      </w:r>
      <w:r w:rsidRPr="006956AF">
        <w:rPr>
          <w:sz w:val="20"/>
        </w:rPr>
        <w:t xml:space="preserve"> at 1; </w:t>
      </w:r>
      <w:r w:rsidRPr="006956AF">
        <w:rPr>
          <w:i/>
          <w:sz w:val="20"/>
        </w:rPr>
        <w:t>see also</w:t>
      </w:r>
      <w:r w:rsidRPr="006956AF">
        <w:rPr>
          <w:sz w:val="20"/>
        </w:rPr>
        <w:t xml:space="preserve"> NTCA Sept. 11, 2019 </w:t>
      </w:r>
      <w:r w:rsidRPr="006956AF">
        <w:rPr>
          <w:i/>
          <w:iCs/>
          <w:sz w:val="20"/>
        </w:rPr>
        <w:t>Ex Parte</w:t>
      </w:r>
      <w:r w:rsidRPr="006956AF">
        <w:rPr>
          <w:iCs/>
          <w:sz w:val="20"/>
        </w:rPr>
        <w:t xml:space="preserve"> </w:t>
      </w:r>
      <w:r>
        <w:rPr>
          <w:iCs/>
          <w:sz w:val="20"/>
        </w:rPr>
        <w:t xml:space="preserve">at 4 </w:t>
      </w:r>
      <w:r w:rsidRPr="006956AF">
        <w:rPr>
          <w:iCs/>
          <w:sz w:val="20"/>
        </w:rPr>
        <w:t>(</w:t>
      </w:r>
      <w:r>
        <w:rPr>
          <w:iCs/>
          <w:sz w:val="20"/>
        </w:rPr>
        <w:t>NTCA asks that we clarify that an access-stimulating LEC is</w:t>
      </w:r>
      <w:r>
        <w:rPr>
          <w:sz w:val="20"/>
        </w:rPr>
        <w:t xml:space="preserve"> only </w:t>
      </w:r>
      <w:r>
        <w:rPr>
          <w:iCs/>
          <w:sz w:val="20"/>
        </w:rPr>
        <w:t xml:space="preserve">financially </w:t>
      </w:r>
      <w:r w:rsidRPr="004861D1">
        <w:rPr>
          <w:snapToGrid/>
          <w:kern w:val="0"/>
          <w:sz w:val="20"/>
        </w:rPr>
        <w:t>responsible</w:t>
      </w:r>
      <w:r w:rsidRPr="006956AF">
        <w:rPr>
          <w:snapToGrid/>
          <w:kern w:val="0"/>
          <w:sz w:val="20"/>
        </w:rPr>
        <w:t xml:space="preserve"> </w:t>
      </w:r>
      <w:r>
        <w:rPr>
          <w:snapToGrid/>
          <w:kern w:val="0"/>
          <w:sz w:val="20"/>
        </w:rPr>
        <w:t>f</w:t>
      </w:r>
      <w:r w:rsidRPr="006956AF">
        <w:rPr>
          <w:snapToGrid/>
          <w:kern w:val="0"/>
          <w:sz w:val="20"/>
        </w:rPr>
        <w:t>o</w:t>
      </w:r>
      <w:r>
        <w:rPr>
          <w:snapToGrid/>
          <w:kern w:val="0"/>
          <w:sz w:val="20"/>
        </w:rPr>
        <w:t>r</w:t>
      </w:r>
      <w:r w:rsidRPr="006956AF">
        <w:rPr>
          <w:snapToGrid/>
          <w:kern w:val="0"/>
          <w:sz w:val="20"/>
        </w:rPr>
        <w:t xml:space="preserve"> </w:t>
      </w:r>
      <w:r>
        <w:rPr>
          <w:snapToGrid/>
          <w:kern w:val="0"/>
          <w:sz w:val="20"/>
        </w:rPr>
        <w:t>“</w:t>
      </w:r>
      <w:r w:rsidRPr="006956AF">
        <w:rPr>
          <w:snapToGrid/>
          <w:kern w:val="0"/>
          <w:sz w:val="20"/>
        </w:rPr>
        <w:t>the transport routes and switching charges associated</w:t>
      </w:r>
      <w:r>
        <w:rPr>
          <w:snapToGrid/>
          <w:kern w:val="0"/>
          <w:sz w:val="20"/>
        </w:rPr>
        <w:t xml:space="preserve"> </w:t>
      </w:r>
      <w:r w:rsidRPr="006956AF">
        <w:rPr>
          <w:snapToGrid/>
          <w:kern w:val="0"/>
          <w:sz w:val="20"/>
        </w:rPr>
        <w:t>with the tandem that the LEC itself has chosen to subtend and the transport from that tandem</w:t>
      </w:r>
      <w:r>
        <w:rPr>
          <w:snapToGrid/>
          <w:kern w:val="0"/>
          <w:sz w:val="20"/>
        </w:rPr>
        <w:t>.”).  That is what our rules require</w:t>
      </w:r>
      <w:r w:rsidRPr="00993463">
        <w:rPr>
          <w:snapToGrid/>
          <w:kern w:val="0"/>
          <w:sz w:val="20"/>
        </w:rPr>
        <w:t>.</w:t>
      </w:r>
    </w:p>
  </w:footnote>
  <w:footnote w:id="55">
    <w:p w:rsidR="00844D1E" w:rsidRPr="00437034" w:rsidP="00EB312D">
      <w:pPr>
        <w:widowControl/>
        <w:autoSpaceDE w:val="0"/>
        <w:autoSpaceDN w:val="0"/>
        <w:adjustRightInd w:val="0"/>
        <w:spacing w:after="120"/>
        <w:rPr>
          <w:sz w:val="20"/>
        </w:rPr>
      </w:pPr>
      <w:r>
        <w:rPr>
          <w:rStyle w:val="FootnoteReference"/>
        </w:rPr>
        <w:footnoteRef/>
      </w:r>
      <w:r w:rsidRPr="00437034">
        <w:rPr>
          <w:sz w:val="20"/>
        </w:rPr>
        <w:t xml:space="preserve"> </w:t>
      </w:r>
      <w:r w:rsidRPr="006D7259">
        <w:rPr>
          <w:i/>
          <w:sz w:val="20"/>
        </w:rPr>
        <w:t>See, e.g.</w:t>
      </w:r>
      <w:r w:rsidRPr="006D7259">
        <w:rPr>
          <w:sz w:val="20"/>
        </w:rPr>
        <w:t>, AT&amp;T Comments at 1 (“[I]n the years since the [</w:t>
      </w:r>
      <w:r w:rsidRPr="006D7259">
        <w:rPr>
          <w:i/>
          <w:sz w:val="20"/>
        </w:rPr>
        <w:t>USF/ICC</w:t>
      </w:r>
      <w:r w:rsidRPr="006D7259">
        <w:rPr>
          <w:sz w:val="20"/>
        </w:rPr>
        <w:t xml:space="preserve">] </w:t>
      </w:r>
      <w:r w:rsidRPr="006D7259">
        <w:rPr>
          <w:i/>
          <w:sz w:val="20"/>
        </w:rPr>
        <w:t>Transformation Order</w:t>
      </w:r>
      <w:r w:rsidRPr="006D7259">
        <w:rPr>
          <w:sz w:val="20"/>
        </w:rPr>
        <w:t xml:space="preserve">, access-stimulating LECs, particularly those in rural areas, have found new ways around the intercarrier compensation and access stimulation rules.”); CenturyLink Comments at 1; HD Tandem Comments at </w:t>
      </w:r>
      <w:r>
        <w:rPr>
          <w:sz w:val="20"/>
        </w:rPr>
        <w:t>7</w:t>
      </w:r>
      <w:r w:rsidRPr="006D7259">
        <w:rPr>
          <w:sz w:val="20"/>
        </w:rPr>
        <w:t xml:space="preserve"> (“HD Tandem agrees with the FCC that access stimulation continues to exist in the marketplace </w:t>
      </w:r>
      <w:r w:rsidRPr="000B15AC">
        <w:rPr>
          <w:sz w:val="20"/>
        </w:rPr>
        <w:t>today.” (footnote</w:t>
      </w:r>
      <w:r w:rsidRPr="006D7259">
        <w:rPr>
          <w:sz w:val="20"/>
        </w:rPr>
        <w:t xml:space="preserve"> omitte</w:t>
      </w:r>
      <w:r w:rsidRPr="000B15AC">
        <w:rPr>
          <w:sz w:val="20"/>
        </w:rPr>
        <w:t>d));</w:t>
      </w:r>
      <w:r w:rsidRPr="006D7259">
        <w:rPr>
          <w:sz w:val="20"/>
        </w:rPr>
        <w:t xml:space="preserve"> </w:t>
      </w:r>
      <w:r w:rsidRPr="00F232FE">
        <w:rPr>
          <w:sz w:val="20"/>
        </w:rPr>
        <w:t>Inteliquent</w:t>
      </w:r>
      <w:r w:rsidRPr="00F232FE">
        <w:rPr>
          <w:sz w:val="20"/>
        </w:rPr>
        <w:t xml:space="preserve"> Comments at 1; </w:t>
      </w:r>
      <w:r w:rsidRPr="008C00D4">
        <w:rPr>
          <w:sz w:val="20"/>
        </w:rPr>
        <w:t xml:space="preserve">Iowa Communications </w:t>
      </w:r>
      <w:r w:rsidRPr="007C77AD">
        <w:rPr>
          <w:sz w:val="20"/>
        </w:rPr>
        <w:t>Alliance</w:t>
      </w:r>
      <w:r w:rsidRPr="008C00D4">
        <w:rPr>
          <w:sz w:val="20"/>
        </w:rPr>
        <w:t xml:space="preserve"> Comments at 4</w:t>
      </w:r>
      <w:r>
        <w:rPr>
          <w:sz w:val="20"/>
        </w:rPr>
        <w:t xml:space="preserve">; </w:t>
      </w:r>
      <w:r w:rsidRPr="006D7259">
        <w:rPr>
          <w:sz w:val="20"/>
        </w:rPr>
        <w:t xml:space="preserve">NCTA Comments at </w:t>
      </w:r>
      <w:r>
        <w:rPr>
          <w:sz w:val="20"/>
        </w:rPr>
        <w:t>1-</w:t>
      </w:r>
      <w:r w:rsidRPr="006D7259">
        <w:rPr>
          <w:sz w:val="20"/>
        </w:rPr>
        <w:t>2;</w:t>
      </w:r>
      <w:r w:rsidRPr="00231B66">
        <w:rPr>
          <w:sz w:val="20"/>
        </w:rPr>
        <w:t xml:space="preserve"> </w:t>
      </w:r>
      <w:r w:rsidRPr="006D7259">
        <w:rPr>
          <w:sz w:val="20"/>
        </w:rPr>
        <w:t xml:space="preserve">Sprint Comments at 1; Verizon Comments at 1; AT&amp;T Reply at 1 (“The comments filed on July 20 provide near consensus that access stimulation arbitrage is rampant and continues to harm consumers.”); Sprint Reply at </w:t>
      </w:r>
      <w:r w:rsidRPr="00806749">
        <w:rPr>
          <w:sz w:val="20"/>
        </w:rPr>
        <w:t>1-2</w:t>
      </w:r>
      <w:r>
        <w:rPr>
          <w:sz w:val="20"/>
        </w:rPr>
        <w:t xml:space="preserve">.  </w:t>
      </w:r>
      <w:r>
        <w:rPr>
          <w:i/>
          <w:sz w:val="20"/>
        </w:rPr>
        <w:t>B</w:t>
      </w:r>
      <w:r w:rsidRPr="006D7259">
        <w:rPr>
          <w:i/>
          <w:sz w:val="20"/>
        </w:rPr>
        <w:t>ut see</w:t>
      </w:r>
      <w:r w:rsidRPr="006D7259">
        <w:rPr>
          <w:sz w:val="20"/>
        </w:rPr>
        <w:t xml:space="preserve"> Letter from Andrew Nickerson, CEO, Wide Voice, to Marlene Dortch, Secretary, FCC, WC Docket No. 18-155, at 1 (filed Jan. 1</w:t>
      </w:r>
      <w:r>
        <w:rPr>
          <w:sz w:val="20"/>
        </w:rPr>
        <w:t>5</w:t>
      </w:r>
      <w:r w:rsidRPr="006D7259">
        <w:rPr>
          <w:sz w:val="20"/>
        </w:rPr>
        <w:t>, 2019) (Wide Voice Jan. 1</w:t>
      </w:r>
      <w:r>
        <w:rPr>
          <w:sz w:val="20"/>
        </w:rPr>
        <w:t>5</w:t>
      </w:r>
      <w:r w:rsidRPr="006D7259">
        <w:rPr>
          <w:sz w:val="20"/>
        </w:rPr>
        <w:t xml:space="preserve">, 2019 </w:t>
      </w:r>
      <w:r w:rsidRPr="006D7259">
        <w:rPr>
          <w:i/>
          <w:sz w:val="20"/>
        </w:rPr>
        <w:t>Ex Parte</w:t>
      </w:r>
      <w:r w:rsidRPr="006D7259">
        <w:rPr>
          <w:sz w:val="20"/>
        </w:rPr>
        <w:t xml:space="preserve">) (suggesting that the </w:t>
      </w:r>
      <w:r w:rsidRPr="006D7259">
        <w:rPr>
          <w:i/>
          <w:sz w:val="20"/>
        </w:rPr>
        <w:t>USF/ICC Transformation Order</w:t>
      </w:r>
      <w:r w:rsidRPr="006D7259">
        <w:rPr>
          <w:sz w:val="20"/>
        </w:rPr>
        <w:t xml:space="preserve"> “eliminated the ability of access stimulators to benefit from relatively high compensation associated with rural, rate-of-return access rate </w:t>
      </w:r>
      <w:r w:rsidRPr="00806749">
        <w:rPr>
          <w:sz w:val="20"/>
        </w:rPr>
        <w:t>schedules”);</w:t>
      </w:r>
      <w:r w:rsidRPr="006D7259">
        <w:rPr>
          <w:sz w:val="20"/>
        </w:rPr>
        <w:t xml:space="preserve"> Letter from David Erickson, President, HD </w:t>
      </w:r>
      <w:r w:rsidRPr="00844E8D">
        <w:rPr>
          <w:sz w:val="20"/>
        </w:rPr>
        <w:t>Tandem, to</w:t>
      </w:r>
      <w:r w:rsidRPr="006D7259">
        <w:rPr>
          <w:sz w:val="20"/>
        </w:rPr>
        <w:t xml:space="preserve"> Marlene Dortch, Secretary, FCC, WC Docket No. 18-</w:t>
      </w:r>
      <w:r w:rsidRPr="00AC6D60">
        <w:rPr>
          <w:sz w:val="20"/>
        </w:rPr>
        <w:t>155,</w:t>
      </w:r>
      <w:r w:rsidRPr="006D7259">
        <w:rPr>
          <w:sz w:val="20"/>
        </w:rPr>
        <w:t xml:space="preserve"> at </w:t>
      </w:r>
      <w:r>
        <w:rPr>
          <w:sz w:val="20"/>
        </w:rPr>
        <w:t>6-10</w:t>
      </w:r>
      <w:r w:rsidRPr="006D7259">
        <w:rPr>
          <w:sz w:val="20"/>
        </w:rPr>
        <w:t xml:space="preserve"> (filed Aug. 12, 2019) (HD Tandem Aug. 12, 2019 </w:t>
      </w:r>
      <w:r w:rsidRPr="006D7259">
        <w:rPr>
          <w:i/>
          <w:sz w:val="20"/>
        </w:rPr>
        <w:t>Ex Parte</w:t>
      </w:r>
      <w:r w:rsidRPr="006D7259">
        <w:rPr>
          <w:sz w:val="20"/>
        </w:rPr>
        <w:t>)</w:t>
      </w:r>
      <w:r>
        <w:rPr>
          <w:sz w:val="20"/>
        </w:rPr>
        <w:t>.</w:t>
      </w:r>
    </w:p>
  </w:footnote>
  <w:footnote w:id="56">
    <w:p w:rsidR="00844D1E" w:rsidP="00EB312D">
      <w:pPr>
        <w:pStyle w:val="FootnoteText"/>
      </w:pPr>
      <w:r>
        <w:rPr>
          <w:rStyle w:val="FootnoteReference"/>
        </w:rPr>
        <w:footnoteRef/>
      </w:r>
      <w:r>
        <w:rPr>
          <w:i/>
        </w:rPr>
        <w:t xml:space="preserve"> </w:t>
      </w:r>
      <w:r w:rsidRPr="00C55E88">
        <w:rPr>
          <w:i/>
        </w:rPr>
        <w:t>See</w:t>
      </w:r>
      <w:r w:rsidRPr="00DC43DD">
        <w:t xml:space="preserve"> </w:t>
      </w:r>
      <w:r>
        <w:t>Inteliquent</w:t>
      </w:r>
      <w:r w:rsidRPr="007C6913">
        <w:t xml:space="preserve"> </w:t>
      </w:r>
      <w:r>
        <w:t>Apr.</w:t>
      </w:r>
      <w:r w:rsidRPr="007C6913">
        <w:t xml:space="preserve"> 1</w:t>
      </w:r>
      <w:r>
        <w:t>8</w:t>
      </w:r>
      <w:r w:rsidRPr="007C6913">
        <w:t>, 201</w:t>
      </w:r>
      <w:r>
        <w:t xml:space="preserve">9 </w:t>
      </w:r>
      <w:r w:rsidRPr="002C49C0">
        <w:rPr>
          <w:i/>
        </w:rPr>
        <w:t>Ex Parte</w:t>
      </w:r>
      <w:r>
        <w:t xml:space="preserve"> Attach. at 2; </w:t>
      </w:r>
      <w:r w:rsidRPr="00DC43DD">
        <w:t xml:space="preserve">AT&amp;T </w:t>
      </w:r>
      <w:r w:rsidRPr="00834879">
        <w:rPr>
          <w:shd w:val="clear" w:color="auto" w:fill="FFFFFF"/>
        </w:rPr>
        <w:t>Feb. 5, 2019</w:t>
      </w:r>
      <w:r w:rsidRPr="00DC43DD">
        <w:t xml:space="preserve"> </w:t>
      </w:r>
      <w:r w:rsidRPr="00DC43DD">
        <w:rPr>
          <w:i/>
        </w:rPr>
        <w:t>Ex Parte</w:t>
      </w:r>
      <w:r w:rsidRPr="00DC43DD">
        <w:t xml:space="preserve"> at 4</w:t>
      </w:r>
      <w:r>
        <w:t>.</w:t>
      </w:r>
    </w:p>
  </w:footnote>
  <w:footnote w:id="57">
    <w:p w:rsidR="00844D1E" w:rsidP="00EB312D">
      <w:pPr>
        <w:pStyle w:val="FootnoteText"/>
      </w:pPr>
      <w:r>
        <w:rPr>
          <w:rStyle w:val="FootnoteReference"/>
        </w:rPr>
        <w:footnoteRef/>
      </w:r>
      <w:r>
        <w:t xml:space="preserve"> </w:t>
      </w:r>
      <w:r w:rsidRPr="002A7F62">
        <w:rPr>
          <w:i/>
        </w:rPr>
        <w:t>See, e.g.</w:t>
      </w:r>
      <w:r>
        <w:t xml:space="preserve">, </w:t>
      </w:r>
      <w:r w:rsidRPr="00437034">
        <w:rPr>
          <w:i/>
          <w:szCs w:val="22"/>
        </w:rPr>
        <w:t>USF/ICC Transformation Order</w:t>
      </w:r>
      <w:r w:rsidRPr="00437034">
        <w:rPr>
          <w:szCs w:val="22"/>
        </w:rPr>
        <w:t xml:space="preserve">, 26 FCC </w:t>
      </w:r>
      <w:r w:rsidRPr="00437034">
        <w:rPr>
          <w:szCs w:val="22"/>
        </w:rPr>
        <w:t>Rcd</w:t>
      </w:r>
      <w:r w:rsidRPr="00437034">
        <w:rPr>
          <w:szCs w:val="22"/>
        </w:rPr>
        <w:t xml:space="preserve"> at 17875, para. 663</w:t>
      </w:r>
      <w:r>
        <w:t xml:space="preserve">.  </w:t>
      </w:r>
    </w:p>
  </w:footnote>
  <w:footnote w:id="58">
    <w:p w:rsidR="00844D1E" w:rsidP="00EB312D">
      <w:pPr>
        <w:pStyle w:val="FootnoteText"/>
      </w:pPr>
      <w:r>
        <w:rPr>
          <w:rStyle w:val="FootnoteReference"/>
        </w:rPr>
        <w:footnoteRef/>
      </w:r>
      <w:r>
        <w:t xml:space="preserve"> AT&amp;T June 12, 2019 </w:t>
      </w:r>
      <w:r w:rsidRPr="0009070B">
        <w:rPr>
          <w:i/>
        </w:rPr>
        <w:t>Ex Parte</w:t>
      </w:r>
      <w:r>
        <w:t xml:space="preserve"> at 1.</w:t>
      </w:r>
    </w:p>
  </w:footnote>
  <w:footnote w:id="59">
    <w:p w:rsidR="00844D1E" w:rsidP="00EB312D">
      <w:pPr>
        <w:pStyle w:val="FootnoteText"/>
      </w:pPr>
      <w:r>
        <w:rPr>
          <w:rStyle w:val="FootnoteReference"/>
        </w:rPr>
        <w:footnoteRef/>
      </w:r>
      <w:r>
        <w:t xml:space="preserve"> </w:t>
      </w:r>
      <w:r w:rsidRPr="00B54186">
        <w:t xml:space="preserve">Litigation over access stimulation disputes is quite common.  </w:t>
      </w:r>
      <w:r w:rsidRPr="00B54186">
        <w:rPr>
          <w:i/>
        </w:rPr>
        <w:t>See</w:t>
      </w:r>
      <w:r w:rsidRPr="000D3170">
        <w:rPr>
          <w:i/>
        </w:rPr>
        <w:t>,</w:t>
      </w:r>
      <w:r w:rsidRPr="00B54186">
        <w:t xml:space="preserve"> </w:t>
      </w:r>
      <w:r w:rsidRPr="00B54186">
        <w:rPr>
          <w:i/>
        </w:rPr>
        <w:t>e.g.</w:t>
      </w:r>
      <w:r w:rsidRPr="00947676">
        <w:t xml:space="preserve">, </w:t>
      </w:r>
      <w:r w:rsidRPr="00B54186">
        <w:t xml:space="preserve">AT&amp;T Apr. 9, 2019 </w:t>
      </w:r>
      <w:r w:rsidRPr="00B54186">
        <w:rPr>
          <w:i/>
        </w:rPr>
        <w:t>Ex Parte</w:t>
      </w:r>
      <w:r w:rsidRPr="00B54186">
        <w:t xml:space="preserve"> at 10-11; </w:t>
      </w:r>
      <w:r w:rsidRPr="00B54186">
        <w:rPr>
          <w:i/>
        </w:rPr>
        <w:t>see also Peerless Network, Inc. v. MCI Commc</w:t>
      </w:r>
      <w:r>
        <w:rPr>
          <w:i/>
        </w:rPr>
        <w:t>’</w:t>
      </w:r>
      <w:r w:rsidRPr="00B54186">
        <w:rPr>
          <w:i/>
        </w:rPr>
        <w:t>ns Services, Inc.</w:t>
      </w:r>
      <w:r w:rsidRPr="00B54186">
        <w:t xml:space="preserve">, No. 14-C-7417, 2018 WL 1378347, at *5 (N.D. Ill. 2018), </w:t>
      </w:r>
      <w:r w:rsidRPr="00B54186">
        <w:rPr>
          <w:i/>
        </w:rPr>
        <w:t>judgment awarded</w:t>
      </w:r>
      <w:r w:rsidRPr="00B54186">
        <w:t xml:space="preserve">, 2018 WL 3608559 (N.D. Ill. 2018), </w:t>
      </w:r>
      <w:r w:rsidRPr="00B54186">
        <w:rPr>
          <w:i/>
        </w:rPr>
        <w:t>reversed in part and vacated in part</w:t>
      </w:r>
      <w:r w:rsidRPr="00997299">
        <w:t>,</w:t>
      </w:r>
      <w:r w:rsidRPr="0042355D">
        <w:t xml:space="preserve"> </w:t>
      </w:r>
      <w:r w:rsidRPr="00B54186">
        <w:t xml:space="preserve">917 F.3d 538 (7th Cir. 2019); </w:t>
      </w:r>
      <w:r w:rsidRPr="00B54186">
        <w:rPr>
          <w:i/>
        </w:rPr>
        <w:t>Northern Valley Commc</w:t>
      </w:r>
      <w:r>
        <w:rPr>
          <w:i/>
        </w:rPr>
        <w:t>’</w:t>
      </w:r>
      <w:r w:rsidRPr="00B54186">
        <w:rPr>
          <w:i/>
        </w:rPr>
        <w:t>ns, L.L.C. v. AT&amp;T Corp.</w:t>
      </w:r>
      <w:r w:rsidRPr="00B54186">
        <w:t>, No. 1:14–CV–01018–RAL, 245 F.Supp.3d 1120 (D.S.D. 2017)</w:t>
      </w:r>
      <w:r>
        <w:t xml:space="preserve">; </w:t>
      </w:r>
      <w:r w:rsidRPr="001964D7">
        <w:rPr>
          <w:i/>
        </w:rPr>
        <w:t xml:space="preserve">Qwest Communications Co., LLC v. </w:t>
      </w:r>
      <w:r w:rsidRPr="001964D7">
        <w:rPr>
          <w:i/>
        </w:rPr>
        <w:t>Sancom</w:t>
      </w:r>
      <w:r w:rsidRPr="001964D7">
        <w:rPr>
          <w:i/>
        </w:rPr>
        <w:t>, Inc.</w:t>
      </w:r>
      <w:r>
        <w:t xml:space="preserve">, File No. EB-10-MD-004, Memorandum, Opinion and Order, 28 FCC </w:t>
      </w:r>
      <w:r>
        <w:t>Rcd</w:t>
      </w:r>
      <w:r>
        <w:t xml:space="preserve"> 1982, 1982-83, paras. 1-3 (EB 2013) (</w:t>
      </w:r>
      <w:r w:rsidRPr="00064A26">
        <w:rPr>
          <w:i/>
        </w:rPr>
        <w:t xml:space="preserve">Qwest v. </w:t>
      </w:r>
      <w:r w:rsidRPr="00064A26">
        <w:rPr>
          <w:i/>
        </w:rPr>
        <w:t>Sancom</w:t>
      </w:r>
      <w:r>
        <w:t>).</w:t>
      </w:r>
    </w:p>
  </w:footnote>
  <w:footnote w:id="60">
    <w:p w:rsidR="00844D1E" w:rsidP="00EB312D">
      <w:pPr>
        <w:pStyle w:val="FootnoteText"/>
      </w:pPr>
      <w:r>
        <w:rPr>
          <w:rStyle w:val="FootnoteReference"/>
        </w:rPr>
        <w:footnoteRef/>
      </w:r>
      <w:r>
        <w:t xml:space="preserve"> </w:t>
      </w:r>
      <w:r w:rsidRPr="00B04AAB">
        <w:rPr>
          <w:i/>
        </w:rPr>
        <w:t>See</w:t>
      </w:r>
      <w:r>
        <w:rPr>
          <w:i/>
        </w:rPr>
        <w:t>, e.g.</w:t>
      </w:r>
      <w:r>
        <w:t xml:space="preserve">, AT&amp;T June 12, 2019 </w:t>
      </w:r>
      <w:r w:rsidRPr="00B04AAB">
        <w:rPr>
          <w:i/>
        </w:rPr>
        <w:t>Ex Parte</w:t>
      </w:r>
      <w:r>
        <w:t xml:space="preserve"> at 5 (describing a shift of nearly 28 million minutes by simply porting telephone numbers to a new LEC); Sprint May 16, 2019 </w:t>
      </w:r>
      <w:r w:rsidRPr="007F6FCD">
        <w:rPr>
          <w:i/>
        </w:rPr>
        <w:t>Ex Parte</w:t>
      </w:r>
      <w:r>
        <w:t xml:space="preserve"> at 4. </w:t>
      </w:r>
    </w:p>
  </w:footnote>
  <w:footnote w:id="61">
    <w:p w:rsidR="00844D1E" w:rsidP="00EB312D">
      <w:pPr>
        <w:pStyle w:val="FootnoteText"/>
      </w:pPr>
      <w:r>
        <w:rPr>
          <w:rStyle w:val="FootnoteReference"/>
        </w:rPr>
        <w:footnoteRef/>
      </w:r>
      <w:r>
        <w:t xml:space="preserve"> CenturyLink Comments at 7.  To clarify, today’s rules only apply to LECs engaged in access stimulation as defined in our rules.  Non-access-stimulating LECs are unaffected by the shift in financial responsibility.  </w:t>
      </w:r>
      <w:r w:rsidRPr="007C4C13">
        <w:rPr>
          <w:i/>
        </w:rPr>
        <w:t>Cf</w:t>
      </w:r>
      <w:r>
        <w:t xml:space="preserve">. Letter from Leo A. Wrobel, CEO, </w:t>
      </w:r>
      <w:r>
        <w:t>FailSafe</w:t>
      </w:r>
      <w:r>
        <w:t xml:space="preserve"> Communications Inc., to Marlene Dortch, Secretary, FCC, WC Docket No. 18-155, at 2 (filed Sept. 13, 2019) (</w:t>
      </w:r>
      <w:r>
        <w:t>FailSafe</w:t>
      </w:r>
      <w:r>
        <w:t xml:space="preserve"> Sept. 13, 2019 </w:t>
      </w:r>
      <w:r>
        <w:rPr>
          <w:i/>
          <w:iCs/>
        </w:rPr>
        <w:t>Ex Parte</w:t>
      </w:r>
      <w:r>
        <w:rPr>
          <w:iCs/>
        </w:rPr>
        <w:t>)</w:t>
      </w:r>
      <w:r>
        <w:t>.</w:t>
      </w:r>
    </w:p>
  </w:footnote>
  <w:footnote w:id="62">
    <w:p w:rsidR="00844D1E" w:rsidRPr="00EC0DE9" w:rsidP="00EB312D">
      <w:pPr>
        <w:pStyle w:val="FootnoteText"/>
        <w:rPr>
          <w:u w:val="single"/>
        </w:rPr>
      </w:pPr>
      <w:r>
        <w:rPr>
          <w:rStyle w:val="FootnoteReference"/>
        </w:rPr>
        <w:footnoteRef/>
      </w:r>
      <w:r>
        <w:t xml:space="preserve"> Letter from G. David Carter, Counsel to Joint CLECs, to Marlene Dortch, Secretary, FCC, WC Docket No. 18-155, at 2-3 (filed Feb. 14, 2019) (Joint CLEC Feb. 14, 2019 </w:t>
      </w:r>
      <w:r>
        <w:rPr>
          <w:i/>
        </w:rPr>
        <w:t>Ex Parte</w:t>
      </w:r>
      <w:r>
        <w:t xml:space="preserve">); Wide Voice Jan. 15, 2019 </w:t>
      </w:r>
      <w:r>
        <w:rPr>
          <w:i/>
        </w:rPr>
        <w:t>Ex Parte</w:t>
      </w:r>
      <w:r>
        <w:t xml:space="preserve"> Attach. (focusing on SDN’s CEA service rates as problematic).</w:t>
      </w:r>
    </w:p>
  </w:footnote>
  <w:footnote w:id="63">
    <w:p w:rsidR="00844D1E" w:rsidP="00EB312D">
      <w:pPr>
        <w:pStyle w:val="FootnoteText"/>
      </w:pPr>
      <w:r>
        <w:rPr>
          <w:rStyle w:val="FootnoteReference"/>
        </w:rPr>
        <w:footnoteRef/>
      </w:r>
      <w:r>
        <w:t xml:space="preserve"> </w:t>
      </w:r>
      <w:r w:rsidRPr="002778B7">
        <w:rPr>
          <w:i/>
        </w:rPr>
        <w:t>See</w:t>
      </w:r>
      <w:r>
        <w:t xml:space="preserve"> </w:t>
      </w:r>
      <w:r>
        <w:t>Inteliquent</w:t>
      </w:r>
      <w:r>
        <w:t xml:space="preserve"> Apr. 18, 2019 </w:t>
      </w:r>
      <w:r>
        <w:rPr>
          <w:i/>
        </w:rPr>
        <w:t>Ex Parte</w:t>
      </w:r>
      <w:r>
        <w:t xml:space="preserve"> Attach. at 8 (“Three tandems carry more than 90% of the [access-stimulation] traffic volume (</w:t>
      </w:r>
      <w:r>
        <w:t>Aureon</w:t>
      </w:r>
      <w:r>
        <w:t xml:space="preserve">, SDN, and HD Tandem).”); </w:t>
      </w:r>
      <w:r>
        <w:rPr>
          <w:i/>
        </w:rPr>
        <w:t xml:space="preserve">see also </w:t>
      </w:r>
      <w:r w:rsidRPr="002778B7">
        <w:rPr>
          <w:i/>
        </w:rPr>
        <w:t>supra</w:t>
      </w:r>
      <w:r>
        <w:t xml:space="preserve"> para. 12 &amp; notes 30-33 (describing the grants of authority to the CEA providers).</w:t>
      </w:r>
    </w:p>
  </w:footnote>
  <w:footnote w:id="64">
    <w:p w:rsidR="00844D1E" w:rsidRPr="0061389A" w:rsidP="00EB312D">
      <w:pPr>
        <w:pStyle w:val="FootnoteText"/>
      </w:pPr>
      <w:r>
        <w:rPr>
          <w:rStyle w:val="FootnoteReference"/>
        </w:rPr>
        <w:footnoteRef/>
      </w:r>
      <w:r>
        <w:t xml:space="preserve"> </w:t>
      </w:r>
      <w:r w:rsidRPr="000839FB">
        <w:rPr>
          <w:i/>
        </w:rPr>
        <w:t>Aureon</w:t>
      </w:r>
      <w:r w:rsidRPr="000839FB">
        <w:rPr>
          <w:i/>
        </w:rPr>
        <w:t xml:space="preserve"> Section 214 Order</w:t>
      </w:r>
      <w:r>
        <w:t xml:space="preserve">, 3 FCC </w:t>
      </w:r>
      <w:r>
        <w:t>Rcd</w:t>
      </w:r>
      <w:r>
        <w:t xml:space="preserve"> at 1472-73, paras. 28-33 (adopting a mandatory use requirement); </w:t>
      </w:r>
      <w:r w:rsidRPr="000839FB">
        <w:rPr>
          <w:i/>
        </w:rPr>
        <w:t>SDN Section 214 Order</w:t>
      </w:r>
      <w:r>
        <w:t xml:space="preserve">, 5 FCC </w:t>
      </w:r>
      <w:r>
        <w:t>Rcd</w:t>
      </w:r>
      <w:r>
        <w:t xml:space="preserve"> at 6981, para. 24 (apparently granting a mandatory use requirement). </w:t>
      </w:r>
    </w:p>
  </w:footnote>
  <w:footnote w:id="65">
    <w:p w:rsidR="00844D1E" w:rsidP="00EB312D">
      <w:pPr>
        <w:pStyle w:val="FootnoteText"/>
      </w:pPr>
      <w:r>
        <w:rPr>
          <w:rStyle w:val="FootnoteReference"/>
        </w:rPr>
        <w:footnoteRef/>
      </w:r>
      <w:r>
        <w:t xml:space="preserve"> Sprint May 16, 2019 </w:t>
      </w:r>
      <w:r w:rsidRPr="0087731A">
        <w:rPr>
          <w:i/>
        </w:rPr>
        <w:t>Ex Parte</w:t>
      </w:r>
      <w:r>
        <w:t xml:space="preserve"> at 6.</w:t>
      </w:r>
    </w:p>
  </w:footnote>
  <w:footnote w:id="66">
    <w:p w:rsidR="00844D1E" w:rsidP="00EB312D">
      <w:pPr>
        <w:pStyle w:val="FootnoteText"/>
      </w:pPr>
      <w:r>
        <w:rPr>
          <w:rStyle w:val="FootnoteReference"/>
        </w:rPr>
        <w:footnoteRef/>
      </w:r>
      <w:r>
        <w:t xml:space="preserve"> </w:t>
      </w:r>
      <w:r w:rsidRPr="0023282A">
        <w:rPr>
          <w:i/>
        </w:rPr>
        <w:t>Id</w:t>
      </w:r>
      <w:r>
        <w:t>.</w:t>
      </w:r>
    </w:p>
  </w:footnote>
  <w:footnote w:id="67">
    <w:p w:rsidR="00844D1E" w:rsidP="00EB312D">
      <w:pPr>
        <w:pStyle w:val="FootnoteText"/>
      </w:pPr>
      <w:r>
        <w:rPr>
          <w:rStyle w:val="FootnoteReference"/>
        </w:rPr>
        <w:footnoteRef/>
      </w:r>
      <w:r>
        <w:t xml:space="preserve"> AT&amp;T Feb. 5, 2019 </w:t>
      </w:r>
      <w:r w:rsidRPr="009427B1">
        <w:rPr>
          <w:i/>
        </w:rPr>
        <w:t>Ex Parte</w:t>
      </w:r>
      <w:r>
        <w:t xml:space="preserve"> at 5.</w:t>
      </w:r>
    </w:p>
  </w:footnote>
  <w:footnote w:id="68">
    <w:p w:rsidR="00844D1E" w:rsidP="00EB312D">
      <w:pPr>
        <w:pStyle w:val="FootnoteText"/>
      </w:pPr>
      <w:r>
        <w:rPr>
          <w:rStyle w:val="FootnoteReference"/>
        </w:rPr>
        <w:footnoteRef/>
      </w:r>
      <w:r>
        <w:t xml:space="preserve"> </w:t>
      </w:r>
      <w:r w:rsidRPr="007F4D08">
        <w:rPr>
          <w:i/>
        </w:rPr>
        <w:t>See, e.g.</w:t>
      </w:r>
      <w:r>
        <w:t xml:space="preserve">, </w:t>
      </w:r>
      <w:r w:rsidRPr="000462D3">
        <w:rPr>
          <w:i/>
        </w:rPr>
        <w:t>id.</w:t>
      </w:r>
      <w:r>
        <w:t xml:space="preserve"> at 6 n.2.</w:t>
      </w:r>
    </w:p>
  </w:footnote>
  <w:footnote w:id="69">
    <w:p w:rsidR="00844D1E" w:rsidRPr="004673B1" w:rsidP="00EB312D">
      <w:pPr>
        <w:pStyle w:val="NormalWeb"/>
        <w:spacing w:after="120"/>
        <w:rPr>
          <w:i/>
          <w:snapToGrid/>
          <w:sz w:val="20"/>
        </w:rPr>
      </w:pPr>
      <w:r>
        <w:rPr>
          <w:rStyle w:val="FootnoteReference"/>
        </w:rPr>
        <w:footnoteRef/>
      </w:r>
      <w:r>
        <w:t xml:space="preserve"> </w:t>
      </w:r>
      <w:r>
        <w:rPr>
          <w:i/>
          <w:sz w:val="20"/>
          <w:szCs w:val="20"/>
        </w:rPr>
        <w:t>See, e.g.</w:t>
      </w:r>
      <w:r w:rsidRPr="00064A26">
        <w:rPr>
          <w:sz w:val="20"/>
          <w:szCs w:val="20"/>
        </w:rPr>
        <w:t>,</w:t>
      </w:r>
      <w:r>
        <w:rPr>
          <w:i/>
          <w:sz w:val="20"/>
          <w:szCs w:val="20"/>
        </w:rPr>
        <w:t xml:space="preserve"> </w:t>
      </w:r>
      <w:r w:rsidRPr="004673B1">
        <w:rPr>
          <w:snapToGrid/>
          <w:sz w:val="20"/>
        </w:rPr>
        <w:t xml:space="preserve">Joint CLEC Feb. 14, 2019 </w:t>
      </w:r>
      <w:r w:rsidRPr="004673B1">
        <w:rPr>
          <w:i/>
          <w:snapToGrid/>
          <w:sz w:val="20"/>
        </w:rPr>
        <w:t xml:space="preserve">Ex Parte </w:t>
      </w:r>
      <w:r w:rsidRPr="004673B1">
        <w:rPr>
          <w:snapToGrid/>
          <w:sz w:val="20"/>
        </w:rPr>
        <w:t>Attach. at 24</w:t>
      </w:r>
      <w:r>
        <w:rPr>
          <w:snapToGrid/>
          <w:sz w:val="20"/>
        </w:rPr>
        <w:t>.</w:t>
      </w:r>
    </w:p>
  </w:footnote>
  <w:footnote w:id="70">
    <w:p w:rsidR="00844D1E" w:rsidP="00EB312D">
      <w:pPr>
        <w:pStyle w:val="FootnoteText"/>
      </w:pPr>
      <w:r>
        <w:rPr>
          <w:rStyle w:val="FootnoteReference"/>
        </w:rPr>
        <w:footnoteRef/>
      </w:r>
      <w:r>
        <w:t xml:space="preserve"> Joint CLEC Comments at 15-16.  </w:t>
      </w:r>
    </w:p>
  </w:footnote>
  <w:footnote w:id="71">
    <w:p w:rsidR="00844D1E" w:rsidRPr="00473A76" w:rsidP="00EB312D">
      <w:pPr>
        <w:pStyle w:val="FootnoteText"/>
      </w:pPr>
      <w:r>
        <w:rPr>
          <w:rStyle w:val="FootnoteReference"/>
        </w:rPr>
        <w:footnoteRef/>
      </w:r>
      <w:r>
        <w:t xml:space="preserve"> Letter from David Erickson, President, HD Tandem, to Marlene Dortch, Secretary, FCC, WC Docket No. 18-155, at 4 (filed Sept. 16, 2019) (HD Tandem Sept. 16, 2019 </w:t>
      </w:r>
      <w:r>
        <w:rPr>
          <w:i/>
          <w:iCs/>
        </w:rPr>
        <w:t>Ex Par</w:t>
      </w:r>
      <w:r w:rsidRPr="007545A7">
        <w:rPr>
          <w:i/>
        </w:rPr>
        <w:t>te</w:t>
      </w:r>
      <w:r w:rsidRPr="007545A7">
        <w:t>).</w:t>
      </w:r>
    </w:p>
  </w:footnote>
  <w:footnote w:id="72">
    <w:p w:rsidR="00844D1E" w:rsidP="00EB312D">
      <w:pPr>
        <w:pStyle w:val="FootnoteText"/>
      </w:pPr>
      <w:r>
        <w:rPr>
          <w:rStyle w:val="FootnoteReference"/>
        </w:rPr>
        <w:footnoteRef/>
      </w:r>
      <w:r>
        <w:t xml:space="preserve"> Joint CLEC Comments at 15-20.</w:t>
      </w:r>
    </w:p>
  </w:footnote>
  <w:footnote w:id="73">
    <w:p w:rsidR="00844D1E" w:rsidP="00EB312D">
      <w:pPr>
        <w:pStyle w:val="FootnoteText"/>
      </w:pPr>
      <w:r>
        <w:rPr>
          <w:rStyle w:val="FootnoteReference"/>
        </w:rPr>
        <w:footnoteRef/>
      </w:r>
      <w:r>
        <w:t xml:space="preserve"> Commission staff reviewed over 2,500 “express comments” filed in the docket.  </w:t>
      </w:r>
      <w:r>
        <w:t>The vast majority of</w:t>
      </w:r>
      <w:r>
        <w:t xml:space="preserve"> these express comments were identical form letters.  </w:t>
      </w:r>
      <w:r>
        <w:rPr>
          <w:i/>
        </w:rPr>
        <w:t>See, e.g.</w:t>
      </w:r>
      <w:r>
        <w:t xml:space="preserve">, Kenneth </w:t>
      </w:r>
      <w:r>
        <w:t>Nilsestuen</w:t>
      </w:r>
      <w:r>
        <w:t xml:space="preserve"> Express Comments at 1 (filed Sept. 10, 2018) (“</w:t>
      </w:r>
      <w:r w:rsidRPr="009B6DDD">
        <w:t>My free conference calling services are currently at risk of being completely eliminated and costing me, millions of others and our businesses.</w:t>
      </w:r>
      <w:r>
        <w:t xml:space="preserve"> </w:t>
      </w:r>
      <w:r w:rsidRPr="009B6DDD">
        <w:t xml:space="preserve"> I am writing to urge you to refrain from eliminating services that I and millions of other Americans use regularly.</w:t>
      </w:r>
      <w:r>
        <w:t xml:space="preserve"> </w:t>
      </w:r>
      <w:r w:rsidRPr="009B6DDD">
        <w:t xml:space="preserve"> Long-distance carriers will not be negatively affected, financially or otherwise, if free conference calling services are left alone.”)</w:t>
      </w:r>
      <w:r>
        <w:t>.</w:t>
      </w:r>
    </w:p>
  </w:footnote>
  <w:footnote w:id="74">
    <w:p w:rsidR="00844D1E" w:rsidP="00EB312D">
      <w:pPr>
        <w:pStyle w:val="FootnoteText"/>
      </w:pPr>
      <w:r>
        <w:rPr>
          <w:rStyle w:val="FootnoteReference"/>
        </w:rPr>
        <w:footnoteRef/>
      </w:r>
      <w:r>
        <w:t xml:space="preserve"> </w:t>
      </w:r>
      <w:r w:rsidRPr="008F2C5F">
        <w:rPr>
          <w:i/>
        </w:rPr>
        <w:t>See, e.g</w:t>
      </w:r>
      <w:r>
        <w:t xml:space="preserve">., Sprint May 16, 2019 </w:t>
      </w:r>
      <w:r w:rsidRPr="007F4D08">
        <w:rPr>
          <w:i/>
        </w:rPr>
        <w:t>Ex Parte</w:t>
      </w:r>
      <w:r>
        <w:t xml:space="preserve"> at 1-3.</w:t>
      </w:r>
    </w:p>
  </w:footnote>
  <w:footnote w:id="75">
    <w:p w:rsidR="00844D1E" w:rsidP="00EB312D">
      <w:pPr>
        <w:pStyle w:val="FootnoteText"/>
      </w:pPr>
      <w:r>
        <w:rPr>
          <w:rStyle w:val="FootnoteReference"/>
        </w:rPr>
        <w:footnoteRef/>
      </w:r>
      <w:r>
        <w:t xml:space="preserve"> </w:t>
      </w:r>
      <w:r w:rsidRPr="004F06CB">
        <w:rPr>
          <w:i/>
        </w:rPr>
        <w:t>Voice Telephone Services:  Status as of June 30, 2017</w:t>
      </w:r>
      <w:r>
        <w:t xml:space="preserve">, 2018 WL 6119565, at *2, Fig. 1 (WCB-IATD Nov. 2018), </w:t>
      </w:r>
      <w:hyperlink r:id="rId2" w:history="1">
        <w:r w:rsidRPr="00F4254A">
          <w:rPr>
            <w:rStyle w:val="Hyperlink"/>
          </w:rPr>
          <w:t>https://docs.fcc.gov</w:t>
        </w:r>
        <w:r>
          <w:rPr>
            <w:rStyle w:val="Hyperlink"/>
          </w:rPr>
          <w:t>‌</w:t>
        </w:r>
        <w:r w:rsidRPr="00F4254A">
          <w:rPr>
            <w:rStyle w:val="Hyperlink"/>
          </w:rPr>
          <w:t>/public/attachments/DOC-349075A1.pdf</w:t>
        </w:r>
      </w:hyperlink>
      <w:r>
        <w:t xml:space="preserve"> (</w:t>
      </w:r>
      <w:r w:rsidRPr="00734F7E">
        <w:rPr>
          <w:i/>
        </w:rPr>
        <w:t>Voice Telephone Services Report–June 2017</w:t>
      </w:r>
      <w:r>
        <w:t>) (“In June 2017, the data shows that there were 55 million end-user switched access lines in service, 64 million interconnected VoIP subscriptions, and 336 million mobile subscriptions in the United States, or 455 million retail voice telephone service connections in tota</w:t>
      </w:r>
      <w:r w:rsidRPr="007545A7">
        <w:t>l.”</w:t>
      </w:r>
      <w:r>
        <w:t>).</w:t>
      </w:r>
    </w:p>
  </w:footnote>
  <w:footnote w:id="76">
    <w:p w:rsidR="00844D1E" w:rsidRPr="00AC0628" w:rsidP="00EB312D">
      <w:pPr>
        <w:pStyle w:val="FootnoteText"/>
      </w:pPr>
      <w:r>
        <w:rPr>
          <w:rStyle w:val="FootnoteReference"/>
        </w:rPr>
        <w:footnoteRef/>
      </w:r>
      <w:r>
        <w:t xml:space="preserve"> Sprint May 16, 2019 </w:t>
      </w:r>
      <w:r>
        <w:rPr>
          <w:i/>
        </w:rPr>
        <w:t>Ex Parte</w:t>
      </w:r>
      <w:r>
        <w:t xml:space="preserve"> at 1, 5 (“The outdated access charge system continues to reward inefficient network design, create fraudulent calling schemes, and undermine important Commission priorities and goals.”).</w:t>
      </w:r>
    </w:p>
  </w:footnote>
  <w:footnote w:id="77">
    <w:p w:rsidR="00844D1E" w:rsidP="00EB312D">
      <w:pPr>
        <w:pStyle w:val="FootnoteText"/>
      </w:pPr>
      <w:r>
        <w:rPr>
          <w:rStyle w:val="FootnoteReference"/>
        </w:rPr>
        <w:footnoteRef/>
      </w:r>
      <w:r>
        <w:t xml:space="preserve"> </w:t>
      </w:r>
      <w:r w:rsidRPr="00F62D59">
        <w:rPr>
          <w:i/>
        </w:rPr>
        <w:t>See</w:t>
      </w:r>
      <w:r>
        <w:t xml:space="preserve"> Sprint Reply at 2; AT&amp;T </w:t>
      </w:r>
      <w:r w:rsidRPr="00064A26">
        <w:t>Apr. 9</w:t>
      </w:r>
      <w:r>
        <w:t xml:space="preserve">, 2019 </w:t>
      </w:r>
      <w:r w:rsidRPr="00F62D59">
        <w:rPr>
          <w:i/>
        </w:rPr>
        <w:t>Ex Parte</w:t>
      </w:r>
      <w:r>
        <w:t xml:space="preserve"> at 3 n</w:t>
      </w:r>
      <w:r w:rsidRPr="007C77AD">
        <w:t xml:space="preserve">.6.  </w:t>
      </w:r>
    </w:p>
  </w:footnote>
  <w:footnote w:id="78">
    <w:p w:rsidR="00844D1E" w:rsidP="00EB312D">
      <w:pPr>
        <w:pStyle w:val="FootnoteText"/>
      </w:pPr>
      <w:r>
        <w:rPr>
          <w:rStyle w:val="FootnoteReference"/>
        </w:rPr>
        <w:footnoteRef/>
      </w:r>
      <w:r>
        <w:t xml:space="preserve"> </w:t>
      </w:r>
      <w:r w:rsidRPr="00AB0CF3">
        <w:rPr>
          <w:i/>
        </w:rPr>
        <w:t>See, e.g</w:t>
      </w:r>
      <w:r w:rsidRPr="00164C38">
        <w:t>., Joint CLEC Comments at 19</w:t>
      </w:r>
      <w:r>
        <w:t>-20; Native American Telecom Companies (NATC) Reply at 2 (</w:t>
      </w:r>
      <w:r w:rsidRPr="000F2933">
        <w:t>touting the economic benefits that rural Tribal communities enjoy as a result</w:t>
      </w:r>
      <w:r>
        <w:t xml:space="preserve"> of broadband buildout subsidized by access stimulation revenue); Letter from G. David Carter, Counsel to Joint CLECs, to Marlene Dortch, Secretary, FCC, WC Docket No. 18-155, at 4 (filed June 19, 2019) (Joint CLEC June 19, 2019 </w:t>
      </w:r>
      <w:r>
        <w:rPr>
          <w:i/>
        </w:rPr>
        <w:t>Ex Parte</w:t>
      </w:r>
      <w:r>
        <w:t xml:space="preserve">); </w:t>
      </w:r>
      <w:r>
        <w:rPr>
          <w:i/>
        </w:rPr>
        <w:t>see also</w:t>
      </w:r>
      <w:r>
        <w:t xml:space="preserve"> Email from Joe </w:t>
      </w:r>
      <w:r>
        <w:t>RedCloud</w:t>
      </w:r>
      <w:r>
        <w:t xml:space="preserve">, </w:t>
      </w:r>
      <w:r>
        <w:t>Oceti</w:t>
      </w:r>
      <w:r>
        <w:t xml:space="preserve"> Sakowin Tribal Utility Authority Exec. Dir., to FCC Chairman and Commissioners, WC Docket No. 18-155 (filed Sept. 16, 2019).</w:t>
      </w:r>
    </w:p>
  </w:footnote>
  <w:footnote w:id="79">
    <w:p w:rsidR="00844D1E" w:rsidP="00EB312D">
      <w:pPr>
        <w:pStyle w:val="FootnoteText"/>
      </w:pPr>
      <w:r>
        <w:rPr>
          <w:rStyle w:val="FootnoteReference"/>
        </w:rPr>
        <w:footnoteRef/>
      </w:r>
      <w:r>
        <w:t xml:space="preserve"> </w:t>
      </w:r>
      <w:r w:rsidRPr="004C6DEB">
        <w:rPr>
          <w:i/>
        </w:rPr>
        <w:t>USF/ICC Transformation Order</w:t>
      </w:r>
      <w:r w:rsidRPr="004C6DEB">
        <w:t xml:space="preserve">, 26 FCC </w:t>
      </w:r>
      <w:r w:rsidRPr="004C6DEB">
        <w:t>Rcd</w:t>
      </w:r>
      <w:r w:rsidRPr="004C6DEB">
        <w:t xml:space="preserve"> at </w:t>
      </w:r>
      <w:r>
        <w:t xml:space="preserve">17909, para. </w:t>
      </w:r>
      <w:r w:rsidRPr="002F4CC6">
        <w:t>747 (noting the “direction from Congress in the 1996 Act that the Commission should make support explicit rather than implicit”)</w:t>
      </w:r>
      <w:r>
        <w:t>.</w:t>
      </w:r>
    </w:p>
  </w:footnote>
  <w:footnote w:id="80">
    <w:p w:rsidR="00844D1E" w:rsidP="00EB312D">
      <w:pPr>
        <w:pStyle w:val="FootnoteText"/>
      </w:pPr>
      <w:r>
        <w:rPr>
          <w:rStyle w:val="FootnoteReference"/>
        </w:rPr>
        <w:footnoteRef/>
      </w:r>
      <w:r>
        <w:t xml:space="preserve"> </w:t>
      </w:r>
      <w:r w:rsidRPr="0023282A">
        <w:rPr>
          <w:i/>
        </w:rPr>
        <w:t>Id</w:t>
      </w:r>
      <w:r>
        <w:t>.</w:t>
      </w:r>
      <w:r w:rsidRPr="00A67F16">
        <w:t xml:space="preserve"> at 17876, para. 666 (footnote omitted).  </w:t>
      </w:r>
    </w:p>
  </w:footnote>
  <w:footnote w:id="81">
    <w:p w:rsidR="00844D1E" w:rsidRPr="0038709C" w:rsidP="00EB312D">
      <w:pPr>
        <w:pStyle w:val="FootnoteText"/>
      </w:pPr>
      <w:r w:rsidRPr="0038709C">
        <w:rPr>
          <w:rStyle w:val="FootnoteReference"/>
        </w:rPr>
        <w:footnoteRef/>
      </w:r>
      <w:r w:rsidRPr="0038709C">
        <w:t xml:space="preserve"> Sprint Reply at 7 (citing section 254(b)(5) of the Act).</w:t>
      </w:r>
    </w:p>
  </w:footnote>
  <w:footnote w:id="82">
    <w:p w:rsidR="00844D1E" w:rsidP="00EB312D">
      <w:pPr>
        <w:pStyle w:val="FootnoteText"/>
      </w:pPr>
      <w:r>
        <w:rPr>
          <w:rStyle w:val="FootnoteReference"/>
        </w:rPr>
        <w:footnoteRef/>
      </w:r>
      <w:r>
        <w:t xml:space="preserve"> </w:t>
      </w:r>
      <w:r w:rsidRPr="009B3F92">
        <w:t xml:space="preserve">Letter from G. David Carter, </w:t>
      </w:r>
      <w:r>
        <w:t>Counsel to Joint CLECs</w:t>
      </w:r>
      <w:r w:rsidRPr="009B3F92">
        <w:t>, to Marlene Dortch, Secretary, FCC, WC Docket No. 18-155, Attach. (filed Aug. 24, 2018) (</w:t>
      </w:r>
      <w:r w:rsidRPr="009B3F92">
        <w:t>Ing</w:t>
      </w:r>
      <w:r>
        <w:t>b</w:t>
      </w:r>
      <w:r w:rsidRPr="009B3F92">
        <w:t>erman</w:t>
      </w:r>
      <w:r w:rsidRPr="009B3F92">
        <w:t xml:space="preserve"> Report).</w:t>
      </w:r>
    </w:p>
  </w:footnote>
  <w:footnote w:id="83">
    <w:p w:rsidR="00844D1E" w:rsidP="00EB312D">
      <w:pPr>
        <w:pStyle w:val="FootnoteText"/>
      </w:pPr>
      <w:r>
        <w:rPr>
          <w:rStyle w:val="FootnoteReference"/>
        </w:rPr>
        <w:footnoteRef/>
      </w:r>
      <w:r>
        <w:t xml:space="preserve"> Consumer surplus equals the difference between the total value consumers collectively derive from the total quantity of a good or service they consume and the total they must pay for that quantity.  Thus, if the price decreases, consumer surplus increases because this difference would be greater (all else the same).  </w:t>
      </w:r>
      <w:r w:rsidRPr="00BA2101">
        <w:rPr>
          <w:i/>
        </w:rPr>
        <w:t>See</w:t>
      </w:r>
      <w:r>
        <w:t xml:space="preserve"> Walter Nicholson &amp; Christopher M. Snyder, Microeconomic Theor</w:t>
      </w:r>
      <w:r w:rsidRPr="00BA2101">
        <w:t>y:  B</w:t>
      </w:r>
      <w:r>
        <w:t>asic Principles and Extension</w:t>
      </w:r>
      <w:r w:rsidRPr="00BA2101">
        <w:t xml:space="preserve">s </w:t>
      </w:r>
      <w:r>
        <w:t>355</w:t>
      </w:r>
      <w:r w:rsidRPr="00BA2101">
        <w:t>-57</w:t>
      </w:r>
      <w:r>
        <w:t>, 679 (2</w:t>
      </w:r>
      <w:r w:rsidRPr="00BA2101">
        <w:t>d</w:t>
      </w:r>
      <w:r>
        <w:t xml:space="preserve"> ed. 1978).</w:t>
      </w:r>
    </w:p>
  </w:footnote>
  <w:footnote w:id="84">
    <w:p w:rsidR="00844D1E" w:rsidRPr="009B3F92" w:rsidP="00EB312D">
      <w:pPr>
        <w:pStyle w:val="FootnoteText"/>
      </w:pPr>
      <w:r>
        <w:rPr>
          <w:rStyle w:val="FootnoteReference"/>
        </w:rPr>
        <w:footnoteRef/>
      </w:r>
      <w:r>
        <w:t xml:space="preserve"> </w:t>
      </w:r>
      <w:r>
        <w:rPr>
          <w:i/>
        </w:rPr>
        <w:t>See</w:t>
      </w:r>
      <w:r>
        <w:t xml:space="preserve"> </w:t>
      </w:r>
      <w:r>
        <w:t>Ingberman</w:t>
      </w:r>
      <w:r>
        <w:t xml:space="preserve"> Report at 17.</w:t>
      </w:r>
    </w:p>
  </w:footnote>
  <w:footnote w:id="85">
    <w:p w:rsidR="00844D1E" w:rsidP="00EB312D">
      <w:pPr>
        <w:pStyle w:val="FootnoteText"/>
      </w:pPr>
      <w:r>
        <w:rPr>
          <w:rStyle w:val="FootnoteReference"/>
        </w:rPr>
        <w:footnoteRef/>
      </w:r>
      <w:r>
        <w:t xml:space="preserve"> </w:t>
      </w:r>
      <w:r>
        <w:rPr>
          <w:snapToGrid w:val="0"/>
        </w:rPr>
        <w:t xml:space="preserve">It therefore does not matter whether a competitive LEC receives USF support.  </w:t>
      </w:r>
      <w:r>
        <w:t>Letter from G. David Carter Counsel to Joint CLECs, to Marlene Dortch, Secretary, FCC, WC Docket No. 18-155, at 7 (filed Sept. 19, 2019) (</w:t>
      </w:r>
      <w:r>
        <w:rPr>
          <w:snapToGrid w:val="0"/>
        </w:rPr>
        <w:t xml:space="preserve">Joint CLEC Sept. 19, 2019 </w:t>
      </w:r>
      <w:r>
        <w:rPr>
          <w:i/>
          <w:snapToGrid w:val="0"/>
        </w:rPr>
        <w:t>Ex</w:t>
      </w:r>
      <w:r>
        <w:rPr>
          <w:snapToGrid w:val="0"/>
        </w:rPr>
        <w:t xml:space="preserve"> </w:t>
      </w:r>
      <w:r w:rsidRPr="00A351C0">
        <w:rPr>
          <w:i/>
          <w:snapToGrid w:val="0"/>
        </w:rPr>
        <w:t>Parte</w:t>
      </w:r>
      <w:r>
        <w:rPr>
          <w:snapToGrid w:val="0"/>
        </w:rPr>
        <w:t>).</w:t>
      </w:r>
    </w:p>
  </w:footnote>
  <w:footnote w:id="86">
    <w:p w:rsidR="00844D1E" w:rsidP="00EB312D">
      <w:pPr>
        <w:pStyle w:val="FootnoteText"/>
      </w:pPr>
      <w:r>
        <w:rPr>
          <w:rStyle w:val="FootnoteReference"/>
        </w:rPr>
        <w:footnoteRef/>
      </w:r>
      <w:r>
        <w:t xml:space="preserve"> One exception to this is if the LEC were rate-of-return regulated.  In this case, increased profits could result in the LEC lowering its retail price to maintain its overall rate of return.</w:t>
      </w:r>
    </w:p>
  </w:footnote>
  <w:footnote w:id="87">
    <w:p w:rsidR="00844D1E" w:rsidRPr="005B18FC" w:rsidP="00EB312D">
      <w:pPr>
        <w:pStyle w:val="FootnoteText"/>
      </w:pPr>
      <w:r>
        <w:rPr>
          <w:rStyle w:val="FootnoteReference"/>
        </w:rPr>
        <w:footnoteRef/>
      </w:r>
      <w:r>
        <w:t xml:space="preserve"> </w:t>
      </w:r>
      <w:r>
        <w:rPr>
          <w:i/>
        </w:rPr>
        <w:t>See</w:t>
      </w:r>
      <w:r w:rsidRPr="00D57292">
        <w:rPr>
          <w:i/>
        </w:rPr>
        <w:t>,</w:t>
      </w:r>
      <w:r>
        <w:t xml:space="preserve"> </w:t>
      </w:r>
      <w:r>
        <w:rPr>
          <w:i/>
        </w:rPr>
        <w:t>e.g.</w:t>
      </w:r>
      <w:r>
        <w:t>, Joint CLEC Comments at 15-17 (describing the critical component of the supposedly “free” nature of the pertinent services that stimulate terminating switched access traffic to such services’ continued existence).</w:t>
      </w:r>
    </w:p>
  </w:footnote>
  <w:footnote w:id="88">
    <w:p w:rsidR="00844D1E" w:rsidP="00EB312D">
      <w:pPr>
        <w:pStyle w:val="FootnoteText"/>
      </w:pPr>
      <w:r>
        <w:rPr>
          <w:rStyle w:val="FootnoteReference"/>
        </w:rPr>
        <w:footnoteRef/>
      </w:r>
      <w:r>
        <w:t xml:space="preserve"> Revenue sharing by the Joint CLECs is sustainable only if the income earned on access charges exceeds their total costs, which, in turn, cannot be less than, and in telecommunications generally vastly exceed, marginal costs.</w:t>
      </w:r>
    </w:p>
  </w:footnote>
  <w:footnote w:id="89">
    <w:p w:rsidR="00844D1E" w:rsidP="00EB312D">
      <w:pPr>
        <w:pStyle w:val="FootnoteText"/>
      </w:pPr>
      <w:r>
        <w:rPr>
          <w:rStyle w:val="FootnoteReference"/>
        </w:rPr>
        <w:footnoteRef/>
      </w:r>
      <w:r>
        <w:t xml:space="preserve"> </w:t>
      </w:r>
      <w:r w:rsidRPr="00A67F16">
        <w:rPr>
          <w:i/>
        </w:rPr>
        <w:t xml:space="preserve">See </w:t>
      </w:r>
      <w:r>
        <w:t xml:space="preserve">Joint CLEC Reply at 3-5; </w:t>
      </w:r>
      <w:r>
        <w:t>Teliax</w:t>
      </w:r>
      <w:r>
        <w:t xml:space="preserve"> Comments at 17.  </w:t>
      </w:r>
    </w:p>
  </w:footnote>
  <w:footnote w:id="90">
    <w:p w:rsidR="00844D1E" w:rsidP="00EB312D">
      <w:pPr>
        <w:pStyle w:val="FootnoteText"/>
      </w:pPr>
      <w:r>
        <w:rPr>
          <w:rStyle w:val="FootnoteReference"/>
        </w:rPr>
        <w:footnoteRef/>
      </w:r>
      <w:r>
        <w:t xml:space="preserve"> </w:t>
      </w:r>
      <w:r>
        <w:rPr>
          <w:snapToGrid w:val="0"/>
        </w:rPr>
        <w:t>A decline in marginal cost lowers the profit-maximizing price e</w:t>
      </w:r>
      <w:r>
        <w:t xml:space="preserve">ven if the IXC market is monopolized, or less than effectively competitive.  Our action, which will reduce access stimulation, amounts to a decline in marginal cost because, since every customer has the potential to use access-stimulating services, such customers become, in expectation, less expensive to serve.  Thus, our actions will lower IXCs’ profit maximizing prices.  </w:t>
      </w:r>
      <w:r>
        <w:rPr>
          <w:snapToGrid w:val="0"/>
        </w:rPr>
        <w:t xml:space="preserve">Moreover, when entry is relatively unimpeded, as the Commission has found to be the case in long-distance supply, even a decline in fixed costs can be passed through to end users (for example, this is a standard result of monopolistic competition).  </w:t>
      </w:r>
      <w:r>
        <w:rPr>
          <w:i/>
          <w:snapToGrid w:val="0"/>
        </w:rPr>
        <w:t>S</w:t>
      </w:r>
      <w:r w:rsidRPr="00FC4C3F">
        <w:rPr>
          <w:i/>
          <w:snapToGrid w:val="0"/>
        </w:rPr>
        <w:t>ee</w:t>
      </w:r>
      <w:r>
        <w:rPr>
          <w:snapToGrid w:val="0"/>
        </w:rPr>
        <w:t xml:space="preserve"> </w:t>
      </w:r>
      <w:r>
        <w:t>Luis Cabral, Introduction to Industrial Organization, 2000, MIT Press, pp. 92-93;</w:t>
      </w:r>
      <w:r>
        <w:rPr>
          <w:snapToGrid w:val="0"/>
        </w:rPr>
        <w:t xml:space="preserve"> Joint CLEC Sept. 19, 2019 </w:t>
      </w:r>
      <w:r>
        <w:rPr>
          <w:i/>
          <w:snapToGrid w:val="0"/>
        </w:rPr>
        <w:t xml:space="preserve">Ex Parte </w:t>
      </w:r>
      <w:r>
        <w:rPr>
          <w:snapToGrid w:val="0"/>
        </w:rPr>
        <w:t>at 5.</w:t>
      </w:r>
    </w:p>
  </w:footnote>
  <w:footnote w:id="91">
    <w:p w:rsidR="00844D1E" w:rsidP="00EB312D">
      <w:pPr>
        <w:pStyle w:val="FootnoteText"/>
      </w:pPr>
      <w:r>
        <w:rPr>
          <w:rStyle w:val="FootnoteReference"/>
        </w:rPr>
        <w:footnoteRef/>
      </w:r>
      <w:r>
        <w:t xml:space="preserve"> The Joint CLEC Comments include an expert report by Oliver </w:t>
      </w:r>
      <w:r>
        <w:t>Grawe</w:t>
      </w:r>
      <w:r>
        <w:t xml:space="preserve">, </w:t>
      </w:r>
      <w:r w:rsidRPr="007C77AD">
        <w:t>Ph.D., dated</w:t>
      </w:r>
      <w:r>
        <w:t xml:space="preserve"> July 20, 2018 (</w:t>
      </w:r>
      <w:r>
        <w:t>Grawe</w:t>
      </w:r>
      <w:r>
        <w:t xml:space="preserve"> Report).  The </w:t>
      </w:r>
      <w:r>
        <w:t>Grawe</w:t>
      </w:r>
      <w:r>
        <w:t xml:space="preserve"> Report argues there is no evidence that addressing access stimulation benefits consumers in the form of, for example, lower prices or increased broadband investment.  As explained above, common sense and economic logic strongly suggests there will be such benefits to consumers.  We also find that eliminating the implicit subsidies inherent in inefficiently high access charges that permit arbitrage provides an additional and independent justification for the rules we adopt today.  </w:t>
      </w:r>
    </w:p>
  </w:footnote>
  <w:footnote w:id="92">
    <w:p w:rsidR="00844D1E" w:rsidP="00EB312D">
      <w:pPr>
        <w:pStyle w:val="FootnoteText"/>
      </w:pPr>
      <w:r>
        <w:rPr>
          <w:rStyle w:val="FootnoteReference"/>
        </w:rPr>
        <w:footnoteRef/>
      </w:r>
      <w:r>
        <w:t xml:space="preserve"> </w:t>
      </w:r>
      <w:r>
        <w:t>Aureon</w:t>
      </w:r>
      <w:r>
        <w:t xml:space="preserve"> Comments at 5-6; HD Tandem Reply at 3. </w:t>
      </w:r>
    </w:p>
  </w:footnote>
  <w:footnote w:id="93">
    <w:p w:rsidR="00844D1E" w:rsidP="00EB312D">
      <w:pPr>
        <w:pStyle w:val="FootnoteText"/>
      </w:pPr>
      <w:r>
        <w:rPr>
          <w:rStyle w:val="FootnoteReference"/>
        </w:rPr>
        <w:footnoteRef/>
      </w:r>
      <w:r>
        <w:t xml:space="preserve"> </w:t>
      </w:r>
      <w:r>
        <w:t>Aureon</w:t>
      </w:r>
      <w:r>
        <w:t xml:space="preserve"> May 23, 2019</w:t>
      </w:r>
      <w:r w:rsidRPr="00204B2D">
        <w:rPr>
          <w:i/>
        </w:rPr>
        <w:t xml:space="preserve"> Ex Parte</w:t>
      </w:r>
      <w:r w:rsidRPr="00204B2D">
        <w:t xml:space="preserve"> at 5</w:t>
      </w:r>
      <w:r>
        <w:t>.</w:t>
      </w:r>
    </w:p>
  </w:footnote>
  <w:footnote w:id="94">
    <w:p w:rsidR="00844D1E" w:rsidRPr="0062690A" w:rsidP="00EB312D">
      <w:pPr>
        <w:pStyle w:val="FootnoteText"/>
      </w:pPr>
      <w:r>
        <w:rPr>
          <w:rStyle w:val="FootnoteReference"/>
        </w:rPr>
        <w:footnoteRef/>
      </w:r>
      <w:r>
        <w:t xml:space="preserve"> </w:t>
      </w:r>
      <w:r w:rsidRPr="008E5BA4">
        <w:t xml:space="preserve">Joint CLEC Comments at </w:t>
      </w:r>
      <w:r>
        <w:t>16</w:t>
      </w:r>
      <w:r w:rsidRPr="008E5BA4">
        <w:t xml:space="preserve">; </w:t>
      </w:r>
      <w:r>
        <w:t>Joint CLEC</w:t>
      </w:r>
      <w:r w:rsidRPr="008E5BA4">
        <w:t xml:space="preserve"> May 13, 2019 </w:t>
      </w:r>
      <w:r w:rsidRPr="008E5BA4">
        <w:rPr>
          <w:i/>
        </w:rPr>
        <w:t xml:space="preserve">Ex Parte </w:t>
      </w:r>
      <w:r w:rsidRPr="008E5BA4">
        <w:t xml:space="preserve">at 6; </w:t>
      </w:r>
      <w:r w:rsidRPr="007F4D08">
        <w:rPr>
          <w:i/>
        </w:rPr>
        <w:t>see also</w:t>
      </w:r>
      <w:r>
        <w:t xml:space="preserve"> HD Tandem Aug. 12, 2019 </w:t>
      </w:r>
      <w:r>
        <w:rPr>
          <w:i/>
        </w:rPr>
        <w:t>Ex Parte</w:t>
      </w:r>
      <w:r>
        <w:t xml:space="preserve"> at 3. </w:t>
      </w:r>
    </w:p>
  </w:footnote>
  <w:footnote w:id="95">
    <w:p w:rsidR="00844D1E" w:rsidRPr="0062690A" w:rsidP="00EB312D">
      <w:pPr>
        <w:pStyle w:val="FootnoteText"/>
      </w:pPr>
      <w:r>
        <w:rPr>
          <w:rStyle w:val="FootnoteReference"/>
        </w:rPr>
        <w:footnoteRef/>
      </w:r>
      <w:r>
        <w:t xml:space="preserve"> AT&amp;T Apr. 9, 2019 </w:t>
      </w:r>
      <w:r>
        <w:rPr>
          <w:i/>
        </w:rPr>
        <w:t xml:space="preserve">Ex </w:t>
      </w:r>
      <w:r w:rsidRPr="00064A26">
        <w:rPr>
          <w:i/>
        </w:rPr>
        <w:t xml:space="preserve">Parte </w:t>
      </w:r>
      <w:r w:rsidRPr="00064A26">
        <w:t xml:space="preserve">at </w:t>
      </w:r>
      <w:r w:rsidRPr="00484920">
        <w:t>6 n</w:t>
      </w:r>
      <w:r w:rsidRPr="00064A26">
        <w:t>.16</w:t>
      </w:r>
      <w:r>
        <w:t>.</w:t>
      </w:r>
    </w:p>
  </w:footnote>
  <w:footnote w:id="96">
    <w:p w:rsidR="00844D1E" w:rsidRPr="00791268" w:rsidP="00EB312D">
      <w:pPr>
        <w:pStyle w:val="FootnoteText"/>
      </w:pPr>
      <w:r>
        <w:rPr>
          <w:rStyle w:val="FootnoteReference"/>
        </w:rPr>
        <w:footnoteRef/>
      </w:r>
      <w:r>
        <w:t xml:space="preserve"> </w:t>
      </w:r>
      <w:r w:rsidRPr="0023282A">
        <w:rPr>
          <w:i/>
        </w:rPr>
        <w:t>Id</w:t>
      </w:r>
      <w:r>
        <w:t xml:space="preserve">. at 14; </w:t>
      </w:r>
      <w:r w:rsidRPr="004C0C21">
        <w:t xml:space="preserve">AT&amp;T June 12, 2019 </w:t>
      </w:r>
      <w:r w:rsidRPr="00C55E88">
        <w:rPr>
          <w:i/>
        </w:rPr>
        <w:t>Ex Parte</w:t>
      </w:r>
      <w:r w:rsidRPr="004C0C21">
        <w:t xml:space="preserve"> </w:t>
      </w:r>
      <w:r>
        <w:t xml:space="preserve">at 3-4; </w:t>
      </w:r>
      <w:r w:rsidRPr="000B6E32">
        <w:rPr>
          <w:i/>
        </w:rPr>
        <w:t>see also</w:t>
      </w:r>
      <w:r>
        <w:t xml:space="preserve"> </w:t>
      </w:r>
      <w:r>
        <w:t>Inteliquent</w:t>
      </w:r>
      <w:r>
        <w:t xml:space="preserve"> Comments at 5-6.</w:t>
      </w:r>
    </w:p>
  </w:footnote>
  <w:footnote w:id="97">
    <w:p w:rsidR="00844D1E" w:rsidRPr="00DA6BD9" w:rsidP="00EB312D">
      <w:pPr>
        <w:pStyle w:val="FootnoteText"/>
      </w:pPr>
      <w:r>
        <w:rPr>
          <w:rStyle w:val="FootnoteReference"/>
        </w:rPr>
        <w:footnoteRef/>
      </w:r>
      <w:r>
        <w:t xml:space="preserve"> </w:t>
      </w:r>
      <w:r w:rsidRPr="00993D56">
        <w:t>AT</w:t>
      </w:r>
      <w:r w:rsidRPr="00DC43DD">
        <w:t>&amp;</w:t>
      </w:r>
      <w:r w:rsidRPr="00A575AB">
        <w:t xml:space="preserve">T </w:t>
      </w:r>
      <w:r>
        <w:t>June 12, 2019</w:t>
      </w:r>
      <w:r w:rsidRPr="00A575AB">
        <w:t xml:space="preserve"> </w:t>
      </w:r>
      <w:r w:rsidRPr="00A575AB">
        <w:rPr>
          <w:i/>
        </w:rPr>
        <w:t>Ex Parte</w:t>
      </w:r>
      <w:r>
        <w:t xml:space="preserve"> at 4; </w:t>
      </w:r>
      <w:r w:rsidRPr="00804E48">
        <w:rPr>
          <w:i/>
          <w:iCs/>
        </w:rPr>
        <w:t>see also</w:t>
      </w:r>
      <w:r w:rsidRPr="00804E48">
        <w:t xml:space="preserve"> WTA Reply at 5 (suggesting the Commission freeze all </w:t>
      </w:r>
      <w:r>
        <w:t>points</w:t>
      </w:r>
      <w:r w:rsidRPr="00804E48">
        <w:t xml:space="preserve"> of </w:t>
      </w:r>
      <w:r>
        <w:t xml:space="preserve">interconnection </w:t>
      </w:r>
      <w:r w:rsidRPr="00804E48">
        <w:t xml:space="preserve">as of Dec. </w:t>
      </w:r>
      <w:r>
        <w:t>3</w:t>
      </w:r>
      <w:r w:rsidRPr="00804E48">
        <w:t xml:space="preserve">1, 2017). </w:t>
      </w:r>
    </w:p>
  </w:footnote>
  <w:footnote w:id="98">
    <w:p w:rsidR="00844D1E" w:rsidP="00EB312D">
      <w:pPr>
        <w:pStyle w:val="FootnoteText"/>
      </w:pPr>
      <w:r>
        <w:rPr>
          <w:rStyle w:val="FootnoteReference"/>
        </w:rPr>
        <w:footnoteRef/>
      </w:r>
      <w:r>
        <w:t xml:space="preserve"> </w:t>
      </w:r>
      <w:r w:rsidRPr="002C49C0">
        <w:rPr>
          <w:i/>
        </w:rPr>
        <w:t>See, e.g.</w:t>
      </w:r>
      <w:r>
        <w:t xml:space="preserve">, </w:t>
      </w:r>
      <w:r>
        <w:t>Aureon</w:t>
      </w:r>
      <w:r>
        <w:t xml:space="preserve"> Reply at 18, 21; Peerless and ANI Reply at 10, 20; ANI Comments at 5-6; O1 Comments at 4,7; SDN Comments at </w:t>
      </w:r>
      <w:r w:rsidRPr="00E067D6">
        <w:t>3;</w:t>
      </w:r>
      <w:r>
        <w:t xml:space="preserve"> West Reply at 12-14 (requesting the Commission identify “the blocking of calls not routed through a preferred intermediate carrier” as unacceptable practice</w:t>
      </w:r>
      <w:r w:rsidRPr="007545A7">
        <w:t xml:space="preserve">); </w:t>
      </w:r>
      <w:r w:rsidRPr="007545A7">
        <w:t>I</w:t>
      </w:r>
      <w:r>
        <w:t>nteliquent</w:t>
      </w:r>
      <w:r>
        <w:t xml:space="preserve"> Comments at 3 (citing Reply Comments of </w:t>
      </w:r>
      <w:r>
        <w:t>Inteliquent</w:t>
      </w:r>
      <w:r>
        <w:t>, Inc., WC Docket No. 13-39 (rec. June 19, 2018) (</w:t>
      </w:r>
      <w:r w:rsidRPr="00703968">
        <w:rPr>
          <w:i/>
        </w:rPr>
        <w:t>Rural Call Completion</w:t>
      </w:r>
      <w:r>
        <w:t xml:space="preserve"> docket)); SDN Reply at 7; </w:t>
      </w:r>
      <w:r>
        <w:t>Aureon</w:t>
      </w:r>
      <w:r>
        <w:t xml:space="preserve"> Reply at 18 (“</w:t>
      </w:r>
      <w:r>
        <w:t>Aureon</w:t>
      </w:r>
      <w:r>
        <w:t xml:space="preserve"> has experienced this very sort of arbitrage, whereby calls routed by </w:t>
      </w:r>
      <w:r>
        <w:t>Aureon</w:t>
      </w:r>
      <w:r>
        <w:t xml:space="preserve"> to a LEC are blocked, but when calls are routed to the LEC through HD Tandem, those calls miraculously complete.”); Letter from Keith </w:t>
      </w:r>
      <w:r w:rsidRPr="00B70293">
        <w:t>C. Buell, Senior Counsel, Sprint</w:t>
      </w:r>
      <w:r>
        <w:t>, to</w:t>
      </w:r>
      <w:r w:rsidRPr="00B70293">
        <w:t xml:space="preserve"> Marlene Dortch, Secretary, </w:t>
      </w:r>
      <w:r>
        <w:t>FCC, WC Docket No. 18-155,</w:t>
      </w:r>
      <w:r w:rsidRPr="00B70293">
        <w:t xml:space="preserve"> </w:t>
      </w:r>
      <w:r>
        <w:t xml:space="preserve">at 2 </w:t>
      </w:r>
      <w:r w:rsidRPr="00B70293">
        <w:t xml:space="preserve">(filed Sept. 16, 2019) (Sprint Sept. 16, 2019 </w:t>
      </w:r>
      <w:r w:rsidRPr="00B70293">
        <w:rPr>
          <w:i/>
          <w:iCs/>
        </w:rPr>
        <w:t>Ex Parte</w:t>
      </w:r>
      <w:r w:rsidRPr="00B70293">
        <w:rPr>
          <w:iCs/>
        </w:rPr>
        <w:t>)</w:t>
      </w:r>
      <w:r>
        <w:t xml:space="preserve">; Letter from Matthew S. DelNero and Thomas G. Parisi, Counsel to </w:t>
      </w:r>
      <w:r>
        <w:t>Inteliquent</w:t>
      </w:r>
      <w:r>
        <w:t>, to Marlene Dortch, Secretary, FCC, WC Docket No. 18-155, at 1-2 (filed Sept. 20, 2019).</w:t>
      </w:r>
    </w:p>
  </w:footnote>
  <w:footnote w:id="99">
    <w:p w:rsidR="00844D1E" w:rsidP="00EB312D">
      <w:pPr>
        <w:pStyle w:val="FootnoteText"/>
      </w:pPr>
      <w:r>
        <w:rPr>
          <w:rStyle w:val="FootnoteReference"/>
        </w:rPr>
        <w:footnoteRef/>
      </w:r>
      <w:r>
        <w:t xml:space="preserve"> </w:t>
      </w:r>
      <w:r w:rsidRPr="002C49C0">
        <w:rPr>
          <w:i/>
        </w:rPr>
        <w:t>See</w:t>
      </w:r>
      <w:r>
        <w:t xml:space="preserve"> </w:t>
      </w:r>
      <w:r>
        <w:t>Inteliquent</w:t>
      </w:r>
      <w:r>
        <w:t xml:space="preserve"> Apr. 18, 2019 </w:t>
      </w:r>
      <w:r w:rsidRPr="002C49C0">
        <w:rPr>
          <w:i/>
        </w:rPr>
        <w:t>Ex Parte</w:t>
      </w:r>
      <w:r>
        <w:t xml:space="preserve"> Attach. at 17; </w:t>
      </w:r>
      <w:r w:rsidRPr="002C49C0">
        <w:rPr>
          <w:i/>
        </w:rPr>
        <w:t>see also</w:t>
      </w:r>
      <w:r>
        <w:t xml:space="preserve"> CenturyLink Reply at 3; O1 Comments at 11; CenturyLink Apr. 30, 2019 </w:t>
      </w:r>
      <w:r w:rsidRPr="00C55E88">
        <w:rPr>
          <w:i/>
        </w:rPr>
        <w:t>Ex Parte</w:t>
      </w:r>
      <w:r>
        <w:t xml:space="preserve"> Attach. at 3 (referencing the use of “LERG data to identify a switch which could reasonably be assumed to serve as the destination switch”).</w:t>
      </w:r>
      <w:r w:rsidRPr="008C42CF">
        <w:t xml:space="preserve"> </w:t>
      </w:r>
      <w:r>
        <w:t xml:space="preserve"> </w:t>
      </w:r>
      <w:r w:rsidRPr="006E1030">
        <w:t>NCTA</w:t>
      </w:r>
      <w:r w:rsidRPr="00E43880">
        <w:t xml:space="preserve"> argues that </w:t>
      </w:r>
      <w:r>
        <w:t>the</w:t>
      </w:r>
      <w:r w:rsidRPr="00E43880">
        <w:t xml:space="preserve"> rule</w:t>
      </w:r>
      <w:r>
        <w:t xml:space="preserve"> we adopt</w:t>
      </w:r>
      <w:r w:rsidRPr="00E43880">
        <w:t xml:space="preserve"> “risks prejudging the network edge” for non-access</w:t>
      </w:r>
      <w:r>
        <w:t>-</w:t>
      </w:r>
      <w:r w:rsidRPr="00E43880">
        <w:t>stimulating LEC</w:t>
      </w:r>
      <w:r>
        <w:t xml:space="preserve">s.  </w:t>
      </w:r>
      <w:r w:rsidRPr="006E1030">
        <w:t>NC</w:t>
      </w:r>
      <w:r>
        <w:t>T</w:t>
      </w:r>
      <w:r w:rsidRPr="006E1030">
        <w:t>A</w:t>
      </w:r>
      <w:r w:rsidRPr="002C49C0">
        <w:t xml:space="preserve"> Comments at </w:t>
      </w:r>
      <w:r>
        <w:t>8</w:t>
      </w:r>
      <w:r w:rsidRPr="002C49C0">
        <w:t>-10</w:t>
      </w:r>
      <w:r>
        <w:t xml:space="preserve">; </w:t>
      </w:r>
      <w:r w:rsidRPr="00E43880">
        <w:rPr>
          <w:i/>
        </w:rPr>
        <w:t>see also</w:t>
      </w:r>
      <w:r>
        <w:t xml:space="preserve"> Letter from David Carter, Counsel for Competitive Local Exchange Carriers VTC, Inc. d/b/a/ Western Iowa Networks, Goldfield Access Network, Great Lakes Communication Corporation, Northern Valley Communications, LLC, </w:t>
      </w:r>
      <w:r>
        <w:t>OmniTel</w:t>
      </w:r>
      <w:r>
        <w:t xml:space="preserve"> Communications, and Louisa Communications, to </w:t>
      </w:r>
      <w:r w:rsidRPr="007C6913">
        <w:t>Marlene H. Dortch, Secretary, FCC,</w:t>
      </w:r>
      <w:r>
        <w:t xml:space="preserve"> WC Docket No. 18-155, at 2-3 (filed Jan. 30, 2019) (Joint CLEC Jan. 30, 2019 </w:t>
      </w:r>
      <w:r w:rsidRPr="00F46C6B">
        <w:rPr>
          <w:i/>
        </w:rPr>
        <w:t>Ex Parte</w:t>
      </w:r>
      <w:r>
        <w:t xml:space="preserve">); Joint CLEC Feb. 14, 2019 </w:t>
      </w:r>
      <w:r w:rsidRPr="00C55E88">
        <w:rPr>
          <w:i/>
        </w:rPr>
        <w:t>Ex Parte</w:t>
      </w:r>
      <w:r>
        <w:t xml:space="preserve"> Attach. at 39; Joint CLEC Sept. 19, 2019 </w:t>
      </w:r>
      <w:r w:rsidRPr="00F937A9">
        <w:rPr>
          <w:i/>
        </w:rPr>
        <w:t>Ex Parte</w:t>
      </w:r>
      <w:r>
        <w:t xml:space="preserve"> at 6.  The rules we adopt today do not apply to any non-access-stimulating LEC.  The Commission has sought comment on network edge issues in a separate proceeding and will address such issues </w:t>
      </w:r>
      <w:r>
        <w:t>at a later date</w:t>
      </w:r>
      <w:r>
        <w:t xml:space="preserve">.  </w:t>
      </w:r>
      <w:r>
        <w:rPr>
          <w:i/>
        </w:rPr>
        <w:t>See Parties Asked to Refresh the Record on Intercarrier Compensation Reform Related to the Network Edge, Tandem Switching and Transport, and Transit</w:t>
      </w:r>
      <w:r>
        <w:t xml:space="preserve">, WC Docket No. 10-90, CC Docket No. 01-92, Public Notice, 32 FCC </w:t>
      </w:r>
      <w:r>
        <w:t>Rcd</w:t>
      </w:r>
      <w:r>
        <w:t xml:space="preserve"> 6856 (WCB 2017) (</w:t>
      </w:r>
      <w:r w:rsidRPr="00437034">
        <w:rPr>
          <w:i/>
        </w:rPr>
        <w:t>Refresh-the-Record Public Notice</w:t>
      </w:r>
      <w:r>
        <w:t>).</w:t>
      </w:r>
    </w:p>
  </w:footnote>
  <w:footnote w:id="100">
    <w:p w:rsidR="00844D1E" w:rsidP="00EB312D">
      <w:pPr>
        <w:pStyle w:val="FootnoteText"/>
      </w:pPr>
      <w:r>
        <w:rPr>
          <w:rStyle w:val="FootnoteReference"/>
        </w:rPr>
        <w:footnoteRef/>
      </w:r>
      <w:r>
        <w:t xml:space="preserve"> Letter from Gene </w:t>
      </w:r>
      <w:r>
        <w:t>DeJordy</w:t>
      </w:r>
      <w:r>
        <w:t xml:space="preserve">, President, NATC, to Marlene Dortch, Secretary, FCC, WC Docket No. 18-155, at 2, 4 (filed May 3, 2019) (NATC May 3, 2019 </w:t>
      </w:r>
      <w:r>
        <w:rPr>
          <w:i/>
        </w:rPr>
        <w:t>Ex Parte</w:t>
      </w:r>
      <w:r>
        <w:t xml:space="preserve">); NATC Reply at 2 &amp; Attach. at 5; </w:t>
      </w:r>
      <w:r w:rsidRPr="003B5DD7">
        <w:rPr>
          <w:i/>
        </w:rPr>
        <w:t>see also</w:t>
      </w:r>
      <w:r>
        <w:t xml:space="preserve"> HD Tandem Sept. 16, 2019 </w:t>
      </w:r>
      <w:r w:rsidRPr="003B5DD7">
        <w:rPr>
          <w:i/>
        </w:rPr>
        <w:t>Ex Parte</w:t>
      </w:r>
      <w:r>
        <w:t xml:space="preserve"> at 4; Letter from Andrew Nickerson, CEO, Wide Voice, LLC, to Marlene Dortch, Secretary, FCC, WC Docket No. 18-155, at 1-2 (filed Sept. 16, 2019) (Wide Voice Sept. 16, 2019 </w:t>
      </w:r>
      <w:r w:rsidRPr="00AB51AE">
        <w:rPr>
          <w:i/>
        </w:rPr>
        <w:t xml:space="preserve">Ex Parte </w:t>
      </w:r>
      <w:r w:rsidRPr="00DC4C47">
        <w:t>Response</w:t>
      </w:r>
      <w:r>
        <w:t xml:space="preserve">); Letter from Carl </w:t>
      </w:r>
      <w:r>
        <w:t>Billek</w:t>
      </w:r>
      <w:r>
        <w:t>, IDT America, Corp., to Marlene Dortch, Secretary, FCC, WC Docket No. 18-155, at 1 (filed Sept. 18, 2019) (IDT Sept. 18, 2019</w:t>
      </w:r>
      <w:r>
        <w:rPr>
          <w:i/>
          <w:iCs/>
        </w:rPr>
        <w:t xml:space="preserve"> Ex Parte</w:t>
      </w:r>
      <w:r>
        <w:rPr>
          <w:iCs/>
        </w:rPr>
        <w:t>)</w:t>
      </w:r>
      <w:r>
        <w:t>.</w:t>
      </w:r>
    </w:p>
  </w:footnote>
  <w:footnote w:id="101">
    <w:p w:rsidR="00844D1E" w:rsidP="00EB312D">
      <w:pPr>
        <w:pStyle w:val="FootnoteText"/>
      </w:pPr>
      <w:r>
        <w:rPr>
          <w:rStyle w:val="FootnoteReference"/>
        </w:rPr>
        <w:footnoteRef/>
      </w:r>
      <w:r>
        <w:t xml:space="preserve"> Joint CLEC June 19, 2019 </w:t>
      </w:r>
      <w:r>
        <w:rPr>
          <w:i/>
        </w:rPr>
        <w:t>Ex Parte</w:t>
      </w:r>
      <w:r>
        <w:t xml:space="preserve"> at 1. </w:t>
      </w:r>
    </w:p>
  </w:footnote>
  <w:footnote w:id="102">
    <w:p w:rsidR="00844D1E" w:rsidP="00EB312D">
      <w:pPr>
        <w:pStyle w:val="FootnoteText"/>
      </w:pPr>
      <w:r>
        <w:rPr>
          <w:rStyle w:val="FootnoteReference"/>
        </w:rPr>
        <w:footnoteRef/>
      </w:r>
      <w:r>
        <w:t xml:space="preserve"> </w:t>
      </w:r>
      <w:r w:rsidRPr="0013364E">
        <w:rPr>
          <w:i/>
        </w:rPr>
        <w:t>See</w:t>
      </w:r>
      <w:r w:rsidRPr="0013364E">
        <w:t xml:space="preserve"> </w:t>
      </w:r>
      <w:r>
        <w:t>T-Mobile Comments at 22.</w:t>
      </w:r>
    </w:p>
  </w:footnote>
  <w:footnote w:id="103">
    <w:p w:rsidR="00844D1E" w:rsidRPr="00FD3A4A" w:rsidP="00EB312D">
      <w:pPr>
        <w:pStyle w:val="FootnoteText"/>
      </w:pPr>
      <w:r>
        <w:rPr>
          <w:rStyle w:val="FootnoteReference"/>
        </w:rPr>
        <w:footnoteRef/>
      </w:r>
      <w:r>
        <w:t xml:space="preserve"> In 2011, t</w:t>
      </w:r>
      <w:r>
        <w:rPr>
          <w:szCs w:val="22"/>
        </w:rPr>
        <w:t xml:space="preserve">he Commission determined bill-and-keep is the ultimate end state for intercarrier compensation.  Arguments counter to that established policy are misplaced.  </w:t>
      </w:r>
      <w:r w:rsidRPr="003E1D80">
        <w:rPr>
          <w:i/>
          <w:szCs w:val="22"/>
        </w:rPr>
        <w:t>See</w:t>
      </w:r>
      <w:r w:rsidRPr="006E1030">
        <w:rPr>
          <w:i/>
          <w:szCs w:val="22"/>
        </w:rPr>
        <w:t xml:space="preserve"> supra </w:t>
      </w:r>
      <w:r>
        <w:rPr>
          <w:szCs w:val="22"/>
        </w:rPr>
        <w:t>Section I.</w:t>
      </w:r>
    </w:p>
  </w:footnote>
  <w:footnote w:id="104">
    <w:p w:rsidR="00844D1E" w:rsidP="00EB312D">
      <w:pPr>
        <w:pStyle w:val="FootnoteText"/>
      </w:pPr>
      <w:r>
        <w:rPr>
          <w:rStyle w:val="FootnoteReference"/>
        </w:rPr>
        <w:footnoteRef/>
      </w:r>
      <w:r>
        <w:t xml:space="preserve"> </w:t>
      </w:r>
      <w:r w:rsidRPr="003B2529">
        <w:t xml:space="preserve">Wide Voice </w:t>
      </w:r>
      <w:r>
        <w:t xml:space="preserve">Jan. 15, 2019 </w:t>
      </w:r>
      <w:r w:rsidRPr="006956AF">
        <w:rPr>
          <w:i/>
        </w:rPr>
        <w:t>Ex Parte</w:t>
      </w:r>
      <w:r>
        <w:t xml:space="preserve"> at 5; Wide Voice </w:t>
      </w:r>
      <w:r w:rsidRPr="003B2529">
        <w:t xml:space="preserve">Sept. 16, 2019 </w:t>
      </w:r>
      <w:r w:rsidRPr="006956AF">
        <w:rPr>
          <w:i/>
        </w:rPr>
        <w:t>Ex Parte</w:t>
      </w:r>
      <w:r w:rsidRPr="003B2529">
        <w:t xml:space="preserve"> Response at </w:t>
      </w:r>
      <w:r>
        <w:t>5</w:t>
      </w:r>
      <w:r w:rsidRPr="003B2529">
        <w:t>.</w:t>
      </w:r>
    </w:p>
  </w:footnote>
  <w:footnote w:id="105">
    <w:p w:rsidR="00844D1E" w:rsidP="00EB312D">
      <w:pPr>
        <w:pStyle w:val="FootnoteText"/>
      </w:pPr>
      <w:r>
        <w:rPr>
          <w:rStyle w:val="FootnoteReference"/>
        </w:rPr>
        <w:footnoteRef/>
      </w:r>
      <w:r>
        <w:t xml:space="preserve"> Wide Voice Jan. 15, 2019 </w:t>
      </w:r>
      <w:r w:rsidRPr="006956AF">
        <w:rPr>
          <w:i/>
        </w:rPr>
        <w:t>Ex Parte</w:t>
      </w:r>
      <w:r>
        <w:t xml:space="preserve"> at 5.</w:t>
      </w:r>
    </w:p>
  </w:footnote>
  <w:footnote w:id="106">
    <w:p w:rsidR="00844D1E" w:rsidRPr="00D56210" w:rsidP="00EB312D">
      <w:pPr>
        <w:pStyle w:val="FootnoteText"/>
      </w:pPr>
      <w:r>
        <w:rPr>
          <w:rStyle w:val="FootnoteReference"/>
        </w:rPr>
        <w:footnoteRef/>
      </w:r>
      <w:r>
        <w:t xml:space="preserve"> Sprint Sept. 3, 2019 </w:t>
      </w:r>
      <w:r>
        <w:rPr>
          <w:i/>
        </w:rPr>
        <w:t>Ex Parte</w:t>
      </w:r>
      <w:r>
        <w:t xml:space="preserve"> at 2; AT&amp;T Sept. 18, 2019 </w:t>
      </w:r>
      <w:r>
        <w:rPr>
          <w:i/>
        </w:rPr>
        <w:t>Ex Parte</w:t>
      </w:r>
      <w:r>
        <w:t xml:space="preserve"> at 1; </w:t>
      </w:r>
      <w:r w:rsidRPr="006C7E1E">
        <w:t>USTelecom</w:t>
      </w:r>
      <w:r w:rsidRPr="006C7E1E">
        <w:t xml:space="preserve"> Sept. 18, 2019</w:t>
      </w:r>
      <w:r w:rsidRPr="006C7E1E">
        <w:rPr>
          <w:i/>
        </w:rPr>
        <w:t xml:space="preserve"> Ex Parte</w:t>
      </w:r>
      <w:r>
        <w:t xml:space="preserve"> at 1</w:t>
      </w:r>
      <w:r w:rsidRPr="006C7E1E">
        <w:t xml:space="preserve">; Verizon Reply at 1-3, Comcast Mar. 21, 2019 </w:t>
      </w:r>
      <w:r w:rsidRPr="006C7E1E">
        <w:rPr>
          <w:i/>
        </w:rPr>
        <w:t>Ex Parte</w:t>
      </w:r>
      <w:r w:rsidRPr="006C7E1E">
        <w:t xml:space="preserve"> at 1</w:t>
      </w:r>
      <w:r>
        <w:t xml:space="preserve">. </w:t>
      </w:r>
    </w:p>
  </w:footnote>
  <w:footnote w:id="107">
    <w:p w:rsidR="00844D1E" w:rsidP="00EB312D">
      <w:pPr>
        <w:pStyle w:val="FootnoteText"/>
      </w:pPr>
      <w:r>
        <w:rPr>
          <w:rStyle w:val="FootnoteReference"/>
        </w:rPr>
        <w:footnoteRef/>
      </w:r>
      <w:r>
        <w:t xml:space="preserve"> </w:t>
      </w:r>
      <w:r w:rsidRPr="00155308">
        <w:t>Wide Voice Jan. 1</w:t>
      </w:r>
      <w:r>
        <w:t>5</w:t>
      </w:r>
      <w:r w:rsidRPr="00155308">
        <w:t xml:space="preserve">, 2019 </w:t>
      </w:r>
      <w:r w:rsidRPr="006956AF">
        <w:rPr>
          <w:i/>
        </w:rPr>
        <w:t>Ex Parte</w:t>
      </w:r>
      <w:r w:rsidRPr="00155308">
        <w:t xml:space="preserve"> at 2 n.4.  </w:t>
      </w:r>
    </w:p>
  </w:footnote>
  <w:footnote w:id="108">
    <w:p w:rsidR="00844D1E" w:rsidRPr="004F13AB" w:rsidP="00EB312D">
      <w:pPr>
        <w:pStyle w:val="FootnoteText"/>
      </w:pPr>
      <w:r>
        <w:rPr>
          <w:rStyle w:val="FootnoteReference"/>
        </w:rPr>
        <w:footnoteRef/>
      </w:r>
      <w:r>
        <w:t xml:space="preserve"> </w:t>
      </w:r>
      <w:r>
        <w:t>Aureon</w:t>
      </w:r>
      <w:r>
        <w:t xml:space="preserve"> May 23, 2019 </w:t>
      </w:r>
      <w:r>
        <w:rPr>
          <w:i/>
        </w:rPr>
        <w:t xml:space="preserve">Ex Parte </w:t>
      </w:r>
      <w:r>
        <w:t xml:space="preserve">at 2 (describing its proposal and referring to T-Mobile’s policy of charging customers one cent per minute for calls to services deemed to be access-stimulation services).  </w:t>
      </w:r>
      <w:r w:rsidRPr="000F2933">
        <w:t>Aureon</w:t>
      </w:r>
      <w:r w:rsidRPr="000F2933">
        <w:t xml:space="preserve"> argues that such a requirement will send the appropriate pricing signals and decrease arbitrage traffic because the “potential user of the access stimulating service is the only party in the call path with full control over the decision to utilize an access stimulating service, such as placing a conference</w:t>
      </w:r>
      <w:r>
        <w:t xml:space="preserve"> ca</w:t>
      </w:r>
      <w:r w:rsidRPr="004F1DED">
        <w:t>ll.”</w:t>
      </w:r>
      <w:r>
        <w:t xml:space="preserve">  </w:t>
      </w:r>
      <w:r>
        <w:rPr>
          <w:i/>
        </w:rPr>
        <w:t>Id</w:t>
      </w:r>
      <w:r>
        <w:t>.</w:t>
      </w:r>
    </w:p>
  </w:footnote>
  <w:footnote w:id="109">
    <w:p w:rsidR="00844D1E" w:rsidRPr="004C6DEB" w:rsidP="00EB312D">
      <w:pPr>
        <w:pStyle w:val="FootnoteText"/>
      </w:pPr>
      <w:r w:rsidRPr="004C6DEB">
        <w:rPr>
          <w:rStyle w:val="FootnoteReference"/>
        </w:rPr>
        <w:footnoteRef/>
      </w:r>
      <w:r w:rsidRPr="004C6DEB">
        <w:t xml:space="preserve"> </w:t>
      </w:r>
      <w:bookmarkStart w:id="293" w:name="_Hlk13651502"/>
      <w:r>
        <w:rPr>
          <w:szCs w:val="22"/>
        </w:rPr>
        <w:t>Aureon</w:t>
      </w:r>
      <w:r w:rsidRPr="0047304D">
        <w:rPr>
          <w:szCs w:val="22"/>
        </w:rPr>
        <w:t xml:space="preserve"> argues that such a rule would “</w:t>
      </w:r>
      <w:r w:rsidRPr="0047304D">
        <w:rPr>
          <w:szCs w:val="22"/>
        </w:rPr>
        <w:t>strike</w:t>
      </w:r>
      <w:r>
        <w:rPr>
          <w:szCs w:val="22"/>
        </w:rPr>
        <w:t>[</w:t>
      </w:r>
      <w:r>
        <w:rPr>
          <w:szCs w:val="22"/>
        </w:rPr>
        <w:t>]</w:t>
      </w:r>
      <w:r w:rsidRPr="0047304D">
        <w:rPr>
          <w:szCs w:val="22"/>
        </w:rPr>
        <w:t xml:space="preserve"> at the heart of the problem,” while avoiding unwarranted costs</w:t>
      </w:r>
      <w:r>
        <w:rPr>
          <w:szCs w:val="22"/>
        </w:rPr>
        <w:t xml:space="preserve">.  </w:t>
      </w:r>
      <w:r w:rsidRPr="004C6DEB">
        <w:t>Aureon</w:t>
      </w:r>
      <w:r w:rsidRPr="004C6DEB">
        <w:t xml:space="preserve"> Comments at 8-9; </w:t>
      </w:r>
      <w:r w:rsidRPr="00EB31CE">
        <w:rPr>
          <w:i/>
        </w:rPr>
        <w:t>s</w:t>
      </w:r>
      <w:r w:rsidRPr="004C6DEB">
        <w:rPr>
          <w:i/>
        </w:rPr>
        <w:t>ee also</w:t>
      </w:r>
      <w:r w:rsidRPr="004C6DEB">
        <w:t xml:space="preserve"> SDN Comments at 3 (supporting </w:t>
      </w:r>
      <w:r w:rsidRPr="004C6DEB">
        <w:t>Aureon’s</w:t>
      </w:r>
      <w:r w:rsidRPr="004C6DEB">
        <w:t xml:space="preserve"> proposal but not seeking a rule change)</w:t>
      </w:r>
      <w:r>
        <w:t>; SDN Reply at 8;</w:t>
      </w:r>
      <w:r w:rsidRPr="006D6E55">
        <w:t xml:space="preserve"> </w:t>
      </w:r>
      <w:r>
        <w:t xml:space="preserve">HD Tandem Sept. 16, 2019 </w:t>
      </w:r>
      <w:r>
        <w:rPr>
          <w:i/>
          <w:iCs/>
        </w:rPr>
        <w:t>Ex Parte</w:t>
      </w:r>
      <w:r>
        <w:rPr>
          <w:iCs/>
        </w:rPr>
        <w:t xml:space="preserve"> at</w:t>
      </w:r>
      <w:r>
        <w:t xml:space="preserve"> 1-2</w:t>
      </w:r>
      <w:r w:rsidRPr="004C6DEB">
        <w:t>.</w:t>
      </w:r>
      <w:bookmarkEnd w:id="293"/>
    </w:p>
  </w:footnote>
  <w:footnote w:id="110">
    <w:p w:rsidR="00844D1E" w:rsidRPr="004C6DEB" w:rsidP="00EB312D">
      <w:pPr>
        <w:pStyle w:val="FootnoteText"/>
      </w:pPr>
      <w:r w:rsidRPr="004C6DEB">
        <w:rPr>
          <w:rStyle w:val="FootnoteReference"/>
        </w:rPr>
        <w:footnoteRef/>
      </w:r>
      <w:r w:rsidRPr="004C6DEB">
        <w:t xml:space="preserve"> </w:t>
      </w:r>
      <w:bookmarkStart w:id="294" w:name="_Hlk13651555"/>
      <w:r w:rsidRPr="004C6DEB">
        <w:rPr>
          <w:i/>
        </w:rPr>
        <w:t>See</w:t>
      </w:r>
      <w:r w:rsidRPr="004C6DEB">
        <w:t xml:space="preserve"> </w:t>
      </w:r>
      <w:r w:rsidRPr="004C6DEB">
        <w:rPr>
          <w:i/>
        </w:rPr>
        <w:t>USF/ICC Transformation Order</w:t>
      </w:r>
      <w:r w:rsidRPr="004C6DEB">
        <w:t xml:space="preserve">, 26 FCC </w:t>
      </w:r>
      <w:r w:rsidRPr="004C6DEB">
        <w:t>Rcd</w:t>
      </w:r>
      <w:r w:rsidRPr="004C6DEB">
        <w:t xml:space="preserve"> at 17879, para. 672.  </w:t>
      </w:r>
    </w:p>
    <w:bookmarkEnd w:id="294"/>
  </w:footnote>
  <w:footnote w:id="111">
    <w:p w:rsidR="00844D1E" w:rsidRPr="004C6DEB" w:rsidP="00EB312D">
      <w:pPr>
        <w:pStyle w:val="FootnoteText"/>
      </w:pPr>
      <w:r w:rsidRPr="004C6DEB">
        <w:rPr>
          <w:rStyle w:val="FootnoteReference"/>
        </w:rPr>
        <w:footnoteRef/>
      </w:r>
      <w:r w:rsidRPr="004C6DEB">
        <w:t xml:space="preserve"> </w:t>
      </w:r>
      <w:bookmarkStart w:id="295" w:name="_Hlk13651568"/>
      <w:r w:rsidRPr="004C6DEB">
        <w:rPr>
          <w:i/>
        </w:rPr>
        <w:t xml:space="preserve">See </w:t>
      </w:r>
      <w:r>
        <w:rPr>
          <w:i/>
        </w:rPr>
        <w:t>i</w:t>
      </w:r>
      <w:r w:rsidRPr="0023282A">
        <w:rPr>
          <w:i/>
        </w:rPr>
        <w:t>d</w:t>
      </w:r>
      <w:r>
        <w:t>.</w:t>
      </w:r>
      <w:r w:rsidRPr="004C6DEB">
        <w:t xml:space="preserve"> at 17874-90, </w:t>
      </w:r>
      <w:r w:rsidRPr="000B5332">
        <w:t>paras. 656</w:t>
      </w:r>
      <w:r w:rsidRPr="004C6DEB">
        <w:t>-701</w:t>
      </w:r>
      <w:r>
        <w:t xml:space="preserve">; </w:t>
      </w:r>
      <w:r w:rsidRPr="00F3010F">
        <w:rPr>
          <w:i/>
        </w:rPr>
        <w:t>see also</w:t>
      </w:r>
      <w:r>
        <w:t xml:space="preserve"> West Reply at 3-4</w:t>
      </w:r>
      <w:r w:rsidRPr="004C6DEB">
        <w:t>.</w:t>
      </w:r>
      <w:bookmarkEnd w:id="295"/>
    </w:p>
  </w:footnote>
  <w:footnote w:id="112">
    <w:p w:rsidR="00844D1E" w:rsidRPr="006B2568" w:rsidP="00EB312D">
      <w:pPr>
        <w:pStyle w:val="ParaNum"/>
        <w:numPr>
          <w:ilvl w:val="0"/>
          <w:numId w:val="0"/>
        </w:numPr>
        <w:rPr>
          <w:sz w:val="20"/>
        </w:rPr>
      </w:pPr>
      <w:r w:rsidRPr="00171A80">
        <w:rPr>
          <w:rStyle w:val="FootnoteReference"/>
        </w:rPr>
        <w:footnoteRef/>
      </w:r>
      <w:bookmarkStart w:id="296" w:name="_Hlk13651583"/>
      <w:r>
        <w:rPr>
          <w:sz w:val="20"/>
        </w:rPr>
        <w:t xml:space="preserve"> </w:t>
      </w:r>
      <w:r w:rsidRPr="00964556">
        <w:rPr>
          <w:sz w:val="20"/>
        </w:rPr>
        <w:t xml:space="preserve">For the same reason, we do not </w:t>
      </w:r>
      <w:r>
        <w:rPr>
          <w:sz w:val="20"/>
        </w:rPr>
        <w:t>adopt</w:t>
      </w:r>
      <w:r w:rsidRPr="00964556">
        <w:rPr>
          <w:sz w:val="20"/>
        </w:rPr>
        <w:t xml:space="preserve"> AT&amp;T’s suggestion that we </w:t>
      </w:r>
      <w:r>
        <w:rPr>
          <w:sz w:val="20"/>
        </w:rPr>
        <w:t>issue</w:t>
      </w:r>
      <w:r w:rsidRPr="00964556">
        <w:rPr>
          <w:sz w:val="20"/>
        </w:rPr>
        <w:t xml:space="preserve"> a declaratory ruling that access stimulation is an unjust and unreasonable practice under section 201</w:t>
      </w:r>
      <w:r>
        <w:rPr>
          <w:sz w:val="20"/>
        </w:rPr>
        <w:t xml:space="preserve"> of the Act</w:t>
      </w:r>
      <w:r w:rsidRPr="00964556">
        <w:rPr>
          <w:sz w:val="20"/>
        </w:rPr>
        <w:t>.</w:t>
      </w:r>
      <w:r w:rsidRPr="00527695">
        <w:rPr>
          <w:sz w:val="20"/>
        </w:rPr>
        <w:t xml:space="preserve">  </w:t>
      </w:r>
      <w:r>
        <w:rPr>
          <w:sz w:val="20"/>
        </w:rPr>
        <w:t xml:space="preserve">Letter from Matthew </w:t>
      </w:r>
      <w:r>
        <w:rPr>
          <w:sz w:val="20"/>
        </w:rPr>
        <w:t>Nodine</w:t>
      </w:r>
      <w:r>
        <w:rPr>
          <w:sz w:val="20"/>
        </w:rPr>
        <w:t>, Assistant Vice President, AT&amp;T Services, Inc., to Marlene Dortch, Secretary, FCC, WC Docket No. 18-155, at 2 (filed Dec. 17, 2018).</w:t>
      </w:r>
      <w:bookmarkEnd w:id="296"/>
    </w:p>
  </w:footnote>
  <w:footnote w:id="113">
    <w:p w:rsidR="00844D1E" w:rsidRPr="00FF57C5" w:rsidP="00EB312D">
      <w:pPr>
        <w:pStyle w:val="FootnoteText"/>
      </w:pPr>
      <w:r>
        <w:rPr>
          <w:rStyle w:val="FootnoteReference"/>
        </w:rPr>
        <w:footnoteRef/>
      </w:r>
      <w:r>
        <w:t xml:space="preserve"> </w:t>
      </w:r>
      <w:r w:rsidRPr="00817FDE">
        <w:rPr>
          <w:i/>
        </w:rPr>
        <w:t>Access Arbitrage N</w:t>
      </w:r>
      <w:r>
        <w:rPr>
          <w:i/>
        </w:rPr>
        <w:t>otice</w:t>
      </w:r>
      <w:r>
        <w:t xml:space="preserve">, 33 FCC </w:t>
      </w:r>
      <w:r>
        <w:t>Rcd</w:t>
      </w:r>
      <w:r>
        <w:t xml:space="preserve"> at 5470-72, paras. 13-17. </w:t>
      </w:r>
    </w:p>
  </w:footnote>
  <w:footnote w:id="114">
    <w:p w:rsidR="00844D1E" w:rsidRPr="00233A2A" w:rsidP="00EB312D">
      <w:pPr>
        <w:pStyle w:val="FootnoteText"/>
      </w:pPr>
      <w:r w:rsidRPr="00233A2A">
        <w:rPr>
          <w:rStyle w:val="FootnoteReference"/>
        </w:rPr>
        <w:footnoteRef/>
      </w:r>
      <w:r w:rsidRPr="00233A2A">
        <w:t xml:space="preserve"> </w:t>
      </w:r>
      <w:r w:rsidRPr="00233A2A">
        <w:rPr>
          <w:i/>
        </w:rPr>
        <w:t>See</w:t>
      </w:r>
      <w:r w:rsidRPr="00BD2200">
        <w:rPr>
          <w:i/>
        </w:rPr>
        <w:t>,</w:t>
      </w:r>
      <w:r w:rsidRPr="00233A2A">
        <w:t xml:space="preserve"> </w:t>
      </w:r>
      <w:r w:rsidRPr="00233A2A">
        <w:rPr>
          <w:i/>
        </w:rPr>
        <w:t>e.g.</w:t>
      </w:r>
      <w:r w:rsidRPr="00233A2A">
        <w:t xml:space="preserve">, AT&amp;T Comments at 13-14; ITTA Comments at 3; Sprint Comments at 4; </w:t>
      </w:r>
      <w:r w:rsidRPr="00233A2A">
        <w:t>Inteliquent</w:t>
      </w:r>
      <w:r w:rsidRPr="00233A2A">
        <w:t xml:space="preserve"> Reply at 5; T-Mobile Reply at 3-4; Verizon Reply at 7</w:t>
      </w:r>
      <w:r>
        <w:t xml:space="preserve">; AT&amp;T Apr. 9, 2019 </w:t>
      </w:r>
      <w:r w:rsidRPr="009F7648">
        <w:rPr>
          <w:i/>
        </w:rPr>
        <w:t>Ex Parte</w:t>
      </w:r>
      <w:r>
        <w:t xml:space="preserve"> at 14-17; AT&amp;T June 12, 2019 </w:t>
      </w:r>
      <w:r w:rsidRPr="009F7648">
        <w:rPr>
          <w:i/>
        </w:rPr>
        <w:t>Ex Parte</w:t>
      </w:r>
      <w:r>
        <w:t xml:space="preserve"> at 5; Comcast July 17, 2019</w:t>
      </w:r>
      <w:r>
        <w:rPr>
          <w:i/>
        </w:rPr>
        <w:t xml:space="preserve"> Ex Parte</w:t>
      </w:r>
      <w:r>
        <w:t xml:space="preserve"> at 2-3.</w:t>
      </w:r>
      <w:r w:rsidRPr="00233A2A">
        <w:t xml:space="preserve"> </w:t>
      </w:r>
    </w:p>
  </w:footnote>
  <w:footnote w:id="115">
    <w:p w:rsidR="00844D1E" w:rsidRPr="00437034" w:rsidP="00EB312D">
      <w:pPr>
        <w:spacing w:after="120"/>
        <w:rPr>
          <w:sz w:val="20"/>
        </w:rPr>
      </w:pPr>
      <w:r w:rsidRPr="00000F4C">
        <w:rPr>
          <w:sz w:val="20"/>
          <w:vertAlign w:val="superscript"/>
        </w:rPr>
        <w:footnoteRef/>
      </w:r>
      <w:r w:rsidRPr="007B53E9">
        <w:rPr>
          <w:sz w:val="20"/>
        </w:rPr>
        <w:t xml:space="preserve"> </w:t>
      </w:r>
      <w:r w:rsidRPr="00D3141C">
        <w:rPr>
          <w:i/>
          <w:sz w:val="20"/>
        </w:rPr>
        <w:t>See</w:t>
      </w:r>
      <w:r>
        <w:rPr>
          <w:sz w:val="20"/>
        </w:rPr>
        <w:t xml:space="preserve"> </w:t>
      </w:r>
      <w:r w:rsidRPr="007B53E9">
        <w:rPr>
          <w:sz w:val="20"/>
        </w:rPr>
        <w:t xml:space="preserve">Comcast July 17, 2019 </w:t>
      </w:r>
      <w:r w:rsidRPr="007B53E9">
        <w:rPr>
          <w:i/>
          <w:iCs/>
          <w:sz w:val="20"/>
        </w:rPr>
        <w:t>Ex Parte</w:t>
      </w:r>
      <w:r w:rsidRPr="007B53E9">
        <w:rPr>
          <w:sz w:val="20"/>
        </w:rPr>
        <w:t xml:space="preserve"> at 2-3; AT&amp;T June 12, 2019 </w:t>
      </w:r>
      <w:r w:rsidRPr="007B53E9">
        <w:rPr>
          <w:i/>
          <w:iCs/>
          <w:sz w:val="20"/>
        </w:rPr>
        <w:t>Ex Parte</w:t>
      </w:r>
      <w:r w:rsidRPr="007B53E9">
        <w:rPr>
          <w:sz w:val="20"/>
        </w:rPr>
        <w:t xml:space="preserve"> at 5.</w:t>
      </w:r>
    </w:p>
  </w:footnote>
  <w:footnote w:id="116">
    <w:p w:rsidR="00844D1E" w:rsidP="00EB312D">
      <w:pPr>
        <w:pStyle w:val="FootnoteText"/>
      </w:pPr>
      <w:r>
        <w:rPr>
          <w:rStyle w:val="FootnoteReference"/>
        </w:rPr>
        <w:footnoteRef/>
      </w:r>
      <w:r>
        <w:t xml:space="preserve"> The same principle undercuts the potential for entry by alternative intermediate access providers that otherwise might contemplate establishing connections to access-stimulating LECs, and which IXCs might have relied upon under proposed Prong 2.</w:t>
      </w:r>
    </w:p>
  </w:footnote>
  <w:footnote w:id="117">
    <w:p w:rsidR="00844D1E" w:rsidP="00EB312D">
      <w:pPr>
        <w:pStyle w:val="FootnoteText"/>
      </w:pPr>
      <w:r>
        <w:rPr>
          <w:rStyle w:val="FootnoteReference"/>
        </w:rPr>
        <w:footnoteRef/>
      </w:r>
      <w:r>
        <w:t xml:space="preserve"> </w:t>
      </w:r>
      <w:r w:rsidRPr="006072E6">
        <w:rPr>
          <w:i/>
        </w:rPr>
        <w:t>See</w:t>
      </w:r>
      <w:r w:rsidRPr="00D57292">
        <w:rPr>
          <w:i/>
        </w:rPr>
        <w:t>,</w:t>
      </w:r>
      <w:r>
        <w:t xml:space="preserve"> </w:t>
      </w:r>
      <w:r w:rsidRPr="006072E6">
        <w:rPr>
          <w:i/>
        </w:rPr>
        <w:t>e.g.</w:t>
      </w:r>
      <w:r>
        <w:t xml:space="preserve">, AT&amp;T Apr. 9, 2019 </w:t>
      </w:r>
      <w:r w:rsidRPr="006072E6">
        <w:rPr>
          <w:i/>
        </w:rPr>
        <w:t>Ex Parte</w:t>
      </w:r>
      <w:r>
        <w:t xml:space="preserve"> at 14-17; CenturyLink Apr. 30, 2019 </w:t>
      </w:r>
      <w:r w:rsidRPr="50A5C783">
        <w:rPr>
          <w:i/>
          <w:iCs/>
        </w:rPr>
        <w:t>Ex Parte</w:t>
      </w:r>
      <w:r>
        <w:t xml:space="preserve"> at 2.</w:t>
      </w:r>
    </w:p>
  </w:footnote>
  <w:footnote w:id="118">
    <w:p w:rsidR="00844D1E" w:rsidRPr="00B07256" w:rsidP="00EB312D">
      <w:pPr>
        <w:pStyle w:val="FootnoteText"/>
      </w:pPr>
      <w:r>
        <w:rPr>
          <w:rStyle w:val="FootnoteReference"/>
        </w:rPr>
        <w:footnoteRef/>
      </w:r>
      <w:r>
        <w:t xml:space="preserve"> </w:t>
      </w:r>
      <w:r w:rsidRPr="002E6B1D">
        <w:t>In light of</w:t>
      </w:r>
      <w:r w:rsidRPr="002E6B1D">
        <w:t xml:space="preserve"> this</w:t>
      </w:r>
      <w:r>
        <w:t xml:space="preserve"> decision</w:t>
      </w:r>
      <w:r w:rsidRPr="002E6B1D">
        <w:t xml:space="preserve">, we do not address at this time the discussion in the record regarding the conduct of any </w:t>
      </w:r>
      <w:r>
        <w:t>negotiations</w:t>
      </w:r>
      <w:r w:rsidRPr="002E6B1D">
        <w:t xml:space="preserve"> between IXCs and LECs regarding establishing direct connections.  </w:t>
      </w:r>
      <w:r w:rsidRPr="002E6B1D">
        <w:rPr>
          <w:i/>
        </w:rPr>
        <w:t>See</w:t>
      </w:r>
      <w:r w:rsidRPr="00D57292">
        <w:rPr>
          <w:i/>
        </w:rPr>
        <w:t>,</w:t>
      </w:r>
      <w:r w:rsidRPr="002E6B1D">
        <w:t xml:space="preserve"> </w:t>
      </w:r>
      <w:r w:rsidRPr="002E6B1D">
        <w:rPr>
          <w:i/>
        </w:rPr>
        <w:t>e.g.</w:t>
      </w:r>
      <w:r w:rsidRPr="002E6B1D">
        <w:t>, Joint CLEC Comments at 38-42; HD Tandem Reply at 10.</w:t>
      </w:r>
      <w:r w:rsidRPr="00233A2A">
        <w:t xml:space="preserve"> </w:t>
      </w:r>
      <w:r>
        <w:t xml:space="preserve"> W</w:t>
      </w:r>
      <w:r w:rsidRPr="00233A2A">
        <w:t>e similarly decline to adopt suggestions to require direct conne</w:t>
      </w:r>
      <w:r>
        <w:t>c</w:t>
      </w:r>
      <w:r w:rsidRPr="00233A2A">
        <w:t xml:space="preserve">tions when certain criteria are met.  </w:t>
      </w:r>
      <w:r w:rsidRPr="00140B58">
        <w:rPr>
          <w:i/>
        </w:rPr>
        <w:t>See</w:t>
      </w:r>
      <w:r>
        <w:t xml:space="preserve"> </w:t>
      </w:r>
      <w:r w:rsidRPr="00233A2A">
        <w:t>O1</w:t>
      </w:r>
      <w:r w:rsidRPr="00233A2A">
        <w:t xml:space="preserve"> </w:t>
      </w:r>
      <w:r w:rsidRPr="00233A2A">
        <w:t>Comments at 9</w:t>
      </w:r>
      <w:r>
        <w:t>-10</w:t>
      </w:r>
      <w:r w:rsidRPr="00233A2A">
        <w:t xml:space="preserve"> (proposal to require all carriers </w:t>
      </w:r>
      <w:r>
        <w:t xml:space="preserve">to </w:t>
      </w:r>
      <w:r w:rsidRPr="00233A2A">
        <w:t xml:space="preserve">make direct connections available to requesting carriers that send or receive at least 200,000 </w:t>
      </w:r>
      <w:r>
        <w:t>monthly minutes-of-use</w:t>
      </w:r>
      <w:r w:rsidRPr="00233A2A">
        <w:t xml:space="preserve">); </w:t>
      </w:r>
      <w:r w:rsidRPr="00233A2A">
        <w:rPr>
          <w:i/>
        </w:rPr>
        <w:t xml:space="preserve">see also </w:t>
      </w:r>
      <w:r w:rsidRPr="00233A2A">
        <w:t xml:space="preserve">West Reply at 10-11.  We make no judgment, at this time, on </w:t>
      </w:r>
      <w:r>
        <w:t>the</w:t>
      </w:r>
      <w:r w:rsidRPr="00233A2A">
        <w:t xml:space="preserve"> appropriate level</w:t>
      </w:r>
      <w:r>
        <w:t xml:space="preserve"> of calling volume, if any,</w:t>
      </w:r>
      <w:r w:rsidRPr="00233A2A">
        <w:t xml:space="preserve"> at which a direct connection </w:t>
      </w:r>
      <w:r>
        <w:t>would</w:t>
      </w:r>
      <w:r w:rsidRPr="00233A2A">
        <w:t xml:space="preserve"> be</w:t>
      </w:r>
      <w:r>
        <w:t xml:space="preserve"> required</w:t>
      </w:r>
      <w:r w:rsidRPr="00233A2A">
        <w:t>.</w:t>
      </w:r>
      <w:r w:rsidRPr="00847F49">
        <w:rPr>
          <w:szCs w:val="22"/>
        </w:rPr>
        <w:t xml:space="preserve">  </w:t>
      </w:r>
      <w:r>
        <w:rPr>
          <w:szCs w:val="22"/>
        </w:rPr>
        <w:t xml:space="preserve">Our decision here also responds to NTCA’s suggestion that we adopt both prongs proposed in the </w:t>
      </w:r>
      <w:r>
        <w:rPr>
          <w:i/>
          <w:szCs w:val="22"/>
        </w:rPr>
        <w:t>Access Arbitrage Notice</w:t>
      </w:r>
      <w:r>
        <w:rPr>
          <w:szCs w:val="22"/>
        </w:rPr>
        <w:t xml:space="preserve">.  Letter from Michael Romano, Senior Vice President, Industry Affairs &amp; Business Development, NTCA, to Marlene Dortch, Secretary, FCC, WC Docket No. 18-155, at 1 (filed May 16, 2019) (NTCA May 16, 2019 </w:t>
      </w:r>
      <w:r w:rsidRPr="00A74C7D">
        <w:rPr>
          <w:i/>
          <w:szCs w:val="22"/>
        </w:rPr>
        <w:t>Ex Parte</w:t>
      </w:r>
      <w:r>
        <w:rPr>
          <w:szCs w:val="22"/>
        </w:rPr>
        <w:t xml:space="preserve">); </w:t>
      </w:r>
      <w:r>
        <w:t xml:space="preserve">Letter from Rebekah Goodheart, Counsel for NTCA, to Marlene Dortch, Secretary, FCC, WC Docket No. 18-155, at 1 (filed June 4, 2019) (NTCA June 4, 2019 </w:t>
      </w:r>
      <w:r w:rsidRPr="00B666C5">
        <w:rPr>
          <w:i/>
        </w:rPr>
        <w:t>Ex Parte</w:t>
      </w:r>
      <w:r>
        <w:rPr>
          <w:szCs w:val="22"/>
        </w:rPr>
        <w:t>).</w:t>
      </w:r>
    </w:p>
  </w:footnote>
  <w:footnote w:id="119">
    <w:p w:rsidR="00844D1E" w:rsidRPr="005A0B7C" w:rsidP="00EB312D">
      <w:pPr>
        <w:pStyle w:val="ParaNum"/>
        <w:numPr>
          <w:ilvl w:val="0"/>
          <w:numId w:val="0"/>
        </w:numPr>
        <w:snapToGrid w:val="0"/>
        <w:rPr>
          <w:sz w:val="20"/>
        </w:rPr>
      </w:pPr>
      <w:r w:rsidRPr="005A0B7C">
        <w:rPr>
          <w:rStyle w:val="FootnoteReference"/>
        </w:rPr>
        <w:footnoteRef/>
      </w:r>
      <w:r w:rsidRPr="005A0B7C">
        <w:rPr>
          <w:sz w:val="20"/>
        </w:rPr>
        <w:t xml:space="preserve"> </w:t>
      </w:r>
      <w:r w:rsidRPr="00153341">
        <w:rPr>
          <w:sz w:val="20"/>
        </w:rPr>
        <w:t xml:space="preserve">CenturyLink Apr. 30, 2019 </w:t>
      </w:r>
      <w:r w:rsidRPr="00153341">
        <w:rPr>
          <w:i/>
          <w:sz w:val="20"/>
        </w:rPr>
        <w:t>Ex Parte</w:t>
      </w:r>
      <w:r w:rsidRPr="00153341">
        <w:rPr>
          <w:sz w:val="20"/>
        </w:rPr>
        <w:t xml:space="preserve"> at 3 (“IXCs arguably have a right to obtain connections to most end offices.”).  When a LEC is directly connected to an IXC</w:t>
      </w:r>
      <w:r>
        <w:rPr>
          <w:sz w:val="20"/>
        </w:rPr>
        <w:t xml:space="preserve"> via tariffed services,</w:t>
      </w:r>
      <w:r w:rsidRPr="00153341">
        <w:rPr>
          <w:sz w:val="20"/>
        </w:rPr>
        <w:t xml:space="preserve"> the LEC assesses a flat-rated monthly charge based on the LEC establishing dedicated transport facilities</w:t>
      </w:r>
      <w:r>
        <w:rPr>
          <w:sz w:val="20"/>
        </w:rPr>
        <w:t>.</w:t>
      </w:r>
      <w:r w:rsidRPr="00153341">
        <w:rPr>
          <w:sz w:val="20"/>
        </w:rPr>
        <w:t xml:space="preserve"> </w:t>
      </w:r>
      <w:r>
        <w:rPr>
          <w:sz w:val="20"/>
        </w:rPr>
        <w:t xml:space="preserve"> T</w:t>
      </w:r>
      <w:r w:rsidRPr="00153341">
        <w:rPr>
          <w:sz w:val="20"/>
        </w:rPr>
        <w:t xml:space="preserve">he price of </w:t>
      </w:r>
      <w:r>
        <w:rPr>
          <w:sz w:val="20"/>
        </w:rPr>
        <w:t xml:space="preserve">these facilities </w:t>
      </w:r>
      <w:r w:rsidRPr="00153341">
        <w:rPr>
          <w:sz w:val="20"/>
        </w:rPr>
        <w:t>wi</w:t>
      </w:r>
      <w:r>
        <w:rPr>
          <w:sz w:val="20"/>
        </w:rPr>
        <w:t>ll</w:t>
      </w:r>
      <w:r w:rsidRPr="00153341">
        <w:rPr>
          <w:sz w:val="20"/>
        </w:rPr>
        <w:t xml:space="preserve"> vary by capacity</w:t>
      </w:r>
      <w:r>
        <w:rPr>
          <w:sz w:val="20"/>
        </w:rPr>
        <w:t xml:space="preserve"> and distance</w:t>
      </w:r>
      <w:r w:rsidRPr="00153341">
        <w:rPr>
          <w:sz w:val="20"/>
        </w:rPr>
        <w:t xml:space="preserve">.  These charges are ordinarily billed by the LEC to the IXC.  The Commission did not propose changing the ability of an access-stimulating LEC to charge for dedicated transport in the </w:t>
      </w:r>
      <w:r w:rsidRPr="00153341">
        <w:rPr>
          <w:i/>
          <w:sz w:val="20"/>
        </w:rPr>
        <w:t>Access Arbitrage N</w:t>
      </w:r>
      <w:r>
        <w:rPr>
          <w:i/>
          <w:sz w:val="20"/>
        </w:rPr>
        <w:t>otice</w:t>
      </w:r>
      <w:r w:rsidRPr="00153341">
        <w:rPr>
          <w:sz w:val="20"/>
        </w:rPr>
        <w:t>.</w:t>
      </w:r>
      <w:r>
        <w:rPr>
          <w:sz w:val="20"/>
        </w:rPr>
        <w:t xml:space="preserve">  The access-stimulating LEC also may directly connect to an IXC using commercially negotiated agreements with IP-based intermediate access providers.  </w:t>
      </w:r>
    </w:p>
  </w:footnote>
  <w:footnote w:id="120">
    <w:p w:rsidR="00844D1E" w:rsidRPr="00153341" w:rsidP="00EB312D">
      <w:pPr>
        <w:pStyle w:val="FootnoteText"/>
      </w:pPr>
      <w:r>
        <w:rPr>
          <w:rStyle w:val="FootnoteReference"/>
        </w:rPr>
        <w:footnoteRef/>
      </w:r>
      <w:r>
        <w:t xml:space="preserve"> </w:t>
      </w:r>
      <w:r w:rsidRPr="002E137B">
        <w:rPr>
          <w:i/>
        </w:rPr>
        <w:t>See generally</w:t>
      </w:r>
      <w:r>
        <w:t xml:space="preserve"> </w:t>
      </w:r>
      <w:r w:rsidRPr="00437034">
        <w:rPr>
          <w:i/>
        </w:rPr>
        <w:t>Refresh-the-Record Public Notice</w:t>
      </w:r>
      <w:r>
        <w:t xml:space="preserve">. </w:t>
      </w:r>
    </w:p>
  </w:footnote>
  <w:footnote w:id="121">
    <w:p w:rsidR="00844D1E" w:rsidP="00EB312D">
      <w:pPr>
        <w:pStyle w:val="FootnoteText"/>
      </w:pPr>
      <w:r>
        <w:rPr>
          <w:rStyle w:val="FootnoteReference"/>
        </w:rPr>
        <w:footnoteRef/>
      </w:r>
      <w:r>
        <w:t xml:space="preserve"> </w:t>
      </w:r>
      <w:r>
        <w:rPr>
          <w:i/>
        </w:rPr>
        <w:t xml:space="preserve">Access Arbitrage </w:t>
      </w:r>
      <w:r w:rsidRPr="004C6DEB">
        <w:rPr>
          <w:i/>
        </w:rPr>
        <w:t>N</w:t>
      </w:r>
      <w:r>
        <w:rPr>
          <w:i/>
        </w:rPr>
        <w:t>otice</w:t>
      </w:r>
      <w:r>
        <w:t xml:space="preserve">, 33 FCC </w:t>
      </w:r>
      <w:r>
        <w:t>Rcd</w:t>
      </w:r>
      <w:r w:rsidRPr="004C6DEB">
        <w:t xml:space="preserve"> at </w:t>
      </w:r>
      <w:r>
        <w:t xml:space="preserve">5474, </w:t>
      </w:r>
      <w:r w:rsidRPr="004C6DEB">
        <w:t>paras. 24-25</w:t>
      </w:r>
      <w:r>
        <w:t xml:space="preserve">; </w:t>
      </w:r>
      <w:r w:rsidRPr="00F3010F">
        <w:rPr>
          <w:i/>
        </w:rPr>
        <w:t>see</w:t>
      </w:r>
      <w:r>
        <w:t xml:space="preserve"> </w:t>
      </w:r>
      <w:r w:rsidRPr="004C6DEB">
        <w:t>Sprint Comments at 2-3</w:t>
      </w:r>
      <w:r>
        <w:t xml:space="preserve">; </w:t>
      </w:r>
      <w:r w:rsidRPr="004C6DEB">
        <w:t>Sprint Reply at 3 (“[T]he Commission should immediately move to full bill-and-keep in order to prevent or at least minimize, access arbitrage.”) (citing AT&amp;T Comments at 5; CenturyLink Comments at 2; Verizon Comments at 1)</w:t>
      </w:r>
      <w:r>
        <w:t xml:space="preserve">; Verizon Reply at 4-5; AT&amp;T Apr. 9, 2019 </w:t>
      </w:r>
      <w:r w:rsidRPr="00F0192C">
        <w:rPr>
          <w:i/>
        </w:rPr>
        <w:t>Ex Parte</w:t>
      </w:r>
      <w:r>
        <w:t xml:space="preserve"> at 11; AT&amp;T Mar. 7, 2019 </w:t>
      </w:r>
      <w:r>
        <w:rPr>
          <w:i/>
        </w:rPr>
        <w:t>Ex Parte</w:t>
      </w:r>
      <w:r>
        <w:t xml:space="preserve"> at 1.  Because we are not adopting suggestions to move remaining ICC rate elements to bill-and-keep </w:t>
      </w:r>
      <w:r>
        <w:t>at this time</w:t>
      </w:r>
      <w:r>
        <w:t xml:space="preserve">, we decline to adopt Sprint’s suggested two-year transition to bill-and-keep.  Sprint May 16, 2019 </w:t>
      </w:r>
      <w:r>
        <w:rPr>
          <w:i/>
        </w:rPr>
        <w:t xml:space="preserve">Ex Parte </w:t>
      </w:r>
      <w:r>
        <w:t>at 3.</w:t>
      </w:r>
    </w:p>
  </w:footnote>
  <w:footnote w:id="122">
    <w:p w:rsidR="00844D1E" w:rsidP="00EB312D">
      <w:pPr>
        <w:pStyle w:val="FootnoteText"/>
      </w:pPr>
      <w:r>
        <w:rPr>
          <w:rStyle w:val="FootnoteReference"/>
        </w:rPr>
        <w:footnoteRef/>
      </w:r>
      <w:r>
        <w:t xml:space="preserve"> </w:t>
      </w:r>
      <w:r w:rsidRPr="00456800">
        <w:t xml:space="preserve">Joint CLEC Feb. 14, 2019 </w:t>
      </w:r>
      <w:r w:rsidRPr="00D6356C">
        <w:rPr>
          <w:i/>
        </w:rPr>
        <w:t>Ex Parte</w:t>
      </w:r>
      <w:r w:rsidRPr="00456800">
        <w:t xml:space="preserve"> Attach. </w:t>
      </w:r>
      <w:r>
        <w:t xml:space="preserve">at </w:t>
      </w:r>
      <w:r w:rsidRPr="00456800">
        <w:t>4</w:t>
      </w:r>
      <w:r>
        <w:t>2</w:t>
      </w:r>
      <w:r w:rsidRPr="00456800">
        <w:t xml:space="preserve">; </w:t>
      </w:r>
      <w:r w:rsidRPr="00456800">
        <w:rPr>
          <w:i/>
        </w:rPr>
        <w:t xml:space="preserve">see also </w:t>
      </w:r>
      <w:r w:rsidRPr="00456800">
        <w:t>Letter from Michael Hazzard, Counsel to Wide Voice, to Marlene Dortch, Secretary, FCC, WC Docket No. 18-155</w:t>
      </w:r>
      <w:r>
        <w:t>,</w:t>
      </w:r>
      <w:r w:rsidRPr="00456800">
        <w:t xml:space="preserve"> Attach. </w:t>
      </w:r>
      <w:r>
        <w:t>at 6</w:t>
      </w:r>
      <w:r w:rsidRPr="00456800">
        <w:t xml:space="preserve"> (filed Mar. </w:t>
      </w:r>
      <w:r>
        <w:t>7</w:t>
      </w:r>
      <w:r w:rsidRPr="00456800">
        <w:t>, 2019)</w:t>
      </w:r>
      <w:r>
        <w:t xml:space="preserve">; HD Tandem Sept. 16, 2019 </w:t>
      </w:r>
      <w:r>
        <w:rPr>
          <w:i/>
          <w:iCs/>
        </w:rPr>
        <w:t>Ex Parte</w:t>
      </w:r>
      <w:r>
        <w:rPr>
          <w:iCs/>
        </w:rPr>
        <w:t xml:space="preserve"> at 2</w:t>
      </w:r>
      <w:r w:rsidRPr="00456800">
        <w:t xml:space="preserve">.  </w:t>
      </w:r>
    </w:p>
  </w:footnote>
  <w:footnote w:id="123">
    <w:p w:rsidR="00844D1E" w:rsidP="00EB312D">
      <w:pPr>
        <w:pStyle w:val="FootnoteText"/>
      </w:pPr>
      <w:r>
        <w:rPr>
          <w:rStyle w:val="FootnoteReference"/>
        </w:rPr>
        <w:footnoteRef/>
      </w:r>
      <w:r>
        <w:t xml:space="preserve"> </w:t>
      </w:r>
      <w:r w:rsidRPr="00BF110F">
        <w:rPr>
          <w:i/>
        </w:rPr>
        <w:t>See</w:t>
      </w:r>
      <w:r w:rsidRPr="00DC4DF1">
        <w:rPr>
          <w:i/>
        </w:rPr>
        <w:t xml:space="preserve"> </w:t>
      </w:r>
      <w:r w:rsidRPr="00BF110F">
        <w:rPr>
          <w:i/>
        </w:rPr>
        <w:t>Access Arbitrage Notice</w:t>
      </w:r>
      <w:r>
        <w:t xml:space="preserve">, 33 FCC </w:t>
      </w:r>
      <w:r>
        <w:t>Rcd</w:t>
      </w:r>
      <w:r>
        <w:t xml:space="preserve"> at 5475-76, paras. 26-28 (asking about modifying the access stimulation definition, such as by modifying the triggers or removing the revenue sharing requirement).</w:t>
      </w:r>
    </w:p>
  </w:footnote>
  <w:footnote w:id="124">
    <w:p w:rsidR="00844D1E" w:rsidP="00EB312D">
      <w:pPr>
        <w:pStyle w:val="FootnoteText"/>
      </w:pPr>
      <w:r>
        <w:rPr>
          <w:rStyle w:val="FootnoteReference"/>
        </w:rPr>
        <w:footnoteRef/>
      </w:r>
      <w:r>
        <w:t xml:space="preserve"> 47 CFR </w:t>
      </w:r>
      <w:bookmarkStart w:id="322" w:name="_Hlk18991864"/>
      <w:r>
        <w:t>§ 61.3(</w:t>
      </w:r>
      <w:r>
        <w:t>bbb</w:t>
      </w:r>
      <w:r>
        <w:t>).</w:t>
      </w:r>
      <w:bookmarkEnd w:id="322"/>
    </w:p>
  </w:footnote>
  <w:footnote w:id="125">
    <w:p w:rsidR="00844D1E" w:rsidRPr="00A429C3" w:rsidP="00EB312D">
      <w:pPr>
        <w:pStyle w:val="FootnoteText"/>
      </w:pPr>
      <w:r>
        <w:rPr>
          <w:rStyle w:val="FootnoteReference"/>
        </w:rPr>
        <w:footnoteRef/>
      </w:r>
      <w:r>
        <w:t xml:space="preserve"> </w:t>
      </w:r>
      <w:r>
        <w:rPr>
          <w:i/>
        </w:rPr>
        <w:t>Id</w:t>
      </w:r>
      <w:r>
        <w:t>.</w:t>
      </w:r>
    </w:p>
  </w:footnote>
  <w:footnote w:id="126">
    <w:p w:rsidR="00844D1E" w:rsidP="00EB312D">
      <w:pPr>
        <w:pStyle w:val="FootnoteText"/>
      </w:pPr>
      <w:r>
        <w:rPr>
          <w:rStyle w:val="FootnoteReference"/>
        </w:rPr>
        <w:footnoteRef/>
      </w:r>
      <w:r>
        <w:t xml:space="preserve"> </w:t>
      </w:r>
      <w:r w:rsidRPr="00FA3DAD">
        <w:rPr>
          <w:i/>
        </w:rPr>
        <w:t>See infra</w:t>
      </w:r>
      <w:r>
        <w:t xml:space="preserve"> Appx. A, 47 CFR § 61.3(</w:t>
      </w:r>
      <w:r>
        <w:t>bbb</w:t>
      </w:r>
      <w:r>
        <w:t>)(1)(ii).</w:t>
      </w:r>
    </w:p>
  </w:footnote>
  <w:footnote w:id="127">
    <w:p w:rsidR="00844D1E" w:rsidP="00EB312D">
      <w:pPr>
        <w:pStyle w:val="FootnoteText"/>
      </w:pPr>
      <w:r>
        <w:rPr>
          <w:rStyle w:val="FootnoteReference"/>
        </w:rPr>
        <w:footnoteRef/>
      </w:r>
      <w:r>
        <w:t xml:space="preserve"> A 500,000 minutes-of-use cap will not serve as an attractive ceiling up to which LECs can try to stimulate traffic.  </w:t>
      </w:r>
      <w:r w:rsidRPr="00B70293">
        <w:t>Sprint Sept. 19, 2019</w:t>
      </w:r>
      <w:r w:rsidRPr="00B70293">
        <w:rPr>
          <w:i/>
          <w:iCs/>
        </w:rPr>
        <w:t xml:space="preserve"> Ex Pa</w:t>
      </w:r>
      <w:r>
        <w:rPr>
          <w:i/>
          <w:iCs/>
        </w:rPr>
        <w:t>rte</w:t>
      </w:r>
      <w:r>
        <w:rPr>
          <w:iCs/>
        </w:rPr>
        <w:t xml:space="preserve"> at 3</w:t>
      </w:r>
      <w:r>
        <w:t>.</w:t>
      </w:r>
    </w:p>
  </w:footnote>
  <w:footnote w:id="128">
    <w:p w:rsidR="00844D1E" w:rsidP="00EB312D">
      <w:pPr>
        <w:pStyle w:val="FootnoteText"/>
      </w:pPr>
      <w:r>
        <w:rPr>
          <w:rStyle w:val="FootnoteReference"/>
        </w:rPr>
        <w:footnoteRef/>
      </w:r>
      <w:bookmarkStart w:id="323" w:name="_Hlk20045615"/>
      <w:r>
        <w:rPr>
          <w:iCs/>
        </w:rPr>
        <w:t xml:space="preserve"> </w:t>
      </w:r>
      <w:r w:rsidRPr="00891171">
        <w:rPr>
          <w:iCs/>
        </w:rPr>
        <w:t xml:space="preserve">NTCA and AT&amp;T Sept. 20, 2019 </w:t>
      </w:r>
      <w:r w:rsidRPr="00891171">
        <w:rPr>
          <w:i/>
          <w:iCs/>
        </w:rPr>
        <w:t>Ex Parte</w:t>
      </w:r>
      <w:r w:rsidRPr="00891171">
        <w:rPr>
          <w:iCs/>
        </w:rPr>
        <w:t xml:space="preserve"> at 1</w:t>
      </w:r>
      <w:bookmarkEnd w:id="323"/>
      <w:r>
        <w:t xml:space="preserve">; </w:t>
      </w:r>
      <w:r>
        <w:rPr>
          <w:i/>
        </w:rPr>
        <w:t>s</w:t>
      </w:r>
      <w:r w:rsidRPr="00FA3DAD">
        <w:rPr>
          <w:i/>
        </w:rPr>
        <w:t xml:space="preserve">ee </w:t>
      </w:r>
      <w:r>
        <w:rPr>
          <w:i/>
        </w:rPr>
        <w:t xml:space="preserve">also </w:t>
      </w:r>
      <w:r w:rsidRPr="00FA3DAD">
        <w:rPr>
          <w:i/>
        </w:rPr>
        <w:t>infra</w:t>
      </w:r>
      <w:r>
        <w:t xml:space="preserve"> Appx. A, 47 CFR § 61.3(</w:t>
      </w:r>
      <w:r>
        <w:t>bbb</w:t>
      </w:r>
      <w:r>
        <w:t>)(1)(iii).</w:t>
      </w:r>
    </w:p>
  </w:footnote>
  <w:footnote w:id="129">
    <w:p w:rsidR="00844D1E" w:rsidP="00EB312D">
      <w:pPr>
        <w:pStyle w:val="FootnoteText"/>
      </w:pPr>
      <w:r w:rsidRPr="007545A7">
        <w:rPr>
          <w:rStyle w:val="FootnoteReference"/>
        </w:rPr>
        <w:footnoteRef/>
      </w:r>
      <w:r w:rsidRPr="007545A7">
        <w:t xml:space="preserve"> </w:t>
      </w:r>
      <w:r w:rsidRPr="000967A8">
        <w:t>NTCA Sep</w:t>
      </w:r>
      <w:r>
        <w:t>t</w:t>
      </w:r>
      <w:r w:rsidRPr="000967A8">
        <w:t xml:space="preserve">. </w:t>
      </w:r>
      <w:r>
        <w:t>11</w:t>
      </w:r>
      <w:r w:rsidRPr="000967A8">
        <w:t>, 2019</w:t>
      </w:r>
      <w:r>
        <w:rPr>
          <w:i/>
        </w:rPr>
        <w:t xml:space="preserve"> Ex Parte</w:t>
      </w:r>
      <w:r>
        <w:t xml:space="preserve"> at 3</w:t>
      </w:r>
      <w:r w:rsidRPr="008D1DA2">
        <w:t>.</w:t>
      </w:r>
      <w:r>
        <w:t xml:space="preserve"> </w:t>
      </w:r>
    </w:p>
  </w:footnote>
  <w:footnote w:id="130">
    <w:p w:rsidR="00844D1E" w:rsidRPr="00437034" w:rsidP="00EB312D">
      <w:pPr>
        <w:widowControl/>
        <w:autoSpaceDE w:val="0"/>
        <w:autoSpaceDN w:val="0"/>
        <w:adjustRightInd w:val="0"/>
        <w:spacing w:after="120"/>
        <w:rPr>
          <w:sz w:val="20"/>
        </w:rPr>
      </w:pPr>
      <w:r w:rsidRPr="00710EB8">
        <w:rPr>
          <w:rStyle w:val="FootnoteReference"/>
        </w:rPr>
        <w:footnoteRef/>
      </w:r>
      <w:r w:rsidRPr="00710EB8">
        <w:rPr>
          <w:sz w:val="20"/>
        </w:rPr>
        <w:t xml:space="preserve"> AT&amp;T Feb. 5, 2019 </w:t>
      </w:r>
      <w:r w:rsidRPr="00710EB8">
        <w:rPr>
          <w:i/>
          <w:sz w:val="20"/>
        </w:rPr>
        <w:t xml:space="preserve">Ex Parte </w:t>
      </w:r>
      <w:r w:rsidRPr="00710EB8">
        <w:rPr>
          <w:sz w:val="20"/>
        </w:rPr>
        <w:t>at 2, 7; AT&amp;T Comments at 20 (“</w:t>
      </w:r>
      <w:r w:rsidRPr="00710EB8">
        <w:rPr>
          <w:rFonts w:ascii="TimesNewRomanPSMT" w:hAnsi="TimesNewRomanPSMT" w:cs="TimesNewRomanPSMT"/>
          <w:snapToGrid/>
          <w:kern w:val="0"/>
          <w:sz w:val="20"/>
        </w:rPr>
        <w:t>Now that the initial transition is mostly complete, many carriers have shifted their arbitrage schemes to the portions of the PSTN-related intercarrier compensation regime that have not yet been reformed to bill-and-keep</w:t>
      </w:r>
      <w:r>
        <w:rPr>
          <w:rFonts w:ascii="TimesNewRomanPSMT" w:hAnsi="TimesNewRomanPSMT" w:cs="TimesNewRomanPSMT"/>
          <w:snapToGrid/>
          <w:kern w:val="0"/>
          <w:sz w:val="20"/>
        </w:rPr>
        <w:t>—</w:t>
      </w:r>
      <w:r w:rsidRPr="00710EB8">
        <w:rPr>
          <w:rFonts w:ascii="TimesNewRomanPSMT" w:hAnsi="TimesNewRomanPSMT" w:cs="TimesNewRomanPSMT"/>
          <w:snapToGrid/>
          <w:kern w:val="0"/>
          <w:sz w:val="20"/>
        </w:rPr>
        <w:t>namely originating switched access charges and the remaining transport and tandem termination charges.”</w:t>
      </w:r>
      <w:r w:rsidRPr="00710EB8">
        <w:rPr>
          <w:sz w:val="20"/>
        </w:rPr>
        <w:t>).</w:t>
      </w:r>
    </w:p>
  </w:footnote>
  <w:footnote w:id="131">
    <w:p w:rsidR="00844D1E" w:rsidP="00EB312D">
      <w:pPr>
        <w:pStyle w:val="FootnoteText"/>
      </w:pPr>
      <w:r w:rsidRPr="0026158A">
        <w:rPr>
          <w:rStyle w:val="FootnoteReference"/>
        </w:rPr>
        <w:footnoteRef/>
      </w:r>
      <w:r w:rsidRPr="0026158A">
        <w:t xml:space="preserve"> </w:t>
      </w:r>
      <w:r>
        <w:t xml:space="preserve">Wide Voice Comments at 6; </w:t>
      </w:r>
      <w:r w:rsidRPr="00A5350F">
        <w:rPr>
          <w:i/>
        </w:rPr>
        <w:t>s</w:t>
      </w:r>
      <w:r w:rsidRPr="00864E79">
        <w:rPr>
          <w:i/>
        </w:rPr>
        <w:t>ee</w:t>
      </w:r>
      <w:r w:rsidRPr="0026158A">
        <w:t xml:space="preserve"> </w:t>
      </w:r>
      <w:r>
        <w:t>Inteliquent</w:t>
      </w:r>
      <w:r>
        <w:t xml:space="preserve"> Apr. 18, 2019 </w:t>
      </w:r>
      <w:r>
        <w:rPr>
          <w:i/>
        </w:rPr>
        <w:t xml:space="preserve">Ex Parte </w:t>
      </w:r>
      <w:r>
        <w:t>Attach. at 21.</w:t>
      </w:r>
    </w:p>
  </w:footnote>
  <w:footnote w:id="132">
    <w:p w:rsidR="00844D1E" w:rsidP="00EB312D">
      <w:pPr>
        <w:pStyle w:val="FootnoteText"/>
      </w:pPr>
      <w:r>
        <w:rPr>
          <w:rStyle w:val="FootnoteReference"/>
        </w:rPr>
        <w:footnoteRef/>
      </w:r>
      <w:r>
        <w:t xml:space="preserve"> </w:t>
      </w:r>
      <w:r w:rsidRPr="00470093">
        <w:rPr>
          <w:i/>
        </w:rPr>
        <w:t>See</w:t>
      </w:r>
      <w:r>
        <w:t xml:space="preserve"> Wide Voice Comments at 11; </w:t>
      </w:r>
      <w:r w:rsidRPr="00714554">
        <w:rPr>
          <w:i/>
        </w:rPr>
        <w:t>see also</w:t>
      </w:r>
      <w:r w:rsidRPr="00714554">
        <w:t xml:space="preserve"> Sprint Sept. 3, 2019 </w:t>
      </w:r>
      <w:r w:rsidRPr="00714554">
        <w:rPr>
          <w:i/>
        </w:rPr>
        <w:t>Ex Parte</w:t>
      </w:r>
      <w:r w:rsidRPr="00714554">
        <w:t xml:space="preserve"> at 2 (urging the removal of revenue sharing from the definition of access stimulation).</w:t>
      </w:r>
    </w:p>
  </w:footnote>
  <w:footnote w:id="133">
    <w:p w:rsidR="00844D1E" w:rsidRPr="007A6F39" w:rsidP="00EB312D">
      <w:pPr>
        <w:pStyle w:val="FootnoteText"/>
        <w:rPr>
          <w:b/>
        </w:rPr>
      </w:pPr>
      <w:r>
        <w:rPr>
          <w:rStyle w:val="FootnoteReference"/>
        </w:rPr>
        <w:footnoteRef/>
      </w:r>
      <w:r>
        <w:t xml:space="preserve"> T-Mobile Reply at 5.</w:t>
      </w:r>
    </w:p>
  </w:footnote>
  <w:footnote w:id="134">
    <w:p w:rsidR="00844D1E" w:rsidP="00EB312D">
      <w:pPr>
        <w:pStyle w:val="FootnoteText"/>
      </w:pPr>
      <w:r>
        <w:rPr>
          <w:rStyle w:val="FootnoteReference"/>
        </w:rPr>
        <w:footnoteRef/>
      </w:r>
      <w:r>
        <w:t xml:space="preserve"> </w:t>
      </w:r>
      <w:r>
        <w:t>Aureon</w:t>
      </w:r>
      <w:r>
        <w:t xml:space="preserve"> Comments at 6.</w:t>
      </w:r>
    </w:p>
  </w:footnote>
  <w:footnote w:id="135">
    <w:p w:rsidR="00844D1E" w:rsidP="00EB312D">
      <w:pPr>
        <w:pStyle w:val="FootnoteText"/>
      </w:pPr>
      <w:r>
        <w:rPr>
          <w:rStyle w:val="FootnoteReference"/>
        </w:rPr>
        <w:footnoteRef/>
      </w:r>
      <w:r>
        <w:t xml:space="preserve"> </w:t>
      </w:r>
      <w:r w:rsidRPr="00FB578A">
        <w:rPr>
          <w:i/>
        </w:rPr>
        <w:t>See</w:t>
      </w:r>
      <w:r w:rsidRPr="00FB578A">
        <w:t xml:space="preserve"> Decl</w:t>
      </w:r>
      <w:r>
        <w:t>aration</w:t>
      </w:r>
      <w:r w:rsidRPr="00FB578A">
        <w:t xml:space="preserve"> of Don J. Wood</w:t>
      </w:r>
      <w:r>
        <w:t xml:space="preserve"> </w:t>
      </w:r>
      <w:r w:rsidRPr="00D87004">
        <w:rPr>
          <w:bCs/>
          <w:color w:val="010101"/>
        </w:rPr>
        <w:t>in Support of Defendant Sprint Communications Company L.P.’s Memorandum in Opposition to Plaintiff’s Motion for Partial Summary Judgment</w:t>
      </w:r>
      <w:r w:rsidRPr="00FB578A">
        <w:t xml:space="preserve">, </w:t>
      </w:r>
      <w:r w:rsidRPr="00FB578A">
        <w:rPr>
          <w:i/>
        </w:rPr>
        <w:t>North County Commc’ns Corp. v. Sprint Commc’ns Co. L.P</w:t>
      </w:r>
      <w:r w:rsidRPr="00FB578A">
        <w:t>., Case No. 3:09-CV-02685-AJB-WM</w:t>
      </w:r>
      <w:r w:rsidRPr="00EE275E">
        <w:t>C,</w:t>
      </w:r>
      <w:r>
        <w:t xml:space="preserve"> ¶¶</w:t>
      </w:r>
      <w:r w:rsidRPr="00EE275E">
        <w:t xml:space="preserve"> 37 n.16, 39 </w:t>
      </w:r>
      <w:r w:rsidRPr="00FB578A">
        <w:t>(S.D. Cal. Sept. 22, 2011).</w:t>
      </w:r>
      <w:r>
        <w:t xml:space="preserve"> </w:t>
      </w:r>
    </w:p>
  </w:footnote>
  <w:footnote w:id="136">
    <w:p w:rsidR="00844D1E" w:rsidRPr="00D33B96" w:rsidP="00EB312D">
      <w:pPr>
        <w:pStyle w:val="FootnoteText"/>
      </w:pPr>
      <w:r>
        <w:rPr>
          <w:rStyle w:val="FootnoteReference"/>
        </w:rPr>
        <w:footnoteRef/>
      </w:r>
      <w:r>
        <w:t xml:space="preserve"> </w:t>
      </w:r>
      <w:r>
        <w:t>Inteliquent</w:t>
      </w:r>
      <w:r>
        <w:t xml:space="preserve"> </w:t>
      </w:r>
      <w:r w:rsidRPr="00D33B96">
        <w:t>Apr. 1</w:t>
      </w:r>
      <w:r>
        <w:t>8</w:t>
      </w:r>
      <w:r w:rsidRPr="00D33B96">
        <w:t xml:space="preserve">, 2019 </w:t>
      </w:r>
      <w:r w:rsidRPr="00D33B96">
        <w:rPr>
          <w:i/>
        </w:rPr>
        <w:t>Ex Parte</w:t>
      </w:r>
      <w:r w:rsidRPr="00D33B96">
        <w:t xml:space="preserve"> Attach. at 21.</w:t>
      </w:r>
      <w:r w:rsidRPr="009F6D24">
        <w:rPr>
          <w:rFonts w:ascii="TimesNewRomanPSMT" w:hAnsi="TimesNewRomanPSMT" w:cs="TimesNewRomanPSMT"/>
          <w:szCs w:val="22"/>
        </w:rPr>
        <w:t xml:space="preserve"> </w:t>
      </w:r>
      <w:r>
        <w:rPr>
          <w:rFonts w:ascii="TimesNewRomanPSMT" w:hAnsi="TimesNewRomanPSMT" w:cs="TimesNewRomanPSMT"/>
          <w:szCs w:val="22"/>
        </w:rPr>
        <w:t xml:space="preserve"> </w:t>
      </w:r>
      <w:r w:rsidRPr="00585CB5">
        <w:rPr>
          <w:rFonts w:ascii="TimesNewRomanPSMT" w:hAnsi="TimesNewRomanPSMT" w:cs="TimesNewRomanPSMT"/>
          <w:szCs w:val="22"/>
        </w:rPr>
        <w:t xml:space="preserve">NTCA objects to the </w:t>
      </w:r>
      <w:r w:rsidRPr="00585CB5">
        <w:rPr>
          <w:rFonts w:ascii="TimesNewRomanPSMT" w:hAnsi="TimesNewRomanPSMT" w:cs="TimesNewRomanPSMT"/>
          <w:szCs w:val="22"/>
        </w:rPr>
        <w:t>Inteliquent</w:t>
      </w:r>
      <w:r w:rsidRPr="00585CB5">
        <w:rPr>
          <w:rFonts w:ascii="TimesNewRomanPSMT" w:hAnsi="TimesNewRomanPSMT" w:cs="TimesNewRomanPSMT"/>
          <w:szCs w:val="22"/>
        </w:rPr>
        <w:t xml:space="preserve"> examples by arguing that they fall within the existing definition of revenue sharing</w:t>
      </w:r>
      <w:r>
        <w:rPr>
          <w:rFonts w:ascii="TimesNewRomanPSMT" w:hAnsi="TimesNewRomanPSMT" w:cs="TimesNewRomanPSMT"/>
          <w:szCs w:val="22"/>
        </w:rPr>
        <w:t xml:space="preserve">. </w:t>
      </w:r>
      <w:r w:rsidRPr="009F6D24">
        <w:t xml:space="preserve"> </w:t>
      </w:r>
      <w:r>
        <w:t xml:space="preserve">NTCA June 4, 2019 </w:t>
      </w:r>
      <w:r w:rsidRPr="00B666C5">
        <w:rPr>
          <w:i/>
        </w:rPr>
        <w:t>Ex Parte</w:t>
      </w:r>
      <w:r>
        <w:t xml:space="preserve"> at 2 n.5.  </w:t>
      </w:r>
      <w:r w:rsidRPr="00585CB5">
        <w:rPr>
          <w:rFonts w:ascii="TimesNewRomanPSMT" w:hAnsi="TimesNewRomanPSMT" w:cs="TimesNewRomanPSMT"/>
          <w:szCs w:val="22"/>
        </w:rPr>
        <w:t>W</w:t>
      </w:r>
      <w:r>
        <w:rPr>
          <w:rFonts w:ascii="TimesNewRomanPSMT" w:hAnsi="TimesNewRomanPSMT" w:cs="TimesNewRomanPSMT"/>
          <w:szCs w:val="22"/>
        </w:rPr>
        <w:t xml:space="preserve">e </w:t>
      </w:r>
      <w:r w:rsidRPr="00585CB5">
        <w:rPr>
          <w:rFonts w:ascii="TimesNewRomanPSMT" w:hAnsi="TimesNewRomanPSMT" w:cs="TimesNewRomanPSMT"/>
          <w:szCs w:val="22"/>
        </w:rPr>
        <w:t xml:space="preserve">need not </w:t>
      </w:r>
      <w:r>
        <w:rPr>
          <w:rFonts w:ascii="TimesNewRomanPSMT" w:hAnsi="TimesNewRomanPSMT" w:cs="TimesNewRomanPSMT"/>
          <w:szCs w:val="22"/>
        </w:rPr>
        <w:t>reach</w:t>
      </w:r>
      <w:r w:rsidRPr="00585CB5">
        <w:rPr>
          <w:rFonts w:ascii="TimesNewRomanPSMT" w:hAnsi="TimesNewRomanPSMT" w:cs="TimesNewRomanPSMT"/>
          <w:szCs w:val="22"/>
        </w:rPr>
        <w:t xml:space="preserve"> that question </w:t>
      </w:r>
      <w:r>
        <w:rPr>
          <w:rFonts w:ascii="TimesNewRomanPSMT" w:hAnsi="TimesNewRomanPSMT" w:cs="TimesNewRomanPSMT"/>
          <w:szCs w:val="22"/>
        </w:rPr>
        <w:t xml:space="preserve">at this time. </w:t>
      </w:r>
      <w:r w:rsidRPr="00585CB5">
        <w:rPr>
          <w:rFonts w:ascii="TimesNewRomanPSMT" w:hAnsi="TimesNewRomanPSMT" w:cs="TimesNewRomanPSMT"/>
          <w:szCs w:val="22"/>
        </w:rPr>
        <w:t xml:space="preserve"> </w:t>
      </w:r>
    </w:p>
  </w:footnote>
  <w:footnote w:id="137">
    <w:p w:rsidR="00844D1E" w:rsidP="00EB312D">
      <w:pPr>
        <w:pStyle w:val="FootnoteText"/>
      </w:pPr>
      <w:r>
        <w:rPr>
          <w:rStyle w:val="FootnoteReference"/>
        </w:rPr>
        <w:footnoteRef/>
      </w:r>
      <w:r>
        <w:t xml:space="preserve"> </w:t>
      </w:r>
      <w:r w:rsidRPr="00470093">
        <w:rPr>
          <w:i/>
        </w:rPr>
        <w:t>See</w:t>
      </w:r>
      <w:r>
        <w:t xml:space="preserve"> 47 CFR § 61.3(</w:t>
      </w:r>
      <w:r>
        <w:t>bbb</w:t>
      </w:r>
      <w:r>
        <w:t>)(1)(</w:t>
      </w:r>
      <w:r>
        <w:t>i</w:t>
      </w:r>
      <w:r>
        <w:t>).</w:t>
      </w:r>
    </w:p>
  </w:footnote>
  <w:footnote w:id="138">
    <w:p w:rsidR="00844D1E" w:rsidP="00EB312D">
      <w:pPr>
        <w:pStyle w:val="FootnoteText"/>
      </w:pPr>
      <w:r>
        <w:rPr>
          <w:rStyle w:val="FootnoteReference"/>
        </w:rPr>
        <w:footnoteRef/>
      </w:r>
      <w:r>
        <w:t xml:space="preserve"> </w:t>
      </w:r>
      <w:r w:rsidRPr="0035787D">
        <w:rPr>
          <w:i/>
        </w:rPr>
        <w:t>Infra</w:t>
      </w:r>
      <w:r>
        <w:t xml:space="preserve"> Appx. A, 47 CFR § 61.3(</w:t>
      </w:r>
      <w:r>
        <w:t>bbb</w:t>
      </w:r>
      <w:r>
        <w:t>)(1)(ii)-(iii).</w:t>
      </w:r>
    </w:p>
  </w:footnote>
  <w:footnote w:id="139">
    <w:p w:rsidR="00844D1E" w:rsidP="00EB312D">
      <w:pPr>
        <w:pStyle w:val="FootnoteText"/>
      </w:pPr>
      <w:r>
        <w:rPr>
          <w:rStyle w:val="FootnoteReference"/>
        </w:rPr>
        <w:footnoteRef/>
      </w:r>
      <w:r>
        <w:t xml:space="preserve"> AT&amp;T Feb. 5, 2019 </w:t>
      </w:r>
      <w:r>
        <w:rPr>
          <w:i/>
        </w:rPr>
        <w:t xml:space="preserve">Ex </w:t>
      </w:r>
      <w:r w:rsidRPr="00523E39">
        <w:rPr>
          <w:i/>
        </w:rPr>
        <w:t>Parte</w:t>
      </w:r>
      <w:r>
        <w:t xml:space="preserve"> at 2; </w:t>
      </w:r>
      <w:r>
        <w:t>Inteliquent</w:t>
      </w:r>
      <w:r>
        <w:t xml:space="preserve"> Apr. 18, 2019 </w:t>
      </w:r>
      <w:r w:rsidRPr="00CA78BA">
        <w:rPr>
          <w:i/>
        </w:rPr>
        <w:t>Ex Parte</w:t>
      </w:r>
      <w:r>
        <w:t xml:space="preserve"> Attach. at 4 (asking the Commission to eliminate revenue sharing as a trigger).</w:t>
      </w:r>
    </w:p>
  </w:footnote>
  <w:footnote w:id="140">
    <w:p w:rsidR="00844D1E" w:rsidP="00EB312D">
      <w:pPr>
        <w:pStyle w:val="FootnoteText"/>
      </w:pPr>
      <w:r>
        <w:rPr>
          <w:rStyle w:val="FootnoteReference"/>
        </w:rPr>
        <w:footnoteRef/>
      </w:r>
      <w:r>
        <w:t xml:space="preserve"> </w:t>
      </w:r>
      <w:bookmarkStart w:id="325" w:name="_Hlk16664703"/>
      <w:r>
        <w:t xml:space="preserve">NTCA Comments at 7 (“But just because some entities continue to engage in such practices does not mean the rule has been ineffective in </w:t>
      </w:r>
      <w:r>
        <w:rPr>
          <w:i/>
        </w:rPr>
        <w:t>identifying</w:t>
      </w:r>
      <w:r>
        <w:t xml:space="preserve"> them</w:t>
      </w:r>
      <w:r w:rsidRPr="00AC09DF">
        <w:t>.” (e</w:t>
      </w:r>
      <w:r>
        <w:t>mphasis in origina</w:t>
      </w:r>
      <w:r w:rsidRPr="00AC09DF">
        <w:t>l)); N</w:t>
      </w:r>
      <w:r>
        <w:t>TCA Reply at 5-6; Joint CLEC Comments at 1 (stating that the Joint CLECs “participate in access stimulation as defined by the Commission’s rules”).</w:t>
      </w:r>
      <w:bookmarkEnd w:id="325"/>
    </w:p>
  </w:footnote>
  <w:footnote w:id="141">
    <w:p w:rsidR="00844D1E" w:rsidP="00EB312D">
      <w:pPr>
        <w:pStyle w:val="FootnoteText"/>
      </w:pPr>
      <w:r>
        <w:rPr>
          <w:rStyle w:val="FootnoteReference"/>
        </w:rPr>
        <w:footnoteRef/>
      </w:r>
      <w:r>
        <w:t xml:space="preserve"> </w:t>
      </w:r>
      <w:r w:rsidRPr="001B51B1">
        <w:t>For purposes of</w:t>
      </w:r>
      <w:r>
        <w:t xml:space="preserve"> analyzing a LEC’s determination of whether traffic is originating or terminating traffic</w:t>
      </w:r>
      <w:r w:rsidRPr="001B51B1">
        <w:t xml:space="preserve">, </w:t>
      </w:r>
      <w:r>
        <w:t>we</w:t>
      </w:r>
      <w:r w:rsidRPr="001B51B1">
        <w:t xml:space="preserve"> will rely on</w:t>
      </w:r>
      <w:r>
        <w:t xml:space="preserve"> the</w:t>
      </w:r>
      <w:r w:rsidRPr="001B51B1">
        <w:t xml:space="preserve"> traditional “end-to-end” analysis which “considers the continuous path of</w:t>
      </w:r>
      <w:r>
        <w:t xml:space="preserve"> </w:t>
      </w:r>
      <w:r w:rsidRPr="001B51B1">
        <w:t>communications, beginning with the end point at the inception of a communication to the end point</w:t>
      </w:r>
      <w:r>
        <w:t xml:space="preserve"> </w:t>
      </w:r>
      <w:r w:rsidRPr="001B51B1">
        <w:t>at its completion.”</w:t>
      </w:r>
      <w:r>
        <w:t xml:space="preserve">  </w:t>
      </w:r>
      <w:r w:rsidRPr="001B51B1">
        <w:rPr>
          <w:i/>
          <w:iCs/>
        </w:rPr>
        <w:t>Vonage Holdings Corporation Petition for Declaratory Ruling Concerning an Order of the Minnesota</w:t>
      </w:r>
      <w:r>
        <w:rPr>
          <w:i/>
          <w:iCs/>
        </w:rPr>
        <w:t xml:space="preserve"> </w:t>
      </w:r>
      <w:r w:rsidRPr="001B51B1">
        <w:rPr>
          <w:i/>
          <w:iCs/>
        </w:rPr>
        <w:t>Public Utilities Commission</w:t>
      </w:r>
      <w:r w:rsidRPr="001B51B1">
        <w:t xml:space="preserve">, Memorandum Opinion and Order, 19 FCC </w:t>
      </w:r>
      <w:r w:rsidRPr="001B51B1">
        <w:t>Rcd</w:t>
      </w:r>
      <w:r w:rsidRPr="001B51B1">
        <w:t xml:space="preserve"> 22404, 22413, para.</w:t>
      </w:r>
      <w:r>
        <w:t xml:space="preserve"> </w:t>
      </w:r>
      <w:r w:rsidRPr="001B51B1">
        <w:t xml:space="preserve">17 (2004); </w:t>
      </w:r>
      <w:r w:rsidRPr="001B51B1">
        <w:rPr>
          <w:i/>
          <w:iCs/>
        </w:rPr>
        <w:t>see</w:t>
      </w:r>
      <w:r w:rsidRPr="00BD6F28">
        <w:rPr>
          <w:i/>
        </w:rPr>
        <w:t>,</w:t>
      </w:r>
      <w:r w:rsidRPr="001B51B1">
        <w:rPr>
          <w:i/>
          <w:iCs/>
        </w:rPr>
        <w:t xml:space="preserve"> e.g</w:t>
      </w:r>
      <w:r w:rsidRPr="001B51B1">
        <w:t xml:space="preserve">., </w:t>
      </w:r>
      <w:r w:rsidRPr="001B51B1">
        <w:rPr>
          <w:i/>
          <w:iCs/>
        </w:rPr>
        <w:t>AT&amp;T Corp., Petition for Declaratory Ruling Regarding Enhanced Prepaid</w:t>
      </w:r>
      <w:r>
        <w:rPr>
          <w:i/>
          <w:iCs/>
        </w:rPr>
        <w:t xml:space="preserve"> </w:t>
      </w:r>
      <w:r w:rsidRPr="001B51B1">
        <w:rPr>
          <w:i/>
          <w:iCs/>
        </w:rPr>
        <w:t>Calling Card Services</w:t>
      </w:r>
      <w:r w:rsidRPr="001B51B1">
        <w:t xml:space="preserve">, Order and Notice of Proposed Rulemaking, 20 FCC </w:t>
      </w:r>
      <w:r w:rsidRPr="001B51B1">
        <w:t>Rcd</w:t>
      </w:r>
      <w:r w:rsidRPr="001B51B1">
        <w:t xml:space="preserve"> 4826, 4834 (2005)</w:t>
      </w:r>
      <w:r>
        <w:t xml:space="preserve"> </w:t>
      </w:r>
      <w:r w:rsidRPr="001B51B1">
        <w:t>(applying the end-to-end analysis to calling card platforms)</w:t>
      </w:r>
      <w:r>
        <w:t xml:space="preserve">; </w:t>
      </w:r>
      <w:r w:rsidRPr="00586813">
        <w:rPr>
          <w:i/>
        </w:rPr>
        <w:t>see also</w:t>
      </w:r>
      <w:r>
        <w:t xml:space="preserve"> Letter from Todd D. Daubert, Counsel to T-Mobile USA, Inc., to Marlene Dortch, Secretary, FCC, WC Docket No. 18-155, at 1 (filed Sept. 11, 2019); Letter from Alan </w:t>
      </w:r>
      <w:r>
        <w:t>Buzacott</w:t>
      </w:r>
      <w:r>
        <w:t>, Executive Director, Federal Regulatory and Legal Affairs, Verizon, to Marlene Dortch, Secretary, FCC, WC Docket No. 18-155, at 1 (filed Sept. 17, 2019)</w:t>
      </w:r>
      <w:r w:rsidRPr="001B51B1">
        <w:t>.</w:t>
      </w:r>
      <w:r>
        <w:t xml:space="preserve">  By adopting two alternate tests </w:t>
      </w:r>
      <w:r w:rsidRPr="00D7705E">
        <w:t>without revenue sharing</w:t>
      </w:r>
      <w:r>
        <w:t xml:space="preserve"> requirements</w:t>
      </w:r>
      <w:r w:rsidRPr="00D7705E">
        <w:t xml:space="preserve">, </w:t>
      </w:r>
      <w:r>
        <w:t xml:space="preserve">we </w:t>
      </w:r>
      <w:r w:rsidRPr="00D7705E">
        <w:t>obviat</w:t>
      </w:r>
      <w:r>
        <w:t>e</w:t>
      </w:r>
      <w:r w:rsidRPr="00D7705E">
        <w:t xml:space="preserve"> Wide Voice’s concern that LECs will simply adjust to our definition by “</w:t>
      </w:r>
      <w:r w:rsidRPr="00D7705E">
        <w:t>ceas</w:t>
      </w:r>
      <w:r w:rsidRPr="00D7705E">
        <w:t>[</w:t>
      </w:r>
      <w:r w:rsidRPr="00D7705E">
        <w:t>ing</w:t>
      </w:r>
      <w:r w:rsidRPr="00D7705E">
        <w:t xml:space="preserve">] revenue sharing, thus rendering much of this NPRM meaningless.”  </w:t>
      </w:r>
      <w:r w:rsidRPr="008D1DA2">
        <w:rPr>
          <w:i/>
        </w:rPr>
        <w:t>See</w:t>
      </w:r>
      <w:r w:rsidRPr="00D7705E">
        <w:t xml:space="preserve"> Wide Voice Comments at 11</w:t>
      </w:r>
      <w:r>
        <w:t>.</w:t>
      </w:r>
    </w:p>
  </w:footnote>
  <w:footnote w:id="142">
    <w:p w:rsidR="00844D1E" w:rsidP="00EB312D">
      <w:pPr>
        <w:pStyle w:val="FootnoteText"/>
      </w:pPr>
      <w:r>
        <w:rPr>
          <w:rStyle w:val="FootnoteReference"/>
        </w:rPr>
        <w:footnoteRef/>
      </w:r>
      <w:r>
        <w:t xml:space="preserve"> </w:t>
      </w:r>
      <w:r w:rsidRPr="00FB46C2">
        <w:rPr>
          <w:i/>
        </w:rPr>
        <w:t>See</w:t>
      </w:r>
      <w:r w:rsidRPr="00D57292">
        <w:rPr>
          <w:i/>
        </w:rPr>
        <w:t>,</w:t>
      </w:r>
      <w:r>
        <w:t xml:space="preserve"> </w:t>
      </w:r>
      <w:r>
        <w:rPr>
          <w:i/>
        </w:rPr>
        <w:t>e</w:t>
      </w:r>
      <w:r w:rsidRPr="00FF707E">
        <w:rPr>
          <w:i/>
        </w:rPr>
        <w:t>.g.</w:t>
      </w:r>
      <w:r>
        <w:t xml:space="preserve">, </w:t>
      </w:r>
      <w:r w:rsidRPr="00792AE9">
        <w:rPr>
          <w:i/>
        </w:rPr>
        <w:t>USF/ICC Transformation Order</w:t>
      </w:r>
      <w:r>
        <w:t xml:space="preserve">, 26 FCC </w:t>
      </w:r>
      <w:r>
        <w:t>Rcd</w:t>
      </w:r>
      <w:r>
        <w:t xml:space="preserve"> at 17878, paras. 669-71.</w:t>
      </w:r>
    </w:p>
  </w:footnote>
  <w:footnote w:id="143">
    <w:p w:rsidR="00844D1E" w:rsidP="00EB312D">
      <w:pPr>
        <w:pStyle w:val="FootnoteText"/>
      </w:pPr>
      <w:r>
        <w:rPr>
          <w:rStyle w:val="FootnoteReference"/>
        </w:rPr>
        <w:footnoteRef/>
      </w:r>
      <w:r>
        <w:t xml:space="preserve"> </w:t>
      </w:r>
      <w:r>
        <w:t>Teliax</w:t>
      </w:r>
      <w:r>
        <w:t xml:space="preserve"> Comments at 14.</w:t>
      </w:r>
    </w:p>
  </w:footnote>
  <w:footnote w:id="144">
    <w:p w:rsidR="00844D1E" w:rsidP="00EB312D">
      <w:pPr>
        <w:pStyle w:val="FootnoteText"/>
      </w:pPr>
      <w:r>
        <w:rPr>
          <w:rStyle w:val="FootnoteReference"/>
        </w:rPr>
        <w:footnoteRef/>
      </w:r>
      <w:r>
        <w:t xml:space="preserve"> </w:t>
      </w:r>
      <w:r>
        <w:t>Inteliquent</w:t>
      </w:r>
      <w:r>
        <w:t xml:space="preserve"> </w:t>
      </w:r>
      <w:r w:rsidRPr="00D33B96">
        <w:t>Apr. 1</w:t>
      </w:r>
      <w:r>
        <w:t>8</w:t>
      </w:r>
      <w:r w:rsidRPr="00D33B96">
        <w:t xml:space="preserve">, 2019 </w:t>
      </w:r>
      <w:r w:rsidRPr="00D33B96">
        <w:rPr>
          <w:i/>
        </w:rPr>
        <w:t>Ex P</w:t>
      </w:r>
      <w:r w:rsidRPr="00252F57">
        <w:rPr>
          <w:i/>
        </w:rPr>
        <w:t>arte</w:t>
      </w:r>
      <w:r>
        <w:t xml:space="preserve"> Attach. at 22; </w:t>
      </w:r>
      <w:r w:rsidRPr="009B42F9">
        <w:rPr>
          <w:i/>
        </w:rPr>
        <w:t>see also</w:t>
      </w:r>
      <w:r>
        <w:t xml:space="preserve"> Letter from Matthew DelNero and Thomas Parisi, Counsel to </w:t>
      </w:r>
      <w:r>
        <w:t>Inteliquent</w:t>
      </w:r>
      <w:r>
        <w:t xml:space="preserve">, to Marlene Dortch, Secretary, FCC, WC Docket No. 18-155 (filed Aug. 30, 2019).  </w:t>
      </w:r>
    </w:p>
  </w:footnote>
  <w:footnote w:id="145">
    <w:p w:rsidR="00844D1E" w:rsidP="00EB312D">
      <w:pPr>
        <w:pStyle w:val="FootnoteText"/>
      </w:pPr>
      <w:r>
        <w:rPr>
          <w:rStyle w:val="FootnoteReference"/>
        </w:rPr>
        <w:footnoteRef/>
      </w:r>
      <w:r>
        <w:t xml:space="preserve"> Letter from Andrew Nickerson, CEO, Wide Voice, LLC, to Marlene Dortch, Secretary, FCC, WC Docket No. 18-1</w:t>
      </w:r>
      <w:r w:rsidRPr="007545A7">
        <w:t>55</w:t>
      </w:r>
      <w:r>
        <w:t xml:space="preserve">, at 3 (filed Aug. 26, 2019) (Wide Voice Aug. 26, 2019 </w:t>
      </w:r>
      <w:r w:rsidRPr="000A1A30">
        <w:rPr>
          <w:i/>
        </w:rPr>
        <w:t>Ex Parte</w:t>
      </w:r>
      <w:r>
        <w:t xml:space="preserve">).  </w:t>
      </w:r>
    </w:p>
  </w:footnote>
  <w:footnote w:id="146">
    <w:p w:rsidR="00844D1E" w:rsidRPr="003751EC" w:rsidP="00EB312D">
      <w:pPr>
        <w:pStyle w:val="FootnoteText"/>
      </w:pPr>
      <w:r>
        <w:rPr>
          <w:rStyle w:val="FootnoteReference"/>
        </w:rPr>
        <w:footnoteRef/>
      </w:r>
      <w:r>
        <w:t xml:space="preserve"> Wide Voice Sept. 16, 2019 </w:t>
      </w:r>
      <w:r>
        <w:rPr>
          <w:i/>
        </w:rPr>
        <w:t>Ex Parte</w:t>
      </w:r>
      <w:r>
        <w:t xml:space="preserve"> Response at 1; </w:t>
      </w:r>
      <w:r>
        <w:rPr>
          <w:i/>
        </w:rPr>
        <w:t xml:space="preserve">see also </w:t>
      </w:r>
      <w:r>
        <w:t xml:space="preserve">HD Tandem Sept. 16, 2019 </w:t>
      </w:r>
      <w:r>
        <w:rPr>
          <w:i/>
        </w:rPr>
        <w:t xml:space="preserve">Ex Parte </w:t>
      </w:r>
      <w:r>
        <w:t xml:space="preserve">at 2-3. </w:t>
      </w:r>
    </w:p>
  </w:footnote>
  <w:footnote w:id="147">
    <w:p w:rsidR="00844D1E" w:rsidRPr="00006D74" w:rsidP="00EB312D">
      <w:pPr>
        <w:pStyle w:val="FootnoteText"/>
      </w:pPr>
      <w:r>
        <w:rPr>
          <w:rStyle w:val="FootnoteReference"/>
        </w:rPr>
        <w:footnoteRef/>
      </w:r>
      <w:r>
        <w:t xml:space="preserve"> Sprint Sept. 3, 2019 </w:t>
      </w:r>
      <w:r>
        <w:rPr>
          <w:i/>
        </w:rPr>
        <w:t xml:space="preserve">Ex Parte </w:t>
      </w:r>
      <w:r>
        <w:t xml:space="preserve">Attach. (Proposed Rule Modifications). </w:t>
      </w:r>
    </w:p>
  </w:footnote>
  <w:footnote w:id="148">
    <w:p w:rsidR="00844D1E" w:rsidRPr="00E22731" w:rsidP="00EB312D">
      <w:pPr>
        <w:pStyle w:val="FootnoteText"/>
      </w:pPr>
      <w:r>
        <w:rPr>
          <w:rStyle w:val="FootnoteReference"/>
        </w:rPr>
        <w:footnoteRef/>
      </w:r>
      <w:r>
        <w:t xml:space="preserve"> NTCA Sept. 11, 2019 </w:t>
      </w:r>
      <w:r>
        <w:rPr>
          <w:i/>
        </w:rPr>
        <w:t xml:space="preserve">Ex Parte </w:t>
      </w:r>
      <w:r>
        <w:t xml:space="preserve">at 1-2.  HD Tandem concurs with NTCA’s concern.  HD Tandem Sept. 16, 2019 </w:t>
      </w:r>
      <w:r>
        <w:rPr>
          <w:i/>
        </w:rPr>
        <w:t>Ex Parte</w:t>
      </w:r>
      <w:r>
        <w:t xml:space="preserve"> at 3; </w:t>
      </w:r>
      <w:r w:rsidRPr="006956AF">
        <w:rPr>
          <w:i/>
        </w:rPr>
        <w:t>see also</w:t>
      </w:r>
      <w:r>
        <w:t xml:space="preserve"> </w:t>
      </w:r>
      <w:r w:rsidRPr="001F167B">
        <w:t>Letter from D</w:t>
      </w:r>
      <w:r>
        <w:t xml:space="preserve">errick B. Owens and Gerard J. Duffy, Counsel to </w:t>
      </w:r>
      <w:r>
        <w:rPr>
          <w:iCs/>
        </w:rPr>
        <w:t>WTA</w:t>
      </w:r>
      <w:r>
        <w:t xml:space="preserve">–Advocates for Rural Broadband, to Marlene Dortch, Secretary, FCC, WC Docket No. 18-155, at 1 (filed Sept. 18, 2019) (WTA Sept. 18, 2019 </w:t>
      </w:r>
      <w:r>
        <w:rPr>
          <w:i/>
          <w:iCs/>
        </w:rPr>
        <w:t>Ex Parte</w:t>
      </w:r>
      <w:r>
        <w:rPr>
          <w:iCs/>
        </w:rPr>
        <w:t xml:space="preserve">); </w:t>
      </w:r>
      <w:r>
        <w:t xml:space="preserve">Letter from Michael Romano, Senior Vice President, Industry Affairs &amp; Business Development, NTCA, to Marlene Dortch, Secretary, FCC, WC Docket No. 18-155, at 1 (filed Sept. 17, 2019) (NTCA Sept. </w:t>
      </w:r>
      <w:r w:rsidRPr="004740C3">
        <w:t xml:space="preserve">17, 2019 </w:t>
      </w:r>
      <w:r w:rsidRPr="004740C3">
        <w:rPr>
          <w:i/>
        </w:rPr>
        <w:t>Ex Parte</w:t>
      </w:r>
      <w:r>
        <w:rPr>
          <w:iCs/>
        </w:rPr>
        <w:t>)</w:t>
      </w:r>
      <w:r>
        <w:t xml:space="preserve">.  </w:t>
      </w:r>
    </w:p>
  </w:footnote>
  <w:footnote w:id="149">
    <w:p w:rsidR="00844D1E" w:rsidRPr="002220CE" w:rsidP="00EB312D">
      <w:pPr>
        <w:widowControl/>
        <w:autoSpaceDE w:val="0"/>
        <w:autoSpaceDN w:val="0"/>
        <w:adjustRightInd w:val="0"/>
        <w:spacing w:after="120"/>
        <w:rPr>
          <w:sz w:val="20"/>
        </w:rPr>
      </w:pPr>
      <w:r>
        <w:rPr>
          <w:rStyle w:val="FootnoteReference"/>
        </w:rPr>
        <w:footnoteRef/>
      </w:r>
      <w:r w:rsidRPr="00C17942">
        <w:rPr>
          <w:sz w:val="20"/>
        </w:rPr>
        <w:t xml:space="preserve"> </w:t>
      </w:r>
      <w:r w:rsidRPr="002220CE">
        <w:rPr>
          <w:sz w:val="20"/>
        </w:rPr>
        <w:t>NTCA Sep</w:t>
      </w:r>
      <w:r>
        <w:rPr>
          <w:sz w:val="20"/>
        </w:rPr>
        <w:t>t</w:t>
      </w:r>
      <w:r w:rsidRPr="002220CE">
        <w:rPr>
          <w:sz w:val="20"/>
        </w:rPr>
        <w:t>. 11, 2019</w:t>
      </w:r>
      <w:r w:rsidRPr="002220CE">
        <w:rPr>
          <w:i/>
          <w:sz w:val="20"/>
        </w:rPr>
        <w:t xml:space="preserve"> Ex Parte</w:t>
      </w:r>
      <w:r w:rsidRPr="002220CE">
        <w:rPr>
          <w:sz w:val="20"/>
        </w:rPr>
        <w:t xml:space="preserve"> at 5;</w:t>
      </w:r>
      <w:r>
        <w:rPr>
          <w:sz w:val="20"/>
        </w:rPr>
        <w:t xml:space="preserve"> NTCA and AT&amp;T Sept. 20, 2019 </w:t>
      </w:r>
      <w:r>
        <w:rPr>
          <w:i/>
          <w:sz w:val="20"/>
        </w:rPr>
        <w:t xml:space="preserve">Ex Parte </w:t>
      </w:r>
      <w:r>
        <w:rPr>
          <w:sz w:val="20"/>
        </w:rPr>
        <w:t>at 1.</w:t>
      </w:r>
    </w:p>
  </w:footnote>
  <w:footnote w:id="150">
    <w:p w:rsidR="00844D1E" w:rsidP="00EB312D">
      <w:pPr>
        <w:pStyle w:val="FootnoteText"/>
      </w:pPr>
      <w:r>
        <w:rPr>
          <w:rStyle w:val="FootnoteReference"/>
        </w:rPr>
        <w:footnoteRef/>
      </w:r>
      <w:r>
        <w:t xml:space="preserve"> </w:t>
      </w:r>
      <w:r w:rsidRPr="000967A8">
        <w:t>NTCA Sep</w:t>
      </w:r>
      <w:r>
        <w:t>t</w:t>
      </w:r>
      <w:r w:rsidRPr="000967A8">
        <w:t xml:space="preserve">. </w:t>
      </w:r>
      <w:r>
        <w:t>11</w:t>
      </w:r>
      <w:r w:rsidRPr="000967A8">
        <w:t>, 2019</w:t>
      </w:r>
      <w:r>
        <w:rPr>
          <w:i/>
        </w:rPr>
        <w:t xml:space="preserve"> Ex Parte</w:t>
      </w:r>
      <w:r>
        <w:t xml:space="preserve"> at 3 </w:t>
      </w:r>
      <w:r w:rsidRPr="002220CE">
        <w:t>(“</w:t>
      </w:r>
      <w:r>
        <w:t>[A]</w:t>
      </w:r>
      <w:r w:rsidRPr="002220CE">
        <w:t>s providers offer more VoIP services or other</w:t>
      </w:r>
      <w:r>
        <w:t xml:space="preserve"> </w:t>
      </w:r>
      <w:r w:rsidRPr="002220CE">
        <w:t xml:space="preserve">customized </w:t>
      </w:r>
      <w:r w:rsidRPr="002220CE">
        <w:t>long distance</w:t>
      </w:r>
      <w:r w:rsidRPr="002220CE">
        <w:t xml:space="preserve"> calling services, outbound calls may be originated through direct</w:t>
      </w:r>
      <w:r>
        <w:t xml:space="preserve"> </w:t>
      </w:r>
      <w:r w:rsidRPr="002220CE">
        <w:t>handoffs to cloud-based or other third-party providers without appearing as originating access</w:t>
      </w:r>
      <w:r>
        <w:t xml:space="preserve"> </w:t>
      </w:r>
      <w:r w:rsidRPr="002220CE">
        <w:t xml:space="preserve">traffic. </w:t>
      </w:r>
      <w:r>
        <w:t xml:space="preserve"> </w:t>
      </w:r>
      <w:r w:rsidRPr="002220CE">
        <w:t>At the same time, terminating calls in that circumstance would continue to be routed per</w:t>
      </w:r>
      <w:r>
        <w:t xml:space="preserve"> </w:t>
      </w:r>
      <w:r w:rsidRPr="002220CE">
        <w:t>the routing guides to the homed tandem and subtending end office (and thus appear as terminating access traffic).</w:t>
      </w:r>
      <w:r>
        <w:t>”</w:t>
      </w:r>
      <w:r w:rsidRPr="002220CE">
        <w:t>)</w:t>
      </w:r>
      <w:r>
        <w:t>.</w:t>
      </w:r>
    </w:p>
  </w:footnote>
  <w:footnote w:id="151">
    <w:p w:rsidR="00844D1E" w:rsidP="00EB312D">
      <w:pPr>
        <w:pStyle w:val="FootnoteText"/>
      </w:pPr>
      <w:r>
        <w:rPr>
          <w:rStyle w:val="FootnoteReference"/>
        </w:rPr>
        <w:footnoteRef/>
      </w:r>
      <w:r>
        <w:t xml:space="preserve"> </w:t>
      </w:r>
      <w:r w:rsidRPr="00734F7E">
        <w:rPr>
          <w:i/>
        </w:rPr>
        <w:t>Voice Telephone Services Report–June 2017</w:t>
      </w:r>
      <w:r>
        <w:t xml:space="preserve"> at *2, Fig. 1.</w:t>
      </w:r>
    </w:p>
  </w:footnote>
  <w:footnote w:id="152">
    <w:p w:rsidR="00844D1E" w:rsidP="00EB312D">
      <w:pPr>
        <w:pStyle w:val="FootnoteText"/>
      </w:pPr>
      <w:r>
        <w:rPr>
          <w:rStyle w:val="FootnoteReference"/>
        </w:rPr>
        <w:footnoteRef/>
      </w:r>
      <w:r>
        <w:t xml:space="preserve"> NTCA Sept. 11, 2019 </w:t>
      </w:r>
      <w:r w:rsidRPr="002220CE">
        <w:rPr>
          <w:i/>
        </w:rPr>
        <w:t>Ex Parte</w:t>
      </w:r>
      <w:r>
        <w:t xml:space="preserve"> at 2.</w:t>
      </w:r>
    </w:p>
  </w:footnote>
  <w:footnote w:id="153">
    <w:p w:rsidR="00844D1E" w:rsidRPr="00A35249" w:rsidP="00EB312D">
      <w:pPr>
        <w:spacing w:after="120"/>
      </w:pPr>
      <w:r>
        <w:rPr>
          <w:rStyle w:val="FootnoteReference"/>
        </w:rPr>
        <w:footnoteRef/>
      </w:r>
      <w:r w:rsidRPr="00C17942">
        <w:rPr>
          <w:sz w:val="20"/>
        </w:rPr>
        <w:t xml:space="preserve"> </w:t>
      </w:r>
      <w:r w:rsidRPr="00CD41AE">
        <w:rPr>
          <w:sz w:val="20"/>
        </w:rPr>
        <w:t xml:space="preserve">NTCA June 4, 2019 </w:t>
      </w:r>
      <w:r w:rsidRPr="00CD41AE">
        <w:rPr>
          <w:i/>
          <w:sz w:val="20"/>
        </w:rPr>
        <w:t>Ex Parte</w:t>
      </w:r>
      <w:r w:rsidRPr="00CD41AE">
        <w:rPr>
          <w:sz w:val="20"/>
        </w:rPr>
        <w:t xml:space="preserve"> at 2;</w:t>
      </w:r>
      <w:r w:rsidRPr="00C17942">
        <w:rPr>
          <w:sz w:val="20"/>
        </w:rPr>
        <w:t xml:space="preserve"> </w:t>
      </w:r>
      <w:r>
        <w:rPr>
          <w:sz w:val="20"/>
        </w:rPr>
        <w:t xml:space="preserve">Letter from Matthew S. DelNero and Thomas G. Parisi, Counsel to </w:t>
      </w:r>
      <w:r>
        <w:rPr>
          <w:sz w:val="20"/>
        </w:rPr>
        <w:t>Inteliquent</w:t>
      </w:r>
      <w:r>
        <w:rPr>
          <w:sz w:val="20"/>
        </w:rPr>
        <w:t>, Inc., to Marlene Dortch, Secretary, FCC, WC Docket No. 18-155, at 2 (filed Sept. 16, 2019) (</w:t>
      </w:r>
      <w:r>
        <w:rPr>
          <w:sz w:val="20"/>
        </w:rPr>
        <w:t>Inteliquent</w:t>
      </w:r>
      <w:r>
        <w:rPr>
          <w:sz w:val="20"/>
        </w:rPr>
        <w:t xml:space="preserve"> Sept. 16, 2019 </w:t>
      </w:r>
      <w:r>
        <w:rPr>
          <w:i/>
          <w:iCs/>
          <w:sz w:val="20"/>
        </w:rPr>
        <w:t>Ex Parte</w:t>
      </w:r>
      <w:r>
        <w:rPr>
          <w:iCs/>
          <w:sz w:val="20"/>
        </w:rPr>
        <w:t>).</w:t>
      </w:r>
    </w:p>
  </w:footnote>
  <w:footnote w:id="154">
    <w:p w:rsidR="00844D1E" w:rsidP="00EB312D">
      <w:pPr>
        <w:pStyle w:val="FootnoteText"/>
      </w:pPr>
      <w:r>
        <w:rPr>
          <w:rStyle w:val="FootnoteReference"/>
        </w:rPr>
        <w:footnoteRef/>
      </w:r>
      <w:r>
        <w:t xml:space="preserve"> NTCA Sept. 17, 2019 </w:t>
      </w:r>
      <w:r>
        <w:rPr>
          <w:i/>
        </w:rPr>
        <w:t xml:space="preserve">Ex Parte </w:t>
      </w:r>
      <w:r>
        <w:t xml:space="preserve">at 2; </w:t>
      </w:r>
      <w:r>
        <w:rPr>
          <w:i/>
        </w:rPr>
        <w:t xml:space="preserve">see also </w:t>
      </w:r>
      <w:r>
        <w:t xml:space="preserve">NTCA Sept. 11, 2019 </w:t>
      </w:r>
      <w:r w:rsidRPr="002220CE">
        <w:rPr>
          <w:i/>
        </w:rPr>
        <w:t>Ex Parte</w:t>
      </w:r>
      <w:r>
        <w:t xml:space="preserve"> at 2; Letter from Todd </w:t>
      </w:r>
      <w:r>
        <w:t>Twete</w:t>
      </w:r>
      <w:r>
        <w:t xml:space="preserve">, </w:t>
      </w:r>
      <w:r>
        <w:t>TeleSphere</w:t>
      </w:r>
      <w:r>
        <w:t xml:space="preserve"> Software, Inc. dba KADENCE, to Marlene Dortch, Secretary, FCC, WC Docket No. 18-155, at 1 (filed Sept. 18, 2019) (KADENCE Sept. 18, 2019 </w:t>
      </w:r>
      <w:r w:rsidRPr="00DB5ADC">
        <w:rPr>
          <w:i/>
        </w:rPr>
        <w:t>Ex Parte</w:t>
      </w:r>
      <w:r>
        <w:rPr>
          <w:iCs/>
        </w:rPr>
        <w:t>)</w:t>
      </w:r>
      <w:r>
        <w:t xml:space="preserve"> (stating that some of their customers may exceed the 6:1 ratio, and those customers are not intentionally undertaking access stimulation practices); Letter from Jon D. Jones, Data Tech, Inc., to Marlene Dortch, Secretary, FCC, WC Docket No. 18-155, at 1 (filed Sept. 17, 2019) (Data Tech Sept. 17, 2019 </w:t>
      </w:r>
      <w:r>
        <w:rPr>
          <w:i/>
          <w:iCs/>
        </w:rPr>
        <w:t>Ex Parte</w:t>
      </w:r>
      <w:r>
        <w:rPr>
          <w:iCs/>
        </w:rPr>
        <w:t>)</w:t>
      </w:r>
      <w:r>
        <w:t xml:space="preserve">. </w:t>
      </w:r>
    </w:p>
  </w:footnote>
  <w:footnote w:id="155">
    <w:p w:rsidR="00844D1E" w:rsidP="00EB312D">
      <w:pPr>
        <w:pStyle w:val="FootnoteText"/>
      </w:pPr>
      <w:r>
        <w:rPr>
          <w:rStyle w:val="FootnoteReference"/>
        </w:rPr>
        <w:footnoteRef/>
      </w:r>
      <w:r>
        <w:t xml:space="preserve"> NTCA and AT&amp;T Sept. 20, 2019 </w:t>
      </w:r>
      <w:r w:rsidRPr="00904CBE">
        <w:rPr>
          <w:i/>
        </w:rPr>
        <w:t>Ex Parte</w:t>
      </w:r>
      <w:r>
        <w:t xml:space="preserve"> at 1.</w:t>
      </w:r>
    </w:p>
  </w:footnote>
  <w:footnote w:id="156">
    <w:p w:rsidR="00844D1E" w:rsidP="00EB312D">
      <w:pPr>
        <w:pStyle w:val="FootnoteText"/>
      </w:pPr>
      <w:r>
        <w:rPr>
          <w:rStyle w:val="FootnoteReference"/>
        </w:rPr>
        <w:footnoteRef/>
      </w:r>
      <w:r>
        <w:t xml:space="preserve"> NTCA Sept. 11, 2019 </w:t>
      </w:r>
      <w:r w:rsidRPr="002220CE">
        <w:rPr>
          <w:i/>
        </w:rPr>
        <w:t>Ex Parte</w:t>
      </w:r>
      <w:r>
        <w:t xml:space="preserve"> at 2; NTCA and AT&amp;T Sept. 20, 2019 </w:t>
      </w:r>
      <w:r w:rsidRPr="00404177">
        <w:rPr>
          <w:i/>
        </w:rPr>
        <w:t>Ex Parte</w:t>
      </w:r>
      <w:r>
        <w:t xml:space="preserve"> at 1.</w:t>
      </w:r>
    </w:p>
  </w:footnote>
  <w:footnote w:id="157">
    <w:p w:rsidR="00844D1E" w:rsidP="00EB312D">
      <w:pPr>
        <w:pStyle w:val="FootnoteText"/>
      </w:pPr>
      <w:r>
        <w:rPr>
          <w:rStyle w:val="FootnoteReference"/>
        </w:rPr>
        <w:footnoteRef/>
      </w:r>
      <w:r>
        <w:t xml:space="preserve"> NTCA and AT&amp;T Sept. 20, 2019 </w:t>
      </w:r>
      <w:r w:rsidRPr="00404177">
        <w:rPr>
          <w:i/>
        </w:rPr>
        <w:t>Ex Parte</w:t>
      </w:r>
      <w:r>
        <w:t xml:space="preserve"> at 1.  Wide Voice asserts that two Carrier Access Billing System (CABS) companies state that their competitive LEC and rate-of-return LEC customers have an overall terminating-to-originating traffic ratio of 10:1 and 20:1</w:t>
      </w:r>
      <w:r>
        <w:t>.  Wide</w:t>
      </w:r>
      <w:r>
        <w:t xml:space="preserve"> Voice Sept. 16, 2019 </w:t>
      </w:r>
      <w:r w:rsidRPr="001D31E6">
        <w:rPr>
          <w:i/>
        </w:rPr>
        <w:t>Ex Parte</w:t>
      </w:r>
      <w:r>
        <w:t xml:space="preserve"> Response at 3.  However, it is unclear what traffic was measured.  Wide Voice does not indicate whether the traffic was just interstate traffic, as is required by the access stimulation definition.  Also, because the data was provided by CABS companies, it seems likely that the traffic measured was billed minutes not actual minutes.  This possibility is supported by Wide Voice’s remark that LECs are moving away from the “access regime.”  </w:t>
      </w:r>
      <w:r w:rsidRPr="001D31E6">
        <w:rPr>
          <w:i/>
        </w:rPr>
        <w:t>Id.</w:t>
      </w:r>
      <w:r>
        <w:t xml:space="preserve">  That is, the ratios may represent billed minutes for access charges, and not include minutes that are billed on a non-tariffed basis.  Thus, these ratios may not reflect actual interstate minutes of usage, and, therefore, are irrelevant to this discussion about the appropriate traffic ratios.</w:t>
      </w:r>
    </w:p>
  </w:footnote>
  <w:footnote w:id="158">
    <w:p w:rsidR="00844D1E" w:rsidRPr="00993463" w:rsidP="00EB312D">
      <w:pPr>
        <w:rPr>
          <w:sz w:val="20"/>
        </w:rPr>
      </w:pPr>
      <w:r>
        <w:rPr>
          <w:rStyle w:val="FootnoteReference"/>
        </w:rPr>
        <w:footnoteRef/>
      </w:r>
      <w:r w:rsidRPr="00C17942">
        <w:rPr>
          <w:sz w:val="20"/>
        </w:rPr>
        <w:t xml:space="preserve"> </w:t>
      </w:r>
      <w:r w:rsidRPr="009A670F">
        <w:rPr>
          <w:sz w:val="20"/>
        </w:rPr>
        <w:t xml:space="preserve">NTCA Sept. 11, 2019 </w:t>
      </w:r>
      <w:r w:rsidRPr="009A670F">
        <w:rPr>
          <w:i/>
          <w:sz w:val="20"/>
        </w:rPr>
        <w:t xml:space="preserve">Ex Parte </w:t>
      </w:r>
      <w:r w:rsidRPr="009A670F">
        <w:rPr>
          <w:sz w:val="20"/>
        </w:rPr>
        <w:t>at 6</w:t>
      </w:r>
      <w:r>
        <w:rPr>
          <w:sz w:val="20"/>
        </w:rPr>
        <w:t xml:space="preserve">; </w:t>
      </w:r>
      <w:r w:rsidRPr="00867600">
        <w:rPr>
          <w:i/>
          <w:sz w:val="20"/>
        </w:rPr>
        <w:t>see</w:t>
      </w:r>
      <w:r>
        <w:rPr>
          <w:sz w:val="20"/>
        </w:rPr>
        <w:t xml:space="preserve"> </w:t>
      </w:r>
      <w:r w:rsidRPr="00867600">
        <w:rPr>
          <w:sz w:val="20"/>
        </w:rPr>
        <w:t xml:space="preserve">NTCA and AT&amp;T Sept. 20, 2019 </w:t>
      </w:r>
      <w:r w:rsidRPr="00867600">
        <w:rPr>
          <w:i/>
          <w:sz w:val="20"/>
        </w:rPr>
        <w:t>Ex Parte</w:t>
      </w:r>
      <w:r w:rsidRPr="00867600">
        <w:rPr>
          <w:sz w:val="20"/>
        </w:rPr>
        <w:t xml:space="preserve"> at 2</w:t>
      </w:r>
      <w:r w:rsidRPr="00993463">
        <w:rPr>
          <w:sz w:val="20"/>
        </w:rPr>
        <w:t xml:space="preserve">.  </w:t>
      </w:r>
      <w:r w:rsidRPr="00CD41AE">
        <w:rPr>
          <w:sz w:val="20"/>
        </w:rPr>
        <w:t xml:space="preserve">Data Tech expresses concerns with using either actual or billed minutes but would prefer billed minutes.  </w:t>
      </w:r>
      <w:r>
        <w:rPr>
          <w:sz w:val="20"/>
        </w:rPr>
        <w:t xml:space="preserve">Data Tech Sept. 17, 2019 </w:t>
      </w:r>
      <w:r>
        <w:rPr>
          <w:i/>
          <w:iCs/>
          <w:sz w:val="20"/>
        </w:rPr>
        <w:t>Ex Parte</w:t>
      </w:r>
      <w:r>
        <w:rPr>
          <w:sz w:val="20"/>
        </w:rPr>
        <w:t xml:space="preserve"> at 2</w:t>
      </w:r>
      <w:r>
        <w:rPr>
          <w:iCs/>
          <w:sz w:val="20"/>
        </w:rPr>
        <w:t xml:space="preserve">; </w:t>
      </w:r>
      <w:r>
        <w:rPr>
          <w:i/>
          <w:iCs/>
          <w:sz w:val="20"/>
        </w:rPr>
        <w:t>s</w:t>
      </w:r>
      <w:r w:rsidRPr="009A670F">
        <w:rPr>
          <w:i/>
          <w:iCs/>
          <w:sz w:val="20"/>
        </w:rPr>
        <w:t>ee also</w:t>
      </w:r>
      <w:r>
        <w:rPr>
          <w:iCs/>
          <w:sz w:val="20"/>
        </w:rPr>
        <w:t xml:space="preserve"> </w:t>
      </w:r>
      <w:r w:rsidRPr="002A2C1B">
        <w:rPr>
          <w:sz w:val="20"/>
        </w:rPr>
        <w:t xml:space="preserve">Letter from Michael B. Hazzard, Counsel for Wide Voice, LLC, to Marlene Dortch, Secretary, FCC, WC Docket No. 18-155, Attach. at 8 (filed Sept. 11, 2019) (Wide Voice Sept. 11, 2019 </w:t>
      </w:r>
      <w:r w:rsidRPr="002A2C1B">
        <w:rPr>
          <w:i/>
          <w:sz w:val="20"/>
        </w:rPr>
        <w:t>Ex Parte</w:t>
      </w:r>
      <w:r w:rsidRPr="002A2C1B">
        <w:rPr>
          <w:iCs/>
          <w:sz w:val="20"/>
        </w:rPr>
        <w:t>)</w:t>
      </w:r>
      <w:r w:rsidRPr="007666FC">
        <w:rPr>
          <w:sz w:val="20"/>
        </w:rPr>
        <w:t xml:space="preserve"> </w:t>
      </w:r>
      <w:r>
        <w:rPr>
          <w:iCs/>
          <w:sz w:val="20"/>
        </w:rPr>
        <w:t xml:space="preserve">(suggesting the use of paid minutes for calculating ratios). </w:t>
      </w:r>
      <w:r>
        <w:rPr>
          <w:sz w:val="20"/>
        </w:rPr>
        <w:t xml:space="preserve"> </w:t>
      </w:r>
      <w:r>
        <w:rPr>
          <w:iCs/>
          <w:sz w:val="20"/>
        </w:rPr>
        <w:t>Using actual minutes conforms with our understanding of how carriers are determining traffic ratios today and we see no reason to change the current practice</w:t>
      </w:r>
      <w:r w:rsidRPr="00993463">
        <w:rPr>
          <w:sz w:val="20"/>
        </w:rPr>
        <w:t>.</w:t>
      </w:r>
    </w:p>
  </w:footnote>
  <w:footnote w:id="159">
    <w:p w:rsidR="00844D1E" w:rsidP="00EB312D">
      <w:pPr>
        <w:pStyle w:val="NormalWeb"/>
        <w:spacing w:before="120" w:after="120"/>
        <w:contextualSpacing/>
      </w:pPr>
      <w:r w:rsidRPr="00A85E7E">
        <w:rPr>
          <w:rStyle w:val="FootnoteReference"/>
          <w:szCs w:val="20"/>
        </w:rPr>
        <w:footnoteRef/>
      </w:r>
      <w:r w:rsidRPr="00A85E7E">
        <w:rPr>
          <w:sz w:val="20"/>
          <w:szCs w:val="20"/>
        </w:rPr>
        <w:t xml:space="preserve"> </w:t>
      </w:r>
      <w:r w:rsidRPr="00A85E7E">
        <w:rPr>
          <w:i/>
          <w:sz w:val="20"/>
          <w:szCs w:val="20"/>
        </w:rPr>
        <w:t>See</w:t>
      </w:r>
      <w:r w:rsidRPr="00304712">
        <w:rPr>
          <w:i/>
          <w:sz w:val="20"/>
        </w:rPr>
        <w:t>,</w:t>
      </w:r>
      <w:r w:rsidRPr="00A85E7E">
        <w:rPr>
          <w:sz w:val="20"/>
          <w:szCs w:val="20"/>
        </w:rPr>
        <w:t xml:space="preserve"> </w:t>
      </w:r>
      <w:r w:rsidRPr="00A85E7E">
        <w:rPr>
          <w:i/>
          <w:sz w:val="20"/>
          <w:szCs w:val="20"/>
        </w:rPr>
        <w:t>e</w:t>
      </w:r>
      <w:r w:rsidRPr="00B61EB2">
        <w:rPr>
          <w:i/>
          <w:sz w:val="20"/>
          <w:szCs w:val="20"/>
        </w:rPr>
        <w:t>.g.</w:t>
      </w:r>
      <w:r w:rsidRPr="00B61EB2">
        <w:rPr>
          <w:sz w:val="20"/>
          <w:szCs w:val="20"/>
        </w:rPr>
        <w:t xml:space="preserve">, </w:t>
      </w:r>
      <w:r w:rsidRPr="00B61EB2">
        <w:rPr>
          <w:i/>
          <w:sz w:val="20"/>
          <w:szCs w:val="20"/>
        </w:rPr>
        <w:t>USF/ICC Transformation Order</w:t>
      </w:r>
      <w:r w:rsidRPr="00B61EB2">
        <w:rPr>
          <w:sz w:val="20"/>
          <w:szCs w:val="20"/>
        </w:rPr>
        <w:t xml:space="preserve">, 26 FCC </w:t>
      </w:r>
      <w:r w:rsidRPr="00B61EB2">
        <w:rPr>
          <w:sz w:val="20"/>
          <w:szCs w:val="20"/>
        </w:rPr>
        <w:t>Rcd</w:t>
      </w:r>
      <w:r w:rsidRPr="00B61EB2">
        <w:rPr>
          <w:sz w:val="20"/>
          <w:szCs w:val="20"/>
        </w:rPr>
        <w:t xml:space="preserve"> at 17877, para. 667.</w:t>
      </w:r>
      <w:r w:rsidRPr="00A85E7E">
        <w:rPr>
          <w:sz w:val="20"/>
          <w:szCs w:val="20"/>
        </w:rPr>
        <w:t xml:space="preserve">  </w:t>
      </w:r>
      <w:r>
        <w:rPr>
          <w:sz w:val="20"/>
          <w:szCs w:val="20"/>
        </w:rPr>
        <w:t>Commenters suggest that t</w:t>
      </w:r>
      <w:r w:rsidRPr="00A85E7E">
        <w:rPr>
          <w:snapToGrid/>
          <w:sz w:val="20"/>
          <w:szCs w:val="20"/>
        </w:rPr>
        <w:t>he Commission should periodically review the marketplace to determine if carriers continue to arbitrage our access charge regime</w:t>
      </w:r>
      <w:r>
        <w:rPr>
          <w:snapToGrid/>
          <w:sz w:val="20"/>
          <w:szCs w:val="20"/>
        </w:rPr>
        <w:t>.</w:t>
      </w:r>
      <w:r w:rsidRPr="00A85E7E">
        <w:rPr>
          <w:snapToGrid/>
          <w:sz w:val="20"/>
          <w:szCs w:val="20"/>
        </w:rPr>
        <w:t xml:space="preserve">  </w:t>
      </w:r>
      <w:r w:rsidRPr="00A85E7E">
        <w:rPr>
          <w:i/>
          <w:snapToGrid/>
          <w:sz w:val="20"/>
          <w:szCs w:val="20"/>
        </w:rPr>
        <w:t xml:space="preserve">See </w:t>
      </w:r>
      <w:r w:rsidRPr="00A85E7E">
        <w:rPr>
          <w:snapToGrid/>
          <w:sz w:val="20"/>
          <w:szCs w:val="20"/>
        </w:rPr>
        <w:t xml:space="preserve">NTCA Sept. 11, 2019 </w:t>
      </w:r>
      <w:r w:rsidRPr="00A85E7E">
        <w:rPr>
          <w:i/>
          <w:snapToGrid/>
          <w:sz w:val="20"/>
          <w:szCs w:val="20"/>
        </w:rPr>
        <w:t>Ex Parte</w:t>
      </w:r>
      <w:r w:rsidRPr="00A85E7E">
        <w:rPr>
          <w:sz w:val="20"/>
          <w:szCs w:val="20"/>
        </w:rPr>
        <w:t xml:space="preserve"> at 6-7</w:t>
      </w:r>
      <w:r>
        <w:rPr>
          <w:sz w:val="20"/>
          <w:szCs w:val="20"/>
        </w:rPr>
        <w:t xml:space="preserve">; </w:t>
      </w:r>
      <w:r>
        <w:rPr>
          <w:sz w:val="20"/>
          <w:szCs w:val="20"/>
        </w:rPr>
        <w:t>USTelecom</w:t>
      </w:r>
      <w:r>
        <w:rPr>
          <w:sz w:val="20"/>
          <w:szCs w:val="20"/>
        </w:rPr>
        <w:t xml:space="preserve"> Sept. 18, 2019</w:t>
      </w:r>
      <w:r>
        <w:rPr>
          <w:i/>
          <w:iCs/>
          <w:sz w:val="20"/>
          <w:szCs w:val="20"/>
        </w:rPr>
        <w:t xml:space="preserve"> Ex Parte</w:t>
      </w:r>
      <w:r>
        <w:rPr>
          <w:sz w:val="20"/>
          <w:szCs w:val="20"/>
        </w:rPr>
        <w:t xml:space="preserve"> 1-</w:t>
      </w:r>
      <w:r>
        <w:rPr>
          <w:sz w:val="20"/>
          <w:szCs w:val="20"/>
        </w:rPr>
        <w:t xml:space="preserve">2 </w:t>
      </w:r>
      <w:r>
        <w:rPr>
          <w:iCs/>
          <w:sz w:val="20"/>
          <w:szCs w:val="20"/>
        </w:rPr>
        <w:t>;</w:t>
      </w:r>
      <w:r>
        <w:rPr>
          <w:iCs/>
          <w:sz w:val="20"/>
          <w:szCs w:val="20"/>
        </w:rPr>
        <w:t xml:space="preserve"> NTCA and AT&amp;T Sept. 20, 2019 </w:t>
      </w:r>
      <w:r>
        <w:rPr>
          <w:i/>
          <w:iCs/>
          <w:sz w:val="20"/>
          <w:szCs w:val="20"/>
        </w:rPr>
        <w:t xml:space="preserve">Ex Parte </w:t>
      </w:r>
      <w:r>
        <w:rPr>
          <w:iCs/>
          <w:sz w:val="20"/>
          <w:szCs w:val="20"/>
        </w:rPr>
        <w:t>at 2</w:t>
      </w:r>
      <w:r w:rsidRPr="00A85E7E">
        <w:rPr>
          <w:sz w:val="20"/>
          <w:szCs w:val="20"/>
        </w:rPr>
        <w:t>.</w:t>
      </w:r>
      <w:r>
        <w:rPr>
          <w:sz w:val="20"/>
          <w:szCs w:val="20"/>
        </w:rPr>
        <w:t xml:space="preserve">  We invite all stakeholders to provide us with information about the state of the marketplace at any time.</w:t>
      </w:r>
    </w:p>
  </w:footnote>
  <w:footnote w:id="160">
    <w:p w:rsidR="00844D1E" w:rsidP="00EB312D">
      <w:pPr>
        <w:pStyle w:val="FootnoteText"/>
      </w:pPr>
      <w:r>
        <w:rPr>
          <w:rStyle w:val="FootnoteReference"/>
        </w:rPr>
        <w:footnoteRef/>
      </w:r>
      <w:r>
        <w:t xml:space="preserve"> NTCA Sept. 11, 2019 </w:t>
      </w:r>
      <w:r w:rsidRPr="002220CE">
        <w:rPr>
          <w:i/>
        </w:rPr>
        <w:t>Ex Parte</w:t>
      </w:r>
      <w:r>
        <w:t xml:space="preserve"> at 6.</w:t>
      </w:r>
    </w:p>
  </w:footnote>
  <w:footnote w:id="161">
    <w:p w:rsidR="00844D1E" w:rsidP="00EB312D">
      <w:pPr>
        <w:pStyle w:val="FootnoteText"/>
      </w:pPr>
      <w:r>
        <w:rPr>
          <w:rStyle w:val="FootnoteReference"/>
        </w:rPr>
        <w:footnoteRef/>
      </w:r>
      <w:r>
        <w:t xml:space="preserve"> For example, Data Tech complains that the traffic ratio is based on interstate traffic.  Data Tech Sept. 17, 2019 </w:t>
      </w:r>
      <w:r w:rsidRPr="00565124">
        <w:rPr>
          <w:i/>
        </w:rPr>
        <w:t>Ex Parte</w:t>
      </w:r>
      <w:r>
        <w:t xml:space="preserve"> at 1-2.  However, that has been the rule since the </w:t>
      </w:r>
      <w:r w:rsidRPr="00CA1D90">
        <w:rPr>
          <w:i/>
        </w:rPr>
        <w:t>USF/ICC Transformation Order</w:t>
      </w:r>
      <w:r>
        <w:t xml:space="preserve"> was adopted in 2011.  47 CFR § 61.3.  HD Tandem claims that the 6:1 ratio would create “ambiguity in the industry” but does not explain why.  HD Tandem Sept. 16, 2019 </w:t>
      </w:r>
      <w:r w:rsidRPr="00E205FB">
        <w:rPr>
          <w:i/>
        </w:rPr>
        <w:t>Ex Parte</w:t>
      </w:r>
      <w:r>
        <w:t xml:space="preserve"> at 4.  IDT complains that carriers “will need to constantly review their ratios to ensure compliance is maintained.”  IDT Sept. 18, 2019 </w:t>
      </w:r>
      <w:r w:rsidRPr="00D81E25">
        <w:rPr>
          <w:i/>
        </w:rPr>
        <w:t>Ex Parte</w:t>
      </w:r>
      <w:r>
        <w:t xml:space="preserve"> at 1.  But no one has said that such constant monitoring was needed for the 3:1 ratio.</w:t>
      </w:r>
    </w:p>
  </w:footnote>
  <w:footnote w:id="162">
    <w:p w:rsidR="00844D1E" w:rsidRPr="00752EE0" w:rsidP="00EB312D">
      <w:pPr>
        <w:widowControl/>
        <w:autoSpaceDE w:val="0"/>
        <w:autoSpaceDN w:val="0"/>
        <w:adjustRightInd w:val="0"/>
        <w:spacing w:after="120"/>
        <w:rPr>
          <w:sz w:val="20"/>
        </w:rPr>
      </w:pPr>
      <w:r>
        <w:rPr>
          <w:rStyle w:val="FootnoteReference"/>
        </w:rPr>
        <w:footnoteRef/>
      </w:r>
      <w:r w:rsidRPr="00752EE0">
        <w:rPr>
          <w:sz w:val="20"/>
        </w:rPr>
        <w:t xml:space="preserve"> </w:t>
      </w:r>
      <w:r w:rsidRPr="008667AD">
        <w:rPr>
          <w:i/>
          <w:sz w:val="20"/>
        </w:rPr>
        <w:t>See, e.g</w:t>
      </w:r>
      <w:r>
        <w:rPr>
          <w:sz w:val="20"/>
        </w:rPr>
        <w:t xml:space="preserve">., WTA Sept. 18, 2019 </w:t>
      </w:r>
      <w:r>
        <w:rPr>
          <w:i/>
          <w:iCs/>
          <w:sz w:val="20"/>
        </w:rPr>
        <w:t>Ex Parte</w:t>
      </w:r>
      <w:r>
        <w:rPr>
          <w:iCs/>
          <w:sz w:val="20"/>
        </w:rPr>
        <w:t xml:space="preserve"> at 2.  </w:t>
      </w:r>
      <w:r>
        <w:rPr>
          <w:i/>
          <w:sz w:val="20"/>
        </w:rPr>
        <w:t>C</w:t>
      </w:r>
      <w:r w:rsidRPr="00042377">
        <w:rPr>
          <w:i/>
          <w:sz w:val="20"/>
        </w:rPr>
        <w:t>ontra</w:t>
      </w:r>
      <w:r>
        <w:rPr>
          <w:sz w:val="20"/>
        </w:rPr>
        <w:t xml:space="preserve"> HD Tandem Sept. 16, 2019 </w:t>
      </w:r>
      <w:r w:rsidRPr="00042377">
        <w:rPr>
          <w:i/>
          <w:sz w:val="20"/>
        </w:rPr>
        <w:t>Ex Parte</w:t>
      </w:r>
      <w:r>
        <w:rPr>
          <w:i/>
          <w:sz w:val="20"/>
        </w:rPr>
        <w:t xml:space="preserve"> </w:t>
      </w:r>
      <w:r w:rsidRPr="00042377">
        <w:rPr>
          <w:sz w:val="20"/>
        </w:rPr>
        <w:t xml:space="preserve">at </w:t>
      </w:r>
      <w:r>
        <w:rPr>
          <w:sz w:val="20"/>
        </w:rPr>
        <w:t xml:space="preserve">3-4 (suggesting that carriers will reroute traffic to avoid tripping the triggers); Wide Voice Sept. 16, 2019 </w:t>
      </w:r>
      <w:r w:rsidRPr="00D57292">
        <w:rPr>
          <w:i/>
          <w:sz w:val="20"/>
        </w:rPr>
        <w:t>Ex Parte</w:t>
      </w:r>
      <w:r>
        <w:rPr>
          <w:sz w:val="20"/>
        </w:rPr>
        <w:t xml:space="preserve"> Response at 3 (stating that competitive LECs will be forced to move their originating traffic back to the access billing regime, and that wholesale providers will require customers to route inbound and outbound traffic together to the same LEC); KADENCE Sept. 18, 2019 </w:t>
      </w:r>
      <w:r w:rsidRPr="00297EDC">
        <w:rPr>
          <w:i/>
          <w:sz w:val="20"/>
        </w:rPr>
        <w:t>Ex Parte</w:t>
      </w:r>
      <w:r>
        <w:rPr>
          <w:sz w:val="20"/>
        </w:rPr>
        <w:t xml:space="preserve"> at 1 (arguing that “[t]here are numerous variable[s] associated with calculating a ratio . . . traffic type being a primary one”).  We reiterate that if a LEC </w:t>
      </w:r>
      <w:r>
        <w:rPr>
          <w:sz w:val="20"/>
        </w:rPr>
        <w:t>is considered to be</w:t>
      </w:r>
      <w:r>
        <w:rPr>
          <w:sz w:val="20"/>
        </w:rPr>
        <w:t xml:space="preserve"> engaged in access stimulation, it has the opportunity to defend itself including by demonstrating mitigating circumstances, one of which may be traffic type.</w:t>
      </w:r>
    </w:p>
  </w:footnote>
  <w:footnote w:id="163">
    <w:p w:rsidR="00844D1E" w:rsidP="00EB312D">
      <w:pPr>
        <w:widowControl/>
        <w:autoSpaceDE w:val="0"/>
        <w:autoSpaceDN w:val="0"/>
        <w:adjustRightInd w:val="0"/>
        <w:spacing w:after="120"/>
      </w:pPr>
      <w:r>
        <w:rPr>
          <w:rStyle w:val="FootnoteReference"/>
        </w:rPr>
        <w:footnoteRef/>
      </w:r>
      <w:r w:rsidRPr="00C17942">
        <w:rPr>
          <w:sz w:val="20"/>
        </w:rPr>
        <w:t xml:space="preserve"> </w:t>
      </w:r>
      <w:r w:rsidRPr="006F00C0">
        <w:rPr>
          <w:sz w:val="20"/>
        </w:rPr>
        <w:t>Wide Voice Sep</w:t>
      </w:r>
      <w:r w:rsidRPr="00B6628B">
        <w:rPr>
          <w:sz w:val="20"/>
        </w:rPr>
        <w:t xml:space="preserve">t. 16, 2019 </w:t>
      </w:r>
      <w:r w:rsidRPr="00B6628B">
        <w:rPr>
          <w:i/>
          <w:sz w:val="20"/>
        </w:rPr>
        <w:t xml:space="preserve">Ex Parte </w:t>
      </w:r>
      <w:r w:rsidRPr="0093368B">
        <w:rPr>
          <w:sz w:val="20"/>
        </w:rPr>
        <w:t xml:space="preserve">Response </w:t>
      </w:r>
      <w:r w:rsidRPr="00B6628B">
        <w:rPr>
          <w:sz w:val="20"/>
        </w:rPr>
        <w:t>at 2</w:t>
      </w:r>
      <w:r>
        <w:rPr>
          <w:sz w:val="20"/>
        </w:rPr>
        <w:t xml:space="preserve">; </w:t>
      </w:r>
      <w:r w:rsidRPr="00B70A82">
        <w:rPr>
          <w:i/>
          <w:sz w:val="20"/>
        </w:rPr>
        <w:t>see</w:t>
      </w:r>
      <w:r>
        <w:rPr>
          <w:sz w:val="20"/>
        </w:rPr>
        <w:t xml:space="preserve"> Joint CLEC Sept. 19, 2019 </w:t>
      </w:r>
      <w:r w:rsidRPr="00D57292">
        <w:rPr>
          <w:i/>
          <w:sz w:val="20"/>
        </w:rPr>
        <w:t>Ex Parte</w:t>
      </w:r>
      <w:r>
        <w:rPr>
          <w:sz w:val="20"/>
        </w:rPr>
        <w:t xml:space="preserve"> at 11 (voicing a similar concern about whether “traffic routed through contractual, rather than tariffed routes will be considered in evaluating a LEC’s terminating-to-originating ratios”).</w:t>
      </w:r>
      <w:r w:rsidRPr="00B6628B">
        <w:rPr>
          <w:sz w:val="20"/>
        </w:rPr>
        <w:t xml:space="preserve">  </w:t>
      </w:r>
      <w:r w:rsidRPr="00B6628B">
        <w:rPr>
          <w:i/>
          <w:sz w:val="20"/>
        </w:rPr>
        <w:t>But see</w:t>
      </w:r>
      <w:r w:rsidRPr="00B6628B">
        <w:rPr>
          <w:sz w:val="20"/>
        </w:rPr>
        <w:t xml:space="preserve"> </w:t>
      </w:r>
      <w:r w:rsidRPr="005740E6">
        <w:rPr>
          <w:sz w:val="20"/>
        </w:rPr>
        <w:t xml:space="preserve">Letter from David Erickson, President, HD Tandem, to Marlene Dortch, Secretary, FCC, WC Docket No. 18-155, at 4 (filed Sept. 3, 2019) (HD Tandem Sept. 3, 2019 </w:t>
      </w:r>
      <w:r w:rsidRPr="005740E6">
        <w:rPr>
          <w:i/>
          <w:sz w:val="20"/>
        </w:rPr>
        <w:t>Ex Parte</w:t>
      </w:r>
      <w:r w:rsidRPr="005740E6">
        <w:rPr>
          <w:iCs/>
          <w:sz w:val="20"/>
        </w:rPr>
        <w:t>)</w:t>
      </w:r>
      <w:r w:rsidRPr="00B6628B">
        <w:rPr>
          <w:sz w:val="20"/>
        </w:rPr>
        <w:t xml:space="preserve"> (stating that “</w:t>
      </w:r>
      <w:r w:rsidRPr="00B6628B">
        <w:rPr>
          <w:snapToGrid/>
          <w:kern w:val="0"/>
          <w:sz w:val="20"/>
        </w:rPr>
        <w:t xml:space="preserve">any traffic should be measured in total inbound versus total outbound, neither separated by </w:t>
      </w:r>
      <w:r w:rsidRPr="00B6628B">
        <w:rPr>
          <w:snapToGrid/>
          <w:kern w:val="0"/>
          <w:sz w:val="20"/>
        </w:rPr>
        <w:t>ingressing</w:t>
      </w:r>
      <w:r w:rsidRPr="00B6628B">
        <w:rPr>
          <w:snapToGrid/>
          <w:kern w:val="0"/>
          <w:sz w:val="20"/>
        </w:rPr>
        <w:t xml:space="preserve"> carrier nor by regulated versus commercial paths”)</w:t>
      </w:r>
      <w:r w:rsidRPr="004917CD">
        <w:rPr>
          <w:snapToGrid/>
          <w:kern w:val="0"/>
          <w:sz w:val="20"/>
        </w:rPr>
        <w:t>;</w:t>
      </w:r>
      <w:r>
        <w:rPr>
          <w:snapToGrid/>
          <w:kern w:val="0"/>
          <w:sz w:val="20"/>
        </w:rPr>
        <w:t xml:space="preserve"> </w:t>
      </w:r>
      <w:r>
        <w:rPr>
          <w:snapToGrid/>
          <w:kern w:val="0"/>
          <w:sz w:val="20"/>
        </w:rPr>
        <w:t>Inteliquent</w:t>
      </w:r>
      <w:r>
        <w:rPr>
          <w:snapToGrid/>
          <w:kern w:val="0"/>
          <w:sz w:val="20"/>
        </w:rPr>
        <w:t xml:space="preserve"> Sept. 16, 2019 </w:t>
      </w:r>
      <w:r w:rsidRPr="006D63BA">
        <w:rPr>
          <w:i/>
          <w:snapToGrid/>
          <w:kern w:val="0"/>
          <w:sz w:val="20"/>
        </w:rPr>
        <w:t>Ex Parte</w:t>
      </w:r>
      <w:r>
        <w:rPr>
          <w:snapToGrid/>
          <w:kern w:val="0"/>
          <w:sz w:val="20"/>
        </w:rPr>
        <w:t xml:space="preserve"> at 2 (expressing concern that if the ratio applies only to tariffed charges, the access-stimulating LEC would use call-rejection schemes to get traffic off the regulated path).</w:t>
      </w:r>
    </w:p>
  </w:footnote>
  <w:footnote w:id="164">
    <w:p w:rsidR="00844D1E" w:rsidP="00EB312D">
      <w:pPr>
        <w:widowControl/>
        <w:autoSpaceDE w:val="0"/>
        <w:autoSpaceDN w:val="0"/>
        <w:adjustRightInd w:val="0"/>
        <w:spacing w:after="120"/>
      </w:pPr>
      <w:r>
        <w:rPr>
          <w:rStyle w:val="FootnoteReference"/>
        </w:rPr>
        <w:footnoteRef/>
      </w:r>
      <w:r w:rsidRPr="004740C3">
        <w:rPr>
          <w:sz w:val="20"/>
        </w:rPr>
        <w:t xml:space="preserve"> </w:t>
      </w:r>
      <w:r w:rsidRPr="004740C3">
        <w:rPr>
          <w:i/>
          <w:sz w:val="20"/>
        </w:rPr>
        <w:t>See</w:t>
      </w:r>
      <w:r w:rsidRPr="004740C3">
        <w:rPr>
          <w:sz w:val="20"/>
        </w:rPr>
        <w:t xml:space="preserve"> </w:t>
      </w:r>
      <w:r>
        <w:rPr>
          <w:sz w:val="20"/>
        </w:rPr>
        <w:t xml:space="preserve">NTCA Sept. </w:t>
      </w:r>
      <w:r w:rsidRPr="004740C3">
        <w:rPr>
          <w:sz w:val="20"/>
        </w:rPr>
        <w:t xml:space="preserve">17, 2019 </w:t>
      </w:r>
      <w:r w:rsidRPr="004740C3">
        <w:rPr>
          <w:i/>
          <w:sz w:val="20"/>
        </w:rPr>
        <w:t>Ex Parte</w:t>
      </w:r>
      <w:r>
        <w:rPr>
          <w:sz w:val="20"/>
        </w:rPr>
        <w:t xml:space="preserve"> at 4 n.9 </w:t>
      </w:r>
      <w:r w:rsidRPr="004740C3">
        <w:rPr>
          <w:sz w:val="20"/>
        </w:rPr>
        <w:t>(stating that “</w:t>
      </w:r>
      <w:r w:rsidRPr="004740C3">
        <w:rPr>
          <w:snapToGrid/>
          <w:kern w:val="0"/>
          <w:sz w:val="20"/>
        </w:rPr>
        <w:t>any ratios are measured based upon the LEC’s total interstate access traffic and not its exchange of traffic with any one IXC</w:t>
      </w:r>
      <w:r w:rsidRPr="004740C3">
        <w:rPr>
          <w:sz w:val="20"/>
        </w:rPr>
        <w:t>”).</w:t>
      </w:r>
    </w:p>
  </w:footnote>
  <w:footnote w:id="165">
    <w:p w:rsidR="00844D1E" w:rsidRPr="00F52CA2" w:rsidP="00EB312D">
      <w:pPr>
        <w:pStyle w:val="FootnoteText"/>
      </w:pPr>
      <w:r w:rsidRPr="0026769B">
        <w:rPr>
          <w:rStyle w:val="FootnoteReference"/>
        </w:rPr>
        <w:footnoteRef/>
      </w:r>
      <w:r w:rsidRPr="0026769B">
        <w:t xml:space="preserve"> </w:t>
      </w:r>
      <w:r>
        <w:t xml:space="preserve">Data Tech Sept. 17, 2019 </w:t>
      </w:r>
      <w:r>
        <w:rPr>
          <w:i/>
        </w:rPr>
        <w:t xml:space="preserve">Ex Parte </w:t>
      </w:r>
      <w:r>
        <w:t>at 1.</w:t>
      </w:r>
    </w:p>
  </w:footnote>
  <w:footnote w:id="166">
    <w:p w:rsidR="00844D1E" w:rsidRPr="00B056EB" w:rsidP="00EB312D">
      <w:pPr>
        <w:spacing w:after="120"/>
        <w:rPr>
          <w:snapToGrid/>
          <w:kern w:val="0"/>
          <w:sz w:val="20"/>
        </w:rPr>
      </w:pPr>
      <w:r>
        <w:rPr>
          <w:rStyle w:val="FootnoteReference"/>
        </w:rPr>
        <w:footnoteRef/>
      </w:r>
      <w:r w:rsidRPr="00C17942">
        <w:rPr>
          <w:sz w:val="20"/>
        </w:rPr>
        <w:t xml:space="preserve"> </w:t>
      </w:r>
      <w:r w:rsidRPr="007F796A">
        <w:rPr>
          <w:i/>
          <w:sz w:val="20"/>
        </w:rPr>
        <w:t>USF/ICC Transformation Order</w:t>
      </w:r>
      <w:r w:rsidRPr="007F796A">
        <w:rPr>
          <w:sz w:val="20"/>
        </w:rPr>
        <w:t xml:space="preserve">, 26 FCC </w:t>
      </w:r>
      <w:r w:rsidRPr="007F796A">
        <w:rPr>
          <w:sz w:val="20"/>
        </w:rPr>
        <w:t>Rcd</w:t>
      </w:r>
      <w:r w:rsidRPr="007F796A">
        <w:rPr>
          <w:sz w:val="20"/>
        </w:rPr>
        <w:t xml:space="preserve"> at 178</w:t>
      </w:r>
      <w:r>
        <w:rPr>
          <w:sz w:val="20"/>
        </w:rPr>
        <w:t>83</w:t>
      </w:r>
      <w:r w:rsidRPr="007F796A">
        <w:rPr>
          <w:sz w:val="20"/>
        </w:rPr>
        <w:t xml:space="preserve">, para. </w:t>
      </w:r>
      <w:r>
        <w:rPr>
          <w:sz w:val="20"/>
        </w:rPr>
        <w:t>683</w:t>
      </w:r>
      <w:r w:rsidRPr="00C17942">
        <w:rPr>
          <w:sz w:val="20"/>
        </w:rPr>
        <w:t xml:space="preserve">; </w:t>
      </w:r>
      <w:r w:rsidRPr="00C17942">
        <w:rPr>
          <w:i/>
          <w:sz w:val="20"/>
        </w:rPr>
        <w:t>see</w:t>
      </w:r>
      <w:r w:rsidRPr="00C17942">
        <w:rPr>
          <w:sz w:val="20"/>
        </w:rPr>
        <w:t xml:space="preserve"> </w:t>
      </w:r>
      <w:r>
        <w:rPr>
          <w:snapToGrid/>
          <w:kern w:val="0"/>
          <w:sz w:val="20"/>
        </w:rPr>
        <w:t xml:space="preserve">NTCA Sept. 11, 2019 </w:t>
      </w:r>
      <w:r w:rsidRPr="005D3814">
        <w:rPr>
          <w:i/>
          <w:snapToGrid/>
          <w:kern w:val="0"/>
          <w:sz w:val="20"/>
        </w:rPr>
        <w:t>Ex Parte</w:t>
      </w:r>
      <w:r>
        <w:rPr>
          <w:snapToGrid/>
          <w:kern w:val="0"/>
          <w:sz w:val="20"/>
        </w:rPr>
        <w:t xml:space="preserve"> at 3-4</w:t>
      </w:r>
      <w:r w:rsidRPr="00C17942">
        <w:rPr>
          <w:sz w:val="20"/>
        </w:rPr>
        <w:t xml:space="preserve">; </w:t>
      </w:r>
      <w:r>
        <w:rPr>
          <w:sz w:val="20"/>
        </w:rPr>
        <w:t>USTelecom</w:t>
      </w:r>
      <w:r>
        <w:rPr>
          <w:sz w:val="20"/>
        </w:rPr>
        <w:t xml:space="preserve"> Sept. 18, 2019</w:t>
      </w:r>
      <w:r>
        <w:rPr>
          <w:i/>
          <w:iCs/>
          <w:sz w:val="20"/>
        </w:rPr>
        <w:t xml:space="preserve"> Ex Parte</w:t>
      </w:r>
      <w:r>
        <w:rPr>
          <w:iCs/>
          <w:sz w:val="20"/>
        </w:rPr>
        <w:t xml:space="preserve"> at 1; </w:t>
      </w:r>
      <w:r>
        <w:rPr>
          <w:sz w:val="20"/>
        </w:rPr>
        <w:t>Inteliquent</w:t>
      </w:r>
      <w:r>
        <w:rPr>
          <w:sz w:val="20"/>
        </w:rPr>
        <w:t xml:space="preserve"> Sept. 16, 2019 </w:t>
      </w:r>
      <w:r>
        <w:rPr>
          <w:i/>
          <w:iCs/>
          <w:sz w:val="20"/>
        </w:rPr>
        <w:t xml:space="preserve">Ex </w:t>
      </w:r>
      <w:r w:rsidRPr="00692AF8">
        <w:rPr>
          <w:i/>
          <w:iCs/>
          <w:sz w:val="20"/>
        </w:rPr>
        <w:t>Parte</w:t>
      </w:r>
      <w:r w:rsidRPr="00692AF8">
        <w:rPr>
          <w:iCs/>
          <w:sz w:val="20"/>
        </w:rPr>
        <w:t xml:space="preserve"> at</w:t>
      </w:r>
      <w:r>
        <w:rPr>
          <w:iCs/>
          <w:sz w:val="20"/>
        </w:rPr>
        <w:t xml:space="preserve"> 2; </w:t>
      </w:r>
      <w:r>
        <w:rPr>
          <w:sz w:val="20"/>
        </w:rPr>
        <w:t xml:space="preserve">WTA Sept. 18, 2019 </w:t>
      </w:r>
      <w:r>
        <w:rPr>
          <w:i/>
          <w:iCs/>
          <w:sz w:val="20"/>
        </w:rPr>
        <w:t>Ex Parte</w:t>
      </w:r>
      <w:r>
        <w:rPr>
          <w:iCs/>
          <w:sz w:val="20"/>
        </w:rPr>
        <w:t xml:space="preserve"> at 1.</w:t>
      </w:r>
    </w:p>
  </w:footnote>
  <w:footnote w:id="167">
    <w:p w:rsidR="00844D1E" w:rsidP="00EB312D">
      <w:pPr>
        <w:pStyle w:val="FootnoteText"/>
      </w:pPr>
      <w:r>
        <w:rPr>
          <w:rStyle w:val="FootnoteReference"/>
        </w:rPr>
        <w:footnoteRef/>
      </w:r>
      <w:r>
        <w:t xml:space="preserve"> Sprint Sept. 19, 2019 </w:t>
      </w:r>
      <w:r w:rsidRPr="008F48E1">
        <w:rPr>
          <w:i/>
        </w:rPr>
        <w:t>Ex Parte</w:t>
      </w:r>
      <w:r>
        <w:t xml:space="preserve"> at 3.  We do not address Sprint’s suggestion that such waivers be deemed granted by default after a specific time, because there was insufficient notice of this proposal and there is no basis to find that the existing waiver rules are not </w:t>
      </w:r>
      <w:r>
        <w:t>sufficient</w:t>
      </w:r>
      <w:r>
        <w:t xml:space="preserve">. </w:t>
      </w:r>
      <w:r w:rsidRPr="008F48E1">
        <w:rPr>
          <w:i/>
        </w:rPr>
        <w:t xml:space="preserve"> Id.</w:t>
      </w:r>
      <w:r>
        <w:t xml:space="preserve">; </w:t>
      </w:r>
      <w:r>
        <w:rPr>
          <w:i/>
        </w:rPr>
        <w:t xml:space="preserve">see also </w:t>
      </w:r>
      <w:r>
        <w:t xml:space="preserve">NTCA and AT&amp;T Sept. 20, 2019 </w:t>
      </w:r>
      <w:r>
        <w:rPr>
          <w:i/>
        </w:rPr>
        <w:t xml:space="preserve">Ex Parte </w:t>
      </w:r>
      <w:r>
        <w:t>at 1.  And carriers are reminded that if they are not already doing so, they should maintain accounts or other records to support waiver requests, and to facilitate future true-ups, if needed, and other implementation concerns.</w:t>
      </w:r>
    </w:p>
  </w:footnote>
  <w:footnote w:id="168">
    <w:p w:rsidR="00844D1E" w:rsidRPr="00657CA6" w:rsidP="00EB312D">
      <w:pPr>
        <w:widowControl/>
        <w:autoSpaceDE w:val="0"/>
        <w:autoSpaceDN w:val="0"/>
        <w:adjustRightInd w:val="0"/>
        <w:spacing w:after="120"/>
        <w:rPr>
          <w:sz w:val="20"/>
        </w:rPr>
      </w:pPr>
      <w:r w:rsidRPr="008F1D02">
        <w:rPr>
          <w:rStyle w:val="FootnoteReference"/>
        </w:rPr>
        <w:footnoteRef/>
      </w:r>
      <w:r w:rsidRPr="008F1D02">
        <w:rPr>
          <w:sz w:val="20"/>
        </w:rPr>
        <w:t xml:space="preserve"> These alternatives address IDT’s concerns that LECs may be reluctant to do business with prospective customers, or may discontinue service to certain customers, to avoid exceeding the ratios.  IDT Sept. 18, 2019 </w:t>
      </w:r>
      <w:r w:rsidRPr="008F1D02">
        <w:rPr>
          <w:i/>
          <w:sz w:val="20"/>
        </w:rPr>
        <w:t>Ex Parte</w:t>
      </w:r>
      <w:r w:rsidRPr="008F1D02">
        <w:rPr>
          <w:sz w:val="20"/>
        </w:rPr>
        <w:t xml:space="preserve"> at 1-2; </w:t>
      </w:r>
      <w:r w:rsidRPr="008F1D02">
        <w:rPr>
          <w:i/>
          <w:sz w:val="20"/>
        </w:rPr>
        <w:t>see also</w:t>
      </w:r>
      <w:r w:rsidRPr="008F1D02">
        <w:rPr>
          <w:sz w:val="20"/>
        </w:rPr>
        <w:t xml:space="preserve"> </w:t>
      </w:r>
      <w:r>
        <w:rPr>
          <w:sz w:val="20"/>
        </w:rPr>
        <w:t xml:space="preserve">Letter from Will </w:t>
      </w:r>
      <w:r>
        <w:rPr>
          <w:sz w:val="20"/>
        </w:rPr>
        <w:t>MacHugh</w:t>
      </w:r>
      <w:r>
        <w:rPr>
          <w:sz w:val="20"/>
        </w:rPr>
        <w:t xml:space="preserve">, President, </w:t>
      </w:r>
      <w:r>
        <w:rPr>
          <w:sz w:val="20"/>
        </w:rPr>
        <w:t>Eltopia</w:t>
      </w:r>
      <w:r>
        <w:rPr>
          <w:sz w:val="20"/>
        </w:rPr>
        <w:t xml:space="preserve"> Communications, LLC, to Marlene Dortch, Secretary, FCC, WC Docket No. 18-155, at 1 (filed Sept. 19, 2019) (</w:t>
      </w:r>
      <w:r w:rsidRPr="008F1D02">
        <w:rPr>
          <w:sz w:val="20"/>
        </w:rPr>
        <w:t>Eltopia</w:t>
      </w:r>
      <w:r w:rsidRPr="008F1D02">
        <w:rPr>
          <w:sz w:val="20"/>
        </w:rPr>
        <w:t xml:space="preserve"> Sept. 19, 2019 </w:t>
      </w:r>
      <w:r w:rsidRPr="008F1D02">
        <w:rPr>
          <w:i/>
          <w:sz w:val="20"/>
        </w:rPr>
        <w:t>Ex Parte</w:t>
      </w:r>
      <w:r>
        <w:rPr>
          <w:sz w:val="20"/>
        </w:rPr>
        <w:t>)</w:t>
      </w:r>
      <w:r w:rsidRPr="008F1D02">
        <w:rPr>
          <w:sz w:val="20"/>
        </w:rPr>
        <w:t xml:space="preserve">.  In addition, these alternatives are available to a </w:t>
      </w:r>
      <w:r>
        <w:rPr>
          <w:sz w:val="20"/>
        </w:rPr>
        <w:t xml:space="preserve">competitive </w:t>
      </w:r>
      <w:r w:rsidRPr="008F1D02">
        <w:rPr>
          <w:sz w:val="20"/>
        </w:rPr>
        <w:t xml:space="preserve">LEC that finds itself in a position </w:t>
      </w:r>
      <w:r w:rsidRPr="000536A7">
        <w:rPr>
          <w:sz w:val="20"/>
        </w:rPr>
        <w:t>in which it has</w:t>
      </w:r>
      <w:r w:rsidRPr="00AB2CE7">
        <w:rPr>
          <w:sz w:val="20"/>
        </w:rPr>
        <w:t xml:space="preserve"> </w:t>
      </w:r>
      <w:r w:rsidRPr="008F1D02">
        <w:rPr>
          <w:sz w:val="20"/>
        </w:rPr>
        <w:t>“</w:t>
      </w:r>
      <w:r w:rsidRPr="008F1D02">
        <w:rPr>
          <w:snapToGrid/>
          <w:kern w:val="0"/>
          <w:sz w:val="20"/>
        </w:rPr>
        <w:t xml:space="preserve">just 6 minutes of terminating interstate switched access </w:t>
      </w:r>
      <w:r w:rsidRPr="008F1D02">
        <w:rPr>
          <w:snapToGrid/>
          <w:kern w:val="0"/>
          <w:sz w:val="20"/>
        </w:rPr>
        <w:t>traffic .</w:t>
      </w:r>
      <w:r w:rsidRPr="008F1D02">
        <w:rPr>
          <w:snapToGrid/>
          <w:kern w:val="0"/>
          <w:sz w:val="20"/>
        </w:rPr>
        <w:t> . . and 1 minute of originating in</w:t>
      </w:r>
      <w:r w:rsidRPr="00657CA6">
        <w:rPr>
          <w:snapToGrid/>
          <w:kern w:val="0"/>
          <w:sz w:val="20"/>
        </w:rPr>
        <w:t>terstate switched access traffic,” as hypothesized by Peerless and West.  Peerless and West Sept. 18</w:t>
      </w:r>
      <w:r>
        <w:rPr>
          <w:snapToGrid/>
          <w:kern w:val="0"/>
          <w:sz w:val="20"/>
        </w:rPr>
        <w:t>,</w:t>
      </w:r>
      <w:r w:rsidRPr="00657CA6">
        <w:rPr>
          <w:snapToGrid/>
          <w:kern w:val="0"/>
          <w:sz w:val="20"/>
        </w:rPr>
        <w:t xml:space="preserve"> 2019 </w:t>
      </w:r>
      <w:r w:rsidRPr="00657CA6">
        <w:rPr>
          <w:i/>
          <w:snapToGrid/>
          <w:kern w:val="0"/>
          <w:sz w:val="20"/>
        </w:rPr>
        <w:t>Ex Parte</w:t>
      </w:r>
      <w:r w:rsidRPr="00657CA6">
        <w:rPr>
          <w:snapToGrid/>
          <w:kern w:val="0"/>
          <w:sz w:val="20"/>
        </w:rPr>
        <w:t xml:space="preserve"> at 3.</w:t>
      </w:r>
    </w:p>
  </w:footnote>
  <w:footnote w:id="169">
    <w:p w:rsidR="00844D1E" w:rsidP="00EB312D">
      <w:pPr>
        <w:pStyle w:val="FootnoteText"/>
      </w:pPr>
      <w:r>
        <w:rPr>
          <w:rStyle w:val="FootnoteReference"/>
        </w:rPr>
        <w:footnoteRef/>
      </w:r>
      <w:r>
        <w:t xml:space="preserve"> 47 CFR § 61.3(</w:t>
      </w:r>
      <w:r>
        <w:t>bbb</w:t>
      </w:r>
      <w:r>
        <w:t>).</w:t>
      </w:r>
    </w:p>
  </w:footnote>
  <w:footnote w:id="170">
    <w:p w:rsidR="00844D1E" w:rsidRPr="0094310E" w:rsidP="00EB312D">
      <w:pPr>
        <w:pStyle w:val="FootnoteText"/>
      </w:pPr>
      <w:r>
        <w:rPr>
          <w:rStyle w:val="FootnoteReference"/>
        </w:rPr>
        <w:footnoteRef/>
      </w:r>
      <w:r>
        <w:t xml:space="preserve"> </w:t>
      </w:r>
      <w:r w:rsidRPr="00FB46C2">
        <w:rPr>
          <w:i/>
        </w:rPr>
        <w:t>See</w:t>
      </w:r>
      <w:r>
        <w:t xml:space="preserve"> </w:t>
      </w:r>
      <w:r>
        <w:rPr>
          <w:i/>
        </w:rPr>
        <w:t>i</w:t>
      </w:r>
      <w:r w:rsidRPr="00B4273D">
        <w:rPr>
          <w:i/>
        </w:rPr>
        <w:t>nfra</w:t>
      </w:r>
      <w:r>
        <w:t xml:space="preserve"> Appx. A, 47 </w:t>
      </w:r>
      <w:r w:rsidRPr="0094310E">
        <w:t>CFR § 6</w:t>
      </w:r>
      <w:r w:rsidRPr="003244AB">
        <w:rPr>
          <w:color w:val="010101"/>
          <w:szCs w:val="22"/>
        </w:rPr>
        <w:t>1.3(</w:t>
      </w:r>
      <w:r w:rsidRPr="003244AB">
        <w:rPr>
          <w:color w:val="010101"/>
          <w:szCs w:val="22"/>
        </w:rPr>
        <w:t>bbb</w:t>
      </w:r>
      <w:r w:rsidRPr="003244AB">
        <w:rPr>
          <w:color w:val="010101"/>
          <w:szCs w:val="22"/>
        </w:rPr>
        <w:t>)</w:t>
      </w:r>
      <w:r>
        <w:rPr>
          <w:color w:val="010101"/>
          <w:szCs w:val="22"/>
        </w:rPr>
        <w:t>(</w:t>
      </w:r>
      <w:r>
        <w:rPr>
          <w:color w:val="010101"/>
          <w:szCs w:val="22"/>
        </w:rPr>
        <w:t>2</w:t>
      </w:r>
      <w:r w:rsidRPr="003244AB">
        <w:rPr>
          <w:color w:val="010101"/>
          <w:szCs w:val="22"/>
        </w:rPr>
        <w:t>).</w:t>
      </w:r>
    </w:p>
  </w:footnote>
  <w:footnote w:id="171">
    <w:p w:rsidR="00844D1E" w:rsidP="00EB312D">
      <w:pPr>
        <w:pStyle w:val="FootnoteText"/>
      </w:pPr>
      <w:r>
        <w:rPr>
          <w:rStyle w:val="FootnoteReference"/>
        </w:rPr>
        <w:footnoteRef/>
      </w:r>
      <w:r>
        <w:t xml:space="preserve"> </w:t>
      </w:r>
      <w:r w:rsidRPr="00E90E31">
        <w:rPr>
          <w:i/>
        </w:rPr>
        <w:t>I</w:t>
      </w:r>
      <w:r w:rsidRPr="00B4273D">
        <w:rPr>
          <w:i/>
        </w:rPr>
        <w:t>nfra</w:t>
      </w:r>
      <w:r>
        <w:t xml:space="preserve"> Appx. A, 47 </w:t>
      </w:r>
      <w:r w:rsidRPr="0094310E">
        <w:t>CFR § 6</w:t>
      </w:r>
      <w:r w:rsidRPr="003244AB">
        <w:rPr>
          <w:color w:val="010101"/>
          <w:szCs w:val="22"/>
        </w:rPr>
        <w:t>1.3(</w:t>
      </w:r>
      <w:r w:rsidRPr="003244AB">
        <w:rPr>
          <w:color w:val="010101"/>
          <w:szCs w:val="22"/>
        </w:rPr>
        <w:t>bbb</w:t>
      </w:r>
      <w:r w:rsidRPr="003244AB">
        <w:rPr>
          <w:color w:val="010101"/>
          <w:szCs w:val="22"/>
        </w:rPr>
        <w:t>)</w:t>
      </w:r>
      <w:r>
        <w:rPr>
          <w:color w:val="010101"/>
          <w:szCs w:val="22"/>
        </w:rPr>
        <w:t>(</w:t>
      </w:r>
      <w:r>
        <w:rPr>
          <w:color w:val="010101"/>
          <w:szCs w:val="22"/>
        </w:rPr>
        <w:t>3)</w:t>
      </w:r>
      <w:r w:rsidRPr="003244AB">
        <w:rPr>
          <w:color w:val="010101"/>
          <w:szCs w:val="22"/>
        </w:rPr>
        <w:t>.</w:t>
      </w:r>
    </w:p>
  </w:footnote>
  <w:footnote w:id="172">
    <w:p w:rsidR="00844D1E" w:rsidP="00EB312D">
      <w:pPr>
        <w:pStyle w:val="FootnoteText"/>
      </w:pPr>
      <w:r>
        <w:rPr>
          <w:rStyle w:val="FootnoteReference"/>
        </w:rPr>
        <w:footnoteRef/>
      </w:r>
      <w:r>
        <w:t xml:space="preserve"> 47 CFR § 61.3(</w:t>
      </w:r>
      <w:r>
        <w:t>bbb</w:t>
      </w:r>
      <w:r>
        <w:t>)(</w:t>
      </w:r>
      <w:r>
        <w:t xml:space="preserve">2); </w:t>
      </w:r>
      <w:r w:rsidRPr="004B6465">
        <w:rPr>
          <w:i/>
        </w:rPr>
        <w:t>infra</w:t>
      </w:r>
      <w:r>
        <w:t xml:space="preserve"> Appx. A, 47 CFR § 61.3(</w:t>
      </w:r>
      <w:r>
        <w:t>bbb</w:t>
      </w:r>
      <w:r>
        <w:t>)</w:t>
      </w:r>
      <w:r>
        <w:t>(</w:t>
      </w:r>
      <w:r>
        <w:t>4</w:t>
      </w:r>
      <w:r>
        <w:t>)</w:t>
      </w:r>
      <w:r>
        <w:t>.</w:t>
      </w:r>
    </w:p>
  </w:footnote>
  <w:footnote w:id="173">
    <w:p w:rsidR="00844D1E" w:rsidP="00EB312D">
      <w:pPr>
        <w:pStyle w:val="FootnoteText"/>
      </w:pPr>
      <w:r>
        <w:rPr>
          <w:rStyle w:val="FootnoteReference"/>
        </w:rPr>
        <w:footnoteRef/>
      </w:r>
      <w:r>
        <w:t xml:space="preserve"> </w:t>
      </w:r>
      <w:bookmarkStart w:id="326" w:name="_Hlk18993267"/>
      <w:r w:rsidRPr="00FB46C2">
        <w:rPr>
          <w:i/>
        </w:rPr>
        <w:t>See</w:t>
      </w:r>
      <w:r w:rsidRPr="00D57292">
        <w:rPr>
          <w:i/>
        </w:rPr>
        <w:t>,</w:t>
      </w:r>
      <w:r>
        <w:t xml:space="preserve"> </w:t>
      </w:r>
      <w:r>
        <w:rPr>
          <w:i/>
        </w:rPr>
        <w:t>e</w:t>
      </w:r>
      <w:r w:rsidRPr="00FF707E">
        <w:rPr>
          <w:i/>
        </w:rPr>
        <w:t>.g.</w:t>
      </w:r>
      <w:r>
        <w:t xml:space="preserve">, </w:t>
      </w:r>
      <w:r w:rsidRPr="00792AE9">
        <w:rPr>
          <w:i/>
        </w:rPr>
        <w:t>USF/ICC Transformation Order</w:t>
      </w:r>
      <w:r>
        <w:t xml:space="preserve">, 26 FCC </w:t>
      </w:r>
      <w:r>
        <w:t>Rcd</w:t>
      </w:r>
      <w:r>
        <w:t xml:space="preserve"> at 17882, para. 679.</w:t>
      </w:r>
      <w:bookmarkEnd w:id="326"/>
    </w:p>
  </w:footnote>
  <w:footnote w:id="174">
    <w:p w:rsidR="00844D1E" w:rsidP="00EB312D">
      <w:pPr>
        <w:pStyle w:val="FootnoteText"/>
      </w:pPr>
      <w:r>
        <w:rPr>
          <w:rStyle w:val="FootnoteReference"/>
        </w:rPr>
        <w:footnoteRef/>
      </w:r>
      <w:r>
        <w:t xml:space="preserve"> 47 CFR § 61.3(</w:t>
      </w:r>
      <w:r>
        <w:t>bbb</w:t>
      </w:r>
      <w:r>
        <w:t>)(</w:t>
      </w:r>
      <w:r>
        <w:t>2).</w:t>
      </w:r>
    </w:p>
  </w:footnote>
  <w:footnote w:id="175">
    <w:p w:rsidR="00844D1E" w:rsidP="00EB312D">
      <w:pPr>
        <w:pStyle w:val="FootnoteText"/>
      </w:pPr>
      <w:r>
        <w:rPr>
          <w:rStyle w:val="FootnoteReference"/>
        </w:rPr>
        <w:footnoteRef/>
      </w:r>
      <w:r>
        <w:t xml:space="preserve"> </w:t>
      </w:r>
      <w:bookmarkStart w:id="327" w:name="_Hlk17928065"/>
      <w:r w:rsidRPr="006A1A15">
        <w:rPr>
          <w:i/>
        </w:rPr>
        <w:t>A</w:t>
      </w:r>
      <w:r>
        <w:rPr>
          <w:i/>
        </w:rPr>
        <w:t>ccess A</w:t>
      </w:r>
      <w:r w:rsidRPr="006A1A15">
        <w:rPr>
          <w:i/>
        </w:rPr>
        <w:t>rbitrage Notice</w:t>
      </w:r>
      <w:r>
        <w:t xml:space="preserve">, 33 FCC </w:t>
      </w:r>
      <w:r>
        <w:t>Rcd</w:t>
      </w:r>
      <w:r>
        <w:t xml:space="preserve"> at 5479, para. 37.</w:t>
      </w:r>
      <w:bookmarkEnd w:id="327"/>
    </w:p>
  </w:footnote>
  <w:footnote w:id="176">
    <w:p w:rsidR="00844D1E" w:rsidP="00EB312D">
      <w:pPr>
        <w:pStyle w:val="FootnoteText"/>
      </w:pPr>
      <w:r>
        <w:rPr>
          <w:rStyle w:val="FootnoteReference"/>
        </w:rPr>
        <w:footnoteRef/>
      </w:r>
      <w:r>
        <w:t xml:space="preserve"> </w:t>
      </w:r>
      <w:r w:rsidRPr="00FB46C2">
        <w:rPr>
          <w:i/>
        </w:rPr>
        <w:t>See</w:t>
      </w:r>
      <w:r>
        <w:t xml:space="preserve"> </w:t>
      </w:r>
      <w:r>
        <w:rPr>
          <w:i/>
        </w:rPr>
        <w:t>i</w:t>
      </w:r>
      <w:r w:rsidRPr="007B597B">
        <w:rPr>
          <w:i/>
        </w:rPr>
        <w:t>nfra</w:t>
      </w:r>
      <w:r>
        <w:t xml:space="preserve"> Appx. A, 47 CFR § 61.3(</w:t>
      </w:r>
      <w:r>
        <w:t>bbb</w:t>
      </w:r>
      <w:r>
        <w:t>)(</w:t>
      </w:r>
      <w:r>
        <w:t>4).</w:t>
      </w:r>
    </w:p>
  </w:footnote>
  <w:footnote w:id="177">
    <w:p w:rsidR="00844D1E" w:rsidRPr="0094310E" w:rsidP="00EB312D">
      <w:pPr>
        <w:pStyle w:val="FootnoteText"/>
      </w:pPr>
      <w:r w:rsidRPr="0094310E">
        <w:rPr>
          <w:rStyle w:val="FootnoteReference"/>
        </w:rPr>
        <w:footnoteRef/>
      </w:r>
      <w:r w:rsidRPr="0094310E">
        <w:t xml:space="preserve"> </w:t>
      </w:r>
      <w:r w:rsidRPr="00FB46C2">
        <w:rPr>
          <w:i/>
        </w:rPr>
        <w:t>See</w:t>
      </w:r>
      <w:r>
        <w:t xml:space="preserve"> </w:t>
      </w:r>
      <w:r>
        <w:rPr>
          <w:i/>
        </w:rPr>
        <w:t>i</w:t>
      </w:r>
      <w:r w:rsidRPr="0094310E">
        <w:rPr>
          <w:i/>
        </w:rPr>
        <w:t>nfra</w:t>
      </w:r>
      <w:r w:rsidRPr="00A82C66">
        <w:t xml:space="preserve"> Appx. A, 47 CFR § 6</w:t>
      </w:r>
      <w:r w:rsidRPr="003244AB">
        <w:rPr>
          <w:color w:val="010101"/>
          <w:szCs w:val="22"/>
        </w:rPr>
        <w:t>1.3(</w:t>
      </w:r>
      <w:r w:rsidRPr="003244AB">
        <w:rPr>
          <w:color w:val="010101"/>
          <w:szCs w:val="22"/>
        </w:rPr>
        <w:t>bbb</w:t>
      </w:r>
      <w:r w:rsidRPr="003244AB">
        <w:rPr>
          <w:color w:val="010101"/>
          <w:szCs w:val="22"/>
        </w:rPr>
        <w:t>)</w:t>
      </w:r>
      <w:r>
        <w:rPr>
          <w:color w:val="010101"/>
          <w:szCs w:val="22"/>
        </w:rPr>
        <w:t>(</w:t>
      </w:r>
      <w:r>
        <w:rPr>
          <w:color w:val="010101"/>
          <w:szCs w:val="22"/>
        </w:rPr>
        <w:t>4</w:t>
      </w:r>
      <w:r w:rsidRPr="003244AB">
        <w:rPr>
          <w:color w:val="010101"/>
          <w:szCs w:val="22"/>
        </w:rPr>
        <w:t>); 47 CFR §§ 61.26(g), 61.38, 69.3(</w:t>
      </w:r>
      <w:r>
        <w:rPr>
          <w:color w:val="010101"/>
          <w:szCs w:val="22"/>
        </w:rPr>
        <w:t>e</w:t>
      </w:r>
      <w:r w:rsidRPr="003244AB">
        <w:rPr>
          <w:color w:val="010101"/>
          <w:szCs w:val="22"/>
        </w:rPr>
        <w:t>)(12)</w:t>
      </w:r>
      <w:r>
        <w:rPr>
          <w:color w:val="010101"/>
          <w:szCs w:val="22"/>
        </w:rPr>
        <w:t>.</w:t>
      </w:r>
    </w:p>
  </w:footnote>
  <w:footnote w:id="178">
    <w:p w:rsidR="00844D1E" w:rsidP="00EB312D">
      <w:pPr>
        <w:pStyle w:val="FootnoteText"/>
      </w:pPr>
      <w:r>
        <w:rPr>
          <w:rStyle w:val="FootnoteReference"/>
        </w:rPr>
        <w:footnoteRef/>
      </w:r>
      <w:r>
        <w:t xml:space="preserve"> </w:t>
      </w:r>
      <w:r w:rsidRPr="00FB46C2">
        <w:rPr>
          <w:i/>
        </w:rPr>
        <w:t>See</w:t>
      </w:r>
      <w:r>
        <w:t xml:space="preserve"> </w:t>
      </w:r>
      <w:r>
        <w:rPr>
          <w:i/>
        </w:rPr>
        <w:t>i</w:t>
      </w:r>
      <w:r w:rsidRPr="00B4273D">
        <w:rPr>
          <w:i/>
        </w:rPr>
        <w:t>nfra</w:t>
      </w:r>
      <w:r>
        <w:t xml:space="preserve"> Appx. A, 47 </w:t>
      </w:r>
      <w:r w:rsidRPr="0094310E">
        <w:t xml:space="preserve">CFR </w:t>
      </w:r>
      <w:r>
        <w:t>§ 51.914(d</w:t>
      </w:r>
      <w:r w:rsidRPr="00DC4DF1">
        <w:t>)</w:t>
      </w:r>
      <w:r>
        <w:rPr>
          <w:color w:val="010101"/>
          <w:szCs w:val="22"/>
        </w:rPr>
        <w:t>;</w:t>
      </w:r>
      <w:r w:rsidRPr="00F44DA8">
        <w:rPr>
          <w:i/>
        </w:rPr>
        <w:t xml:space="preserve"> </w:t>
      </w:r>
      <w:r>
        <w:rPr>
          <w:i/>
        </w:rPr>
        <w:t>s</w:t>
      </w:r>
      <w:r w:rsidRPr="00C0119C">
        <w:rPr>
          <w:i/>
        </w:rPr>
        <w:t>ee</w:t>
      </w:r>
      <w:r>
        <w:t xml:space="preserve"> </w:t>
      </w:r>
      <w:r>
        <w:t>Aureon</w:t>
      </w:r>
      <w:r>
        <w:t xml:space="preserve"> Reply at 19; </w:t>
      </w:r>
      <w:r>
        <w:t>Aureon</w:t>
      </w:r>
      <w:r>
        <w:t xml:space="preserve"> May 23, 2019 </w:t>
      </w:r>
      <w:r w:rsidRPr="000B50F7">
        <w:rPr>
          <w:i/>
        </w:rPr>
        <w:t xml:space="preserve">Ex Parte </w:t>
      </w:r>
      <w:r>
        <w:t xml:space="preserve">at 4 n.11 (expressing </w:t>
      </w:r>
      <w:r w:rsidRPr="00043A6F">
        <w:rPr>
          <w:szCs w:val="22"/>
        </w:rPr>
        <w:t>concern that it could somehow be deemed to be engaged in access stimulation if an over-inclusive definition of access stimulation were adopted</w:t>
      </w:r>
      <w:r>
        <w:rPr>
          <w:szCs w:val="22"/>
        </w:rPr>
        <w:t>)</w:t>
      </w:r>
      <w:r>
        <w:t xml:space="preserve">.  </w:t>
      </w:r>
    </w:p>
  </w:footnote>
  <w:footnote w:id="179">
    <w:p w:rsidR="00844D1E" w:rsidP="00EB312D">
      <w:pPr>
        <w:pStyle w:val="FootnoteText"/>
      </w:pPr>
      <w:r>
        <w:rPr>
          <w:rStyle w:val="FootnoteReference"/>
        </w:rPr>
        <w:footnoteRef/>
      </w:r>
      <w:r>
        <w:t xml:space="preserve"> NTCA May 16, 2019 </w:t>
      </w:r>
      <w:r w:rsidRPr="00A07943">
        <w:rPr>
          <w:i/>
        </w:rPr>
        <w:t>Ex Parte</w:t>
      </w:r>
      <w:r>
        <w:t xml:space="preserve"> at 4; </w:t>
      </w:r>
      <w:r w:rsidRPr="00A07943">
        <w:rPr>
          <w:i/>
        </w:rPr>
        <w:t>see also</w:t>
      </w:r>
      <w:r>
        <w:t xml:space="preserve"> NTCA Comments at 3-4; ITTA Comments at 5 n.19; </w:t>
      </w:r>
      <w:r w:rsidRPr="00555966">
        <w:t xml:space="preserve">Wide Voice Comments at 11 (urging the Commission to “allow </w:t>
      </w:r>
      <w:r>
        <w:t xml:space="preserve">the </w:t>
      </w:r>
      <w:r w:rsidRPr="00555966">
        <w:t>CEA providers to continue to provide their services to the majority of rural LECs not involved in access stimulation”)</w:t>
      </w:r>
      <w:r w:rsidRPr="00435F80">
        <w:t>.</w:t>
      </w:r>
    </w:p>
  </w:footnote>
  <w:footnote w:id="180">
    <w:p w:rsidR="00844D1E" w:rsidP="00EB312D">
      <w:pPr>
        <w:pStyle w:val="FootnoteText"/>
      </w:pPr>
      <w:r>
        <w:rPr>
          <w:rStyle w:val="FootnoteReference"/>
        </w:rPr>
        <w:footnoteRef/>
      </w:r>
      <w:r>
        <w:t xml:space="preserve"> </w:t>
      </w:r>
      <w:r w:rsidRPr="004E5364">
        <w:rPr>
          <w:i/>
        </w:rPr>
        <w:t>See</w:t>
      </w:r>
      <w:r>
        <w:t xml:space="preserve"> NTCA May 16, 2019 </w:t>
      </w:r>
      <w:r w:rsidRPr="004E5364">
        <w:rPr>
          <w:i/>
        </w:rPr>
        <w:t>Ex Parte</w:t>
      </w:r>
      <w:r>
        <w:t xml:space="preserve"> at 3 (requesting clarity “that prong 1 will apply only to access stimulators”).</w:t>
      </w:r>
    </w:p>
  </w:footnote>
  <w:footnote w:id="181">
    <w:p w:rsidR="00844D1E" w:rsidP="00EB312D">
      <w:pPr>
        <w:pStyle w:val="FootnoteText"/>
      </w:pPr>
      <w:r>
        <w:rPr>
          <w:rStyle w:val="FootnoteReference"/>
        </w:rPr>
        <w:footnoteRef/>
      </w:r>
      <w:r>
        <w:t xml:space="preserve"> </w:t>
      </w:r>
      <w:r>
        <w:rPr>
          <w:i/>
        </w:rPr>
        <w:t xml:space="preserve">See </w:t>
      </w:r>
      <w:r>
        <w:t xml:space="preserve">AT&amp;T Apr. 9, 2019 </w:t>
      </w:r>
      <w:r>
        <w:rPr>
          <w:i/>
        </w:rPr>
        <w:t xml:space="preserve">Ex Parte </w:t>
      </w:r>
      <w:r>
        <w:t xml:space="preserve">at 6-7; </w:t>
      </w:r>
      <w:r>
        <w:rPr>
          <w:i/>
        </w:rPr>
        <w:t>see also</w:t>
      </w:r>
      <w:r>
        <w:t xml:space="preserve"> </w:t>
      </w:r>
      <w:r w:rsidRPr="0034674C">
        <w:rPr>
          <w:i/>
        </w:rPr>
        <w:t xml:space="preserve">Qwest v. </w:t>
      </w:r>
      <w:r w:rsidRPr="0034674C">
        <w:rPr>
          <w:i/>
        </w:rPr>
        <w:t>Sancom</w:t>
      </w:r>
      <w:r>
        <w:t>,</w:t>
      </w:r>
      <w:r>
        <w:rPr>
          <w:i/>
        </w:rPr>
        <w:t xml:space="preserve"> </w:t>
      </w:r>
      <w:r>
        <w:t xml:space="preserve">28 FCC </w:t>
      </w:r>
      <w:r>
        <w:t>Rcd</w:t>
      </w:r>
      <w:r>
        <w:t xml:space="preserve"> at 1994, para. 28 (holding that Free Conferencing Corporation and Ocean Bay Marketing were not end users under </w:t>
      </w:r>
      <w:r>
        <w:t>Sancom’s</w:t>
      </w:r>
      <w:r>
        <w:t xml:space="preserve"> tariff). </w:t>
      </w:r>
    </w:p>
  </w:footnote>
  <w:footnote w:id="182">
    <w:p w:rsidR="00844D1E" w:rsidRPr="00612FDD" w:rsidP="00EB312D">
      <w:pPr>
        <w:widowControl/>
        <w:autoSpaceDE w:val="0"/>
        <w:autoSpaceDN w:val="0"/>
        <w:adjustRightInd w:val="0"/>
        <w:spacing w:after="120"/>
        <w:rPr>
          <w:sz w:val="20"/>
        </w:rPr>
      </w:pPr>
      <w:r>
        <w:rPr>
          <w:rStyle w:val="FootnoteReference"/>
        </w:rPr>
        <w:footnoteRef/>
      </w:r>
      <w:r w:rsidRPr="00612FDD">
        <w:rPr>
          <w:sz w:val="20"/>
        </w:rPr>
        <w:t xml:space="preserve"> We agree with Sprint that “</w:t>
      </w:r>
      <w:r w:rsidRPr="00612FDD">
        <w:rPr>
          <w:snapToGrid/>
          <w:kern w:val="0"/>
          <w:sz w:val="20"/>
        </w:rPr>
        <w:t>that the consideration of a ‘free’ conference calling provider or chat line provider as an end user for purposes of identifying entities engaged in access stimulation does not overturn or supersede the previous Commission decisions enforcing preexisting rules and tariff provisions, and that those decisions still apply in determining whether the carrier provided access service.”</w:t>
      </w:r>
      <w:r>
        <w:rPr>
          <w:snapToGrid/>
          <w:kern w:val="0"/>
          <w:sz w:val="20"/>
        </w:rPr>
        <w:t xml:space="preserve">  Sprint Sept. 19, 2019 </w:t>
      </w:r>
      <w:r w:rsidRPr="00235E34">
        <w:rPr>
          <w:i/>
          <w:snapToGrid/>
          <w:kern w:val="0"/>
          <w:sz w:val="20"/>
        </w:rPr>
        <w:t xml:space="preserve">Ex Parte </w:t>
      </w:r>
      <w:r>
        <w:rPr>
          <w:snapToGrid/>
          <w:kern w:val="0"/>
          <w:sz w:val="20"/>
        </w:rPr>
        <w:t>at 2.</w:t>
      </w:r>
    </w:p>
  </w:footnote>
  <w:footnote w:id="183">
    <w:p w:rsidR="00844D1E" w:rsidRPr="003951F0" w:rsidP="00EB312D">
      <w:pPr>
        <w:pStyle w:val="FootnoteText"/>
      </w:pPr>
      <w:r>
        <w:rPr>
          <w:rStyle w:val="FootnoteReference"/>
        </w:rPr>
        <w:footnoteRef/>
      </w:r>
      <w:r>
        <w:t xml:space="preserve"> </w:t>
      </w:r>
      <w:r w:rsidRPr="00FB46C2">
        <w:rPr>
          <w:i/>
        </w:rPr>
        <w:t>See</w:t>
      </w:r>
      <w:r>
        <w:t xml:space="preserve"> </w:t>
      </w:r>
      <w:r>
        <w:rPr>
          <w:i/>
        </w:rPr>
        <w:t xml:space="preserve">infra </w:t>
      </w:r>
      <w:r>
        <w:t>Appx. A, 47 CFR § 61.3(</w:t>
      </w:r>
      <w:r>
        <w:t>bbb</w:t>
      </w:r>
      <w:r>
        <w:t>)(</w:t>
      </w:r>
      <w:r>
        <w:t>1).</w:t>
      </w:r>
      <w:r w:rsidRPr="0013391B">
        <w:rPr>
          <w:sz w:val="18"/>
        </w:rPr>
        <w:t xml:space="preserve">  </w:t>
      </w:r>
      <w:r w:rsidRPr="00A5666E">
        <w:t>The Commission adopted several orders resolving complaints concerning access stimulation under preexisting</w:t>
      </w:r>
      <w:r w:rsidRPr="0063473C">
        <w:t xml:space="preserve"> rules and compliance with the Communications Act.  We clarify that this </w:t>
      </w:r>
      <w:r w:rsidRPr="003F4BDE">
        <w:rPr>
          <w:i/>
        </w:rPr>
        <w:t>Order</w:t>
      </w:r>
      <w:r w:rsidRPr="0063473C">
        <w:t xml:space="preserve"> complements these previous decisions, and nothing in this </w:t>
      </w:r>
      <w:r w:rsidRPr="003F4BDE">
        <w:rPr>
          <w:i/>
        </w:rPr>
        <w:t>Order</w:t>
      </w:r>
      <w:r w:rsidRPr="0063473C">
        <w:t xml:space="preserve"> should be construed as overturning or superseding these previous Commission decisions</w:t>
      </w:r>
      <w:r w:rsidRPr="0013391B">
        <w:rPr>
          <w:szCs w:val="22"/>
        </w:rPr>
        <w:t xml:space="preserve">.  </w:t>
      </w:r>
      <w:r w:rsidRPr="0013391B">
        <w:rPr>
          <w:i/>
          <w:szCs w:val="22"/>
        </w:rPr>
        <w:t>See</w:t>
      </w:r>
      <w:r>
        <w:rPr>
          <w:i/>
          <w:szCs w:val="22"/>
        </w:rPr>
        <w:t>, e.g.</w:t>
      </w:r>
      <w:r w:rsidRPr="00723A6B">
        <w:rPr>
          <w:szCs w:val="22"/>
        </w:rPr>
        <w:t xml:space="preserve">, </w:t>
      </w:r>
      <w:r w:rsidRPr="0013391B">
        <w:rPr>
          <w:i/>
          <w:szCs w:val="22"/>
        </w:rPr>
        <w:t>Connect America Fund et al.</w:t>
      </w:r>
      <w:r w:rsidRPr="0013391B">
        <w:rPr>
          <w:szCs w:val="22"/>
        </w:rPr>
        <w:t xml:space="preserve">, WC Docket No. 10-90 </w:t>
      </w:r>
      <w:r w:rsidRPr="0021059F">
        <w:rPr>
          <w:i/>
          <w:szCs w:val="22"/>
        </w:rPr>
        <w:t>et al</w:t>
      </w:r>
      <w:r w:rsidRPr="0013391B">
        <w:rPr>
          <w:szCs w:val="22"/>
        </w:rPr>
        <w:t xml:space="preserve">., Order, 27 FCC </w:t>
      </w:r>
      <w:r w:rsidRPr="0013391B">
        <w:rPr>
          <w:szCs w:val="22"/>
        </w:rPr>
        <w:t>Rcd</w:t>
      </w:r>
      <w:r w:rsidRPr="0013391B">
        <w:rPr>
          <w:szCs w:val="22"/>
        </w:rPr>
        <w:t xml:space="preserve"> 605, 613, para. </w:t>
      </w:r>
      <w:r w:rsidRPr="00A5666E">
        <w:t>25 (</w:t>
      </w:r>
      <w:r w:rsidRPr="0063473C">
        <w:t>2012)</w:t>
      </w:r>
      <w:r>
        <w:t xml:space="preserve">; </w:t>
      </w:r>
      <w:r w:rsidRPr="006F16E6">
        <w:rPr>
          <w:i/>
        </w:rPr>
        <w:t>see also</w:t>
      </w:r>
      <w:r>
        <w:t xml:space="preserve"> Sprint Sept. 16, 2019 </w:t>
      </w:r>
      <w:r w:rsidRPr="006F16E6">
        <w:rPr>
          <w:i/>
        </w:rPr>
        <w:t>Ex Parte</w:t>
      </w:r>
      <w:r>
        <w:t xml:space="preserve"> at 2-3</w:t>
      </w:r>
      <w:r w:rsidRPr="0063473C">
        <w:t>.</w:t>
      </w:r>
      <w:r>
        <w:t xml:space="preserve"> </w:t>
      </w:r>
    </w:p>
  </w:footnote>
  <w:footnote w:id="184">
    <w:p w:rsidR="00844D1E" w:rsidRPr="004C6DEB" w:rsidP="00EB312D">
      <w:pPr>
        <w:pStyle w:val="FootnoteText"/>
      </w:pPr>
      <w:r w:rsidRPr="004C6DEB">
        <w:rPr>
          <w:rStyle w:val="FootnoteReference"/>
        </w:rPr>
        <w:footnoteRef/>
      </w:r>
      <w:r w:rsidRPr="004C6DEB">
        <w:t xml:space="preserve"> </w:t>
      </w:r>
      <w:r w:rsidRPr="004C6DEB">
        <w:rPr>
          <w:i/>
        </w:rPr>
        <w:t>See</w:t>
      </w:r>
      <w:r w:rsidRPr="004C6DEB">
        <w:t xml:space="preserve"> AT&amp;T Comments at 11.</w:t>
      </w:r>
    </w:p>
  </w:footnote>
  <w:footnote w:id="185">
    <w:p w:rsidR="00844D1E" w:rsidP="00EB312D">
      <w:pPr>
        <w:pStyle w:val="FootnoteText"/>
      </w:pPr>
      <w:r>
        <w:rPr>
          <w:rStyle w:val="FootnoteReference"/>
        </w:rPr>
        <w:footnoteRef/>
      </w:r>
      <w:r>
        <w:t xml:space="preserve"> </w:t>
      </w:r>
      <w:r w:rsidRPr="00E91895">
        <w:rPr>
          <w:i/>
        </w:rPr>
        <w:t>Infra</w:t>
      </w:r>
      <w:r>
        <w:t xml:space="preserve"> Appx. A, 47 CFR § 61.3(</w:t>
      </w:r>
      <w:r>
        <w:t>ddd</w:t>
      </w:r>
      <w:r>
        <w:t>).</w:t>
      </w:r>
    </w:p>
  </w:footnote>
  <w:footnote w:id="186">
    <w:p w:rsidR="00844D1E" w:rsidRPr="00236F1F" w:rsidP="00EB312D">
      <w:pPr>
        <w:pStyle w:val="FootnoteText"/>
      </w:pPr>
      <w:r>
        <w:rPr>
          <w:rStyle w:val="FootnoteReference"/>
        </w:rPr>
        <w:footnoteRef/>
      </w:r>
      <w:r>
        <w:t xml:space="preserve"> </w:t>
      </w:r>
      <w:r>
        <w:rPr>
          <w:i/>
        </w:rPr>
        <w:t xml:space="preserve">Infra </w:t>
      </w:r>
      <w:r>
        <w:t>Appx. A, 47 CFR § 61.3(ccc).</w:t>
      </w:r>
    </w:p>
  </w:footnote>
  <w:footnote w:id="187">
    <w:p w:rsidR="00844D1E" w:rsidP="00EB312D">
      <w:pPr>
        <w:pStyle w:val="FootnoteText"/>
      </w:pPr>
      <w:r>
        <w:rPr>
          <w:rStyle w:val="FootnoteReference"/>
        </w:rPr>
        <w:footnoteRef/>
      </w:r>
      <w:r>
        <w:t xml:space="preserve"> Joint CLEC Feb. 14, 2019 </w:t>
      </w:r>
      <w:r w:rsidRPr="0003388C">
        <w:rPr>
          <w:i/>
        </w:rPr>
        <w:t>Ex Parte</w:t>
      </w:r>
      <w:r>
        <w:t xml:space="preserve"> Attach. at 30.</w:t>
      </w:r>
    </w:p>
  </w:footnote>
  <w:footnote w:id="188">
    <w:p w:rsidR="00844D1E" w:rsidP="00EB312D">
      <w:pPr>
        <w:pStyle w:val="FootnoteText"/>
      </w:pPr>
      <w:r>
        <w:rPr>
          <w:rStyle w:val="FootnoteReference"/>
        </w:rPr>
        <w:footnoteRef/>
      </w:r>
      <w:r>
        <w:t xml:space="preserve"> Joint CLEC Feb. 14, 2019 </w:t>
      </w:r>
      <w:r w:rsidRPr="0003388C">
        <w:rPr>
          <w:i/>
        </w:rPr>
        <w:t>Ex Parte</w:t>
      </w:r>
      <w:r>
        <w:t xml:space="preserve"> Attach. at 14 (asking “which provider is relevant to the issue of financial responsibility” and “whether a CLEC that has multiple interconnecting carriers is entitled to specify which of those carriers will carry the traffic to the CLEC”).</w:t>
      </w:r>
    </w:p>
  </w:footnote>
  <w:footnote w:id="189">
    <w:p w:rsidR="00844D1E" w:rsidRPr="00054AEA" w:rsidP="00EB312D">
      <w:pPr>
        <w:pStyle w:val="FootnoteText"/>
      </w:pPr>
      <w:r>
        <w:rPr>
          <w:rStyle w:val="FootnoteReference"/>
        </w:rPr>
        <w:footnoteRef/>
      </w:r>
      <w:r>
        <w:t xml:space="preserve"> </w:t>
      </w:r>
      <w:r>
        <w:rPr>
          <w:i/>
        </w:rPr>
        <w:t xml:space="preserve">Infra </w:t>
      </w:r>
      <w:r>
        <w:t>Appx. A, 47 CFR § 51.903 (referencing the definitions in § 61.3(</w:t>
      </w:r>
      <w:r>
        <w:t>bbb</w:t>
      </w:r>
      <w:r>
        <w:t>)-(</w:t>
      </w:r>
      <w:r>
        <w:t>ddd</w:t>
      </w:r>
      <w:r>
        <w:t xml:space="preserve">)); </w:t>
      </w:r>
      <w:r w:rsidRPr="00652BB4">
        <w:rPr>
          <w:i/>
        </w:rPr>
        <w:t>infra</w:t>
      </w:r>
      <w:r>
        <w:t xml:space="preserve"> Appx. A, 47 CFR § 61.26(g)(3) (tariffing for competitive LECs); </w:t>
      </w:r>
      <w:r>
        <w:rPr>
          <w:i/>
        </w:rPr>
        <w:t xml:space="preserve">infra </w:t>
      </w:r>
      <w:r>
        <w:t xml:space="preserve">Appx. A, 47 CFR §§ 61.39(g), 69.3(e)(12)(iv), 69.4(l), 69.5(b) (all concerning tariffing for rate-of-return LECs).  </w:t>
      </w:r>
    </w:p>
  </w:footnote>
  <w:footnote w:id="190">
    <w:p w:rsidR="00844D1E" w:rsidP="00EB312D">
      <w:pPr>
        <w:pStyle w:val="FootnoteText"/>
      </w:pPr>
      <w:r>
        <w:rPr>
          <w:rStyle w:val="FootnoteReference"/>
        </w:rPr>
        <w:footnoteRef/>
      </w:r>
      <w:r>
        <w:t xml:space="preserve"> Our expansion of the types of carriers that may file complaints is only an acknowledgment of the types of carriers that deliver terminating traffic to LECs.</w:t>
      </w:r>
    </w:p>
  </w:footnote>
  <w:footnote w:id="191">
    <w:p w:rsidR="00844D1E" w:rsidP="00EB312D">
      <w:pPr>
        <w:pStyle w:val="FootnoteText"/>
      </w:pPr>
      <w:r>
        <w:rPr>
          <w:rStyle w:val="FootnoteReference"/>
        </w:rPr>
        <w:footnoteRef/>
      </w:r>
      <w:r>
        <w:t xml:space="preserve"> </w:t>
      </w:r>
      <w:r>
        <w:rPr>
          <w:i/>
        </w:rPr>
        <w:t>USF/ICC Transformation Order</w:t>
      </w:r>
      <w:r>
        <w:t xml:space="preserve">, 26 FCC </w:t>
      </w:r>
      <w:r>
        <w:t>Rcd</w:t>
      </w:r>
      <w:r>
        <w:t xml:space="preserve"> at 17874-75, para. 659 (describing the filing of a complaint by an IXC); </w:t>
      </w:r>
      <w:r w:rsidRPr="00F311BB">
        <w:rPr>
          <w:i/>
        </w:rPr>
        <w:t xml:space="preserve">see </w:t>
      </w:r>
      <w:r w:rsidRPr="00C81046">
        <w:rPr>
          <w:i/>
        </w:rPr>
        <w:t>Access Arbitrage Notice</w:t>
      </w:r>
      <w:r>
        <w:t xml:space="preserve">, 33 FCC </w:t>
      </w:r>
      <w:r>
        <w:t>Rcd</w:t>
      </w:r>
      <w:r>
        <w:t xml:space="preserve"> at 5475, para. 26 (asking how the Commission will know if parties are engaged in revenue sharing).  Our rules allow for confidential filings.  47 CFR § 0.459.</w:t>
      </w:r>
    </w:p>
  </w:footnote>
  <w:footnote w:id="192">
    <w:p w:rsidR="00844D1E" w:rsidP="00EB312D">
      <w:pPr>
        <w:pStyle w:val="FootnoteText"/>
      </w:pPr>
      <w:r>
        <w:rPr>
          <w:rStyle w:val="FootnoteReference"/>
        </w:rPr>
        <w:footnoteRef/>
      </w:r>
      <w:r>
        <w:t xml:space="preserve"> Wide Voice Comments at 10.</w:t>
      </w:r>
    </w:p>
  </w:footnote>
  <w:footnote w:id="193">
    <w:p w:rsidR="00844D1E" w:rsidP="00EB312D">
      <w:pPr>
        <w:pStyle w:val="FootnoteText"/>
      </w:pPr>
      <w:r>
        <w:rPr>
          <w:rStyle w:val="FootnoteReference"/>
        </w:rPr>
        <w:footnoteRef/>
      </w:r>
      <w:r>
        <w:t xml:space="preserve"> </w:t>
      </w:r>
      <w:r w:rsidRPr="000171AE">
        <w:rPr>
          <w:i/>
        </w:rPr>
        <w:t>See supra</w:t>
      </w:r>
      <w:r w:rsidRPr="000171AE">
        <w:t xml:space="preserve"> note 138.</w:t>
      </w:r>
    </w:p>
  </w:footnote>
  <w:footnote w:id="194">
    <w:p w:rsidR="00844D1E" w:rsidP="00EB312D">
      <w:pPr>
        <w:pStyle w:val="FootnoteText"/>
      </w:pPr>
      <w:r>
        <w:rPr>
          <w:rStyle w:val="FootnoteReference"/>
        </w:rPr>
        <w:footnoteRef/>
      </w:r>
      <w:r>
        <w:t xml:space="preserve"> Wide Voice Comments at 10.</w:t>
      </w:r>
    </w:p>
  </w:footnote>
  <w:footnote w:id="195">
    <w:p w:rsidR="00844D1E" w:rsidP="00EB312D">
      <w:pPr>
        <w:pStyle w:val="FootnoteText"/>
      </w:pPr>
      <w:r>
        <w:rPr>
          <w:rStyle w:val="FootnoteReference"/>
        </w:rPr>
        <w:footnoteRef/>
      </w:r>
      <w:r>
        <w:t xml:space="preserve"> </w:t>
      </w:r>
      <w:r>
        <w:t>Aureon</w:t>
      </w:r>
      <w:r>
        <w:t xml:space="preserve"> Reply at 15 n.46.</w:t>
      </w:r>
    </w:p>
  </w:footnote>
  <w:footnote w:id="196">
    <w:p w:rsidR="00844D1E" w:rsidRPr="00303890" w:rsidP="00EB312D">
      <w:pPr>
        <w:pStyle w:val="FootnoteText"/>
      </w:pPr>
      <w:r>
        <w:rPr>
          <w:rStyle w:val="FootnoteReference"/>
        </w:rPr>
        <w:footnoteRef/>
      </w:r>
      <w:r>
        <w:t xml:space="preserve"> Wide Voice, Network Assets</w:t>
      </w:r>
      <w:r w:rsidRPr="00303890">
        <w:t xml:space="preserve">, </w:t>
      </w:r>
      <w:hyperlink r:id="rId3" w:history="1">
        <w:r w:rsidRPr="00303890">
          <w:rPr>
            <w:snapToGrid w:val="0"/>
            <w:color w:val="0000FF"/>
            <w:kern w:val="28"/>
            <w:u w:val="single"/>
          </w:rPr>
          <w:t>http://www.widevoice.com/network.html</w:t>
        </w:r>
      </w:hyperlink>
      <w:r w:rsidRPr="00303890">
        <w:rPr>
          <w:snapToGrid w:val="0"/>
          <w:kern w:val="28"/>
        </w:rPr>
        <w:t xml:space="preserve"> </w:t>
      </w:r>
      <w:r w:rsidRPr="00303890">
        <w:t xml:space="preserve">(last visited </w:t>
      </w:r>
      <w:r>
        <w:t>Sept.</w:t>
      </w:r>
      <w:r w:rsidRPr="00303890">
        <w:t xml:space="preserve"> </w:t>
      </w:r>
      <w:r>
        <w:t>10</w:t>
      </w:r>
      <w:r w:rsidRPr="00303890">
        <w:t>, 2019)</w:t>
      </w:r>
      <w:r w:rsidRPr="00303890">
        <w:rPr>
          <w:snapToGrid w:val="0"/>
          <w:kern w:val="28"/>
        </w:rPr>
        <w:t xml:space="preserve"> (listing </w:t>
      </w:r>
      <w:r>
        <w:rPr>
          <w:snapToGrid w:val="0"/>
          <w:kern w:val="28"/>
        </w:rPr>
        <w:t>Iowa, South Dakota, and Minnesota as</w:t>
      </w:r>
      <w:r w:rsidRPr="00303890">
        <w:rPr>
          <w:snapToGrid w:val="0"/>
          <w:kern w:val="28"/>
        </w:rPr>
        <w:t xml:space="preserve"> states in which Wide Voice is a certified </w:t>
      </w:r>
      <w:r>
        <w:rPr>
          <w:snapToGrid w:val="0"/>
          <w:kern w:val="28"/>
        </w:rPr>
        <w:t xml:space="preserve">competitive </w:t>
      </w:r>
      <w:r w:rsidRPr="00303890">
        <w:rPr>
          <w:snapToGrid w:val="0"/>
          <w:kern w:val="28"/>
        </w:rPr>
        <w:t xml:space="preserve">LEC, </w:t>
      </w:r>
      <w:r>
        <w:rPr>
          <w:snapToGrid w:val="0"/>
          <w:kern w:val="28"/>
        </w:rPr>
        <w:t>and noting that its facilities are “not built out” in those states</w:t>
      </w:r>
      <w:r w:rsidRPr="00303890">
        <w:rPr>
          <w:snapToGrid w:val="0"/>
          <w:kern w:val="28"/>
        </w:rPr>
        <w:t>)</w:t>
      </w:r>
      <w:r>
        <w:rPr>
          <w:snapToGrid w:val="0"/>
          <w:kern w:val="28"/>
        </w:rPr>
        <w:t>.</w:t>
      </w:r>
    </w:p>
  </w:footnote>
  <w:footnote w:id="197">
    <w:p w:rsidR="00844D1E" w:rsidRPr="004C75A4" w:rsidP="00EB312D">
      <w:pPr>
        <w:pStyle w:val="FootnoteText"/>
      </w:pPr>
      <w:r>
        <w:rPr>
          <w:rStyle w:val="FootnoteReference"/>
        </w:rPr>
        <w:footnoteRef/>
      </w:r>
      <w:r w:rsidRPr="004C75A4">
        <w:t xml:space="preserve"> </w:t>
      </w:r>
      <w:r>
        <w:t xml:space="preserve">Greenway Comments at 1-2; </w:t>
      </w:r>
      <w:r>
        <w:t>FailSafe</w:t>
      </w:r>
      <w:r>
        <w:t xml:space="preserve"> Comments at 2.</w:t>
      </w:r>
    </w:p>
  </w:footnote>
  <w:footnote w:id="198">
    <w:p w:rsidR="00844D1E" w:rsidRPr="00FB2D53" w:rsidP="00EB312D">
      <w:pPr>
        <w:pStyle w:val="FootnoteText"/>
      </w:pPr>
      <w:r>
        <w:rPr>
          <w:rStyle w:val="FootnoteReference"/>
        </w:rPr>
        <w:footnoteRef/>
      </w:r>
      <w:r w:rsidRPr="00FB2D53">
        <w:t xml:space="preserve"> </w:t>
      </w:r>
      <w:r>
        <w:t>Greenway Comments at 1-2 (citing 47 CFR § 61.3(</w:t>
      </w:r>
      <w:r>
        <w:t>bbb</w:t>
      </w:r>
      <w:r>
        <w:t xml:space="preserve">)); </w:t>
      </w:r>
      <w:r>
        <w:t>FailSafe</w:t>
      </w:r>
      <w:r>
        <w:t xml:space="preserve"> Comments at 2.</w:t>
      </w:r>
    </w:p>
  </w:footnote>
  <w:footnote w:id="199">
    <w:p w:rsidR="00844D1E" w:rsidRPr="00645229" w:rsidP="00EB312D">
      <w:pPr>
        <w:pStyle w:val="FootnoteText"/>
      </w:pPr>
      <w:r>
        <w:rPr>
          <w:rStyle w:val="FootnoteReference"/>
        </w:rPr>
        <w:footnoteRef/>
      </w:r>
      <w:r w:rsidRPr="00645229">
        <w:t xml:space="preserve"> </w:t>
      </w:r>
      <w:r>
        <w:rPr>
          <w:i/>
        </w:rPr>
        <w:t>See</w:t>
      </w:r>
      <w:r>
        <w:t xml:space="preserve"> </w:t>
      </w:r>
      <w:r>
        <w:rPr>
          <w:i/>
        </w:rPr>
        <w:t>USF/ICC Transformation Order</w:t>
      </w:r>
      <w:r>
        <w:t xml:space="preserve">, 26 FCC </w:t>
      </w:r>
      <w:r>
        <w:t>Rcd</w:t>
      </w:r>
      <w:r>
        <w:t xml:space="preserve"> at 17,881-82, para. 677. </w:t>
      </w:r>
    </w:p>
  </w:footnote>
  <w:footnote w:id="200">
    <w:p w:rsidR="00844D1E" w:rsidP="00EB312D">
      <w:pPr>
        <w:pStyle w:val="FootnoteText"/>
      </w:pPr>
      <w:r>
        <w:rPr>
          <w:rStyle w:val="FootnoteReference"/>
        </w:rPr>
        <w:footnoteRef/>
      </w:r>
      <w:r>
        <w:t xml:space="preserve"> </w:t>
      </w:r>
      <w:r>
        <w:t>FailSafe</w:t>
      </w:r>
      <w:r>
        <w:t xml:space="preserve"> Sept. 13, 2019 </w:t>
      </w:r>
      <w:r>
        <w:rPr>
          <w:i/>
        </w:rPr>
        <w:t>Ex Parte</w:t>
      </w:r>
      <w:r>
        <w:t xml:space="preserve"> at 1-2.</w:t>
      </w:r>
    </w:p>
  </w:footnote>
  <w:footnote w:id="201">
    <w:p w:rsidR="00844D1E" w:rsidRPr="001D46B5" w:rsidP="00EB312D">
      <w:pPr>
        <w:spacing w:after="120"/>
        <w:rPr>
          <w:rFonts w:eastAsia="Calibri"/>
          <w:snapToGrid/>
          <w:kern w:val="0"/>
          <w:sz w:val="20"/>
        </w:rPr>
      </w:pPr>
      <w:r>
        <w:rPr>
          <w:rStyle w:val="FootnoteReference"/>
        </w:rPr>
        <w:footnoteRef/>
      </w:r>
      <w:r w:rsidRPr="00437034">
        <w:rPr>
          <w:sz w:val="20"/>
        </w:rPr>
        <w:t xml:space="preserve"> </w:t>
      </w:r>
      <w:r w:rsidRPr="001D46B5">
        <w:rPr>
          <w:rFonts w:eastAsia="Calibri"/>
          <w:snapToGrid/>
          <w:kern w:val="0"/>
          <w:sz w:val="20"/>
        </w:rPr>
        <w:t>HD Tandem Comments at</w:t>
      </w:r>
      <w:r>
        <w:rPr>
          <w:rFonts w:eastAsia="Calibri"/>
          <w:snapToGrid/>
          <w:kern w:val="0"/>
          <w:sz w:val="20"/>
        </w:rPr>
        <w:t xml:space="preserve"> 8</w:t>
      </w:r>
      <w:r w:rsidRPr="001D46B5">
        <w:rPr>
          <w:rFonts w:eastAsia="Calibri"/>
          <w:snapToGrid/>
          <w:kern w:val="0"/>
          <w:sz w:val="20"/>
        </w:rPr>
        <w:t xml:space="preserve">.  Only Wide Voice has indicated support for HD Tandem’s proposal but has offered no factual justification for its adoption.  Wide Voice Reply </w:t>
      </w:r>
      <w:r w:rsidRPr="00C121C9">
        <w:rPr>
          <w:rFonts w:eastAsia="Calibri"/>
          <w:snapToGrid/>
          <w:kern w:val="0"/>
          <w:sz w:val="20"/>
        </w:rPr>
        <w:t>at 4.</w:t>
      </w:r>
      <w:r w:rsidRPr="001D46B5">
        <w:rPr>
          <w:rFonts w:eastAsia="Calibri"/>
          <w:snapToGrid/>
          <w:kern w:val="0"/>
          <w:sz w:val="20"/>
        </w:rPr>
        <w:t xml:space="preserve">  </w:t>
      </w:r>
    </w:p>
  </w:footnote>
  <w:footnote w:id="202">
    <w:p w:rsidR="00844D1E" w:rsidRPr="004C6DEB" w:rsidP="00EB312D">
      <w:pPr>
        <w:pStyle w:val="FootnoteText"/>
      </w:pPr>
      <w:r w:rsidRPr="004C6DEB">
        <w:rPr>
          <w:rStyle w:val="FootnoteReference"/>
        </w:rPr>
        <w:footnoteRef/>
      </w:r>
      <w:r w:rsidRPr="004C6DEB">
        <w:t xml:space="preserve"> CenturyLink Comments at 9-10</w:t>
      </w:r>
      <w:r>
        <w:t xml:space="preserve">; </w:t>
      </w:r>
      <w:r>
        <w:rPr>
          <w:i/>
        </w:rPr>
        <w:t>see also</w:t>
      </w:r>
      <w:r>
        <w:t xml:space="preserve"> CenturyLink Apr. 30, 2019 </w:t>
      </w:r>
      <w:r w:rsidRPr="00153341">
        <w:rPr>
          <w:i/>
        </w:rPr>
        <w:t>Ex Parte</w:t>
      </w:r>
      <w:r>
        <w:rPr>
          <w:i/>
        </w:rPr>
        <w:t xml:space="preserve"> </w:t>
      </w:r>
      <w:r>
        <w:t>at 1;</w:t>
      </w:r>
      <w:r w:rsidRPr="004C6DEB">
        <w:t xml:space="preserve"> </w:t>
      </w:r>
      <w:r w:rsidRPr="004C6DEB">
        <w:rPr>
          <w:i/>
        </w:rPr>
        <w:t>Access Arbitrage N</w:t>
      </w:r>
      <w:r>
        <w:rPr>
          <w:i/>
        </w:rPr>
        <w:t>otice</w:t>
      </w:r>
      <w:r>
        <w:t>,</w:t>
      </w:r>
      <w:r w:rsidRPr="004C6DEB">
        <w:t xml:space="preserve"> </w:t>
      </w:r>
      <w:r>
        <w:t xml:space="preserve">33 FCC </w:t>
      </w:r>
      <w:r>
        <w:t>Rcd</w:t>
      </w:r>
      <w:r>
        <w:t xml:space="preserve"> at 5474, </w:t>
      </w:r>
      <w:r w:rsidRPr="004C6DEB">
        <w:t xml:space="preserve">para. </w:t>
      </w:r>
      <w:r w:rsidRPr="00870A11">
        <w:t xml:space="preserve">23.  </w:t>
      </w:r>
      <w:r w:rsidRPr="00870A11">
        <w:rPr>
          <w:i/>
        </w:rPr>
        <w:t>See</w:t>
      </w:r>
      <w:r>
        <w:t xml:space="preserve"> Letter from</w:t>
      </w:r>
      <w:r>
        <w:t xml:space="preserve"> </w:t>
      </w:r>
      <w:r>
        <w:t>Doug Denney, Vice President, Costs and Policy, Allstream et al., to Marlene Dortch, Secretary, FCC, WC Docket No. 18-155 (filed Mar. 19, 2019</w:t>
      </w:r>
      <w:r>
        <w:t>)</w:t>
      </w:r>
      <w:r>
        <w:t xml:space="preserve">; Letter from John </w:t>
      </w:r>
      <w:r>
        <w:t>Barnicle</w:t>
      </w:r>
      <w:r>
        <w:t>, Pres. and CEO, Peerless Network, Inc., and Philip Macres, Counsel for Peerless Network, Inc., to Marlene Dortch, Secretary, FCC, WC Docket No. 18-155 (filed May 1, 2019) (both supporting CenturyLink’s proposal).</w:t>
      </w:r>
    </w:p>
  </w:footnote>
  <w:footnote w:id="203">
    <w:p w:rsidR="00844D1E" w:rsidP="00EB312D">
      <w:pPr>
        <w:pStyle w:val="FootnoteText"/>
      </w:pPr>
      <w:r>
        <w:rPr>
          <w:rStyle w:val="FootnoteReference"/>
        </w:rPr>
        <w:footnoteRef/>
      </w:r>
      <w:r>
        <w:t xml:space="preserve"> NTCA May 16, 2019 </w:t>
      </w:r>
      <w:r w:rsidRPr="00153341">
        <w:rPr>
          <w:i/>
        </w:rPr>
        <w:t>Ex Parte</w:t>
      </w:r>
      <w:r>
        <w:t xml:space="preserve"> at 5 (“Regardless of the merit of CenturyLink’s sweeping proposal for mandatory interconnection, it travels beyond the proper scope of this proceeding.”); Verizon Comments at 6-7; NTCA Reply at 6-7.</w:t>
      </w:r>
    </w:p>
  </w:footnote>
  <w:footnote w:id="204">
    <w:p w:rsidR="00844D1E" w:rsidRPr="00BE71A6" w:rsidP="00EB312D">
      <w:pPr>
        <w:pStyle w:val="FootnoteText"/>
      </w:pPr>
      <w:r>
        <w:rPr>
          <w:rStyle w:val="FootnoteReference"/>
        </w:rPr>
        <w:footnoteRef/>
      </w:r>
      <w:r>
        <w:t xml:space="preserve"> </w:t>
      </w:r>
      <w:r>
        <w:t>Inteliquent</w:t>
      </w:r>
      <w:r w:rsidRPr="007C6913">
        <w:t xml:space="preserve"> </w:t>
      </w:r>
      <w:r>
        <w:t>Apr.</w:t>
      </w:r>
      <w:r w:rsidRPr="007C6913">
        <w:t xml:space="preserve"> 1</w:t>
      </w:r>
      <w:r>
        <w:t>8</w:t>
      </w:r>
      <w:r w:rsidRPr="007C6913">
        <w:t>, 201</w:t>
      </w:r>
      <w:r>
        <w:t xml:space="preserve">9 </w:t>
      </w:r>
      <w:r w:rsidRPr="002C49C0">
        <w:rPr>
          <w:i/>
        </w:rPr>
        <w:t>Ex Parte</w:t>
      </w:r>
      <w:r>
        <w:rPr>
          <w:i/>
        </w:rPr>
        <w:t xml:space="preserve"> </w:t>
      </w:r>
      <w:r w:rsidRPr="00C97249">
        <w:t xml:space="preserve">Attach. at </w:t>
      </w:r>
      <w:r>
        <w:t xml:space="preserve">22; Letter from David Erickson, President, HD Tandem, to Marlene Dortch, Secretary, FCC, WC Docket No. 18-155, at 1-2 (filed Sept. 20, 2019) (HD Tandem Sept. 20, 2019 </w:t>
      </w:r>
      <w:r>
        <w:rPr>
          <w:i/>
        </w:rPr>
        <w:t>Ex Parte</w:t>
      </w:r>
      <w:r w:rsidRPr="00F22800">
        <w:t>);</w:t>
      </w:r>
      <w:r w:rsidRPr="008D1DA2">
        <w:t xml:space="preserve"> </w:t>
      </w:r>
      <w:r>
        <w:rPr>
          <w:i/>
        </w:rPr>
        <w:t>s</w:t>
      </w:r>
      <w:r w:rsidRPr="00F22800">
        <w:rPr>
          <w:i/>
        </w:rPr>
        <w:t>ee</w:t>
      </w:r>
      <w:r w:rsidRPr="008D1DA2">
        <w:rPr>
          <w:i/>
        </w:rPr>
        <w:t xml:space="preserve"> also </w:t>
      </w:r>
      <w:r w:rsidRPr="008D1DA2">
        <w:t xml:space="preserve">Wide Voice Sept. 16, 2019 </w:t>
      </w:r>
      <w:r w:rsidRPr="008D1DA2">
        <w:rPr>
          <w:i/>
        </w:rPr>
        <w:t>Ex Parte</w:t>
      </w:r>
      <w:r w:rsidRPr="008D1DA2">
        <w:t xml:space="preserve"> Response at 4.</w:t>
      </w:r>
      <w:r>
        <w:t xml:space="preserve"> </w:t>
      </w:r>
    </w:p>
  </w:footnote>
  <w:footnote w:id="205">
    <w:p w:rsidR="00844D1E" w:rsidRPr="009149FE" w:rsidP="00EB312D">
      <w:pPr>
        <w:widowControl/>
        <w:autoSpaceDE w:val="0"/>
        <w:autoSpaceDN w:val="0"/>
        <w:adjustRightInd w:val="0"/>
        <w:spacing w:after="120"/>
        <w:rPr>
          <w:sz w:val="20"/>
        </w:rPr>
      </w:pPr>
      <w:r w:rsidRPr="006B4F96">
        <w:rPr>
          <w:rStyle w:val="FootnoteReference"/>
        </w:rPr>
        <w:footnoteRef/>
      </w:r>
      <w:r w:rsidRPr="006B4F96">
        <w:rPr>
          <w:sz w:val="20"/>
        </w:rPr>
        <w:t xml:space="preserve"> </w:t>
      </w:r>
      <w:r w:rsidRPr="006B4F96">
        <w:rPr>
          <w:sz w:val="20"/>
        </w:rPr>
        <w:t>Inteliquent</w:t>
      </w:r>
      <w:r w:rsidRPr="006B4F96">
        <w:rPr>
          <w:sz w:val="20"/>
        </w:rPr>
        <w:t xml:space="preserve"> Apr. 18, 2019 </w:t>
      </w:r>
      <w:r w:rsidRPr="006B4F96">
        <w:rPr>
          <w:i/>
          <w:sz w:val="20"/>
        </w:rPr>
        <w:t xml:space="preserve">Ex Parte </w:t>
      </w:r>
      <w:r w:rsidRPr="006B4F96">
        <w:rPr>
          <w:sz w:val="20"/>
        </w:rPr>
        <w:t xml:space="preserve">Attach. at 22.  </w:t>
      </w:r>
      <w:r w:rsidRPr="006B4F96">
        <w:rPr>
          <w:sz w:val="20"/>
        </w:rPr>
        <w:t>Inteliquent</w:t>
      </w:r>
      <w:r w:rsidRPr="006B4F96">
        <w:rPr>
          <w:sz w:val="20"/>
        </w:rPr>
        <w:t xml:space="preserve"> may have abandoned its request for the three-part test</w:t>
      </w:r>
      <w:r>
        <w:rPr>
          <w:sz w:val="20"/>
        </w:rPr>
        <w:t xml:space="preserve"> including the mileage cap</w:t>
      </w:r>
      <w:r w:rsidRPr="006B4F96">
        <w:rPr>
          <w:sz w:val="20"/>
        </w:rPr>
        <w:t xml:space="preserve">, as it was not mentioned in a later </w:t>
      </w:r>
      <w:r w:rsidRPr="006B4F96">
        <w:rPr>
          <w:i/>
          <w:sz w:val="20"/>
        </w:rPr>
        <w:t>ex parte</w:t>
      </w:r>
      <w:r w:rsidRPr="006B4F96">
        <w:rPr>
          <w:sz w:val="20"/>
        </w:rPr>
        <w:t xml:space="preserve"> filing.  </w:t>
      </w:r>
      <w:r w:rsidRPr="006B4F96">
        <w:rPr>
          <w:sz w:val="20"/>
        </w:rPr>
        <w:t>Inteliquent</w:t>
      </w:r>
      <w:r w:rsidRPr="006B4F96">
        <w:rPr>
          <w:sz w:val="20"/>
        </w:rPr>
        <w:t xml:space="preserve"> Sept. 16, 2019 </w:t>
      </w:r>
      <w:r w:rsidRPr="006B4F96">
        <w:rPr>
          <w:i/>
          <w:sz w:val="20"/>
        </w:rPr>
        <w:t xml:space="preserve">Ex Parte </w:t>
      </w:r>
      <w:r w:rsidRPr="006B4F96">
        <w:rPr>
          <w:sz w:val="20"/>
        </w:rPr>
        <w:t>at 2 (supporting the NTCA proposal for “</w:t>
      </w:r>
      <w:r w:rsidRPr="006B4F96">
        <w:rPr>
          <w:snapToGrid/>
          <w:kern w:val="0"/>
          <w:sz w:val="20"/>
        </w:rPr>
        <w:t>higher ratios of terminating-to-</w:t>
      </w:r>
      <w:r w:rsidRPr="00AA6DD7">
        <w:rPr>
          <w:snapToGrid/>
          <w:kern w:val="0"/>
          <w:sz w:val="20"/>
        </w:rPr>
        <w:t>originating traffic [and]</w:t>
      </w:r>
      <w:r>
        <w:rPr>
          <w:snapToGrid/>
          <w:kern w:val="0"/>
          <w:sz w:val="20"/>
        </w:rPr>
        <w:t xml:space="preserve"> </w:t>
      </w:r>
      <w:r w:rsidRPr="006B4F96">
        <w:rPr>
          <w:snapToGrid/>
          <w:kern w:val="0"/>
          <w:sz w:val="20"/>
        </w:rPr>
        <w:t>minimum volume thresholds</w:t>
      </w:r>
      <w:r w:rsidRPr="00AA6DD7">
        <w:rPr>
          <w:sz w:val="20"/>
        </w:rPr>
        <w:t>” for rate-of-return LECs)</w:t>
      </w:r>
      <w:r w:rsidRPr="009149FE">
        <w:rPr>
          <w:sz w:val="20"/>
        </w:rPr>
        <w:t>.</w:t>
      </w:r>
    </w:p>
  </w:footnote>
  <w:footnote w:id="206">
    <w:p w:rsidR="00844D1E" w:rsidP="00EB312D">
      <w:pPr>
        <w:pStyle w:val="FootnoteText"/>
      </w:pPr>
      <w:r>
        <w:rPr>
          <w:rStyle w:val="FootnoteReference"/>
        </w:rPr>
        <w:footnoteRef/>
      </w:r>
      <w:r>
        <w:t xml:space="preserve"> HD Tandem Sept. 16, 2019 </w:t>
      </w:r>
      <w:r w:rsidRPr="000A5E95">
        <w:rPr>
          <w:i/>
        </w:rPr>
        <w:t xml:space="preserve">Ex Parte </w:t>
      </w:r>
      <w:r>
        <w:t xml:space="preserve">at 4.  According to HD Tandem, it supports a mileage cap because it “would keep carrier dispute[s] over access stimulation out of the courts.”  HD Tandem Sept. 3, 2019 </w:t>
      </w:r>
      <w:r w:rsidRPr="00C64B8F">
        <w:rPr>
          <w:i/>
        </w:rPr>
        <w:t>Ex Parte</w:t>
      </w:r>
      <w:r>
        <w:t xml:space="preserve"> at 4.  </w:t>
      </w:r>
    </w:p>
  </w:footnote>
  <w:footnote w:id="207">
    <w:p w:rsidR="00844D1E" w:rsidP="00EB312D">
      <w:pPr>
        <w:pStyle w:val="FootnoteText"/>
      </w:pPr>
      <w:r>
        <w:rPr>
          <w:rStyle w:val="FootnoteReference"/>
        </w:rPr>
        <w:footnoteRef/>
      </w:r>
      <w:r>
        <w:t xml:space="preserve"> Wide Voice Sept. 16, 2019 </w:t>
      </w:r>
      <w:r w:rsidRPr="00EE0C0D">
        <w:rPr>
          <w:i/>
        </w:rPr>
        <w:t xml:space="preserve">Ex Parte </w:t>
      </w:r>
      <w:r>
        <w:t>Response at 6.</w:t>
      </w:r>
    </w:p>
  </w:footnote>
  <w:footnote w:id="208">
    <w:p w:rsidR="00844D1E" w:rsidP="00EB312D">
      <w:pPr>
        <w:pStyle w:val="FootnoteText"/>
      </w:pPr>
      <w:r>
        <w:rPr>
          <w:rStyle w:val="FootnoteReference"/>
        </w:rPr>
        <w:footnoteRef/>
      </w:r>
      <w:r>
        <w:t xml:space="preserve"> We therefore disagree with Wide Voice’s unexplained assertion that failure to include a mileage cap will “perpetuate the disparate costs across carriers and wrong incentives to navigate triggers.”  Letter from Michael B. Hazzard, Counsel for Wide Voice, LLC, to Marlene Dortch, Secretary, FCC, WC Docket No. 18-155, Attach. at 6 (filed Sept. 11, 2019) (Wide Voice Sept. 11, 2019 </w:t>
      </w:r>
      <w:r w:rsidRPr="00C64B8F">
        <w:rPr>
          <w:i/>
        </w:rPr>
        <w:t>Ex Parte</w:t>
      </w:r>
      <w:r>
        <w:rPr>
          <w:iCs/>
        </w:rPr>
        <w:t>)</w:t>
      </w:r>
      <w:r>
        <w:t xml:space="preserve">.  </w:t>
      </w:r>
    </w:p>
  </w:footnote>
  <w:footnote w:id="209">
    <w:p w:rsidR="00844D1E" w:rsidP="00EB312D">
      <w:pPr>
        <w:pStyle w:val="FootnoteText"/>
      </w:pPr>
      <w:r>
        <w:rPr>
          <w:rStyle w:val="FootnoteReference"/>
        </w:rPr>
        <w:footnoteRef/>
      </w:r>
      <w:r>
        <w:rPr>
          <w:i/>
        </w:rPr>
        <w:t xml:space="preserve"> </w:t>
      </w:r>
      <w:r w:rsidRPr="00045149">
        <w:rPr>
          <w:i/>
        </w:rPr>
        <w:t>Se</w:t>
      </w:r>
      <w:r>
        <w:rPr>
          <w:i/>
        </w:rPr>
        <w:t>e</w:t>
      </w:r>
      <w:r>
        <w:t xml:space="preserve"> </w:t>
      </w:r>
      <w:r w:rsidRPr="00B13683">
        <w:t xml:space="preserve">HD Tandem Sept. 16, 2019 </w:t>
      </w:r>
      <w:r w:rsidRPr="00B13683">
        <w:rPr>
          <w:i/>
        </w:rPr>
        <w:t>Ex Parte</w:t>
      </w:r>
      <w:r w:rsidRPr="00B13683">
        <w:t xml:space="preserve"> at 2 (</w:t>
      </w:r>
      <w:r>
        <w:t>“</w:t>
      </w:r>
      <w:r w:rsidRPr="00B13683">
        <w:t>For the last 7 years, HD Tandem has provided a[n</w:t>
      </w:r>
      <w:r w:rsidRPr="00B13683">
        <w:t>] .</w:t>
      </w:r>
      <w:r w:rsidRPr="00B13683">
        <w:t> . . intermediate service that does not have a mileage component.”)</w:t>
      </w:r>
      <w:r>
        <w:t xml:space="preserve">; HD Tandem Sept. 20, 2019 </w:t>
      </w:r>
      <w:r>
        <w:rPr>
          <w:i/>
        </w:rPr>
        <w:t xml:space="preserve">Ex Parte </w:t>
      </w:r>
      <w:r>
        <w:t>at 1-2 (stressing the need for a mileage cap);</w:t>
      </w:r>
      <w:r w:rsidRPr="00B13683">
        <w:t xml:space="preserve"> </w:t>
      </w:r>
      <w:r w:rsidRPr="00045149">
        <w:t>W</w:t>
      </w:r>
      <w:r w:rsidRPr="00B13683">
        <w:t>ide Voice Jan. 1</w:t>
      </w:r>
      <w:r>
        <w:t>5</w:t>
      </w:r>
      <w:r w:rsidRPr="00B13683">
        <w:t xml:space="preserve">, 2019 </w:t>
      </w:r>
      <w:r w:rsidRPr="00B13683">
        <w:rPr>
          <w:i/>
        </w:rPr>
        <w:t>Ex Parte</w:t>
      </w:r>
      <w:r w:rsidRPr="00B13683">
        <w:t xml:space="preserve"> at 2 n.4</w:t>
      </w:r>
      <w:r>
        <w:t xml:space="preserve">.  Peerless and West cap their transport mileage to 10 or less miles, and support a mileage cap.  Peerless and West Sept. 18, 2019 </w:t>
      </w:r>
      <w:r w:rsidRPr="0040391A">
        <w:rPr>
          <w:i/>
        </w:rPr>
        <w:t>Ex Part</w:t>
      </w:r>
      <w:r>
        <w:rPr>
          <w:i/>
        </w:rPr>
        <w:t>e</w:t>
      </w:r>
      <w:r>
        <w:t xml:space="preserve"> at 5.  Thus, although HD Tandem, Wide Voice, and Peerless and West support a mileage cap, the cap would impact their competitors, but not those carriers. </w:t>
      </w:r>
    </w:p>
  </w:footnote>
  <w:footnote w:id="210">
    <w:p w:rsidR="00844D1E" w:rsidP="00EB312D">
      <w:pPr>
        <w:pStyle w:val="FootnoteText"/>
      </w:pPr>
      <w:r>
        <w:rPr>
          <w:rStyle w:val="FootnoteReference"/>
        </w:rPr>
        <w:footnoteRef/>
      </w:r>
      <w:r>
        <w:t xml:space="preserve"> </w:t>
      </w:r>
      <w:r w:rsidRPr="00C56141">
        <w:rPr>
          <w:i/>
        </w:rPr>
        <w:t>Compare</w:t>
      </w:r>
      <w:r w:rsidRPr="00D46418">
        <w:t xml:space="preserve"> </w:t>
      </w:r>
      <w:r>
        <w:t xml:space="preserve">HD Tandem Sept. </w:t>
      </w:r>
      <w:r w:rsidRPr="00D46418">
        <w:t>3, 2019</w:t>
      </w:r>
      <w:r>
        <w:t xml:space="preserve"> </w:t>
      </w:r>
      <w:r w:rsidRPr="00D46418">
        <w:rPr>
          <w:i/>
        </w:rPr>
        <w:t>Ex Parte</w:t>
      </w:r>
      <w:r>
        <w:rPr>
          <w:iCs/>
        </w:rPr>
        <w:t xml:space="preserve"> at 2</w:t>
      </w:r>
      <w:r w:rsidRPr="00D46418">
        <w:t xml:space="preserve"> (recognizing “the Commission’s specific questions raised in the </w:t>
      </w:r>
      <w:r>
        <w:t>[</w:t>
      </w:r>
      <w:r w:rsidRPr="00871D63">
        <w:rPr>
          <w:i/>
        </w:rPr>
        <w:t>Access Arbitrage Notice</w:t>
      </w:r>
      <w:r>
        <w:t xml:space="preserve">] </w:t>
      </w:r>
      <w:r w:rsidRPr="00D46418">
        <w:t>regarding how best to revise and update the access stimulation definition, including modifying existing ‘ratios or triggers,’ adopting new triggers targeted at tandem and transport services, or eliminating or revising the current revenue sharing agreement requirement in the rules”)</w:t>
      </w:r>
      <w:r>
        <w:t xml:space="preserve"> </w:t>
      </w:r>
      <w:r w:rsidRPr="002B3AFA">
        <w:rPr>
          <w:i/>
        </w:rPr>
        <w:t>with</w:t>
      </w:r>
      <w:r>
        <w:t xml:space="preserve"> HD Tandem Sept. 16, 2019 </w:t>
      </w:r>
      <w:r w:rsidRPr="002B3AFA">
        <w:rPr>
          <w:i/>
        </w:rPr>
        <w:t>Ex Parte</w:t>
      </w:r>
      <w:r>
        <w:t xml:space="preserve"> at 4 (complaining that “the 6:1 ratio was first presented as a standalone trigger in the Draft Order providing insufficient time for comment”); </w:t>
      </w:r>
      <w:r>
        <w:rPr>
          <w:i/>
        </w:rPr>
        <w:t xml:space="preserve">see also </w:t>
      </w:r>
      <w:r>
        <w:t xml:space="preserve">Wide Voice Sept. 16, 2019 </w:t>
      </w:r>
      <w:r>
        <w:rPr>
          <w:i/>
        </w:rPr>
        <w:t xml:space="preserve">Ex Parte </w:t>
      </w:r>
      <w:r w:rsidRPr="00DC4C47">
        <w:t xml:space="preserve">Response </w:t>
      </w:r>
      <w:r>
        <w:t xml:space="preserve">at 1-3; Joint CLEC Sept. 19, 2019 </w:t>
      </w:r>
      <w:r w:rsidRPr="00A6237E">
        <w:rPr>
          <w:i/>
        </w:rPr>
        <w:t>Ex Parte</w:t>
      </w:r>
      <w:r>
        <w:t xml:space="preserve"> at 10.</w:t>
      </w:r>
    </w:p>
  </w:footnote>
  <w:footnote w:id="211">
    <w:p w:rsidR="00844D1E" w:rsidP="00EB312D">
      <w:pPr>
        <w:pStyle w:val="FootnoteText"/>
      </w:pPr>
      <w:r>
        <w:rPr>
          <w:rStyle w:val="FootnoteReference"/>
        </w:rPr>
        <w:footnoteRef/>
      </w:r>
      <w:r>
        <w:t xml:space="preserve"> </w:t>
      </w:r>
      <w:r w:rsidRPr="00BF110F">
        <w:rPr>
          <w:i/>
        </w:rPr>
        <w:t>Access Arbitrage Notice</w:t>
      </w:r>
      <w:r>
        <w:t xml:space="preserve">, 33 FCC </w:t>
      </w:r>
      <w:r>
        <w:t>Rcd</w:t>
      </w:r>
      <w:r>
        <w:t xml:space="preserve"> at 5475, para. 26.  </w:t>
      </w:r>
      <w:r w:rsidRPr="003E2DD2">
        <w:rPr>
          <w:i/>
        </w:rPr>
        <w:t>Contra</w:t>
      </w:r>
      <w:r>
        <w:t xml:space="preserve"> Peerless and West Sept. 18, 2019 </w:t>
      </w:r>
      <w:r w:rsidRPr="003E2DD2">
        <w:rPr>
          <w:i/>
        </w:rPr>
        <w:t>Ex Parte</w:t>
      </w:r>
      <w:r>
        <w:t xml:space="preserve"> at 4-5 (asserting that there was no notice for adopting a standalone higher trigger); Wide Voice Sept. 16, 2019 </w:t>
      </w:r>
      <w:r w:rsidRPr="00470E68">
        <w:rPr>
          <w:i/>
        </w:rPr>
        <w:t>Ex Parte</w:t>
      </w:r>
      <w:r>
        <w:t xml:space="preserve"> Response at 3; HD Tandem Sept. 16, 2019 </w:t>
      </w:r>
      <w:r>
        <w:rPr>
          <w:i/>
        </w:rPr>
        <w:t>Ex Parte</w:t>
      </w:r>
      <w:r>
        <w:t xml:space="preserve"> at 4; </w:t>
      </w:r>
      <w:r>
        <w:t>Joint CLEC Sept. 19</w:t>
      </w:r>
      <w:r>
        <w:t>,</w:t>
      </w:r>
      <w:r>
        <w:t xml:space="preserve"> 2019 </w:t>
      </w:r>
      <w:r>
        <w:rPr>
          <w:i/>
        </w:rPr>
        <w:t>Ex Parte</w:t>
      </w:r>
      <w:r>
        <w:t xml:space="preserve"> at 9</w:t>
      </w:r>
      <w:r>
        <w:t xml:space="preserve">. </w:t>
      </w:r>
    </w:p>
  </w:footnote>
  <w:footnote w:id="212">
    <w:p w:rsidR="00844D1E" w:rsidP="00EB312D">
      <w:pPr>
        <w:pStyle w:val="FootnoteText"/>
      </w:pPr>
      <w:r>
        <w:rPr>
          <w:rStyle w:val="FootnoteReference"/>
        </w:rPr>
        <w:footnoteRef/>
      </w:r>
      <w:r>
        <w:t xml:space="preserve"> </w:t>
      </w:r>
      <w:r w:rsidRPr="00BF110F">
        <w:rPr>
          <w:i/>
        </w:rPr>
        <w:t>Access Arbitrage Notice</w:t>
      </w:r>
      <w:r>
        <w:t xml:space="preserve">, 33 FCC </w:t>
      </w:r>
      <w:r>
        <w:t>Rcd</w:t>
      </w:r>
      <w:r>
        <w:t xml:space="preserve"> at 5476, para. 30.</w:t>
      </w:r>
    </w:p>
  </w:footnote>
  <w:footnote w:id="213">
    <w:p w:rsidR="00844D1E" w:rsidP="00EB312D">
      <w:pPr>
        <w:pStyle w:val="FootnoteText"/>
      </w:pPr>
      <w:r>
        <w:rPr>
          <w:rStyle w:val="FootnoteReference"/>
        </w:rPr>
        <w:footnoteRef/>
      </w:r>
      <w:r>
        <w:t xml:space="preserve"> </w:t>
      </w:r>
      <w:r w:rsidRPr="004A7C46">
        <w:rPr>
          <w:i/>
        </w:rPr>
        <w:t>E.g.</w:t>
      </w:r>
      <w:r>
        <w:t xml:space="preserve">, Joint CLEC Sept. 19, 2019 </w:t>
      </w:r>
      <w:r w:rsidRPr="004A7C46">
        <w:rPr>
          <w:i/>
        </w:rPr>
        <w:t>Ex Parte</w:t>
      </w:r>
      <w:r>
        <w:t xml:space="preserve"> at 10; Letter from Matthew </w:t>
      </w:r>
      <w:r>
        <w:t>Nodine</w:t>
      </w:r>
      <w:r>
        <w:t>, Assistant Vice President, Federal Regulatory, AT&amp;T, to Marlene Dortch, Secretary, FCC, WC Docket No. 18-155, at 1 (filed Sept. 19, 2019).</w:t>
      </w:r>
    </w:p>
  </w:footnote>
  <w:footnote w:id="214">
    <w:p w:rsidR="00844D1E" w:rsidP="00EB312D">
      <w:pPr>
        <w:pStyle w:val="FootnoteText"/>
      </w:pPr>
      <w:r>
        <w:rPr>
          <w:rStyle w:val="FootnoteReference"/>
        </w:rPr>
        <w:footnoteRef/>
      </w:r>
      <w:r>
        <w:t xml:space="preserve"> </w:t>
      </w:r>
      <w:r w:rsidRPr="00BF110F">
        <w:rPr>
          <w:i/>
        </w:rPr>
        <w:t>Access Arbitrage Notice</w:t>
      </w:r>
      <w:r>
        <w:t xml:space="preserve">, 33 FCC </w:t>
      </w:r>
      <w:r>
        <w:t>Rcd</w:t>
      </w:r>
      <w:r>
        <w:t xml:space="preserve"> at 5478, para. 35.</w:t>
      </w:r>
    </w:p>
  </w:footnote>
  <w:footnote w:id="215">
    <w:p w:rsidR="00844D1E" w:rsidP="00EB312D">
      <w:pPr>
        <w:pStyle w:val="FootnoteText"/>
      </w:pPr>
      <w:r>
        <w:rPr>
          <w:rStyle w:val="FootnoteReference"/>
        </w:rPr>
        <w:footnoteRef/>
      </w:r>
      <w:r>
        <w:t xml:space="preserve"> </w:t>
      </w:r>
      <w:r>
        <w:rPr>
          <w:i/>
        </w:rPr>
        <w:t>Id</w:t>
      </w:r>
      <w:r>
        <w:t>.</w:t>
      </w:r>
    </w:p>
  </w:footnote>
  <w:footnote w:id="216">
    <w:p w:rsidR="00844D1E" w:rsidP="00EB312D">
      <w:pPr>
        <w:pStyle w:val="FootnoteText"/>
      </w:pPr>
      <w:r>
        <w:rPr>
          <w:rStyle w:val="FootnoteReference"/>
        </w:rPr>
        <w:footnoteRef/>
      </w:r>
      <w:r>
        <w:t xml:space="preserve"> </w:t>
      </w:r>
      <w:r>
        <w:rPr>
          <w:i/>
        </w:rPr>
        <w:t>Id.</w:t>
      </w:r>
      <w:r w:rsidRPr="008D1DA2">
        <w:rPr>
          <w:i/>
        </w:rPr>
        <w:t xml:space="preserve"> </w:t>
      </w:r>
      <w:r>
        <w:t>at 5476, para. 30.</w:t>
      </w:r>
    </w:p>
  </w:footnote>
  <w:footnote w:id="217">
    <w:p w:rsidR="00844D1E" w:rsidP="00EB312D">
      <w:pPr>
        <w:pStyle w:val="FootnoteText"/>
      </w:pPr>
      <w:r>
        <w:rPr>
          <w:rStyle w:val="FootnoteReference"/>
        </w:rPr>
        <w:footnoteRef/>
      </w:r>
      <w:r>
        <w:t xml:space="preserve"> </w:t>
      </w:r>
      <w:r w:rsidRPr="00FB6745">
        <w:t xml:space="preserve">Peerless and West Sept. 18, 2019 </w:t>
      </w:r>
      <w:r w:rsidRPr="00FB6745">
        <w:rPr>
          <w:i/>
        </w:rPr>
        <w:t>Ex Parte</w:t>
      </w:r>
      <w:r w:rsidRPr="00FB6745">
        <w:t xml:space="preserve"> at 5</w:t>
      </w:r>
      <w:r>
        <w:t xml:space="preserve">; </w:t>
      </w:r>
      <w:r>
        <w:rPr>
          <w:i/>
        </w:rPr>
        <w:t xml:space="preserve">see also </w:t>
      </w:r>
      <w:r>
        <w:t xml:space="preserve">Joint CLEC Sept. 19, 2019 </w:t>
      </w:r>
      <w:r>
        <w:rPr>
          <w:i/>
        </w:rPr>
        <w:t xml:space="preserve">Ex Parte </w:t>
      </w:r>
      <w:r>
        <w:t>at 10-12</w:t>
      </w:r>
      <w:r w:rsidRPr="00FB6745">
        <w:t xml:space="preserve">.  </w:t>
      </w:r>
    </w:p>
  </w:footnote>
  <w:footnote w:id="218">
    <w:p w:rsidR="00844D1E" w:rsidP="00EB312D">
      <w:pPr>
        <w:pStyle w:val="FootnoteText"/>
      </w:pPr>
      <w:r>
        <w:rPr>
          <w:rStyle w:val="FootnoteReference"/>
        </w:rPr>
        <w:footnoteRef/>
      </w:r>
      <w:r>
        <w:t xml:space="preserve"> Peerless and West Sept. 18, 2019 </w:t>
      </w:r>
      <w:r>
        <w:rPr>
          <w:i/>
        </w:rPr>
        <w:t>Ex Parte</w:t>
      </w:r>
      <w:r>
        <w:t xml:space="preserve"> </w:t>
      </w:r>
      <w:r w:rsidRPr="00FF2F76">
        <w:t>at 5</w:t>
      </w:r>
      <w:r w:rsidRPr="00FF2F76">
        <w:rPr>
          <w:i/>
        </w:rPr>
        <w:t>.</w:t>
      </w:r>
      <w:r w:rsidRPr="00FB6745">
        <w:rPr>
          <w:i/>
        </w:rPr>
        <w:t xml:space="preserve"> </w:t>
      </w:r>
    </w:p>
  </w:footnote>
  <w:footnote w:id="219">
    <w:p w:rsidR="00844D1E" w:rsidP="00EB312D">
      <w:pPr>
        <w:pStyle w:val="FootnoteText"/>
      </w:pPr>
      <w:r>
        <w:rPr>
          <w:rStyle w:val="FootnoteReference"/>
        </w:rPr>
        <w:footnoteRef/>
      </w:r>
      <w:r>
        <w:t xml:space="preserve"> </w:t>
      </w:r>
      <w:r w:rsidRPr="00FB6745">
        <w:rPr>
          <w:i/>
        </w:rPr>
        <w:t>Id.</w:t>
      </w:r>
      <w:r w:rsidRPr="00FB6745">
        <w:t xml:space="preserve"> at 5-6.  </w:t>
      </w:r>
    </w:p>
  </w:footnote>
  <w:footnote w:id="220">
    <w:p w:rsidR="00844D1E" w:rsidP="00EB312D">
      <w:pPr>
        <w:pStyle w:val="FootnoteText"/>
      </w:pPr>
      <w:r>
        <w:rPr>
          <w:rStyle w:val="FootnoteReference"/>
        </w:rPr>
        <w:footnoteRef/>
      </w:r>
      <w:r>
        <w:t xml:space="preserve"> </w:t>
      </w:r>
      <w:r w:rsidRPr="00FB6745">
        <w:rPr>
          <w:i/>
        </w:rPr>
        <w:t>Id.</w:t>
      </w:r>
      <w:r w:rsidRPr="00FB6745">
        <w:t xml:space="preserve">  </w:t>
      </w:r>
    </w:p>
  </w:footnote>
  <w:footnote w:id="221">
    <w:p w:rsidR="00844D1E" w:rsidP="00EB312D">
      <w:pPr>
        <w:pStyle w:val="FootnoteText"/>
      </w:pPr>
      <w:r>
        <w:rPr>
          <w:rStyle w:val="FootnoteReference"/>
        </w:rPr>
        <w:footnoteRef/>
      </w:r>
      <w:r>
        <w:t xml:space="preserve"> </w:t>
      </w:r>
      <w:r w:rsidRPr="00FB6745">
        <w:rPr>
          <w:i/>
        </w:rPr>
        <w:t>See</w:t>
      </w:r>
      <w:r w:rsidRPr="00FB6745">
        <w:t xml:space="preserve"> </w:t>
      </w:r>
      <w:r w:rsidRPr="00FB6745">
        <w:rPr>
          <w:i/>
        </w:rPr>
        <w:t>Fones4All v. FCC</w:t>
      </w:r>
      <w:r w:rsidRPr="00FB6745">
        <w:t>, 550 F.3d 811, 821 (9th Cir. 2008).</w:t>
      </w:r>
    </w:p>
  </w:footnote>
  <w:footnote w:id="222">
    <w:p w:rsidR="00844D1E" w:rsidP="00EB312D">
      <w:pPr>
        <w:pStyle w:val="FootnoteText"/>
      </w:pPr>
      <w:r>
        <w:rPr>
          <w:rStyle w:val="FootnoteReference"/>
        </w:rPr>
        <w:footnoteRef/>
      </w:r>
      <w:r>
        <w:t xml:space="preserve"> </w:t>
      </w:r>
      <w:r w:rsidRPr="00456800">
        <w:rPr>
          <w:i/>
        </w:rPr>
        <w:t>USF/ICC Transformation Order</w:t>
      </w:r>
      <w:r>
        <w:t xml:space="preserve">, 26 FCC </w:t>
      </w:r>
      <w:r>
        <w:t>Rcd</w:t>
      </w:r>
      <w:r>
        <w:t xml:space="preserve"> at 17890, para. 700.</w:t>
      </w:r>
    </w:p>
  </w:footnote>
  <w:footnote w:id="223">
    <w:p w:rsidR="00844D1E" w:rsidRPr="00D57292" w:rsidP="00EB312D">
      <w:pPr>
        <w:pStyle w:val="FootnoteText"/>
        <w:rPr>
          <w:i/>
        </w:rPr>
      </w:pPr>
      <w:r>
        <w:rPr>
          <w:rStyle w:val="FootnoteReference"/>
        </w:rPr>
        <w:footnoteRef/>
      </w:r>
      <w:r>
        <w:t xml:space="preserve"> We do not depart from a prior finding that the Commission “has never held that a failure to pay tariffed charges violates the Act itself.”  </w:t>
      </w:r>
      <w:r>
        <w:rPr>
          <w:i/>
        </w:rPr>
        <w:t>All American Telephone Co. v. AT&amp;T Corp</w:t>
      </w:r>
      <w:r>
        <w:t xml:space="preserve">., Memorandum Opinion and Order, 26 FCC </w:t>
      </w:r>
      <w:r>
        <w:t>Rcd</w:t>
      </w:r>
      <w:r>
        <w:t xml:space="preserve"> 723 at 728, para. 13 (2011).  We also do not depart here from a prior Commission finding that it is unlawful for a tariff to require payment of disputed amounts while those amounts are in dispute.  </w:t>
      </w:r>
      <w:r>
        <w:rPr>
          <w:i/>
        </w:rPr>
        <w:t>Sprint Communications Co. L.P. v. Northern Valley Comm., LLC</w:t>
      </w:r>
      <w:r>
        <w:t xml:space="preserve">, Memorandum Opinion and Order, 26 FCC </w:t>
      </w:r>
      <w:r>
        <w:t>Rcd</w:t>
      </w:r>
      <w:r>
        <w:t xml:space="preserve"> 10780 at 10786-87, para. 14 (2011). </w:t>
      </w:r>
      <w:r>
        <w:rPr>
          <w:i/>
        </w:rPr>
        <w:t xml:space="preserve"> </w:t>
      </w:r>
    </w:p>
  </w:footnote>
  <w:footnote w:id="224">
    <w:p w:rsidR="00844D1E" w:rsidP="00EB312D">
      <w:pPr>
        <w:pStyle w:val="FootnoteText"/>
      </w:pPr>
      <w:r>
        <w:rPr>
          <w:rStyle w:val="FootnoteReference"/>
        </w:rPr>
        <w:footnoteRef/>
      </w:r>
      <w:r>
        <w:t xml:space="preserve"> </w:t>
      </w:r>
      <w:r w:rsidRPr="009F3165">
        <w:rPr>
          <w:i/>
        </w:rPr>
        <w:t xml:space="preserve">See </w:t>
      </w:r>
      <w:r w:rsidRPr="003F7528">
        <w:t xml:space="preserve">Wide Voice Comments at 2 (alleging that it is “subjected to continuous non-pay self-help”); Joint CLEC Comments at 18 (describing how “AT&amp;T’s decision to unilaterally implement self-help withholding of payment” affects the “CLEC’s infrastructure investment plans”); </w:t>
      </w:r>
      <w:r w:rsidRPr="003F7528">
        <w:t>Aureon</w:t>
      </w:r>
      <w:r w:rsidRPr="003F7528">
        <w:t xml:space="preserve"> Reply at 19 (</w:t>
      </w:r>
      <w:r>
        <w:t>alleging that</w:t>
      </w:r>
      <w:r w:rsidRPr="003F7528">
        <w:t xml:space="preserve"> Sprint </w:t>
      </w:r>
      <w:r>
        <w:t>is</w:t>
      </w:r>
      <w:r w:rsidRPr="003F7528">
        <w:t xml:space="preserve"> “one of the worst abusers of the self-help, non-payment remedy”)</w:t>
      </w:r>
      <w:r>
        <w:t>.</w:t>
      </w:r>
    </w:p>
  </w:footnote>
  <w:footnote w:id="225">
    <w:p w:rsidR="00844D1E" w:rsidP="00EB312D">
      <w:pPr>
        <w:pStyle w:val="FootnoteText"/>
      </w:pPr>
      <w:r>
        <w:rPr>
          <w:rStyle w:val="FootnoteReference"/>
        </w:rPr>
        <w:footnoteRef/>
      </w:r>
      <w:r>
        <w:t xml:space="preserve"> </w:t>
      </w:r>
      <w:r>
        <w:rPr>
          <w:i/>
        </w:rPr>
        <w:t>See, e.g</w:t>
      </w:r>
      <w:r w:rsidRPr="00ED32AD">
        <w:t>.,</w:t>
      </w:r>
      <w:r>
        <w:rPr>
          <w:i/>
        </w:rPr>
        <w:t xml:space="preserve"> </w:t>
      </w:r>
      <w:r w:rsidRPr="004C6DEB">
        <w:t>Teliax</w:t>
      </w:r>
      <w:r w:rsidRPr="004C6DEB">
        <w:t xml:space="preserve"> Comments at 1</w:t>
      </w:r>
      <w:r>
        <w:t>7</w:t>
      </w:r>
      <w:r w:rsidRPr="004C6DEB">
        <w:t>-18</w:t>
      </w:r>
      <w:r>
        <w:t xml:space="preserve">; </w:t>
      </w:r>
      <w:r w:rsidRPr="004C6DEB">
        <w:t xml:space="preserve">O1 Reply at 8; HD Tandem </w:t>
      </w:r>
      <w:r>
        <w:t xml:space="preserve">Comments </w:t>
      </w:r>
      <w:r w:rsidRPr="004C6DEB">
        <w:t>at 17</w:t>
      </w:r>
      <w:r>
        <w:t xml:space="preserve">; INCOMPAS Reply at 4; NTCA May 16, 2019 </w:t>
      </w:r>
      <w:r w:rsidRPr="00A41DC6">
        <w:rPr>
          <w:i/>
        </w:rPr>
        <w:t>Ex Parte</w:t>
      </w:r>
      <w:r>
        <w:t xml:space="preserve"> at 4.</w:t>
      </w:r>
    </w:p>
  </w:footnote>
  <w:footnote w:id="226">
    <w:p w:rsidR="00844D1E" w:rsidRPr="007F796A" w:rsidP="00EB312D">
      <w:pPr>
        <w:widowControl/>
        <w:autoSpaceDE w:val="0"/>
        <w:autoSpaceDN w:val="0"/>
        <w:adjustRightInd w:val="0"/>
        <w:spacing w:after="120"/>
        <w:rPr>
          <w:sz w:val="20"/>
        </w:rPr>
      </w:pPr>
      <w:r w:rsidRPr="007F796A">
        <w:rPr>
          <w:rStyle w:val="FootnoteReference"/>
        </w:rPr>
        <w:footnoteRef/>
      </w:r>
      <w:r w:rsidRPr="007F796A">
        <w:rPr>
          <w:sz w:val="20"/>
        </w:rPr>
        <w:t xml:space="preserve"> </w:t>
      </w:r>
      <w:r w:rsidRPr="007F796A">
        <w:rPr>
          <w:i/>
          <w:sz w:val="20"/>
        </w:rPr>
        <w:t xml:space="preserve">See </w:t>
      </w:r>
      <w:r w:rsidRPr="007F796A">
        <w:rPr>
          <w:sz w:val="20"/>
        </w:rPr>
        <w:t xml:space="preserve">Verizon Reply at 8-10.  </w:t>
      </w:r>
    </w:p>
  </w:footnote>
  <w:footnote w:id="227">
    <w:p w:rsidR="00844D1E" w:rsidP="00EB312D">
      <w:pPr>
        <w:pStyle w:val="FootnoteText"/>
      </w:pPr>
      <w:r>
        <w:rPr>
          <w:rStyle w:val="FootnoteReference"/>
        </w:rPr>
        <w:footnoteRef/>
      </w:r>
      <w:r>
        <w:t xml:space="preserve"> AT&amp;T Apr. 9, 2019 </w:t>
      </w:r>
      <w:r w:rsidRPr="00A82D29">
        <w:rPr>
          <w:i/>
        </w:rPr>
        <w:t>Ex Parte</w:t>
      </w:r>
      <w:r>
        <w:t xml:space="preserve"> at 13.</w:t>
      </w:r>
    </w:p>
  </w:footnote>
  <w:footnote w:id="228">
    <w:p w:rsidR="00844D1E" w:rsidRPr="00A3503F" w:rsidP="00EB312D">
      <w:pPr>
        <w:pStyle w:val="FootnoteText"/>
      </w:pPr>
      <w:r>
        <w:rPr>
          <w:rStyle w:val="FootnoteReference"/>
        </w:rPr>
        <w:footnoteRef/>
      </w:r>
      <w:r>
        <w:t xml:space="preserve"> We note that the Commission also rejected a similar suggestion in the </w:t>
      </w:r>
      <w:r>
        <w:rPr>
          <w:i/>
        </w:rPr>
        <w:t>USF/ICC Transformation Order</w:t>
      </w:r>
      <w:r>
        <w:t xml:space="preserve">.  </w:t>
      </w:r>
      <w:r>
        <w:rPr>
          <w:i/>
        </w:rPr>
        <w:t>USF/ICC Transformation Order</w:t>
      </w:r>
      <w:r>
        <w:t xml:space="preserve">, 26 FCC </w:t>
      </w:r>
      <w:r>
        <w:t>Rcd</w:t>
      </w:r>
      <w:r>
        <w:t xml:space="preserve"> at 17887, para. 692.</w:t>
      </w:r>
    </w:p>
  </w:footnote>
  <w:footnote w:id="229">
    <w:p w:rsidR="00844D1E" w:rsidP="00EB312D">
      <w:pPr>
        <w:pStyle w:val="FootnoteText"/>
      </w:pPr>
      <w:r>
        <w:rPr>
          <w:rStyle w:val="FootnoteReference"/>
        </w:rPr>
        <w:footnoteRef/>
      </w:r>
      <w:r>
        <w:t xml:space="preserve"> We also do not have </w:t>
      </w:r>
      <w:r>
        <w:t>sufficient</w:t>
      </w:r>
      <w:r>
        <w:t xml:space="preserve"> administrative notice to adopt this suggested solution.</w:t>
      </w:r>
    </w:p>
  </w:footnote>
  <w:footnote w:id="230">
    <w:p w:rsidR="00844D1E" w:rsidP="00EB312D">
      <w:pPr>
        <w:pStyle w:val="FootnoteText"/>
      </w:pPr>
      <w:r>
        <w:rPr>
          <w:rStyle w:val="FootnoteReference"/>
        </w:rPr>
        <w:footnoteRef/>
      </w:r>
      <w:r>
        <w:t xml:space="preserve"> AT&amp;T June 12, 2019 </w:t>
      </w:r>
      <w:r>
        <w:rPr>
          <w:i/>
        </w:rPr>
        <w:t xml:space="preserve">Ex Parte </w:t>
      </w:r>
      <w:r>
        <w:t xml:space="preserve">at 4.  </w:t>
      </w:r>
    </w:p>
  </w:footnote>
  <w:footnote w:id="231">
    <w:p w:rsidR="00844D1E" w:rsidP="00EB312D">
      <w:pPr>
        <w:pStyle w:val="FootnoteText"/>
      </w:pPr>
      <w:r>
        <w:rPr>
          <w:rStyle w:val="FootnoteReference"/>
        </w:rPr>
        <w:footnoteRef/>
      </w:r>
      <w:r>
        <w:t xml:space="preserve"> 47 U.S.C. §§ 203-204.  </w:t>
      </w:r>
    </w:p>
  </w:footnote>
  <w:footnote w:id="232">
    <w:p w:rsidR="00844D1E" w:rsidP="00EB312D">
      <w:pPr>
        <w:pStyle w:val="FootnoteText"/>
      </w:pPr>
      <w:r>
        <w:rPr>
          <w:rStyle w:val="FootnoteReference"/>
        </w:rPr>
        <w:footnoteRef/>
      </w:r>
      <w:r>
        <w:t xml:space="preserve"> </w:t>
      </w:r>
      <w:r>
        <w:rPr>
          <w:i/>
        </w:rPr>
        <w:t xml:space="preserve">Access Arbitrage </w:t>
      </w:r>
      <w:r w:rsidRPr="004C6DEB">
        <w:rPr>
          <w:i/>
        </w:rPr>
        <w:t>N</w:t>
      </w:r>
      <w:r>
        <w:rPr>
          <w:i/>
        </w:rPr>
        <w:t>otice</w:t>
      </w:r>
      <w:r>
        <w:t xml:space="preserve">, 33 FCC </w:t>
      </w:r>
      <w:r>
        <w:t>Rcd</w:t>
      </w:r>
      <w:r w:rsidRPr="004C6DEB">
        <w:t xml:space="preserve"> at </w:t>
      </w:r>
      <w:r>
        <w:t xml:space="preserve">5477, </w:t>
      </w:r>
      <w:r w:rsidRPr="004C6DEB">
        <w:t>para. 31</w:t>
      </w:r>
      <w:r>
        <w:t xml:space="preserve">. </w:t>
      </w:r>
      <w:r w:rsidRPr="004C6DEB">
        <w:t xml:space="preserve"> </w:t>
      </w:r>
      <w:r w:rsidRPr="00DF24BE">
        <w:t>Inteliquent</w:t>
      </w:r>
      <w:r w:rsidRPr="00DF24BE">
        <w:t xml:space="preserve"> argues that “mileage pumping remains prevalent</w:t>
      </w:r>
      <w:r>
        <w:t xml:space="preserve">” and suggests that we </w:t>
      </w:r>
      <w:r w:rsidRPr="00DF24BE">
        <w:t xml:space="preserve">permanently cap </w:t>
      </w:r>
      <w:r>
        <w:t xml:space="preserve">transport </w:t>
      </w:r>
      <w:r w:rsidRPr="00DF24BE">
        <w:t>mileage charges at 10 miles for access stimulation traffic</w:t>
      </w:r>
      <w:r>
        <w:t xml:space="preserve"> and cap “the number of tandem termination charges to two.” </w:t>
      </w:r>
      <w:r w:rsidRPr="00FE232E">
        <w:t xml:space="preserve"> </w:t>
      </w:r>
      <w:r>
        <w:t>Inteliquent</w:t>
      </w:r>
      <w:r>
        <w:t xml:space="preserve"> Comments at </w:t>
      </w:r>
      <w:r w:rsidRPr="006B7A5C">
        <w:t>2-5</w:t>
      </w:r>
      <w:r>
        <w:t xml:space="preserve">.  Wide Voice suggests that “the Commission should cap at 15 miles transport charges for access stimulators.”  Wide Voice Jan. 15, 2019 </w:t>
      </w:r>
      <w:r>
        <w:rPr>
          <w:i/>
        </w:rPr>
        <w:t>Ex Parte</w:t>
      </w:r>
      <w:r>
        <w:t xml:space="preserve"> at 2.</w:t>
      </w:r>
      <w:r w:rsidRPr="00FE232E">
        <w:t xml:space="preserve"> </w:t>
      </w:r>
      <w:r>
        <w:t xml:space="preserve"> More recently, and without explaining the reasoning for its change, Wide Voice proposes a trigger of 10 miles of transport charges, arguing that if there were more than 10 miles of transport, the access stimulation rules would apply.  Wide Voice Aug. 26, 2019 </w:t>
      </w:r>
      <w:r w:rsidRPr="003A4343">
        <w:rPr>
          <w:i/>
        </w:rPr>
        <w:t>Ex Parte</w:t>
      </w:r>
      <w:r>
        <w:t xml:space="preserve"> at 3-4.  </w:t>
      </w:r>
      <w:r w:rsidRPr="00DF24BE">
        <w:t>However, other providers dispute these claims of manipulation and argue that they do not artificially inflate per-</w:t>
      </w:r>
      <w:r>
        <w:t>minute-of-use</w:t>
      </w:r>
      <w:r w:rsidRPr="00DF24BE">
        <w:t xml:space="preserve"> or per-mile transport rates</w:t>
      </w:r>
      <w:r>
        <w:t xml:space="preserve">.  </w:t>
      </w:r>
      <w:r>
        <w:rPr>
          <w:i/>
        </w:rPr>
        <w:t>See</w:t>
      </w:r>
      <w:r>
        <w:t xml:space="preserve"> NATC May 3, 2019 </w:t>
      </w:r>
      <w:r>
        <w:rPr>
          <w:i/>
        </w:rPr>
        <w:t>Ex Parte</w:t>
      </w:r>
      <w:r>
        <w:t xml:space="preserve"> at 1 n.1 (“The Native American Telecom Companies carry their own traffic, at significant costs, from their tandem in Sioux Falls to their end offices in Pine Ridge (approximately 294 miles) and Fort Thompson (approximately 138 miles), eliminating the need for a CEA provider.”).</w:t>
      </w:r>
      <w:r w:rsidRPr="00FE232E">
        <w:t xml:space="preserve"> </w:t>
      </w:r>
      <w:r>
        <w:t xml:space="preserve"> </w:t>
      </w:r>
      <w:r w:rsidRPr="00DF24BE">
        <w:t>Teliax</w:t>
      </w:r>
      <w:r w:rsidRPr="00DF24BE">
        <w:t xml:space="preserve"> notes that its </w:t>
      </w:r>
      <w:r>
        <w:t>points of interconnection</w:t>
      </w:r>
      <w:r w:rsidRPr="00DF24BE">
        <w:t xml:space="preserve"> are located within a mile of AT&amp;T’s switches</w:t>
      </w:r>
      <w:r>
        <w:t xml:space="preserve">.  </w:t>
      </w:r>
      <w:r w:rsidRPr="004C6DEB">
        <w:t>Teliax</w:t>
      </w:r>
      <w:r w:rsidRPr="004C6DEB">
        <w:t xml:space="preserve"> Reply at 4</w:t>
      </w:r>
      <w:r>
        <w:t xml:space="preserve">; </w:t>
      </w:r>
      <w:r>
        <w:rPr>
          <w:i/>
        </w:rPr>
        <w:t>s</w:t>
      </w:r>
      <w:r w:rsidRPr="007539ED">
        <w:rPr>
          <w:i/>
        </w:rPr>
        <w:t xml:space="preserve">ee also </w:t>
      </w:r>
      <w:r w:rsidRPr="007539ED">
        <w:t>Aureon</w:t>
      </w:r>
      <w:r w:rsidRPr="007539ED">
        <w:t xml:space="preserve"> May 23, 2019 </w:t>
      </w:r>
      <w:r w:rsidRPr="00173BA3">
        <w:rPr>
          <w:i/>
        </w:rPr>
        <w:t>Ex Parte</w:t>
      </w:r>
      <w:r w:rsidRPr="007539ED">
        <w:t xml:space="preserve"> at </w:t>
      </w:r>
      <w:r>
        <w:t>4</w:t>
      </w:r>
      <w:r w:rsidRPr="007539ED">
        <w:t xml:space="preserve"> n.12 (“Furthermore, the benefits of rural traffic concentration and </w:t>
      </w:r>
      <w:r w:rsidRPr="007539ED">
        <w:t>long distance</w:t>
      </w:r>
      <w:r w:rsidRPr="007539ED">
        <w:t xml:space="preserve"> competition depend upon the transport of calls on average more than 100 miles to enable smaller IXCs to connect with the CEA network at only a single point of interconnection.”).</w:t>
      </w:r>
      <w:r>
        <w:t xml:space="preserve">  </w:t>
      </w:r>
    </w:p>
  </w:footnote>
  <w:footnote w:id="233">
    <w:p w:rsidR="00844D1E" w:rsidRPr="004C6DEB" w:rsidP="00EB312D">
      <w:pPr>
        <w:pStyle w:val="FootnoteText"/>
      </w:pPr>
      <w:r w:rsidRPr="004C6DEB">
        <w:rPr>
          <w:rStyle w:val="FootnoteReference"/>
        </w:rPr>
        <w:footnoteRef/>
      </w:r>
      <w:r w:rsidRPr="004C6DEB">
        <w:t xml:space="preserve"> </w:t>
      </w:r>
      <w:r w:rsidRPr="00B4130A">
        <w:rPr>
          <w:i/>
        </w:rPr>
        <w:t>See</w:t>
      </w:r>
      <w:r w:rsidRPr="004C6DEB">
        <w:t xml:space="preserve"> </w:t>
      </w:r>
      <w:r>
        <w:rPr>
          <w:i/>
        </w:rPr>
        <w:t xml:space="preserve">Access Arbitrage </w:t>
      </w:r>
      <w:r w:rsidRPr="004C6DEB">
        <w:rPr>
          <w:i/>
        </w:rPr>
        <w:t>N</w:t>
      </w:r>
      <w:r>
        <w:rPr>
          <w:i/>
        </w:rPr>
        <w:t>otice</w:t>
      </w:r>
      <w:r>
        <w:t xml:space="preserve">, 33 FCC </w:t>
      </w:r>
      <w:r>
        <w:t>Rcd</w:t>
      </w:r>
      <w:r w:rsidRPr="004C6DEB">
        <w:t xml:space="preserve"> at</w:t>
      </w:r>
      <w:r>
        <w:t xml:space="preserve"> 5477,</w:t>
      </w:r>
      <w:r w:rsidRPr="004C6DEB">
        <w:t xml:space="preserve"> para. 32</w:t>
      </w:r>
      <w:r>
        <w:t xml:space="preserve">. </w:t>
      </w:r>
      <w:r w:rsidRPr="004C6DEB">
        <w:t xml:space="preserve"> </w:t>
      </w:r>
      <w:r w:rsidRPr="00DF24BE">
        <w:t xml:space="preserve">Commenters </w:t>
      </w:r>
      <w:r>
        <w:t>assert</w:t>
      </w:r>
      <w:r w:rsidRPr="00DF24BE">
        <w:t xml:space="preserve"> that daisy chaining is “outright fraud</w:t>
      </w:r>
      <w:r>
        <w:t>.”</w:t>
      </w:r>
      <w:r w:rsidRPr="00FE232E">
        <w:t xml:space="preserve"> </w:t>
      </w:r>
      <w:r>
        <w:t xml:space="preserve"> T-Mobile Comments at 21; </w:t>
      </w:r>
      <w:r w:rsidRPr="004C6DEB">
        <w:rPr>
          <w:i/>
        </w:rPr>
        <w:t xml:space="preserve">see also </w:t>
      </w:r>
      <w:r>
        <w:t>T-Mobile Reply at 9 (seeking a Commission clarification that daisy chaining is an unjust and unreasonable practice that violates se</w:t>
      </w:r>
      <w:r w:rsidRPr="006B7A5C">
        <w:t>ction 201</w:t>
      </w:r>
      <w:r>
        <w:t xml:space="preserve">(b) or 202(a) of the Act); </w:t>
      </w:r>
      <w:r w:rsidRPr="003053DF">
        <w:rPr>
          <w:i/>
        </w:rPr>
        <w:t>see generally</w:t>
      </w:r>
      <w:r>
        <w:t xml:space="preserve"> AT&amp;T Comments at </w:t>
      </w:r>
      <w:r w:rsidRPr="006B7A5C">
        <w:t>9 n.21, 19</w:t>
      </w:r>
      <w:r>
        <w:t>.</w:t>
      </w:r>
    </w:p>
  </w:footnote>
  <w:footnote w:id="234">
    <w:p w:rsidR="00844D1E" w:rsidP="00EB312D">
      <w:pPr>
        <w:pStyle w:val="FootnoteText"/>
      </w:pPr>
      <w:r>
        <w:rPr>
          <w:rStyle w:val="FootnoteReference"/>
        </w:rPr>
        <w:footnoteRef/>
      </w:r>
      <w:r>
        <w:t xml:space="preserve"> Because we are not addressing mileage pumping </w:t>
      </w:r>
      <w:r w:rsidRPr="00157664">
        <w:rPr>
          <w:i/>
        </w:rPr>
        <w:t>per se</w:t>
      </w:r>
      <w:r>
        <w:t xml:space="preserve">, we, therefore, will not address Wide Voice’s assertion that the 6:1 traffic ratio, combined with the financial responsibility being placed on the access-stimulating LEC, would create an uneven playing field as those LECs with longer transport routes would pay more.  Wide Voice Sept. 16, 2019 </w:t>
      </w:r>
      <w:r w:rsidRPr="005F032C">
        <w:rPr>
          <w:i/>
        </w:rPr>
        <w:t>Ex Parte</w:t>
      </w:r>
      <w:r>
        <w:t xml:space="preserve"> Response at 4.</w:t>
      </w:r>
    </w:p>
  </w:footnote>
  <w:footnote w:id="235">
    <w:p w:rsidR="00844D1E" w:rsidP="00EB312D">
      <w:pPr>
        <w:pStyle w:val="FootnoteText"/>
      </w:pPr>
      <w:r>
        <w:rPr>
          <w:rStyle w:val="FootnoteReference"/>
        </w:rPr>
        <w:footnoteRef/>
      </w:r>
      <w:r>
        <w:t xml:space="preserve"> </w:t>
      </w:r>
      <w:r w:rsidRPr="004C6DEB">
        <w:t>T-Mobile Comments a</w:t>
      </w:r>
      <w:r w:rsidRPr="006B7A5C">
        <w:t xml:space="preserve">t </w:t>
      </w:r>
      <w:r w:rsidRPr="004C6DEB">
        <w:t>20</w:t>
      </w:r>
      <w:r>
        <w:t>, Appx. A</w:t>
      </w:r>
      <w:r w:rsidRPr="004C6DEB">
        <w:t xml:space="preserve">; </w:t>
      </w:r>
      <w:r>
        <w:t>HD Tandem Comments at 5-</w:t>
      </w:r>
      <w:r w:rsidRPr="003A4343">
        <w:t xml:space="preserve">6 </w:t>
      </w:r>
      <w:r w:rsidRPr="00DC4DF1">
        <w:t>(</w:t>
      </w:r>
      <w:r w:rsidRPr="003A4343">
        <w:t>explain</w:t>
      </w:r>
      <w:r>
        <w:t>ing</w:t>
      </w:r>
      <w:r w:rsidRPr="003A4343">
        <w:t xml:space="preserve"> that </w:t>
      </w:r>
      <w:r>
        <w:t>HD Tandem</w:t>
      </w:r>
      <w:r w:rsidRPr="003A4343">
        <w:t xml:space="preserve"> offers an Internet Protocol </w:t>
      </w:r>
      <w:r w:rsidRPr="00DC4DF1">
        <w:t xml:space="preserve">Homing Tandem </w:t>
      </w:r>
      <w:r w:rsidRPr="003A4343">
        <w:t>capability to connect IXCs and access-stimulating LECs using non-geographic rates not based on mileage</w:t>
      </w:r>
      <w:r>
        <w:t>)</w:t>
      </w:r>
      <w:r w:rsidRPr="003A4343">
        <w:t>;</w:t>
      </w:r>
      <w:r>
        <w:t xml:space="preserve"> </w:t>
      </w:r>
      <w:r w:rsidRPr="000E757F">
        <w:rPr>
          <w:i/>
        </w:rPr>
        <w:t>see</w:t>
      </w:r>
      <w:r>
        <w:t xml:space="preserve"> Sprint Reply at 7-8.</w:t>
      </w:r>
    </w:p>
  </w:footnote>
  <w:footnote w:id="236">
    <w:p w:rsidR="00844D1E" w:rsidP="00EB312D">
      <w:pPr>
        <w:pStyle w:val="FootnoteText"/>
      </w:pPr>
      <w:r>
        <w:rPr>
          <w:rStyle w:val="FootnoteReference"/>
        </w:rPr>
        <w:footnoteRef/>
      </w:r>
      <w:r>
        <w:t xml:space="preserve"> 47 U.S.C. § 208.</w:t>
      </w:r>
    </w:p>
  </w:footnote>
  <w:footnote w:id="237">
    <w:p w:rsidR="00844D1E" w:rsidP="00EB312D">
      <w:pPr>
        <w:pStyle w:val="FootnoteText"/>
      </w:pPr>
      <w:r>
        <w:rPr>
          <w:rStyle w:val="FootnoteReference"/>
        </w:rPr>
        <w:footnoteRef/>
      </w:r>
      <w:r>
        <w:t xml:space="preserve"> </w:t>
      </w:r>
      <w:r>
        <w:rPr>
          <w:i/>
          <w:szCs w:val="22"/>
        </w:rPr>
        <w:t xml:space="preserve">See </w:t>
      </w:r>
      <w:r>
        <w:rPr>
          <w:szCs w:val="22"/>
        </w:rPr>
        <w:t xml:space="preserve">Comtech Comments; South Dakota 9-1-1 Coordination Board Reply.  </w:t>
      </w:r>
    </w:p>
  </w:footnote>
  <w:footnote w:id="238">
    <w:p w:rsidR="00844D1E" w:rsidP="00EB312D">
      <w:pPr>
        <w:pStyle w:val="FootnoteText"/>
      </w:pPr>
      <w:r>
        <w:rPr>
          <w:rStyle w:val="FootnoteReference"/>
        </w:rPr>
        <w:footnoteRef/>
      </w:r>
      <w:r>
        <w:t xml:space="preserve"> </w:t>
      </w:r>
      <w:r>
        <w:rPr>
          <w:szCs w:val="22"/>
        </w:rPr>
        <w:t>South Dakota 9-1-1 Coordination Board Reply at 1; SDN Reply at 8.</w:t>
      </w:r>
    </w:p>
  </w:footnote>
  <w:footnote w:id="239">
    <w:p w:rsidR="00844D1E" w:rsidRPr="00C51A78" w:rsidP="00EB312D">
      <w:pPr>
        <w:pStyle w:val="FootnoteText"/>
      </w:pPr>
      <w:r w:rsidRPr="008D1DA2">
        <w:rPr>
          <w:rStyle w:val="FootnoteReference"/>
        </w:rPr>
        <w:footnoteRef/>
      </w:r>
      <w:r w:rsidRPr="008D1DA2">
        <w:t xml:space="preserve"> </w:t>
      </w:r>
      <w:r>
        <w:t xml:space="preserve">Wide Voice Sept. 16, 2019 </w:t>
      </w:r>
      <w:r>
        <w:rPr>
          <w:i/>
        </w:rPr>
        <w:t xml:space="preserve">Ex Parte </w:t>
      </w:r>
      <w:r>
        <w:t xml:space="preserve">Response at 4-5; </w:t>
      </w:r>
      <w:r>
        <w:t>Eltopia</w:t>
      </w:r>
      <w:r>
        <w:t xml:space="preserve"> Sept. 19, 2019 </w:t>
      </w:r>
      <w:r>
        <w:rPr>
          <w:i/>
        </w:rPr>
        <w:t>Ex Parte</w:t>
      </w:r>
      <w:r>
        <w:t xml:space="preserve"> at 1.</w:t>
      </w:r>
    </w:p>
  </w:footnote>
  <w:footnote w:id="240">
    <w:p w:rsidR="00844D1E" w:rsidP="00EB312D">
      <w:pPr>
        <w:pStyle w:val="FootnoteText"/>
      </w:pPr>
      <w:r>
        <w:rPr>
          <w:rStyle w:val="FootnoteReference"/>
        </w:rPr>
        <w:footnoteRef/>
      </w:r>
      <w:r>
        <w:t xml:space="preserve"> Joint CLEC Comments at 75; Joint CLEC Sept. 19, 2019 </w:t>
      </w:r>
      <w:r>
        <w:rPr>
          <w:i/>
          <w:iCs/>
        </w:rPr>
        <w:t>Ex Part</w:t>
      </w:r>
      <w:r w:rsidRPr="000746E9">
        <w:rPr>
          <w:i/>
        </w:rPr>
        <w:t xml:space="preserve">e </w:t>
      </w:r>
      <w:r w:rsidRPr="000746E9">
        <w:t>a</w:t>
      </w:r>
      <w:r w:rsidRPr="00D31248">
        <w:rPr>
          <w:iCs/>
        </w:rPr>
        <w:t xml:space="preserve">t </w:t>
      </w:r>
      <w:r>
        <w:t>12.</w:t>
      </w:r>
    </w:p>
  </w:footnote>
  <w:footnote w:id="241">
    <w:p w:rsidR="00844D1E" w:rsidRPr="00C75C12" w:rsidP="00EB312D">
      <w:pPr>
        <w:widowControl/>
        <w:autoSpaceDE w:val="0"/>
        <w:autoSpaceDN w:val="0"/>
        <w:adjustRightInd w:val="0"/>
        <w:spacing w:before="120" w:after="120"/>
        <w:rPr>
          <w:sz w:val="20"/>
        </w:rPr>
      </w:pPr>
      <w:r>
        <w:rPr>
          <w:rStyle w:val="FootnoteReference"/>
        </w:rPr>
        <w:footnoteRef/>
      </w:r>
      <w:r w:rsidRPr="00C75C12">
        <w:rPr>
          <w:sz w:val="20"/>
        </w:rPr>
        <w:t xml:space="preserve"> HD Tandem similarly suggests that “</w:t>
      </w:r>
      <w:r w:rsidRPr="00C75C12">
        <w:rPr>
          <w:snapToGrid/>
          <w:kern w:val="0"/>
          <w:sz w:val="20"/>
        </w:rPr>
        <w:t>the most effective way to reform access</w:t>
      </w:r>
      <w:r>
        <w:rPr>
          <w:snapToGrid/>
          <w:kern w:val="0"/>
          <w:sz w:val="20"/>
        </w:rPr>
        <w:t xml:space="preserve"> </w:t>
      </w:r>
      <w:r w:rsidRPr="00C75C12">
        <w:rPr>
          <w:snapToGrid/>
          <w:kern w:val="0"/>
          <w:sz w:val="20"/>
        </w:rPr>
        <w:t>stimulating LECs is to mandate price changes</w:t>
      </w:r>
      <w:r>
        <w:rPr>
          <w:snapToGrid/>
          <w:kern w:val="0"/>
          <w:sz w:val="20"/>
        </w:rPr>
        <w:t xml:space="preserve">” but does not suggest what rates should be mandated or otherwise support this suggestion.  </w:t>
      </w:r>
      <w:r>
        <w:rPr>
          <w:sz w:val="20"/>
        </w:rPr>
        <w:t xml:space="preserve">HD Tandem Sept. 16, 2019 </w:t>
      </w:r>
      <w:r>
        <w:rPr>
          <w:i/>
          <w:iCs/>
          <w:sz w:val="20"/>
        </w:rPr>
        <w:t>Ex Parte</w:t>
      </w:r>
      <w:r>
        <w:rPr>
          <w:iCs/>
          <w:sz w:val="20"/>
        </w:rPr>
        <w:t xml:space="preserve"> at 3.</w:t>
      </w:r>
      <w:r>
        <w:rPr>
          <w:i/>
          <w:iCs/>
          <w:sz w:val="20"/>
        </w:rPr>
        <w:t>  </w:t>
      </w:r>
    </w:p>
  </w:footnote>
  <w:footnote w:id="242">
    <w:p w:rsidR="00844D1E" w:rsidP="00EB312D">
      <w:pPr>
        <w:widowControl/>
        <w:autoSpaceDE w:val="0"/>
        <w:autoSpaceDN w:val="0"/>
        <w:adjustRightInd w:val="0"/>
        <w:spacing w:after="120"/>
      </w:pPr>
      <w:r>
        <w:rPr>
          <w:rStyle w:val="FootnoteReference"/>
        </w:rPr>
        <w:footnoteRef/>
      </w:r>
      <w:r w:rsidRPr="00C17942">
        <w:rPr>
          <w:sz w:val="20"/>
        </w:rPr>
        <w:t xml:space="preserve"> </w:t>
      </w:r>
      <w:bookmarkStart w:id="348" w:name="_Hlk19872020"/>
      <w:r w:rsidRPr="00CD52AA">
        <w:rPr>
          <w:sz w:val="20"/>
        </w:rPr>
        <w:t xml:space="preserve">HD Tandem Sept. 16, 2019 </w:t>
      </w:r>
      <w:r w:rsidRPr="00CD52AA">
        <w:rPr>
          <w:i/>
          <w:iCs/>
          <w:sz w:val="20"/>
        </w:rPr>
        <w:t>Ex Parte</w:t>
      </w:r>
      <w:r w:rsidRPr="00CD52AA">
        <w:rPr>
          <w:iCs/>
          <w:sz w:val="20"/>
        </w:rPr>
        <w:t xml:space="preserve"> at 3</w:t>
      </w:r>
      <w:r w:rsidRPr="00CD52AA">
        <w:rPr>
          <w:sz w:val="20"/>
        </w:rPr>
        <w:t xml:space="preserve"> </w:t>
      </w:r>
      <w:bookmarkEnd w:id="348"/>
      <w:r w:rsidRPr="00CD52AA">
        <w:rPr>
          <w:sz w:val="20"/>
        </w:rPr>
        <w:t>(“[r]</w:t>
      </w:r>
      <w:r w:rsidRPr="00CD52AA">
        <w:rPr>
          <w:snapToGrid/>
          <w:kern w:val="0"/>
          <w:sz w:val="20"/>
        </w:rPr>
        <w:t>ate disparities are one of the root causes of</w:t>
      </w:r>
      <w:r w:rsidRPr="00CD52AA">
        <w:rPr>
          <w:sz w:val="20"/>
        </w:rPr>
        <w:t xml:space="preserve"> arbitrage opportunities”); Wide Voice Sept. 16, 2019 </w:t>
      </w:r>
      <w:r w:rsidRPr="00CD52AA">
        <w:rPr>
          <w:i/>
          <w:iCs/>
          <w:sz w:val="20"/>
        </w:rPr>
        <w:t xml:space="preserve">Ex Parte </w:t>
      </w:r>
      <w:r w:rsidRPr="00CD52AA">
        <w:rPr>
          <w:iCs/>
          <w:sz w:val="20"/>
        </w:rPr>
        <w:t>Response a</w:t>
      </w:r>
      <w:bookmarkStart w:id="349" w:name="_GoBack"/>
      <w:bookmarkEnd w:id="349"/>
      <w:r w:rsidRPr="00CD52AA">
        <w:rPr>
          <w:iCs/>
          <w:sz w:val="20"/>
        </w:rPr>
        <w:t>t 1 (“</w:t>
      </w:r>
      <w:r w:rsidRPr="00CD52AA">
        <w:rPr>
          <w:sz w:val="20"/>
        </w:rPr>
        <w:t>the draft order does not address the true underlying cause of arbitrage—rate disparities”).</w:t>
      </w:r>
    </w:p>
  </w:footnote>
  <w:footnote w:id="243">
    <w:p w:rsidR="00844D1E" w:rsidP="00EB312D">
      <w:pPr>
        <w:pStyle w:val="FootnoteText"/>
      </w:pPr>
      <w:r>
        <w:rPr>
          <w:rStyle w:val="FootnoteReference"/>
        </w:rPr>
        <w:footnoteRef/>
      </w:r>
      <w:r>
        <w:t xml:space="preserve"> The Joint CLECs argue that the rules adopted today are counter to the Commission’s geographic rate averaging policy.  The hypothetical they spin, that “free” conference call service providers will move to urban areas, is purely speculative.  For this and the reasons provided herein, we reject this concern.  Joint CLEC Sept. 19, 2019 </w:t>
      </w:r>
      <w:r>
        <w:rPr>
          <w:i/>
        </w:rPr>
        <w:t>Ex Parte</w:t>
      </w:r>
      <w:r>
        <w:t xml:space="preserve"> at 8.</w:t>
      </w:r>
    </w:p>
  </w:footnote>
  <w:footnote w:id="244">
    <w:p w:rsidR="00844D1E" w:rsidP="00EB312D">
      <w:pPr>
        <w:pStyle w:val="FootnoteText"/>
      </w:pPr>
      <w:r>
        <w:rPr>
          <w:rStyle w:val="FootnoteReference"/>
        </w:rPr>
        <w:footnoteRef/>
      </w:r>
      <w:r>
        <w:t xml:space="preserve"> HD Tandem Sept. 16, 2019 </w:t>
      </w:r>
      <w:r>
        <w:rPr>
          <w:i/>
          <w:iCs/>
        </w:rPr>
        <w:t>Ex Parte</w:t>
      </w:r>
      <w:r>
        <w:rPr>
          <w:iCs/>
        </w:rPr>
        <w:t xml:space="preserve"> at 2.</w:t>
      </w:r>
    </w:p>
  </w:footnote>
  <w:footnote w:id="245">
    <w:p w:rsidR="00844D1E" w:rsidP="00EB312D">
      <w:pPr>
        <w:pStyle w:val="FootnoteText"/>
      </w:pPr>
      <w:r>
        <w:rPr>
          <w:rStyle w:val="FootnoteReference"/>
        </w:rPr>
        <w:footnoteRef/>
      </w:r>
      <w:r>
        <w:t xml:space="preserve"> </w:t>
      </w:r>
      <w:r w:rsidRPr="00652BB4">
        <w:rPr>
          <w:i/>
        </w:rPr>
        <w:t>E.g.</w:t>
      </w:r>
      <w:r>
        <w:t xml:space="preserve">, </w:t>
      </w:r>
      <w:r w:rsidRPr="007570AA">
        <w:rPr>
          <w:i/>
        </w:rPr>
        <w:t>infra</w:t>
      </w:r>
      <w:r>
        <w:t xml:space="preserve"> Appx. A, 47 CFR § 51.914(a) (financial responsibility); </w:t>
      </w:r>
      <w:r w:rsidRPr="007570AA">
        <w:rPr>
          <w:i/>
        </w:rPr>
        <w:t>id</w:t>
      </w:r>
      <w:r>
        <w:t xml:space="preserve"> §§ 61.26(g)(3), 69.3(e)(12)(iv) (all concerning tariffing).  The Joint CLECs argue that the Commission provided insufficient notice that it was considering a </w:t>
      </w:r>
      <w:r>
        <w:t>45 day</w:t>
      </w:r>
      <w:r>
        <w:t xml:space="preserve"> implementation period, but the </w:t>
      </w:r>
      <w:r w:rsidRPr="00032B71">
        <w:rPr>
          <w:i/>
        </w:rPr>
        <w:t>Access Arbitrage Notice</w:t>
      </w:r>
      <w:r>
        <w:t xml:space="preserve"> explicitly sought comment on a 45 day period, as well as sought comment on revisions to the access stimulation definition, ratio, and triggers, among other topics.  </w:t>
      </w:r>
      <w:r w:rsidRPr="003F6BD9">
        <w:rPr>
          <w:i/>
        </w:rPr>
        <w:t>See</w:t>
      </w:r>
      <w:r>
        <w:t xml:space="preserve"> </w:t>
      </w:r>
      <w:r w:rsidRPr="00BF110F">
        <w:rPr>
          <w:i/>
        </w:rPr>
        <w:t>Access Arbitrage Notice</w:t>
      </w:r>
      <w:r>
        <w:t xml:space="preserve">, 33 FCC </w:t>
      </w:r>
      <w:r>
        <w:t>Rcd</w:t>
      </w:r>
      <w:r>
        <w:t xml:space="preserve"> at 5470, 5475, paras. 11, 26.</w:t>
      </w:r>
    </w:p>
  </w:footnote>
  <w:footnote w:id="246">
    <w:p w:rsidR="00844D1E" w:rsidP="00EB312D">
      <w:pPr>
        <w:pStyle w:val="FootnoteText"/>
      </w:pPr>
      <w:r>
        <w:rPr>
          <w:rStyle w:val="FootnoteReference"/>
        </w:rPr>
        <w:footnoteRef/>
      </w:r>
      <w:r>
        <w:t xml:space="preserve"> </w:t>
      </w:r>
      <w:r w:rsidRPr="00C139AA">
        <w:rPr>
          <w:i/>
        </w:rPr>
        <w:t>Infra</w:t>
      </w:r>
      <w:r>
        <w:t xml:space="preserve"> Appx. A, 47 CFR § 51.914(b).</w:t>
      </w:r>
    </w:p>
  </w:footnote>
  <w:footnote w:id="247">
    <w:p w:rsidR="00844D1E" w:rsidP="00EB312D">
      <w:pPr>
        <w:pStyle w:val="FootnoteText"/>
      </w:pPr>
      <w:r>
        <w:rPr>
          <w:rStyle w:val="FootnoteReference"/>
        </w:rPr>
        <w:footnoteRef/>
      </w:r>
      <w:r>
        <w:t xml:space="preserve"> CenturyLink Comments at 10-11 &amp; n.25; </w:t>
      </w:r>
      <w:r>
        <w:rPr>
          <w:i/>
        </w:rPr>
        <w:t xml:space="preserve">see generally </w:t>
      </w:r>
      <w:r>
        <w:t>CenturyLink Reply at 7.</w:t>
      </w:r>
    </w:p>
  </w:footnote>
  <w:footnote w:id="248">
    <w:p w:rsidR="00844D1E" w:rsidP="00EB312D">
      <w:pPr>
        <w:pStyle w:val="FootnoteText"/>
      </w:pPr>
      <w:r>
        <w:rPr>
          <w:rStyle w:val="FootnoteReference"/>
        </w:rPr>
        <w:footnoteRef/>
      </w:r>
      <w:r>
        <w:t xml:space="preserve"> Whether such tariff revisions are necessary is a determination for each affected carrier to make.</w:t>
      </w:r>
    </w:p>
  </w:footnote>
  <w:footnote w:id="249">
    <w:p w:rsidR="00844D1E" w:rsidP="00EB312D">
      <w:pPr>
        <w:pStyle w:val="FootnoteText"/>
      </w:pPr>
      <w:r>
        <w:rPr>
          <w:rStyle w:val="FootnoteReference"/>
        </w:rPr>
        <w:footnoteRef/>
      </w:r>
      <w:r>
        <w:t xml:space="preserve"> </w:t>
      </w:r>
      <w:r w:rsidRPr="00110E55">
        <w:rPr>
          <w:i/>
        </w:rPr>
        <w:t>See</w:t>
      </w:r>
      <w:r>
        <w:t xml:space="preserve"> Data Tech Sept. 17, 2019 </w:t>
      </w:r>
      <w:r w:rsidRPr="00110E55">
        <w:rPr>
          <w:i/>
        </w:rPr>
        <w:t>Ex Parte</w:t>
      </w:r>
      <w:r>
        <w:t xml:space="preserve"> at 2; Peerless and West Sept. 18, 2019 </w:t>
      </w:r>
      <w:r>
        <w:rPr>
          <w:i/>
        </w:rPr>
        <w:t xml:space="preserve">Ex Parte </w:t>
      </w:r>
      <w:r>
        <w:t xml:space="preserve">at 2-3.  </w:t>
      </w:r>
      <w:r w:rsidRPr="005B69A4">
        <w:t>We reiterate that parties should maintain accounts or other records to facilitate future true-ups, if needed, and to aid resolution of other implementation concerns; such steps will allow parties to reconcile their accounts at the end of the next natural billing cycle.</w:t>
      </w:r>
    </w:p>
  </w:footnote>
  <w:footnote w:id="250">
    <w:p w:rsidR="00844D1E" w:rsidP="00EB312D">
      <w:pPr>
        <w:pStyle w:val="FootnoteText"/>
      </w:pPr>
      <w:r>
        <w:rPr>
          <w:rStyle w:val="FootnoteReference"/>
        </w:rPr>
        <w:footnoteRef/>
      </w:r>
      <w:r>
        <w:t xml:space="preserve"> HD Tandem Sept. 3, 2019 </w:t>
      </w:r>
      <w:r w:rsidRPr="00295A37">
        <w:rPr>
          <w:i/>
        </w:rPr>
        <w:t>Ex Parte</w:t>
      </w:r>
      <w:r>
        <w:t xml:space="preserve"> at 2-3; </w:t>
      </w:r>
      <w:r w:rsidRPr="00820A86">
        <w:rPr>
          <w:i/>
        </w:rPr>
        <w:t>see also</w:t>
      </w:r>
      <w:r>
        <w:t xml:space="preserve"> Wide Voice Sept. 11, 2019 </w:t>
      </w:r>
      <w:r w:rsidRPr="00820A86">
        <w:rPr>
          <w:i/>
        </w:rPr>
        <w:t>Ex Parte</w:t>
      </w:r>
      <w:r>
        <w:t xml:space="preserve"> Attach. at 9; Wide Voice Sept. 16, 2019 </w:t>
      </w:r>
      <w:r w:rsidRPr="00820A86">
        <w:rPr>
          <w:i/>
        </w:rPr>
        <w:t>Ex Parte</w:t>
      </w:r>
      <w:r>
        <w:rPr>
          <w:i/>
        </w:rPr>
        <w:t xml:space="preserve"> </w:t>
      </w:r>
      <w:r w:rsidRPr="0093368B">
        <w:t>Response</w:t>
      </w:r>
      <w:r>
        <w:t xml:space="preserve"> at 2, 6 (asserting that LERG modifications will take 66 days, and other implementation steps may take as long as 180 days); Peerless and West Sept. 18, 2019 </w:t>
      </w:r>
      <w:r w:rsidRPr="00CB390C">
        <w:rPr>
          <w:i/>
        </w:rPr>
        <w:t>Ex Parte</w:t>
      </w:r>
      <w:r>
        <w:t xml:space="preserve"> at 2; Joint CLEC Sept. 19, 2019 </w:t>
      </w:r>
      <w:r>
        <w:rPr>
          <w:i/>
        </w:rPr>
        <w:t xml:space="preserve">Ex Parte </w:t>
      </w:r>
      <w:r>
        <w:t>at 9.</w:t>
      </w:r>
    </w:p>
  </w:footnote>
  <w:footnote w:id="251">
    <w:p w:rsidR="00844D1E" w:rsidP="00EB312D">
      <w:pPr>
        <w:pStyle w:val="FootnoteText"/>
      </w:pPr>
      <w:r>
        <w:rPr>
          <w:rStyle w:val="FootnoteReference"/>
        </w:rPr>
        <w:footnoteRef/>
      </w:r>
      <w:r>
        <w:t xml:space="preserve"> </w:t>
      </w:r>
      <w:r w:rsidRPr="00CB390C">
        <w:rPr>
          <w:i/>
        </w:rPr>
        <w:t>See</w:t>
      </w:r>
      <w:r>
        <w:rPr>
          <w:i/>
        </w:rPr>
        <w:t xml:space="preserve"> </w:t>
      </w:r>
      <w:r>
        <w:t xml:space="preserve">AT&amp;T Feb. 5, 2019 </w:t>
      </w:r>
      <w:r>
        <w:rPr>
          <w:i/>
        </w:rPr>
        <w:t xml:space="preserve">Ex Parte </w:t>
      </w:r>
      <w:r>
        <w:t>at 6.</w:t>
      </w:r>
    </w:p>
  </w:footnote>
  <w:footnote w:id="252">
    <w:p w:rsidR="00844D1E" w:rsidP="00EB312D">
      <w:pPr>
        <w:pStyle w:val="FootnoteText"/>
      </w:pPr>
      <w:r>
        <w:rPr>
          <w:rStyle w:val="FootnoteReference"/>
        </w:rPr>
        <w:footnoteRef/>
      </w:r>
      <w:r>
        <w:t xml:space="preserve"> </w:t>
      </w:r>
      <w:r w:rsidRPr="004F7E76">
        <w:rPr>
          <w:i/>
        </w:rPr>
        <w:t xml:space="preserve">See </w:t>
      </w:r>
      <w:r>
        <w:rPr>
          <w:i/>
        </w:rPr>
        <w:t>infra</w:t>
      </w:r>
      <w:r>
        <w:t xml:space="preserve"> Appx. A, 47 CFR § 61.3(</w:t>
      </w:r>
      <w:r>
        <w:t>bbb</w:t>
      </w:r>
      <w:r>
        <w:t>)(</w:t>
      </w:r>
      <w:r>
        <w:t>2)-(3).</w:t>
      </w:r>
    </w:p>
  </w:footnote>
  <w:footnote w:id="253">
    <w:p w:rsidR="00844D1E" w:rsidP="00EB312D">
      <w:pPr>
        <w:pStyle w:val="FootnoteText"/>
      </w:pPr>
      <w:r>
        <w:rPr>
          <w:rStyle w:val="FootnoteReference"/>
        </w:rPr>
        <w:footnoteRef/>
      </w:r>
      <w:r>
        <w:t xml:space="preserve"> </w:t>
      </w:r>
      <w:r>
        <w:t>FailSafe</w:t>
      </w:r>
      <w:r>
        <w:t xml:space="preserve"> Sept. 13, 2019 </w:t>
      </w:r>
      <w:r w:rsidRPr="00840307">
        <w:rPr>
          <w:i/>
        </w:rPr>
        <w:t>Ex Parte</w:t>
      </w:r>
      <w:r>
        <w:t xml:space="preserve"> at 5.</w:t>
      </w:r>
    </w:p>
  </w:footnote>
  <w:footnote w:id="254">
    <w:p w:rsidR="00844D1E" w:rsidP="00EB312D">
      <w:pPr>
        <w:pStyle w:val="FootnoteText"/>
      </w:pPr>
      <w:r>
        <w:rPr>
          <w:rStyle w:val="FootnoteReference"/>
        </w:rPr>
        <w:footnoteRef/>
      </w:r>
      <w:r>
        <w:t xml:space="preserve"> </w:t>
      </w:r>
      <w:r w:rsidRPr="003521C1">
        <w:t xml:space="preserve">Joint CLEC Sept. 19, 2019 </w:t>
      </w:r>
      <w:r w:rsidRPr="003314A2">
        <w:rPr>
          <w:i/>
        </w:rPr>
        <w:t>Ex Parte</w:t>
      </w:r>
      <w:r w:rsidRPr="003521C1">
        <w:t xml:space="preserve"> at 9, 11-12.</w:t>
      </w:r>
    </w:p>
  </w:footnote>
  <w:footnote w:id="255">
    <w:p w:rsidR="00844D1E" w:rsidP="00EB312D">
      <w:pPr>
        <w:pStyle w:val="FootnoteText"/>
      </w:pPr>
      <w:r>
        <w:rPr>
          <w:rStyle w:val="FootnoteReference"/>
        </w:rPr>
        <w:footnoteRef/>
      </w:r>
      <w:r>
        <w:t xml:space="preserve"> </w:t>
      </w:r>
      <w:r>
        <w:rPr>
          <w:i/>
          <w:iCs/>
        </w:rPr>
        <w:t>See, e.g.</w:t>
      </w:r>
      <w:r>
        <w:t xml:space="preserve">, Joint CLEC Sept. 19, 2019 </w:t>
      </w:r>
      <w:r>
        <w:rPr>
          <w:i/>
          <w:iCs/>
        </w:rPr>
        <w:t>Ex</w:t>
      </w:r>
      <w:r>
        <w:t xml:space="preserve"> </w:t>
      </w:r>
      <w:r>
        <w:rPr>
          <w:i/>
          <w:iCs/>
        </w:rPr>
        <w:t>Parte</w:t>
      </w:r>
      <w:r>
        <w:t xml:space="preserve"> at 11-12; </w:t>
      </w:r>
      <w:r>
        <w:rPr>
          <w:i/>
        </w:rPr>
        <w:t xml:space="preserve">see also </w:t>
      </w:r>
      <w:r>
        <w:t xml:space="preserve">IDT Sept. 18, 2019 </w:t>
      </w:r>
      <w:r>
        <w:rPr>
          <w:i/>
        </w:rPr>
        <w:t xml:space="preserve">Ex Parte </w:t>
      </w:r>
      <w:r>
        <w:t>at 2 (discussing this revenue stream for rate-of-return LECs). </w:t>
      </w:r>
    </w:p>
  </w:footnote>
  <w:footnote w:id="256">
    <w:p w:rsidR="00844D1E" w:rsidP="00EB312D">
      <w:pPr>
        <w:pStyle w:val="FootnoteText"/>
      </w:pPr>
      <w:r>
        <w:rPr>
          <w:rStyle w:val="FootnoteReference"/>
        </w:rPr>
        <w:footnoteRef/>
      </w:r>
      <w:r>
        <w:t xml:space="preserve"> </w:t>
      </w:r>
      <w:r>
        <w:rPr>
          <w:i/>
          <w:iCs/>
        </w:rPr>
        <w:t>Penn Central Transp. Co. v. City of New York</w:t>
      </w:r>
      <w:r>
        <w:t>, 438 U.S. 104, 124 (1978) (</w:t>
      </w:r>
      <w:r>
        <w:rPr>
          <w:i/>
          <w:iCs/>
        </w:rPr>
        <w:t>Penn Central</w:t>
      </w:r>
      <w:r>
        <w:t>). </w:t>
      </w:r>
    </w:p>
  </w:footnote>
  <w:footnote w:id="257">
    <w:p w:rsidR="00844D1E" w:rsidP="00EB312D">
      <w:pPr>
        <w:pStyle w:val="FootnoteText"/>
      </w:pPr>
      <w:r>
        <w:rPr>
          <w:rStyle w:val="FootnoteReference"/>
        </w:rPr>
        <w:footnoteRef/>
      </w:r>
      <w:r>
        <w:t xml:space="preserve"> </w:t>
      </w:r>
      <w:r>
        <w:rPr>
          <w:i/>
          <w:iCs/>
        </w:rPr>
        <w:t xml:space="preserve">See </w:t>
      </w:r>
      <w:r>
        <w:t xml:space="preserve">Joint CLEC Sept. 19, 2019 </w:t>
      </w:r>
      <w:r w:rsidRPr="00526F3F">
        <w:rPr>
          <w:i/>
        </w:rPr>
        <w:t>Ex Parte</w:t>
      </w:r>
      <w:r>
        <w:t xml:space="preserve"> at 11-12.</w:t>
      </w:r>
    </w:p>
  </w:footnote>
  <w:footnote w:id="258">
    <w:p w:rsidR="00844D1E" w:rsidP="00EB312D">
      <w:pPr>
        <w:pStyle w:val="FootnoteText"/>
      </w:pPr>
      <w:r>
        <w:rPr>
          <w:rStyle w:val="FootnoteReference"/>
        </w:rPr>
        <w:footnoteRef/>
      </w:r>
      <w:r>
        <w:t xml:space="preserve"> </w:t>
      </w:r>
      <w:r>
        <w:rPr>
          <w:i/>
          <w:iCs/>
        </w:rPr>
        <w:t xml:space="preserve">See generally </w:t>
      </w:r>
      <w:r>
        <w:t xml:space="preserve">Joint CLEC Sept. 19, 2019 </w:t>
      </w:r>
      <w:r w:rsidRPr="002E626D">
        <w:rPr>
          <w:i/>
        </w:rPr>
        <w:t>Ex Parte</w:t>
      </w:r>
      <w:r>
        <w:t xml:space="preserve"> Attach., Great Lakes Communications Corporation Decl., BTC, Inc. d/b/a Western Iowa Networks Decl., Northern Valley Communications, LLC, Decl., No Cost Conference, Inc., Decl., </w:t>
      </w:r>
      <w:r>
        <w:t>Sipmeeting</w:t>
      </w:r>
      <w:r>
        <w:t>, LLC, Decl., Total Bridge, Inc., Decl.</w:t>
      </w:r>
    </w:p>
  </w:footnote>
  <w:footnote w:id="259">
    <w:p w:rsidR="00844D1E" w:rsidP="00EB312D">
      <w:pPr>
        <w:pStyle w:val="FootnoteText"/>
      </w:pPr>
      <w:r>
        <w:rPr>
          <w:rStyle w:val="FootnoteReference"/>
        </w:rPr>
        <w:footnoteRef/>
      </w:r>
      <w:r>
        <w:t xml:space="preserve"> </w:t>
      </w:r>
      <w:r>
        <w:rPr>
          <w:i/>
          <w:iCs/>
        </w:rPr>
        <w:t>See id</w:t>
      </w:r>
      <w:r>
        <w:t>. </w:t>
      </w:r>
    </w:p>
  </w:footnote>
  <w:footnote w:id="260">
    <w:p w:rsidR="00844D1E" w:rsidP="00EB312D">
      <w:pPr>
        <w:pStyle w:val="FootnoteText"/>
      </w:pPr>
      <w:r>
        <w:rPr>
          <w:rStyle w:val="FootnoteReference"/>
        </w:rPr>
        <w:footnoteRef/>
      </w:r>
      <w:r>
        <w:t xml:space="preserve"> </w:t>
      </w:r>
      <w:r>
        <w:rPr>
          <w:i/>
          <w:iCs/>
        </w:rPr>
        <w:t>See id</w:t>
      </w:r>
      <w:r>
        <w:t>.</w:t>
      </w:r>
    </w:p>
  </w:footnote>
  <w:footnote w:id="261">
    <w:p w:rsidR="00844D1E" w:rsidRPr="008D15F7" w:rsidP="00EB312D">
      <w:pPr>
        <w:pStyle w:val="FootnoteText"/>
      </w:pPr>
      <w:r>
        <w:rPr>
          <w:rStyle w:val="FootnoteReference"/>
        </w:rPr>
        <w:footnoteRef/>
      </w:r>
      <w:r>
        <w:t xml:space="preserve"> </w:t>
      </w:r>
      <w:r>
        <w:rPr>
          <w:i/>
        </w:rPr>
        <w:t xml:space="preserve">See </w:t>
      </w:r>
      <w:r w:rsidRPr="00E41438">
        <w:rPr>
          <w:i/>
        </w:rPr>
        <w:t xml:space="preserve">supra </w:t>
      </w:r>
      <w:r w:rsidRPr="00E41438">
        <w:t>para. 7</w:t>
      </w:r>
      <w:r>
        <w:t>7.</w:t>
      </w:r>
    </w:p>
  </w:footnote>
  <w:footnote w:id="262">
    <w:p w:rsidR="00844D1E" w:rsidP="00EB312D">
      <w:pPr>
        <w:pStyle w:val="FootnoteText"/>
      </w:pPr>
      <w:r>
        <w:rPr>
          <w:rStyle w:val="FootnoteReference"/>
        </w:rPr>
        <w:footnoteRef/>
      </w:r>
      <w:r>
        <w:t xml:space="preserve"> </w:t>
      </w:r>
      <w:r>
        <w:rPr>
          <w:i/>
          <w:iCs/>
        </w:rPr>
        <w:t xml:space="preserve">Keystone Bituminous Coal </w:t>
      </w:r>
      <w:r>
        <w:rPr>
          <w:i/>
          <w:iCs/>
        </w:rPr>
        <w:t>Ass’n</w:t>
      </w:r>
      <w:r>
        <w:rPr>
          <w:i/>
          <w:iCs/>
        </w:rPr>
        <w:t xml:space="preserve"> v. </w:t>
      </w:r>
      <w:r>
        <w:rPr>
          <w:i/>
          <w:iCs/>
        </w:rPr>
        <w:t>DeBenedictis</w:t>
      </w:r>
      <w:r>
        <w:t>, 480 U.S. 470, 493 (1987). </w:t>
      </w:r>
    </w:p>
  </w:footnote>
  <w:footnote w:id="263">
    <w:p w:rsidR="00844D1E" w:rsidP="00EB312D">
      <w:pPr>
        <w:pStyle w:val="FootnoteText"/>
      </w:pPr>
      <w:r>
        <w:rPr>
          <w:rStyle w:val="FootnoteReference"/>
        </w:rPr>
        <w:footnoteRef/>
      </w:r>
      <w:r>
        <w:t xml:space="preserve"> 47 CFR § 1.3.</w:t>
      </w:r>
    </w:p>
  </w:footnote>
  <w:footnote w:id="264">
    <w:p w:rsidR="00844D1E" w:rsidRPr="00D87845" w:rsidP="00EB312D">
      <w:pPr>
        <w:pStyle w:val="FootnoteText"/>
      </w:pPr>
      <w:r>
        <w:rPr>
          <w:rStyle w:val="FootnoteReference"/>
        </w:rPr>
        <w:footnoteRef/>
      </w:r>
      <w:r>
        <w:t xml:space="preserve"> Joint CLEC Sept. 19, 2019 </w:t>
      </w:r>
      <w:r>
        <w:rPr>
          <w:i/>
        </w:rPr>
        <w:t>Ex Parte</w:t>
      </w:r>
      <w:r>
        <w:t xml:space="preserve"> at 11.</w:t>
      </w:r>
    </w:p>
  </w:footnote>
  <w:footnote w:id="265">
    <w:p w:rsidR="00844D1E" w:rsidP="00EB312D">
      <w:pPr>
        <w:pStyle w:val="FootnoteText"/>
      </w:pPr>
      <w:r>
        <w:rPr>
          <w:rStyle w:val="FootnoteReference"/>
        </w:rPr>
        <w:footnoteRef/>
      </w:r>
      <w:r>
        <w:t xml:space="preserve"> </w:t>
      </w:r>
      <w:r>
        <w:rPr>
          <w:i/>
          <w:iCs/>
        </w:rPr>
        <w:t>See, e.g.</w:t>
      </w:r>
      <w:r>
        <w:t xml:space="preserve">, </w:t>
      </w:r>
      <w:r>
        <w:rPr>
          <w:i/>
          <w:iCs/>
        </w:rPr>
        <w:t>Investigation of Certain 2007 Annual Access Tariffs</w:t>
      </w:r>
      <w:r>
        <w:t xml:space="preserve">, Order, 22 FCC </w:t>
      </w:r>
      <w:r>
        <w:t>Rcd</w:t>
      </w:r>
      <w:r>
        <w:t xml:space="preserve"> 21261 (2007); </w:t>
      </w:r>
      <w:r>
        <w:rPr>
          <w:i/>
          <w:iCs/>
        </w:rPr>
        <w:t>Establishing Just and Reasonable Rates for Local Exchange Carriers</w:t>
      </w:r>
      <w:r>
        <w:t xml:space="preserve">, Notice of Proposed Rulemaking, 22 FCC </w:t>
      </w:r>
      <w:r>
        <w:t>Rcd</w:t>
      </w:r>
      <w:r>
        <w:t xml:space="preserve"> 17989 (2007); </w:t>
      </w:r>
      <w:r>
        <w:rPr>
          <w:i/>
          <w:iCs/>
        </w:rPr>
        <w:t>USF/ICC Transformation NPRM</w:t>
      </w:r>
      <w:r>
        <w:t xml:space="preserve">, 26 FCC </w:t>
      </w:r>
      <w:r>
        <w:t>Rcd</w:t>
      </w:r>
      <w:r>
        <w:t xml:space="preserve"> at 4757-70, paras. 635-670; </w:t>
      </w:r>
      <w:r>
        <w:rPr>
          <w:i/>
          <w:iCs/>
        </w:rPr>
        <w:t>USF/ICC Transformation Order</w:t>
      </w:r>
      <w:r>
        <w:t xml:space="preserve">, 26 FCC </w:t>
      </w:r>
      <w:r>
        <w:t>Rcd</w:t>
      </w:r>
      <w:r>
        <w:t xml:space="preserve"> at 17874-90, paras. 656-701; </w:t>
      </w:r>
      <w:r>
        <w:rPr>
          <w:i/>
          <w:iCs/>
        </w:rPr>
        <w:t>Access Arbitrage Notice</w:t>
      </w:r>
      <w:r>
        <w:t xml:space="preserve">, 33 FCC </w:t>
      </w:r>
      <w:r>
        <w:t>Rcd</w:t>
      </w:r>
      <w:r>
        <w:t xml:space="preserve"> 5466. </w:t>
      </w:r>
    </w:p>
  </w:footnote>
  <w:footnote w:id="266">
    <w:p w:rsidR="00844D1E" w:rsidP="00EB312D">
      <w:pPr>
        <w:pStyle w:val="FootnoteText"/>
      </w:pPr>
      <w:r>
        <w:rPr>
          <w:rStyle w:val="FootnoteReference"/>
        </w:rPr>
        <w:footnoteRef/>
      </w:r>
      <w:r>
        <w:t xml:space="preserve"> </w:t>
      </w:r>
      <w:r>
        <w:rPr>
          <w:i/>
          <w:iCs/>
        </w:rPr>
        <w:t>See, e.g.</w:t>
      </w:r>
      <w:r>
        <w:t xml:space="preserve">, </w:t>
      </w:r>
      <w:r>
        <w:rPr>
          <w:i/>
          <w:iCs/>
        </w:rPr>
        <w:t>Access Arbitrage Notice</w:t>
      </w:r>
      <w:r>
        <w:t xml:space="preserve">, 33 FCC </w:t>
      </w:r>
      <w:r>
        <w:t>Rcd</w:t>
      </w:r>
      <w:r>
        <w:t xml:space="preserve"> at 5475, para. 27; </w:t>
      </w:r>
      <w:r>
        <w:rPr>
          <w:i/>
          <w:iCs/>
        </w:rPr>
        <w:t>see also USF/ICC Transformation Order</w:t>
      </w:r>
      <w:r>
        <w:t xml:space="preserve">, 26 FCC </w:t>
      </w:r>
      <w:r>
        <w:t>Rcd</w:t>
      </w:r>
      <w:r>
        <w:t xml:space="preserve"> at 17879, para. 672 (declining at that time to “declare revenue sharing to be a </w:t>
      </w:r>
      <w:r>
        <w:rPr>
          <w:i/>
          <w:iCs/>
        </w:rPr>
        <w:t>per se</w:t>
      </w:r>
      <w:r>
        <w:t xml:space="preserve"> violation of section 201(b) of the Act” given the potential risk of overbreadth that “no party has suggested a way to overcome” on the record there). </w:t>
      </w:r>
    </w:p>
  </w:footnote>
  <w:footnote w:id="267">
    <w:p w:rsidR="00844D1E" w:rsidP="00EB312D">
      <w:pPr>
        <w:pStyle w:val="FootnoteText"/>
      </w:pPr>
      <w:r>
        <w:rPr>
          <w:rStyle w:val="FootnoteReference"/>
        </w:rPr>
        <w:footnoteRef/>
      </w:r>
      <w:r>
        <w:t xml:space="preserve"> </w:t>
      </w:r>
      <w:r>
        <w:rPr>
          <w:i/>
          <w:iCs/>
        </w:rPr>
        <w:t xml:space="preserve">See supra </w:t>
      </w:r>
      <w:r>
        <w:t xml:space="preserve">Section II; </w:t>
      </w:r>
      <w:r>
        <w:rPr>
          <w:i/>
          <w:iCs/>
        </w:rPr>
        <w:t>Access Arbitrage Notice</w:t>
      </w:r>
      <w:r>
        <w:t xml:space="preserve">, 33 FCC </w:t>
      </w:r>
      <w:r>
        <w:t>Rcd</w:t>
      </w:r>
      <w:r>
        <w:t xml:space="preserve"> at 5468-69, paras. 6-7. </w:t>
      </w:r>
    </w:p>
  </w:footnote>
  <w:footnote w:id="268">
    <w:p w:rsidR="00844D1E" w:rsidP="00EB312D">
      <w:pPr>
        <w:pStyle w:val="FootnoteText"/>
      </w:pPr>
      <w:r>
        <w:rPr>
          <w:rStyle w:val="FootnoteReference"/>
        </w:rPr>
        <w:footnoteRef/>
      </w:r>
      <w:r>
        <w:t xml:space="preserve"> </w:t>
      </w:r>
      <w:r>
        <w:rPr>
          <w:i/>
          <w:iCs/>
        </w:rPr>
        <w:t>Penn Central</w:t>
      </w:r>
      <w:r>
        <w:t>, 438 U.S. at 124 (citation omitted). </w:t>
      </w:r>
    </w:p>
  </w:footnote>
  <w:footnote w:id="269">
    <w:p w:rsidR="00844D1E" w:rsidRPr="006A6B86" w:rsidP="00EB312D">
      <w:pPr>
        <w:pStyle w:val="FootnoteText"/>
      </w:pPr>
      <w:r>
        <w:rPr>
          <w:rStyle w:val="FootnoteReference"/>
        </w:rPr>
        <w:footnoteRef/>
      </w:r>
      <w:r>
        <w:t xml:space="preserve"> </w:t>
      </w:r>
      <w:r>
        <w:rPr>
          <w:i/>
        </w:rPr>
        <w:t xml:space="preserve">See infra </w:t>
      </w:r>
      <w:r>
        <w:t>Section III.C Legal Authority.</w:t>
      </w:r>
    </w:p>
  </w:footnote>
  <w:footnote w:id="270">
    <w:p w:rsidR="00844D1E" w:rsidRPr="004C6DEB" w:rsidP="00EB312D">
      <w:pPr>
        <w:pStyle w:val="FootnoteText"/>
      </w:pPr>
      <w:r w:rsidRPr="004C6DEB">
        <w:rPr>
          <w:rStyle w:val="FootnoteReference"/>
        </w:rPr>
        <w:footnoteRef/>
      </w:r>
      <w:r w:rsidRPr="004C6DEB">
        <w:t xml:space="preserve"> </w:t>
      </w:r>
      <w:r>
        <w:rPr>
          <w:i/>
        </w:rPr>
        <w:t>E</w:t>
      </w:r>
      <w:r w:rsidRPr="004C6DEB">
        <w:rPr>
          <w:i/>
        </w:rPr>
        <w:t>.g.</w:t>
      </w:r>
      <w:r w:rsidRPr="004C6DEB">
        <w:t>, NTCA Comments at 4; INCOMPAS Reply at 4.</w:t>
      </w:r>
      <w:r>
        <w:t xml:space="preserve">  </w:t>
      </w:r>
    </w:p>
  </w:footnote>
  <w:footnote w:id="271">
    <w:p w:rsidR="00844D1E" w:rsidP="00EB312D">
      <w:pPr>
        <w:pStyle w:val="FootnoteText"/>
      </w:pPr>
      <w:r>
        <w:rPr>
          <w:rStyle w:val="FootnoteReference"/>
        </w:rPr>
        <w:footnoteRef/>
      </w:r>
      <w:r>
        <w:t xml:space="preserve"> </w:t>
      </w:r>
      <w:r w:rsidRPr="001A4212">
        <w:rPr>
          <w:i/>
        </w:rPr>
        <w:t>See</w:t>
      </w:r>
      <w:r>
        <w:t xml:space="preserve"> </w:t>
      </w:r>
      <w:r w:rsidRPr="000F2933">
        <w:rPr>
          <w:i/>
        </w:rPr>
        <w:t>Access Arbitrage Notice</w:t>
      </w:r>
      <w:r w:rsidRPr="000F2933">
        <w:t xml:space="preserve">, 33 FCC </w:t>
      </w:r>
      <w:r w:rsidRPr="000F2933">
        <w:t>Rcd</w:t>
      </w:r>
      <w:r w:rsidRPr="000F2933">
        <w:t xml:space="preserve"> at 5472-73, paras. 18-20</w:t>
      </w:r>
      <w:r>
        <w:t>.</w:t>
      </w:r>
    </w:p>
  </w:footnote>
  <w:footnote w:id="272">
    <w:p w:rsidR="00844D1E" w:rsidRPr="006314E2" w:rsidP="00EB312D">
      <w:pPr>
        <w:pStyle w:val="FootnoteText"/>
      </w:pPr>
      <w:r>
        <w:rPr>
          <w:rStyle w:val="FootnoteReference"/>
        </w:rPr>
        <w:footnoteRef/>
      </w:r>
      <w:r>
        <w:t xml:space="preserve"> For example, the notice requirements are subject to the Paperwork Reduction Act approval process which allows for additional notice and comment on the burdens associated with the requirement.  This process will occur after adoption of this </w:t>
      </w:r>
      <w:r w:rsidRPr="00F4381F">
        <w:rPr>
          <w:i/>
        </w:rPr>
        <w:t>Order</w:t>
      </w:r>
      <w:r>
        <w:t xml:space="preserve">, thus providing additional time for parties to make the changes necessary to comply with the newly adopted rules.  </w:t>
      </w:r>
      <w:r>
        <w:rPr>
          <w:i/>
        </w:rPr>
        <w:t xml:space="preserve">See infra </w:t>
      </w:r>
      <w:r>
        <w:t>para. 75.</w:t>
      </w:r>
    </w:p>
  </w:footnote>
  <w:footnote w:id="273">
    <w:p w:rsidR="00844D1E" w:rsidRPr="00B90ED2" w:rsidP="00EB312D">
      <w:pPr>
        <w:pStyle w:val="FootnoteText"/>
      </w:pPr>
      <w:r>
        <w:rPr>
          <w:rStyle w:val="FootnoteReference"/>
        </w:rPr>
        <w:footnoteRef/>
      </w:r>
      <w:r>
        <w:t xml:space="preserve"> </w:t>
      </w:r>
      <w:r>
        <w:rPr>
          <w:i/>
        </w:rPr>
        <w:t xml:space="preserve">See infra </w:t>
      </w:r>
      <w:r>
        <w:t>Appx. A, 47 CFR § 51.914(e).</w:t>
      </w:r>
    </w:p>
  </w:footnote>
  <w:footnote w:id="274">
    <w:p w:rsidR="00844D1E" w:rsidP="00EB312D">
      <w:pPr>
        <w:pStyle w:val="FootnoteText"/>
      </w:pPr>
      <w:r>
        <w:rPr>
          <w:rStyle w:val="FootnoteReference"/>
        </w:rPr>
        <w:footnoteRef/>
      </w:r>
      <w:r>
        <w:t xml:space="preserve"> </w:t>
      </w:r>
      <w:r>
        <w:rPr>
          <w:i/>
        </w:rPr>
        <w:t xml:space="preserve">See </w:t>
      </w:r>
      <w:r w:rsidRPr="001A3845">
        <w:rPr>
          <w:i/>
        </w:rPr>
        <w:t>infra</w:t>
      </w:r>
      <w:r w:rsidRPr="001A3845">
        <w:t xml:space="preserve"> A</w:t>
      </w:r>
      <w:r>
        <w:t xml:space="preserve">ppx. A, 47 CFR § 51.914(e). </w:t>
      </w:r>
    </w:p>
  </w:footnote>
  <w:footnote w:id="275">
    <w:p w:rsidR="00844D1E" w:rsidP="00EB312D">
      <w:pPr>
        <w:pStyle w:val="FootnoteText"/>
      </w:pPr>
      <w:r>
        <w:rPr>
          <w:rStyle w:val="FootnoteReference"/>
        </w:rPr>
        <w:footnoteRef/>
      </w:r>
      <w:r>
        <w:t xml:space="preserve"> Whether tariff revisions are necessary to implement this reversal of financial responsibility is a determination for each affected carrier to make.</w:t>
      </w:r>
    </w:p>
  </w:footnote>
  <w:footnote w:id="276">
    <w:p w:rsidR="00844D1E" w:rsidP="00EB312D">
      <w:pPr>
        <w:pStyle w:val="FootnoteText"/>
      </w:pPr>
      <w:r>
        <w:rPr>
          <w:rStyle w:val="FootnoteReference"/>
        </w:rPr>
        <w:footnoteRef/>
      </w:r>
      <w:r>
        <w:t xml:space="preserve"> SDN Comments at 5.  Whether a tariff change is necessary is a determination for SDN to make.</w:t>
      </w:r>
    </w:p>
  </w:footnote>
  <w:footnote w:id="277">
    <w:p w:rsidR="00844D1E" w:rsidP="00EB312D">
      <w:pPr>
        <w:pStyle w:val="FootnoteText"/>
      </w:pPr>
      <w:r w:rsidRPr="00AD2B0E">
        <w:rPr>
          <w:rStyle w:val="FootnoteReference"/>
        </w:rPr>
        <w:footnoteRef/>
      </w:r>
      <w:r w:rsidRPr="00AD2B0E">
        <w:t xml:space="preserve"> </w:t>
      </w:r>
      <w:r w:rsidRPr="0023282A">
        <w:rPr>
          <w:i/>
        </w:rPr>
        <w:t>Id</w:t>
      </w:r>
      <w:r>
        <w:t>.</w:t>
      </w:r>
    </w:p>
  </w:footnote>
  <w:footnote w:id="278">
    <w:p w:rsidR="00844D1E" w:rsidP="00EB312D">
      <w:pPr>
        <w:pStyle w:val="FootnoteText"/>
      </w:pPr>
      <w:r>
        <w:rPr>
          <w:rStyle w:val="FootnoteReference"/>
        </w:rPr>
        <w:footnoteRef/>
      </w:r>
      <w:r>
        <w:t xml:space="preserve"> </w:t>
      </w:r>
      <w:bookmarkStart w:id="392" w:name="_Hlk20308747"/>
      <w:r w:rsidRPr="001F5BC5">
        <w:t>Consistent with our analysis above, those LECs classified as access</w:t>
      </w:r>
      <w:r>
        <w:t>-</w:t>
      </w:r>
      <w:r w:rsidRPr="001F5BC5">
        <w:t>stimulat</w:t>
      </w:r>
      <w:r>
        <w:t>ing LECs</w:t>
      </w:r>
      <w:r w:rsidRPr="001F5BC5">
        <w:t xml:space="preserve"> upon the effective date of this </w:t>
      </w:r>
      <w:r w:rsidRPr="00364F24">
        <w:rPr>
          <w:i/>
        </w:rPr>
        <w:t>Order</w:t>
      </w:r>
      <w:r w:rsidRPr="001F5BC5">
        <w:t xml:space="preserve"> remain access stimulat</w:t>
      </w:r>
      <w:r>
        <w:t>ing LECs</w:t>
      </w:r>
      <w:r w:rsidRPr="001F5BC5">
        <w:t xml:space="preserve"> unless and until they cease access stimulation for six consecutive months. </w:t>
      </w:r>
      <w:r w:rsidRPr="001F5BC5">
        <w:rPr>
          <w:i/>
          <w:iCs/>
        </w:rPr>
        <w:t xml:space="preserve">See supra </w:t>
      </w:r>
      <w:r w:rsidRPr="001F5BC5">
        <w:t>para</w:t>
      </w:r>
      <w:r>
        <w:t>s</w:t>
      </w:r>
      <w:r w:rsidRPr="001F5BC5">
        <w:t xml:space="preserve">. </w:t>
      </w:r>
      <w:r>
        <w:t>54-55</w:t>
      </w:r>
      <w:r w:rsidRPr="001F5BC5">
        <w:t>; 47 CFR §</w:t>
      </w:r>
      <w:r>
        <w:t>§ </w:t>
      </w:r>
      <w:r w:rsidRPr="001F5BC5">
        <w:t>61.3(</w:t>
      </w:r>
      <w:r w:rsidRPr="001F5BC5">
        <w:t>bbb</w:t>
      </w:r>
      <w:r w:rsidRPr="001F5BC5">
        <w:t>)(</w:t>
      </w:r>
      <w:r w:rsidRPr="001F5BC5">
        <w:t>2)</w:t>
      </w:r>
      <w:r>
        <w:t>, (3</w:t>
      </w:r>
      <w:r w:rsidRPr="001F5BC5">
        <w:t>).</w:t>
      </w:r>
    </w:p>
    <w:bookmarkEnd w:id="392"/>
  </w:footnote>
  <w:footnote w:id="279">
    <w:p w:rsidR="00844D1E" w:rsidP="00EB312D">
      <w:pPr>
        <w:pStyle w:val="FootnoteText"/>
      </w:pPr>
      <w:r>
        <w:rPr>
          <w:rStyle w:val="FootnoteReference"/>
        </w:rPr>
        <w:footnoteRef/>
      </w:r>
      <w:r>
        <w:t xml:space="preserve"> </w:t>
      </w:r>
      <w:r w:rsidRPr="00115B5D">
        <w:t>Joint CLEC Comments at 56.</w:t>
      </w:r>
    </w:p>
  </w:footnote>
  <w:footnote w:id="280">
    <w:p w:rsidR="00844D1E" w:rsidP="00EB312D">
      <w:pPr>
        <w:pStyle w:val="FootnoteText"/>
      </w:pPr>
      <w:r>
        <w:rPr>
          <w:rStyle w:val="FootnoteReference"/>
        </w:rPr>
        <w:footnoteRef/>
      </w:r>
      <w:r>
        <w:t xml:space="preserve"> </w:t>
      </w:r>
      <w:r w:rsidRPr="00115B5D">
        <w:rPr>
          <w:i/>
        </w:rPr>
        <w:t>Compare Access Arbitrage N</w:t>
      </w:r>
      <w:r>
        <w:rPr>
          <w:i/>
        </w:rPr>
        <w:t>otice</w:t>
      </w:r>
      <w:r>
        <w:t xml:space="preserve">, 33 FCC </w:t>
      </w:r>
      <w:r>
        <w:t>Rcd</w:t>
      </w:r>
      <w:r w:rsidRPr="00115B5D">
        <w:rPr>
          <w:i/>
        </w:rPr>
        <w:t xml:space="preserve"> </w:t>
      </w:r>
      <w:r w:rsidRPr="00115B5D">
        <w:t>at</w:t>
      </w:r>
      <w:r>
        <w:t xml:space="preserve"> 5470,</w:t>
      </w:r>
      <w:r w:rsidRPr="00115B5D">
        <w:t xml:space="preserve"> para. 10</w:t>
      </w:r>
      <w:r>
        <w:t>,</w:t>
      </w:r>
      <w:r w:rsidRPr="00115B5D">
        <w:t xml:space="preserve"> </w:t>
      </w:r>
      <w:r w:rsidRPr="00E61A5A">
        <w:rPr>
          <w:i/>
        </w:rPr>
        <w:t>with</w:t>
      </w:r>
      <w:r w:rsidRPr="00115B5D">
        <w:t xml:space="preserve"> </w:t>
      </w:r>
      <w:r w:rsidRPr="00115B5D">
        <w:rPr>
          <w:i/>
        </w:rPr>
        <w:t>Access Arbitrage N</w:t>
      </w:r>
      <w:r>
        <w:rPr>
          <w:i/>
        </w:rPr>
        <w:t>otice</w:t>
      </w:r>
      <w:r w:rsidRPr="00115B5D">
        <w:t xml:space="preserve">, </w:t>
      </w:r>
      <w:r>
        <w:t xml:space="preserve">33 FCC </w:t>
      </w:r>
      <w:r>
        <w:t>Rcd</w:t>
      </w:r>
      <w:r>
        <w:t xml:space="preserve"> at 5483, </w:t>
      </w:r>
      <w:r w:rsidRPr="00115B5D">
        <w:t>Appx</w:t>
      </w:r>
      <w:r>
        <w:t>.</w:t>
      </w:r>
      <w:r w:rsidRPr="00115B5D">
        <w:t xml:space="preserve"> </w:t>
      </w:r>
      <w:r w:rsidRPr="00115B5D">
        <w:t>A</w:t>
      </w:r>
      <w:r>
        <w:t>,</w:t>
      </w:r>
      <w:r w:rsidRPr="00115B5D">
        <w:t xml:space="preserve"> proposed §</w:t>
      </w:r>
      <w:r>
        <w:t> 51.914(1)(1)(ii)</w:t>
      </w:r>
      <w:r w:rsidRPr="00115B5D">
        <w:t>.</w:t>
      </w:r>
    </w:p>
  </w:footnote>
  <w:footnote w:id="281">
    <w:p w:rsidR="00844D1E" w:rsidP="00EB312D">
      <w:pPr>
        <w:pStyle w:val="FootnoteText"/>
      </w:pPr>
      <w:r>
        <w:rPr>
          <w:rStyle w:val="FootnoteReference"/>
        </w:rPr>
        <w:footnoteRef/>
      </w:r>
      <w:r>
        <w:t xml:space="preserve"> Joint CLEC Comments at 56-59. </w:t>
      </w:r>
    </w:p>
  </w:footnote>
  <w:footnote w:id="282">
    <w:p w:rsidR="00844D1E" w:rsidP="00EB312D">
      <w:pPr>
        <w:pStyle w:val="FootnoteText"/>
      </w:pPr>
      <w:r>
        <w:rPr>
          <w:rStyle w:val="FootnoteReference"/>
        </w:rPr>
        <w:footnoteRef/>
      </w:r>
      <w:r>
        <w:t xml:space="preserve"> Our final rule reflects this clarification.  </w:t>
      </w:r>
      <w:r w:rsidRPr="007800D9">
        <w:rPr>
          <w:i/>
        </w:rPr>
        <w:t>See</w:t>
      </w:r>
      <w:r>
        <w:rPr>
          <w:i/>
        </w:rPr>
        <w:t xml:space="preserve"> infra</w:t>
      </w:r>
      <w:r>
        <w:t xml:space="preserve"> Appx. A, 47 CFR § 51.914.  </w:t>
      </w:r>
      <w:r w:rsidRPr="007800D9">
        <w:t>To</w:t>
      </w:r>
      <w:r>
        <w:t xml:space="preserve"> the extent that any party does not believe that the rates of intermediate access providers are just and reasonable, it may avail itself of the same processes under sections 204 and 208 of the Act and section 1.773 of our rules, as applicable, to seek a change to such rates.  47 U.S.C. §§ 204, 208; 47 CFR § 1.773.  </w:t>
      </w:r>
      <w:bookmarkStart w:id="400" w:name="_Hlk11066522"/>
      <w:r>
        <w:t xml:space="preserve">The </w:t>
      </w:r>
      <w:r>
        <w:t>particular objection</w:t>
      </w:r>
      <w:r>
        <w:t xml:space="preserve"> raised by access-stimulating LECs pertaining to how projected demand is calculated has already been addressed.  </w:t>
      </w:r>
      <w:bookmarkStart w:id="401" w:name="_Hlk11066581"/>
      <w:r>
        <w:t xml:space="preserve">Joint CLEC Comments at 58; </w:t>
      </w:r>
      <w:r w:rsidRPr="00D0041B">
        <w:rPr>
          <w:i/>
        </w:rPr>
        <w:t>Iowa Network Access Division Tariff F.C.C. No. 1</w:t>
      </w:r>
      <w:r>
        <w:t>, Transmittal No. 36, WC Docket No. 18-60, Memorandum Opinion and Order,</w:t>
      </w:r>
      <w:r w:rsidRPr="00130261">
        <w:t xml:space="preserve"> </w:t>
      </w:r>
      <w:r>
        <w:t xml:space="preserve">33 FCC </w:t>
      </w:r>
      <w:r>
        <w:t>Rcd</w:t>
      </w:r>
      <w:r>
        <w:t xml:space="preserve"> 7517, 7522, para. 12 (2018)</w:t>
      </w:r>
      <w:r w:rsidRPr="00247A62">
        <w:rPr>
          <w:i/>
        </w:rPr>
        <w:t xml:space="preserve"> </w:t>
      </w:r>
      <w:r>
        <w:t>(</w:t>
      </w:r>
      <w:r>
        <w:rPr>
          <w:i/>
        </w:rPr>
        <w:t>Aureon</w:t>
      </w:r>
      <w:r>
        <w:rPr>
          <w:i/>
        </w:rPr>
        <w:t xml:space="preserve"> Tariff Investigation Order</w:t>
      </w:r>
      <w:r>
        <w:t xml:space="preserve">), </w:t>
      </w:r>
      <w:r>
        <w:rPr>
          <w:i/>
        </w:rPr>
        <w:t>appeal pending</w:t>
      </w:r>
      <w:r w:rsidRPr="00DC4DF1">
        <w:t xml:space="preserve"> </w:t>
      </w:r>
      <w:r w:rsidRPr="00684292">
        <w:t>(</w:t>
      </w:r>
      <w:r w:rsidRPr="0061021C">
        <w:t xml:space="preserve">challenging whether </w:t>
      </w:r>
      <w:r w:rsidRPr="0061021C">
        <w:t>Aureon</w:t>
      </w:r>
      <w:r w:rsidRPr="0061021C">
        <w:t xml:space="preserve"> is subject</w:t>
      </w:r>
      <w:r w:rsidRPr="00DC4DF1">
        <w:t xml:space="preserve"> to </w:t>
      </w:r>
      <w:r w:rsidRPr="0061021C">
        <w:t xml:space="preserve">regulation as a </w:t>
      </w:r>
      <w:r>
        <w:t>C</w:t>
      </w:r>
      <w:r w:rsidRPr="007E6E66">
        <w:t>ompetitive Local Exchange Carrier, 47 CF</w:t>
      </w:r>
      <w:r w:rsidRPr="001C6312">
        <w:t>R</w:t>
      </w:r>
      <w:r w:rsidRPr="007E6E66">
        <w:t xml:space="preserve"> </w:t>
      </w:r>
      <w:r>
        <w:t>§ </w:t>
      </w:r>
      <w:r w:rsidRPr="007E6E66">
        <w:t>51.911(c), and a dominant carrier, 47 C</w:t>
      </w:r>
      <w:r w:rsidRPr="001C6312">
        <w:t>FR</w:t>
      </w:r>
      <w:r w:rsidRPr="007E6E66">
        <w:t xml:space="preserve"> </w:t>
      </w:r>
      <w:r>
        <w:t>§ </w:t>
      </w:r>
      <w:r w:rsidRPr="007E6E66">
        <w:t>61.38</w:t>
      </w:r>
      <w:r w:rsidRPr="00AC6F79">
        <w:t>)</w:t>
      </w:r>
      <w:r w:rsidRPr="00684292">
        <w:t>.</w:t>
      </w:r>
      <w:bookmarkEnd w:id="400"/>
      <w:r>
        <w:t xml:space="preserve">  </w:t>
      </w:r>
      <w:bookmarkEnd w:id="401"/>
      <w:r w:rsidRPr="001C6312">
        <w:t>W</w:t>
      </w:r>
      <w:r>
        <w:t>e acknowledge HD Tandem’s argument that pricing that favors TDM-based tariffed arrangements may appear to discourage the transition to IP (</w:t>
      </w:r>
      <w:r>
        <w:rPr>
          <w:i/>
        </w:rPr>
        <w:t>see</w:t>
      </w:r>
      <w:r>
        <w:t xml:space="preserve"> HD Tandem Comments at </w:t>
      </w:r>
      <w:r w:rsidRPr="00AD2B0E">
        <w:t>11, 15 (</w:t>
      </w:r>
      <w:r>
        <w:t xml:space="preserve">arguing that </w:t>
      </w:r>
      <w:r w:rsidRPr="00AD2B0E">
        <w:t>reducing TDM-based termination cost</w:t>
      </w:r>
      <w:r>
        <w:t>s</w:t>
      </w:r>
      <w:r w:rsidRPr="00AD2B0E">
        <w:t xml:space="preserve"> </w:t>
      </w:r>
      <w:r>
        <w:t>discourages movement toward IP)).  However, the rule we adopt shifting the responsibility for tandem switching and transport costs from IXCs to access-stimulating LECs does not affect the pricing of those services and does not favor one technology over another.</w:t>
      </w:r>
    </w:p>
  </w:footnote>
  <w:footnote w:id="283">
    <w:p w:rsidR="00844D1E" w:rsidP="00EB312D">
      <w:pPr>
        <w:pStyle w:val="FootnoteText"/>
      </w:pPr>
      <w:r>
        <w:rPr>
          <w:rStyle w:val="FootnoteReference"/>
        </w:rPr>
        <w:footnoteRef/>
      </w:r>
      <w:r>
        <w:t xml:space="preserve"> </w:t>
      </w:r>
      <w:r>
        <w:rPr>
          <w:i/>
        </w:rPr>
        <w:t>USF/ICC Transformation Order</w:t>
      </w:r>
      <w:r>
        <w:t xml:space="preserve">, 26 FCC </w:t>
      </w:r>
      <w:r>
        <w:t>Rcd</w:t>
      </w:r>
      <w:r>
        <w:t xml:space="preserve"> at 17905-06, para. 742.</w:t>
      </w:r>
    </w:p>
  </w:footnote>
  <w:footnote w:id="284">
    <w:p w:rsidR="00844D1E" w:rsidRPr="00437034" w:rsidP="00EB312D">
      <w:pPr>
        <w:widowControl/>
        <w:autoSpaceDE w:val="0"/>
        <w:autoSpaceDN w:val="0"/>
        <w:adjustRightInd w:val="0"/>
        <w:spacing w:after="120"/>
        <w:rPr>
          <w:sz w:val="20"/>
        </w:rPr>
      </w:pPr>
      <w:r>
        <w:rPr>
          <w:rStyle w:val="FootnoteReference"/>
        </w:rPr>
        <w:footnoteRef/>
      </w:r>
      <w:r w:rsidRPr="00437034">
        <w:rPr>
          <w:sz w:val="20"/>
        </w:rPr>
        <w:t xml:space="preserve"> </w:t>
      </w:r>
      <w:r>
        <w:rPr>
          <w:rFonts w:ascii="TimesNewRomanPS-ItalicMT" w:hAnsi="TimesNewRomanPS-ItalicMT" w:cs="TimesNewRomanPS-ItalicMT"/>
          <w:i/>
          <w:iCs/>
          <w:snapToGrid/>
          <w:kern w:val="0"/>
          <w:sz w:val="20"/>
        </w:rPr>
        <w:t>Id</w:t>
      </w:r>
      <w:r>
        <w:rPr>
          <w:rFonts w:ascii="TimesNewRomanPS-ItalicMT" w:hAnsi="TimesNewRomanPS-ItalicMT" w:cs="TimesNewRomanPS-ItalicMT"/>
          <w:iCs/>
          <w:snapToGrid/>
          <w:kern w:val="0"/>
          <w:sz w:val="20"/>
        </w:rPr>
        <w:t>. at 17934-36</w:t>
      </w:r>
      <w:r>
        <w:rPr>
          <w:rFonts w:ascii="TimesNewRomanPSMT" w:hAnsi="TimesNewRomanPSMT" w:cs="TimesNewRomanPSMT"/>
          <w:snapToGrid/>
          <w:kern w:val="0"/>
          <w:sz w:val="20"/>
        </w:rPr>
        <w:t xml:space="preserve">, para. 801. </w:t>
      </w:r>
    </w:p>
  </w:footnote>
  <w:footnote w:id="285">
    <w:p w:rsidR="00844D1E" w:rsidP="00EB312D">
      <w:pPr>
        <w:pStyle w:val="FootnoteText"/>
      </w:pPr>
      <w:r>
        <w:rPr>
          <w:rStyle w:val="FootnoteReference"/>
        </w:rPr>
        <w:footnoteRef/>
      </w:r>
      <w:r>
        <w:t xml:space="preserve"> </w:t>
      </w:r>
      <w:r w:rsidRPr="0023282A">
        <w:rPr>
          <w:i/>
        </w:rPr>
        <w:t>Id</w:t>
      </w:r>
      <w:r>
        <w:t>. at 17909, para. 747.</w:t>
      </w:r>
    </w:p>
  </w:footnote>
  <w:footnote w:id="286">
    <w:p w:rsidR="00844D1E" w:rsidP="00EB312D">
      <w:pPr>
        <w:pStyle w:val="FootnoteText"/>
      </w:pPr>
      <w:r>
        <w:rPr>
          <w:rStyle w:val="FootnoteReference"/>
        </w:rPr>
        <w:footnoteRef/>
      </w:r>
      <w:r>
        <w:t xml:space="preserve"> </w:t>
      </w:r>
      <w:r w:rsidRPr="0023282A">
        <w:rPr>
          <w:i/>
        </w:rPr>
        <w:t>Id</w:t>
      </w:r>
      <w:r>
        <w:t>. at 17911-12, para. 752.</w:t>
      </w:r>
    </w:p>
  </w:footnote>
  <w:footnote w:id="287">
    <w:p w:rsidR="00844D1E" w:rsidRPr="000D6186" w:rsidP="00EB312D">
      <w:pPr>
        <w:pStyle w:val="FootnoteText"/>
      </w:pPr>
      <w:r>
        <w:rPr>
          <w:rStyle w:val="FootnoteReference"/>
        </w:rPr>
        <w:footnoteRef/>
      </w:r>
      <w:r>
        <w:t xml:space="preserve"> </w:t>
      </w:r>
      <w:r>
        <w:rPr>
          <w:i/>
        </w:rPr>
        <w:t>See i</w:t>
      </w:r>
      <w:r w:rsidRPr="0023282A">
        <w:rPr>
          <w:i/>
        </w:rPr>
        <w:t>d</w:t>
      </w:r>
      <w:r>
        <w:t xml:space="preserve">. at 17974-77, paras. 656-66.  This </w:t>
      </w:r>
      <w:r w:rsidRPr="00591B4D">
        <w:rPr>
          <w:i/>
        </w:rPr>
        <w:t>Order</w:t>
      </w:r>
      <w:r>
        <w:t xml:space="preserve"> continues the work the Commission began in the </w:t>
      </w:r>
      <w:r>
        <w:rPr>
          <w:i/>
        </w:rPr>
        <w:t>USF/ICC Transformation Order</w:t>
      </w:r>
      <w:r>
        <w:t xml:space="preserve">.  In the </w:t>
      </w:r>
      <w:r>
        <w:rPr>
          <w:i/>
        </w:rPr>
        <w:t xml:space="preserve">Access Arbitrage Notice </w:t>
      </w:r>
      <w:r>
        <w:t xml:space="preserve">the Commission incorporated filings from WC Docket Nos. 10-90 and 07-135, and CC Docket No. 01-92 into the record of this proceeding.  </w:t>
      </w:r>
      <w:r>
        <w:rPr>
          <w:i/>
        </w:rPr>
        <w:t>Access Arbitrage Notice</w:t>
      </w:r>
      <w:r>
        <w:t xml:space="preserve">, 33 FCC </w:t>
      </w:r>
      <w:r>
        <w:t>Rcd</w:t>
      </w:r>
      <w:r>
        <w:t xml:space="preserve"> at 5467 n.7.</w:t>
      </w:r>
      <w:r>
        <w:rPr>
          <w:i/>
        </w:rPr>
        <w:t xml:space="preserve">  </w:t>
      </w:r>
      <w:r>
        <w:t xml:space="preserve">We refer to documents filed in those dockets in this </w:t>
      </w:r>
      <w:r w:rsidRPr="00591B4D">
        <w:rPr>
          <w:i/>
        </w:rPr>
        <w:t>Order</w:t>
      </w:r>
      <w:r>
        <w:t xml:space="preserve">. </w:t>
      </w:r>
    </w:p>
  </w:footnote>
  <w:footnote w:id="288">
    <w:p w:rsidR="00844D1E" w:rsidP="00EB312D">
      <w:pPr>
        <w:pStyle w:val="FootnoteText"/>
      </w:pPr>
      <w:r>
        <w:rPr>
          <w:rStyle w:val="FootnoteReference"/>
        </w:rPr>
        <w:footnoteRef/>
      </w:r>
      <w:r>
        <w:t xml:space="preserve"> </w:t>
      </w:r>
      <w:r>
        <w:rPr>
          <w:i/>
        </w:rPr>
        <w:t>USF/ICC Transformation Order</w:t>
      </w:r>
      <w:r>
        <w:t xml:space="preserve">, 26 FCC </w:t>
      </w:r>
      <w:r>
        <w:t>Rcd</w:t>
      </w:r>
      <w:r>
        <w:t xml:space="preserve"> at 17906-07, para. 743.</w:t>
      </w:r>
    </w:p>
  </w:footnote>
  <w:footnote w:id="289">
    <w:p w:rsidR="00844D1E" w:rsidP="00EB312D">
      <w:pPr>
        <w:pStyle w:val="FootnoteText"/>
      </w:pPr>
      <w:r>
        <w:rPr>
          <w:rStyle w:val="FootnoteReference"/>
        </w:rPr>
        <w:footnoteRef/>
      </w:r>
      <w:r>
        <w:t xml:space="preserve"> </w:t>
      </w:r>
      <w:r w:rsidRPr="00EA4284">
        <w:rPr>
          <w:i/>
        </w:rPr>
        <w:t>See</w:t>
      </w:r>
      <w:r>
        <w:t xml:space="preserve"> 47 U.S.C. § 201(b).</w:t>
      </w:r>
    </w:p>
  </w:footnote>
  <w:footnote w:id="290">
    <w:p w:rsidR="00844D1E" w:rsidP="00EB312D">
      <w:pPr>
        <w:pStyle w:val="FootnoteText"/>
      </w:pPr>
      <w:r>
        <w:rPr>
          <w:rStyle w:val="FootnoteReference"/>
        </w:rPr>
        <w:footnoteRef/>
      </w:r>
      <w:r>
        <w:t xml:space="preserve"> </w:t>
      </w:r>
      <w:r w:rsidRPr="00BE5076">
        <w:rPr>
          <w:i/>
        </w:rPr>
        <w:t>USF/ICC Transformation Order</w:t>
      </w:r>
      <w:r>
        <w:t xml:space="preserve">, 26 FCC </w:t>
      </w:r>
      <w:r>
        <w:t>Rcd</w:t>
      </w:r>
      <w:r>
        <w:t xml:space="preserve"> at 17874, para. 657; 47 U.S.C. § 201(b).</w:t>
      </w:r>
    </w:p>
  </w:footnote>
  <w:footnote w:id="291">
    <w:p w:rsidR="00844D1E" w:rsidRPr="00C14AEF" w:rsidP="00EB312D">
      <w:pPr>
        <w:pStyle w:val="FootnoteText"/>
      </w:pPr>
      <w:r>
        <w:rPr>
          <w:rStyle w:val="FootnoteReference"/>
        </w:rPr>
        <w:footnoteRef/>
      </w:r>
      <w:r>
        <w:t xml:space="preserve"> </w:t>
      </w:r>
      <w:r w:rsidRPr="0023282A">
        <w:rPr>
          <w:i/>
        </w:rPr>
        <w:t>Id</w:t>
      </w:r>
      <w:r>
        <w:t>. at 17875, 17905-06, paras. 663, 742.</w:t>
      </w:r>
    </w:p>
  </w:footnote>
  <w:footnote w:id="292">
    <w:p w:rsidR="00844D1E" w:rsidRPr="00C14AEF" w:rsidP="00EB312D">
      <w:pPr>
        <w:pStyle w:val="FootnoteText"/>
      </w:pPr>
      <w:r>
        <w:rPr>
          <w:rStyle w:val="FootnoteReference"/>
        </w:rPr>
        <w:footnoteRef/>
      </w:r>
      <w:r>
        <w:t xml:space="preserve"> </w:t>
      </w:r>
      <w:r w:rsidRPr="0023282A">
        <w:rPr>
          <w:i/>
        </w:rPr>
        <w:t>Id</w:t>
      </w:r>
      <w:r>
        <w:t>. at 17911-12, para. 752.</w:t>
      </w:r>
    </w:p>
  </w:footnote>
  <w:footnote w:id="293">
    <w:p w:rsidR="00844D1E" w:rsidP="00EB312D">
      <w:pPr>
        <w:pStyle w:val="FootnoteText"/>
      </w:pPr>
      <w:r>
        <w:rPr>
          <w:rStyle w:val="FootnoteReference"/>
        </w:rPr>
        <w:footnoteRef/>
      </w:r>
      <w:r>
        <w:t xml:space="preserve"> </w:t>
      </w:r>
      <w:r w:rsidRPr="00605A24">
        <w:rPr>
          <w:i/>
        </w:rPr>
        <w:t xml:space="preserve">Implementation of the Local Competition Provisions in the Telecommunications Act of 1996, Interconnection </w:t>
      </w:r>
      <w:r>
        <w:rPr>
          <w:i/>
        </w:rPr>
        <w:t>B</w:t>
      </w:r>
      <w:r w:rsidRPr="00605A24">
        <w:rPr>
          <w:i/>
        </w:rPr>
        <w:t>etween Local Exchange Carriers and Commercial Mobile Radio Service Providers</w:t>
      </w:r>
      <w:r>
        <w:t xml:space="preserve">, CC Docket Nos. 96-98 and 95-185, First Report and Order, 11 FCC </w:t>
      </w:r>
      <w:r>
        <w:t>Rcd</w:t>
      </w:r>
      <w:r>
        <w:t xml:space="preserve"> 15499, 15991, para. 997 (1996).  Somewhat similarly, in the case of LEC-CMRS interconnection under section 332 of the Act, the Commission has anticipated that the type of interconnection can depend upon “</w:t>
      </w:r>
      <w:r w:rsidRPr="008D439D">
        <w:t>the best engineering or cost effective approach</w:t>
      </w:r>
      <w:r>
        <w:t xml:space="preserve">,” and thus, for example, “[t]he </w:t>
      </w:r>
      <w:r w:rsidRPr="008D439D">
        <w:t>particular point of interconnection of a given cellular system will be dependent upon the design of the system and other factors which may vary from case to case</w:t>
      </w:r>
      <w:r>
        <w:t xml:space="preserve">.”  </w:t>
      </w:r>
      <w:r w:rsidRPr="008D439D">
        <w:rPr>
          <w:i/>
        </w:rPr>
        <w:t>An Inquiry into the Use of the Bands 825–845 MHz and 870–890 MHz for Cellular Communications Systems; and Amendment of Parts 2 and 22 of the Commission’s Rules Relative to Cellular Communications Systems</w:t>
      </w:r>
      <w:r>
        <w:t xml:space="preserve">, CC Docket No. 79-318, Report and Order, 86 </w:t>
      </w:r>
      <w:r w:rsidRPr="00614ACB">
        <w:t>F.C.C.2d 469</w:t>
      </w:r>
      <w:r>
        <w:t>, 496, para. 55 (1981).</w:t>
      </w:r>
    </w:p>
  </w:footnote>
  <w:footnote w:id="294">
    <w:p w:rsidR="00844D1E" w:rsidP="00EB312D">
      <w:pPr>
        <w:pStyle w:val="FootnoteText"/>
      </w:pPr>
      <w:r>
        <w:rPr>
          <w:rStyle w:val="FootnoteReference"/>
        </w:rPr>
        <w:footnoteRef/>
      </w:r>
      <w:r>
        <w:t xml:space="preserve"> 47 U.S.C. § 256(b)(1).</w:t>
      </w:r>
    </w:p>
  </w:footnote>
  <w:footnote w:id="295">
    <w:p w:rsidR="00844D1E" w:rsidRPr="00F84682" w:rsidP="00EB312D">
      <w:pPr>
        <w:pStyle w:val="FootnoteText"/>
      </w:pPr>
      <w:r>
        <w:rPr>
          <w:rStyle w:val="FootnoteReference"/>
        </w:rPr>
        <w:footnoteRef/>
      </w:r>
      <w:r>
        <w:t xml:space="preserve"> </w:t>
      </w:r>
      <w:r>
        <w:rPr>
          <w:i/>
        </w:rPr>
        <w:t>See, e.g.</w:t>
      </w:r>
      <w:r>
        <w:t xml:space="preserve">, </w:t>
      </w:r>
      <w:r>
        <w:rPr>
          <w:i/>
        </w:rPr>
        <w:t>Rural Call Completion</w:t>
      </w:r>
      <w:r>
        <w:t xml:space="preserve">, WC Docket No. 13-39, Fourth Report and Order, FCC 19-23, 34 FCC </w:t>
      </w:r>
      <w:r>
        <w:t>Rcd</w:t>
      </w:r>
      <w:r>
        <w:t xml:space="preserve"> 1781, 1782-85, paras. 2-10 (2019) (</w:t>
      </w:r>
      <w:r>
        <w:rPr>
          <w:i/>
        </w:rPr>
        <w:t>RCC Fourth R&amp;O</w:t>
      </w:r>
      <w:r>
        <w:t>) (summarizing the Commission’s efforts).</w:t>
      </w:r>
    </w:p>
  </w:footnote>
  <w:footnote w:id="296">
    <w:p w:rsidR="00844D1E" w:rsidRPr="005B122A" w:rsidP="00EB312D">
      <w:pPr>
        <w:pStyle w:val="FootnoteText"/>
      </w:pPr>
      <w:r>
        <w:rPr>
          <w:rStyle w:val="FootnoteReference"/>
        </w:rPr>
        <w:footnoteRef/>
      </w:r>
      <w:r>
        <w:t xml:space="preserve"> </w:t>
      </w:r>
      <w:r>
        <w:rPr>
          <w:i/>
        </w:rPr>
        <w:t>RCC Fourth R&amp;O</w:t>
      </w:r>
      <w:r>
        <w:t xml:space="preserve">, 34 FCC </w:t>
      </w:r>
      <w:r>
        <w:t>Rcd</w:t>
      </w:r>
      <w:r>
        <w:t xml:space="preserve"> 1781, 1781-82, para. 1 (citing the </w:t>
      </w:r>
      <w:r w:rsidRPr="005B122A">
        <w:t>Improving Rural Call Quality and Reliability Act of 2017, Pub. L. No. 115-129, 132 Stat 329 (2018)</w:t>
      </w:r>
      <w:r>
        <w:t>, which added new section 262 of the Communications Act).</w:t>
      </w:r>
    </w:p>
  </w:footnote>
  <w:footnote w:id="297">
    <w:p w:rsidR="00844D1E" w:rsidRPr="00753787" w:rsidP="00EB312D">
      <w:pPr>
        <w:pStyle w:val="FootnoteText"/>
      </w:pPr>
      <w:r>
        <w:rPr>
          <w:rStyle w:val="FootnoteReference"/>
        </w:rPr>
        <w:footnoteRef/>
      </w:r>
      <w:r>
        <w:t xml:space="preserve"> Although</w:t>
      </w:r>
      <w:r w:rsidRPr="005857B5">
        <w:t xml:space="preserve"> some concerns </w:t>
      </w:r>
      <w:r>
        <w:t>may</w:t>
      </w:r>
      <w:r w:rsidRPr="005857B5">
        <w:t xml:space="preserve"> arise whenever terminating LECs are insulated from the cost implications of their choices regarding interconnection and intermediate</w:t>
      </w:r>
      <w:r>
        <w:t xml:space="preserve"> access</w:t>
      </w:r>
      <w:r w:rsidRPr="005857B5">
        <w:t xml:space="preserve"> providers</w:t>
      </w:r>
      <w:r>
        <w:t xml:space="preserve">—whether or not they are involved with access stimulation—we </w:t>
      </w:r>
      <w:r w:rsidRPr="005857B5">
        <w:t>expect the magnitude of those concerns to be greatest in situations involving access stimulation</w:t>
      </w:r>
      <w:r>
        <w:t>,</w:t>
      </w:r>
      <w:r w:rsidRPr="005857B5">
        <w:t xml:space="preserve"> given the </w:t>
      </w:r>
      <w:r>
        <w:t>high volume</w:t>
      </w:r>
      <w:r w:rsidRPr="005857B5">
        <w:t xml:space="preserve"> of traffic</w:t>
      </w:r>
      <w:r>
        <w:t xml:space="preserve"> </w:t>
      </w:r>
      <w:r w:rsidRPr="005857B5">
        <w:t xml:space="preserve">and thus </w:t>
      </w:r>
      <w:r>
        <w:t xml:space="preserve">large </w:t>
      </w:r>
      <w:r w:rsidRPr="005857B5">
        <w:t xml:space="preserve">payments IXCs make to the terminating LECs’ chosen intermediate </w:t>
      </w:r>
      <w:r>
        <w:t xml:space="preserve">access </w:t>
      </w:r>
      <w:r w:rsidRPr="005857B5">
        <w:t>providers</w:t>
      </w:r>
      <w:r>
        <w:t xml:space="preserve"> </w:t>
      </w:r>
      <w:r w:rsidRPr="005857B5">
        <w:t>that are implicated</w:t>
      </w:r>
      <w:r>
        <w:t xml:space="preserve"> in access stimulation scenarios</w:t>
      </w:r>
      <w:r w:rsidRPr="005857B5">
        <w:t>.</w:t>
      </w:r>
      <w:r>
        <w:t xml:space="preserve">  </w:t>
      </w:r>
      <w:r>
        <w:rPr>
          <w:i/>
        </w:rPr>
        <w:t>See, e.g.</w:t>
      </w:r>
      <w:r>
        <w:t>, Joint CLEC Comments at 75 (suggesting the Commission adopt a “uniform rate for access stimulating traffic”); NTCA Comments at 10 (“</w:t>
      </w:r>
      <w:r w:rsidRPr="00D51605">
        <w:t>support</w:t>
      </w:r>
      <w:r>
        <w:t>[</w:t>
      </w:r>
      <w:r>
        <w:t>ing</w:t>
      </w:r>
      <w:r>
        <w:t>]</w:t>
      </w:r>
      <w:r w:rsidRPr="00D51605">
        <w:t xml:space="preserve"> targeted efforts to address access stimulation</w:t>
      </w:r>
      <w:r>
        <w:t xml:space="preserve">” but recommending against “taking broader actions to reform the intercarrier compensation system or to wander into more far-ranging debates with respect to interconnection that do not relate specifically to access arbitrage” to avoid unanticipated or unintended consequences).  We thus focus our actions in this </w:t>
      </w:r>
      <w:r w:rsidRPr="00001F4E">
        <w:rPr>
          <w:i/>
        </w:rPr>
        <w:t>Order</w:t>
      </w:r>
      <w:r>
        <w:t xml:space="preserve"> on the access stimulation context. </w:t>
      </w:r>
    </w:p>
  </w:footnote>
  <w:footnote w:id="298">
    <w:p w:rsidR="00844D1E" w:rsidP="00EB312D">
      <w:pPr>
        <w:pStyle w:val="FootnoteText"/>
      </w:pPr>
      <w:r>
        <w:rPr>
          <w:rStyle w:val="FootnoteReference"/>
        </w:rPr>
        <w:footnoteRef/>
      </w:r>
      <w:r>
        <w:t xml:space="preserve"> </w:t>
      </w:r>
      <w:r>
        <w:rPr>
          <w:i/>
        </w:rPr>
        <w:t>USF/ICC Transformation Order</w:t>
      </w:r>
      <w:r>
        <w:t xml:space="preserve">, 26 FCC </w:t>
      </w:r>
      <w:r>
        <w:t>Rcd</w:t>
      </w:r>
      <w:r>
        <w:t xml:space="preserve"> at 17906-07, para. 743; </w:t>
      </w:r>
      <w:r>
        <w:rPr>
          <w:i/>
        </w:rPr>
        <w:t>see also, e.g.</w:t>
      </w:r>
      <w:r>
        <w:t xml:space="preserve">, AT&amp;T Apr. 9, 2019 </w:t>
      </w:r>
      <w:r>
        <w:rPr>
          <w:i/>
        </w:rPr>
        <w:t xml:space="preserve">Ex Parte </w:t>
      </w:r>
      <w:r>
        <w:t xml:space="preserve">at 11-12; Joint CLEC Comments at 75 (suggesting a uniform national rate for access-stimulating traffic but providing no detail or proposed rate).  </w:t>
      </w:r>
    </w:p>
  </w:footnote>
  <w:footnote w:id="299">
    <w:p w:rsidR="00844D1E" w:rsidRPr="007328EA" w:rsidP="00EB312D">
      <w:pPr>
        <w:pStyle w:val="FootnoteText"/>
      </w:pPr>
      <w:r>
        <w:rPr>
          <w:rStyle w:val="FootnoteReference"/>
        </w:rPr>
        <w:footnoteRef/>
      </w:r>
      <w:r>
        <w:t xml:space="preserve"> </w:t>
      </w:r>
      <w:r>
        <w:rPr>
          <w:i/>
        </w:rPr>
        <w:t>See, e.g.</w:t>
      </w:r>
      <w:r>
        <w:t xml:space="preserve">, AT&amp;T Apr. 9, 2019 </w:t>
      </w:r>
      <w:r>
        <w:rPr>
          <w:i/>
        </w:rPr>
        <w:t xml:space="preserve">Ex Parte </w:t>
      </w:r>
      <w:r>
        <w:t>at 4-11 (discussing the history of the Commission’s efforts and the changes in approach by access-stimulating LECs).</w:t>
      </w:r>
    </w:p>
  </w:footnote>
  <w:footnote w:id="300">
    <w:p w:rsidR="00844D1E" w:rsidP="00EB312D">
      <w:pPr>
        <w:pStyle w:val="FootnoteText"/>
      </w:pPr>
      <w:r>
        <w:rPr>
          <w:rStyle w:val="FootnoteReference"/>
        </w:rPr>
        <w:footnoteRef/>
      </w:r>
      <w:r>
        <w:t xml:space="preserve"> </w:t>
      </w:r>
      <w:r w:rsidRPr="0038144B">
        <w:t xml:space="preserve">47 U.S.C. </w:t>
      </w:r>
      <w:r>
        <w:t>§ </w:t>
      </w:r>
      <w:r w:rsidRPr="0038144B">
        <w:t xml:space="preserve">254(e); </w:t>
      </w:r>
      <w:r w:rsidRPr="00613DC1">
        <w:rPr>
          <w:i/>
        </w:rPr>
        <w:t>see also</w:t>
      </w:r>
      <w:r w:rsidRPr="0038144B">
        <w:t xml:space="preserve"> S. </w:t>
      </w:r>
      <w:r>
        <w:t>Rep.</w:t>
      </w:r>
      <w:r w:rsidRPr="0038144B">
        <w:t xml:space="preserve"> </w:t>
      </w:r>
      <w:r>
        <w:t>No.</w:t>
      </w:r>
      <w:r w:rsidRPr="0038144B">
        <w:t xml:space="preserve"> 104-230, at 131 (1996) (Conf. Rep</w:t>
      </w:r>
      <w:r>
        <w:t>.</w:t>
      </w:r>
      <w:r w:rsidRPr="0038144B">
        <w:t>) (stating that, “[t]o the extent possible</w:t>
      </w:r>
      <w:r w:rsidRPr="008633BE">
        <w:t>, .</w:t>
      </w:r>
      <w:r w:rsidRPr="008633BE">
        <w:t> . . any</w:t>
      </w:r>
      <w:r w:rsidRPr="0038144B">
        <w:t xml:space="preserve"> support mechanisms continued or created under new section 254 should be explicit, rather than implicit as many support mechanisms are today”)</w:t>
      </w:r>
      <w:r>
        <w:t xml:space="preserve">; </w:t>
      </w:r>
      <w:r>
        <w:rPr>
          <w:i/>
        </w:rPr>
        <w:t>USF/ICC Transformation Order</w:t>
      </w:r>
      <w:r>
        <w:t xml:space="preserve">, 26 FCC </w:t>
      </w:r>
      <w:r>
        <w:t>Rcd</w:t>
      </w:r>
      <w:r>
        <w:t xml:space="preserve"> at 17909, para. 747 (citing “</w:t>
      </w:r>
      <w:r w:rsidRPr="008225BF">
        <w:t>direction from Congress in the 1996 Act that the Commission should make support explicit rather than implicit</w:t>
      </w:r>
      <w:r>
        <w:t xml:space="preserve">”); </w:t>
      </w:r>
      <w:r>
        <w:rPr>
          <w:i/>
        </w:rPr>
        <w:t>Federal-State Joint Board on Universal Service</w:t>
      </w:r>
      <w:r>
        <w:t xml:space="preserve">, CC Docket No. 96-45, </w:t>
      </w:r>
      <w:r w:rsidRPr="00157398">
        <w:t>Order on Remand, Further Notice of Proposed Rulemaking, and Memorandum Opinion and Order</w:t>
      </w:r>
      <w:r>
        <w:t xml:space="preserve">, 18 FCC </w:t>
      </w:r>
      <w:r>
        <w:t>Rcd</w:t>
      </w:r>
      <w:r>
        <w:t xml:space="preserve"> 22559, 22574-75, para. 26 (2003) (“[S]</w:t>
      </w:r>
      <w:r w:rsidRPr="00157398">
        <w:t>ection</w:t>
      </w:r>
      <w:r w:rsidRPr="00157398">
        <w:t xml:space="preserve"> 254 states a clear preference for explicit, rather than implicit, support</w:t>
      </w:r>
      <w:r>
        <w:t>.”)</w:t>
      </w:r>
      <w:r w:rsidRPr="0038144B">
        <w:t>.</w:t>
      </w:r>
    </w:p>
  </w:footnote>
  <w:footnote w:id="301">
    <w:p w:rsidR="00844D1E" w:rsidRPr="007009EF" w:rsidP="00EB312D">
      <w:pPr>
        <w:pStyle w:val="FootnoteText"/>
      </w:pPr>
      <w:r>
        <w:rPr>
          <w:rStyle w:val="FootnoteReference"/>
        </w:rPr>
        <w:footnoteRef/>
      </w:r>
      <w:r>
        <w:t xml:space="preserve"> 47 U.S.</w:t>
      </w:r>
      <w:r w:rsidRPr="007C77AD">
        <w:t>C. §</w:t>
      </w:r>
      <w:r>
        <w:t xml:space="preserve"> </w:t>
      </w:r>
      <w:r w:rsidRPr="0060399B">
        <w:t>254(b)-(c), (e), (h)-(</w:t>
      </w:r>
      <w:r w:rsidRPr="0060399B">
        <w:t>i</w:t>
      </w:r>
      <w:r w:rsidRPr="0060399B">
        <w:t>).</w:t>
      </w:r>
    </w:p>
  </w:footnote>
  <w:footnote w:id="302">
    <w:p w:rsidR="00844D1E" w:rsidRPr="00671CA1" w:rsidP="00EB312D">
      <w:pPr>
        <w:pStyle w:val="FootnoteText"/>
      </w:pPr>
      <w:r>
        <w:rPr>
          <w:rStyle w:val="FootnoteReference"/>
        </w:rPr>
        <w:footnoteRef/>
      </w:r>
      <w:r>
        <w:t xml:space="preserve"> </w:t>
      </w:r>
      <w:r>
        <w:rPr>
          <w:i/>
        </w:rPr>
        <w:t>See, e.g.</w:t>
      </w:r>
      <w:r>
        <w:t xml:space="preserve">, AT&amp;T Apr. 9, 2019 </w:t>
      </w:r>
      <w:r>
        <w:rPr>
          <w:i/>
        </w:rPr>
        <w:t xml:space="preserve">Ex Parte </w:t>
      </w:r>
      <w:r>
        <w:t xml:space="preserve">at 3 n.6 (discussing the policy issues implicated by </w:t>
      </w:r>
      <w:r>
        <w:t>particular services</w:t>
      </w:r>
      <w:r>
        <w:t xml:space="preserve"> that are current beneficiaries of access stimulation).</w:t>
      </w:r>
    </w:p>
  </w:footnote>
  <w:footnote w:id="303">
    <w:p w:rsidR="00844D1E" w:rsidP="00EB312D">
      <w:pPr>
        <w:pStyle w:val="FootnoteText"/>
      </w:pPr>
      <w:r>
        <w:rPr>
          <w:rStyle w:val="FootnoteReference"/>
        </w:rPr>
        <w:footnoteRef/>
      </w:r>
      <w:r>
        <w:t xml:space="preserve"> 47 U.S.C. § 251(b)(5).</w:t>
      </w:r>
    </w:p>
  </w:footnote>
  <w:footnote w:id="304">
    <w:p w:rsidR="00844D1E" w:rsidRPr="001C0F69" w:rsidP="00EB312D">
      <w:pPr>
        <w:pStyle w:val="FootnoteText"/>
      </w:pPr>
      <w:r>
        <w:rPr>
          <w:rStyle w:val="FootnoteReference"/>
        </w:rPr>
        <w:footnoteRef/>
      </w:r>
      <w:r>
        <w:t xml:space="preserve"> </w:t>
      </w:r>
      <w:r>
        <w:rPr>
          <w:i/>
        </w:rPr>
        <w:t>USF/ICC Transformation Order</w:t>
      </w:r>
      <w:r>
        <w:t xml:space="preserve">, 26 FCC </w:t>
      </w:r>
      <w:r>
        <w:t>Rcd</w:t>
      </w:r>
      <w:r>
        <w:t xml:space="preserve"> at 17916, para. 764.</w:t>
      </w:r>
      <w:r w:rsidRPr="00BD7D02">
        <w:rPr>
          <w:szCs w:val="22"/>
        </w:rPr>
        <w:t xml:space="preserve"> </w:t>
      </w:r>
      <w:r>
        <w:rPr>
          <w:szCs w:val="22"/>
        </w:rPr>
        <w:t xml:space="preserve"> </w:t>
      </w:r>
      <w:r w:rsidRPr="0031265D">
        <w:rPr>
          <w:szCs w:val="22"/>
        </w:rPr>
        <w:t xml:space="preserve">The rules we adopt </w:t>
      </w:r>
      <w:r>
        <w:rPr>
          <w:szCs w:val="22"/>
        </w:rPr>
        <w:t>today</w:t>
      </w:r>
      <w:r w:rsidRPr="0031265D">
        <w:rPr>
          <w:szCs w:val="22"/>
        </w:rPr>
        <w:t xml:space="preserve"> are applicable to </w:t>
      </w:r>
      <w:r>
        <w:rPr>
          <w:szCs w:val="22"/>
        </w:rPr>
        <w:t xml:space="preserve">all traffic, including </w:t>
      </w:r>
      <w:r w:rsidRPr="0031265D">
        <w:rPr>
          <w:szCs w:val="22"/>
        </w:rPr>
        <w:t>intrastate traffic</w:t>
      </w:r>
      <w:r>
        <w:rPr>
          <w:szCs w:val="22"/>
        </w:rPr>
        <w:t>,</w:t>
      </w:r>
      <w:r w:rsidRPr="0031265D">
        <w:rPr>
          <w:szCs w:val="22"/>
        </w:rPr>
        <w:t xml:space="preserve"> </w:t>
      </w:r>
      <w:r>
        <w:rPr>
          <w:szCs w:val="22"/>
        </w:rPr>
        <w:t xml:space="preserve">bound for </w:t>
      </w:r>
      <w:r w:rsidRPr="0031265D">
        <w:rPr>
          <w:szCs w:val="22"/>
        </w:rPr>
        <w:t>access-stimulatin</w:t>
      </w:r>
      <w:r>
        <w:rPr>
          <w:szCs w:val="22"/>
        </w:rPr>
        <w:t xml:space="preserve">g LECs.  </w:t>
      </w:r>
      <w:r w:rsidRPr="00D12C39">
        <w:rPr>
          <w:szCs w:val="22"/>
        </w:rPr>
        <w:t>The</w:t>
      </w:r>
      <w:r>
        <w:rPr>
          <w:szCs w:val="22"/>
        </w:rPr>
        <w:t xml:space="preserve"> Commission specifically sought comment on the applicability of these rules to intrastate traffic and received none. </w:t>
      </w:r>
      <w:r w:rsidRPr="00783DEA">
        <w:rPr>
          <w:i/>
        </w:rPr>
        <w:t xml:space="preserve"> Access Arbitrage N</w:t>
      </w:r>
      <w:r>
        <w:rPr>
          <w:i/>
        </w:rPr>
        <w:t>otice</w:t>
      </w:r>
      <w:r>
        <w:t xml:space="preserve">, 33 FCC </w:t>
      </w:r>
      <w:r>
        <w:t>Rcd</w:t>
      </w:r>
      <w:r>
        <w:t xml:space="preserve"> at 5479, para. 37 &amp; n.65.  </w:t>
      </w:r>
      <w:r>
        <w:rPr>
          <w:snapToGrid w:val="0"/>
        </w:rPr>
        <w:t xml:space="preserve">The requirement for access-stimulating LECs to bear financial responsibility for the delivery of traffic from the IXC to the access-stimulating LEC end office applies to intrastate traffic as well as interstate traffic.  The only change is that the access-stimulating LECs may choose to use different carriers to deliver their traffic, and the LECs will bear the financial responsibility for whatever path they use.  </w:t>
      </w:r>
      <w:r w:rsidRPr="00293C07">
        <w:t xml:space="preserve">We believe that making clear that our rules apply equally to interstate and intrastate traffic will discourage gamesmanship related to the geographic classification of the traffic; </w:t>
      </w:r>
      <w:r w:rsidRPr="0060399B">
        <w:t>i.e.,</w:t>
      </w:r>
      <w:r w:rsidRPr="00293C07">
        <w:t xml:space="preserve"> carriers creating ways to move access-stimulation schemes to intrastate service.  This approach will also help prevent the possible undoing of our rules which address the unjust and reasonable practice of charging IXCs for the tandem switching and </w:t>
      </w:r>
      <w:r>
        <w:t xml:space="preserve">tandem switched </w:t>
      </w:r>
      <w:r w:rsidRPr="00293C07">
        <w:t>transport access charges necessary to terminate access-stimulation traffic, the inefficiencies and network unreliability created by such schemes, and the implicit subsid</w:t>
      </w:r>
      <w:r>
        <w:t>ies underlying those schemes</w:t>
      </w:r>
      <w:r w:rsidRPr="00293C07">
        <w:t>.</w:t>
      </w:r>
      <w:r>
        <w:t xml:space="preserve">  </w:t>
      </w:r>
    </w:p>
  </w:footnote>
  <w:footnote w:id="305">
    <w:p w:rsidR="00844D1E" w:rsidP="00EB312D">
      <w:pPr>
        <w:pStyle w:val="FootnoteText"/>
      </w:pPr>
      <w:r>
        <w:rPr>
          <w:rStyle w:val="FootnoteReference"/>
        </w:rPr>
        <w:footnoteRef/>
      </w:r>
      <w:r>
        <w:t xml:space="preserve"> </w:t>
      </w:r>
      <w:r>
        <w:rPr>
          <w:i/>
        </w:rPr>
        <w:t>USF/ICC Transformation Order</w:t>
      </w:r>
      <w:r>
        <w:t xml:space="preserve">, 26 FCC </w:t>
      </w:r>
      <w:r>
        <w:t>Rcd</w:t>
      </w:r>
      <w:r>
        <w:t xml:space="preserve"> at 17915, para. 762.</w:t>
      </w:r>
    </w:p>
  </w:footnote>
  <w:footnote w:id="306">
    <w:p w:rsidR="00844D1E" w:rsidRPr="00DC1A86" w:rsidP="00EB312D">
      <w:pPr>
        <w:pStyle w:val="FootnoteText"/>
      </w:pPr>
      <w:r>
        <w:rPr>
          <w:rStyle w:val="FootnoteReference"/>
        </w:rPr>
        <w:footnoteRef/>
      </w:r>
      <w:r>
        <w:t xml:space="preserve"> </w:t>
      </w:r>
      <w:r>
        <w:rPr>
          <w:i/>
        </w:rPr>
        <w:t>See, e.g.</w:t>
      </w:r>
      <w:r>
        <w:t>, 47 CFR § 61.26(a)(3) (defining “switched exchange access services” to include “[t]</w:t>
      </w:r>
      <w:r w:rsidRPr="005F20C2">
        <w:t xml:space="preserve">he functional equivalent of the ILEC interstate exchange access services typically associated with the following rate </w:t>
      </w:r>
      <w:r w:rsidRPr="00DF31D1">
        <w:t>elements:</w:t>
      </w:r>
      <w:r>
        <w:t xml:space="preserve"> </w:t>
      </w:r>
      <w:r w:rsidRPr="005F20C2">
        <w:t xml:space="preserve"> Carrier common line (originating); carrier common line (terminating); local end office switching; interconnection charge; information surcharge; tandem switched transport termination (fixed); tandem switched transport facility (per mile); tandem switching</w:t>
      </w:r>
      <w:r>
        <w:t>”).</w:t>
      </w:r>
    </w:p>
  </w:footnote>
  <w:footnote w:id="307">
    <w:p w:rsidR="00844D1E" w:rsidP="00EB312D">
      <w:pPr>
        <w:pStyle w:val="FootnoteText"/>
      </w:pPr>
      <w:r>
        <w:rPr>
          <w:rStyle w:val="FootnoteReference"/>
        </w:rPr>
        <w:footnoteRef/>
      </w:r>
      <w:r>
        <w:t xml:space="preserve"> A LEC “</w:t>
      </w:r>
      <w:r w:rsidRPr="00621D5F">
        <w:t xml:space="preserve">means any person that is engaged in the provision of telephone exchange service </w:t>
      </w:r>
      <w:r w:rsidRPr="00621D5F">
        <w:rPr>
          <w:i/>
        </w:rPr>
        <w:t>or</w:t>
      </w:r>
      <w:r w:rsidRPr="00621D5F">
        <w:t xml:space="preserve"> exchange access.</w:t>
      </w:r>
      <w:r>
        <w:t>”  47 U.S.C. § 153(32) (emphasis added).</w:t>
      </w:r>
    </w:p>
  </w:footnote>
  <w:footnote w:id="308">
    <w:p w:rsidR="00844D1E" w:rsidP="00EB312D">
      <w:pPr>
        <w:pStyle w:val="FootnoteText"/>
      </w:pPr>
      <w:r>
        <w:rPr>
          <w:rStyle w:val="FootnoteReference"/>
        </w:rPr>
        <w:footnoteRef/>
      </w:r>
      <w:r>
        <w:t xml:space="preserve"> 47 U.S.C. §§ 201(b), 251, 254, 256.</w:t>
      </w:r>
    </w:p>
  </w:footnote>
  <w:footnote w:id="309">
    <w:p w:rsidR="00844D1E" w:rsidP="00EB312D">
      <w:pPr>
        <w:pStyle w:val="FootnoteText"/>
      </w:pPr>
      <w:r>
        <w:rPr>
          <w:rStyle w:val="FootnoteReference"/>
        </w:rPr>
        <w:footnoteRef/>
      </w:r>
      <w:r>
        <w:t xml:space="preserve"> </w:t>
      </w:r>
      <w:r>
        <w:rPr>
          <w:i/>
        </w:rPr>
        <w:t>USF/ICC Transformation Order</w:t>
      </w:r>
      <w:r>
        <w:t xml:space="preserve">, 26 FCC </w:t>
      </w:r>
      <w:r>
        <w:t>Rcd</w:t>
      </w:r>
      <w:r>
        <w:t xml:space="preserve"> at 17919, para. 770.</w:t>
      </w:r>
    </w:p>
  </w:footnote>
  <w:footnote w:id="310">
    <w:p w:rsidR="00844D1E" w:rsidRPr="00797FC4" w:rsidP="00EB312D">
      <w:pPr>
        <w:pStyle w:val="FootnoteText"/>
      </w:pPr>
      <w:r>
        <w:rPr>
          <w:rStyle w:val="FootnoteReference"/>
        </w:rPr>
        <w:footnoteRef/>
      </w:r>
      <w:r>
        <w:t xml:space="preserve"> </w:t>
      </w:r>
      <w:r w:rsidRPr="0023282A">
        <w:rPr>
          <w:i/>
        </w:rPr>
        <w:t>Id</w:t>
      </w:r>
      <w:r>
        <w:t xml:space="preserve">. at 17916-18, paras. 760-81.  </w:t>
      </w:r>
    </w:p>
  </w:footnote>
  <w:footnote w:id="311">
    <w:p w:rsidR="00844D1E" w:rsidP="00EB312D">
      <w:pPr>
        <w:pStyle w:val="FootnoteText"/>
      </w:pPr>
      <w:r>
        <w:rPr>
          <w:rStyle w:val="FootnoteReference"/>
        </w:rPr>
        <w:footnoteRef/>
      </w:r>
      <w:r>
        <w:t xml:space="preserve"> Joint CLEC Sept. 19, 2019 </w:t>
      </w:r>
      <w:r>
        <w:rPr>
          <w:i/>
          <w:iCs/>
        </w:rPr>
        <w:t>Ex Parte</w:t>
      </w:r>
      <w:r>
        <w:t xml:space="preserve"> at 5-6.</w:t>
      </w:r>
    </w:p>
  </w:footnote>
  <w:footnote w:id="312">
    <w:p w:rsidR="00844D1E" w:rsidRPr="00601AEC" w:rsidP="00EB312D">
      <w:pPr>
        <w:pStyle w:val="FootnoteText"/>
      </w:pPr>
      <w:r>
        <w:rPr>
          <w:rStyle w:val="FootnoteReference"/>
        </w:rPr>
        <w:footnoteRef/>
      </w:r>
      <w:r>
        <w:t xml:space="preserve"> </w:t>
      </w:r>
      <w:r>
        <w:rPr>
          <w:i/>
        </w:rPr>
        <w:t>Id</w:t>
      </w:r>
      <w:r>
        <w:t>. at 6.</w:t>
      </w:r>
    </w:p>
  </w:footnote>
  <w:footnote w:id="313">
    <w:p w:rsidR="00844D1E" w:rsidP="00EB312D">
      <w:pPr>
        <w:pStyle w:val="FootnoteText"/>
      </w:pPr>
      <w:r>
        <w:rPr>
          <w:rStyle w:val="FootnoteReference"/>
        </w:rPr>
        <w:footnoteRef/>
      </w:r>
      <w:r>
        <w:t xml:space="preserve"> </w:t>
      </w:r>
      <w:r>
        <w:rPr>
          <w:i/>
          <w:iCs/>
        </w:rPr>
        <w:t>Cf., e.g.</w:t>
      </w:r>
      <w:r>
        <w:t xml:space="preserve">, </w:t>
      </w:r>
      <w:r>
        <w:rPr>
          <w:i/>
          <w:iCs/>
        </w:rPr>
        <w:t>USF/ICC Transformation Order</w:t>
      </w:r>
      <w:r>
        <w:t xml:space="preserve">, 26 FCC </w:t>
      </w:r>
      <w:r>
        <w:t>Rcd</w:t>
      </w:r>
      <w:r>
        <w:t xml:space="preserve"> at 17956-57, 17962-63, 17972, 17996-97, paras. 848, 858, 881, 924 (rejecting the need for revenue neutrality). </w:t>
      </w:r>
    </w:p>
  </w:footnote>
  <w:footnote w:id="314">
    <w:p w:rsidR="00844D1E" w:rsidP="00EB312D">
      <w:pPr>
        <w:pStyle w:val="FootnoteText"/>
      </w:pPr>
      <w:r>
        <w:rPr>
          <w:rStyle w:val="FootnoteReference"/>
        </w:rPr>
        <w:footnoteRef/>
      </w:r>
      <w:r>
        <w:t xml:space="preserve"> Joint CLEC Sept. 19, 2019 </w:t>
      </w:r>
      <w:r>
        <w:rPr>
          <w:i/>
          <w:iCs/>
        </w:rPr>
        <w:t>Ex Parte</w:t>
      </w:r>
      <w:r>
        <w:t xml:space="preserve"> at 6. </w:t>
      </w:r>
    </w:p>
  </w:footnote>
  <w:footnote w:id="315">
    <w:p w:rsidR="00844D1E" w:rsidP="00EB312D">
      <w:pPr>
        <w:pStyle w:val="FootnoteText"/>
      </w:pPr>
      <w:r>
        <w:rPr>
          <w:rStyle w:val="FootnoteReference"/>
        </w:rPr>
        <w:footnoteRef/>
      </w:r>
      <w:r>
        <w:t xml:space="preserve"> </w:t>
      </w:r>
      <w:r>
        <w:rPr>
          <w:i/>
          <w:iCs/>
        </w:rPr>
        <w:t>See, e.g.</w:t>
      </w:r>
      <w:r>
        <w:t xml:space="preserve">, </w:t>
      </w:r>
      <w:r>
        <w:rPr>
          <w:i/>
          <w:iCs/>
        </w:rPr>
        <w:t>USF/ICC Transformation Order</w:t>
      </w:r>
      <w:r>
        <w:t xml:space="preserve">, 26 FCC </w:t>
      </w:r>
      <w:r>
        <w:t>Rcd</w:t>
      </w:r>
      <w:r>
        <w:t xml:space="preserve"> at 17873, para. 649 (explaining that while it was adopting longer-term intercarrier compensation reforms, it “first” was “</w:t>
      </w:r>
      <w:r>
        <w:t>tak</w:t>
      </w:r>
      <w:r>
        <w:t>[</w:t>
      </w:r>
      <w:r>
        <w:t>ing</w:t>
      </w:r>
      <w:r>
        <w:t>] immediate action to curtail two of the most prevalent arbitrage activities today,” including access stimulation). </w:t>
      </w:r>
    </w:p>
  </w:footnote>
  <w:footnote w:id="316">
    <w:p w:rsidR="00844D1E" w:rsidP="00EB312D">
      <w:pPr>
        <w:pStyle w:val="FootnoteText"/>
      </w:pPr>
      <w:r>
        <w:rPr>
          <w:rStyle w:val="FootnoteReference"/>
        </w:rPr>
        <w:footnoteRef/>
      </w:r>
      <w:r>
        <w:t xml:space="preserve"> </w:t>
      </w:r>
      <w:r>
        <w:rPr>
          <w:i/>
          <w:iCs/>
        </w:rPr>
        <w:t>Massachusetts v. EPA</w:t>
      </w:r>
      <w:r>
        <w:t>, 549 U.S. 497, 524 (2007). </w:t>
      </w:r>
    </w:p>
  </w:footnote>
  <w:footnote w:id="317">
    <w:p w:rsidR="00844D1E" w:rsidP="00EB312D">
      <w:pPr>
        <w:pStyle w:val="FootnoteText"/>
      </w:pPr>
      <w:r>
        <w:rPr>
          <w:rStyle w:val="FootnoteReference"/>
        </w:rPr>
        <w:footnoteRef/>
      </w:r>
      <w:r>
        <w:t xml:space="preserve"> </w:t>
      </w:r>
      <w:r>
        <w:rPr>
          <w:i/>
          <w:iCs/>
        </w:rPr>
        <w:t>USF/ICC Transformation Order</w:t>
      </w:r>
      <w:r>
        <w:t xml:space="preserve">, 26 FCC </w:t>
      </w:r>
      <w:r>
        <w:t>Rcd</w:t>
      </w:r>
      <w:r>
        <w:t xml:space="preserve"> at 17923, para. 778. </w:t>
      </w:r>
    </w:p>
  </w:footnote>
  <w:footnote w:id="318">
    <w:p w:rsidR="00844D1E" w:rsidP="00EB312D">
      <w:pPr>
        <w:pStyle w:val="FootnoteText"/>
      </w:pPr>
      <w:r>
        <w:rPr>
          <w:rStyle w:val="FootnoteReference"/>
        </w:rPr>
        <w:footnoteRef/>
      </w:r>
      <w:r>
        <w:t xml:space="preserve"> Joint CLEC Comments at 55-56; </w:t>
      </w:r>
      <w:r w:rsidRPr="00B24357">
        <w:t>Wide Voic</w:t>
      </w:r>
      <w:r w:rsidRPr="00805CED">
        <w:t>e Comm</w:t>
      </w:r>
      <w:r w:rsidRPr="00B24357">
        <w:t>e</w:t>
      </w:r>
      <w:r>
        <w:t xml:space="preserve">nts at 5 (arguing that subjecting a smaller LEC’s mostly inbound traffic to different rules and pricing is a “discriminatory pricing policy [that] is </w:t>
      </w:r>
      <w:r w:rsidRPr="00A81882">
        <w:t>anti-</w:t>
      </w:r>
      <w:r>
        <w:t xml:space="preserve">competitive”); </w:t>
      </w:r>
      <w:r>
        <w:rPr>
          <w:i/>
        </w:rPr>
        <w:t xml:space="preserve">see also </w:t>
      </w:r>
      <w:r>
        <w:t xml:space="preserve">Joint </w:t>
      </w:r>
      <w:r w:rsidRPr="002979AD">
        <w:t>CLEC Feb</w:t>
      </w:r>
      <w:r w:rsidRPr="00B24357">
        <w:t xml:space="preserve">. 14, 2019 </w:t>
      </w:r>
      <w:r w:rsidRPr="00B24357">
        <w:rPr>
          <w:i/>
        </w:rPr>
        <w:t>Ex Pa</w:t>
      </w:r>
      <w:r>
        <w:rPr>
          <w:i/>
        </w:rPr>
        <w:t>rte</w:t>
      </w:r>
      <w:r>
        <w:t xml:space="preserve"> Attach. at 4</w:t>
      </w:r>
      <w:r w:rsidRPr="00A81882">
        <w:t>1;</w:t>
      </w:r>
      <w:bookmarkStart w:id="423" w:name="_Hlk9329264"/>
      <w:r>
        <w:t xml:space="preserve"> Letter from G. David Carter, Counsel to Joint CLECs, to Marlene Dortch, Secretary, FCC, WC Docket No. 18-</w:t>
      </w:r>
      <w:r w:rsidRPr="002979AD">
        <w:t>155, at</w:t>
      </w:r>
      <w:r>
        <w:t xml:space="preserve"> 2 (filed Aug. </w:t>
      </w:r>
      <w:r w:rsidRPr="00A81882">
        <w:t>17, 2018</w:t>
      </w:r>
      <w:r>
        <w:t>)</w:t>
      </w:r>
      <w:r w:rsidRPr="00A81882">
        <w:t xml:space="preserve"> </w:t>
      </w:r>
      <w:bookmarkEnd w:id="423"/>
      <w:r>
        <w:t xml:space="preserve">(“[T]he Commission is singling out and discriminating against one particular type of traffic.”); </w:t>
      </w:r>
      <w:r>
        <w:t>FailSafe</w:t>
      </w:r>
      <w:r>
        <w:t xml:space="preserve"> Sept. 13, 2019 </w:t>
      </w:r>
      <w:r w:rsidRPr="00C17942">
        <w:rPr>
          <w:i/>
        </w:rPr>
        <w:t>Ex Parte</w:t>
      </w:r>
      <w:r>
        <w:t xml:space="preserve"> at 3 (asserting discrimination against “independent” telephone company suppliers, without clarifying whether those suppliers are access-stimulating LECs); </w:t>
      </w:r>
      <w:r>
        <w:rPr>
          <w:i/>
        </w:rPr>
        <w:t>see also</w:t>
      </w:r>
      <w:r>
        <w:t xml:space="preserve"> Wide Voice Sept. 11, 2019 </w:t>
      </w:r>
      <w:r>
        <w:rPr>
          <w:i/>
          <w:iCs/>
        </w:rPr>
        <w:t>Ex Parte</w:t>
      </w:r>
      <w:r>
        <w:rPr>
          <w:iCs/>
        </w:rPr>
        <w:t xml:space="preserve"> Attach. at 3; Joint CLEC Sept. 19, 2019 </w:t>
      </w:r>
      <w:r>
        <w:rPr>
          <w:i/>
          <w:iCs/>
        </w:rPr>
        <w:t xml:space="preserve">Ex Parte </w:t>
      </w:r>
      <w:r>
        <w:rPr>
          <w:iCs/>
        </w:rPr>
        <w:t>at 5-6</w:t>
      </w:r>
      <w:r>
        <w:t>.</w:t>
      </w:r>
    </w:p>
  </w:footnote>
  <w:footnote w:id="319">
    <w:p w:rsidR="00844D1E" w:rsidP="00EB312D">
      <w:pPr>
        <w:pStyle w:val="FootnoteText"/>
      </w:pPr>
      <w:r>
        <w:rPr>
          <w:rStyle w:val="FootnoteReference"/>
        </w:rPr>
        <w:footnoteRef/>
      </w:r>
      <w:r>
        <w:t xml:space="preserve"> 47 U.S.C. § 202(a).</w:t>
      </w:r>
    </w:p>
  </w:footnote>
  <w:footnote w:id="320">
    <w:p w:rsidR="00844D1E" w:rsidP="00EB312D">
      <w:pPr>
        <w:pStyle w:val="FootnoteText"/>
      </w:pPr>
      <w:r>
        <w:rPr>
          <w:rStyle w:val="FootnoteReference"/>
        </w:rPr>
        <w:footnoteRef/>
      </w:r>
      <w:r>
        <w:t xml:space="preserve"> Commenters also suggest that our rules discriminate between traffic types, to the detriment of free conferencing services and related business models.  </w:t>
      </w:r>
      <w:r>
        <w:rPr>
          <w:iCs/>
        </w:rPr>
        <w:t xml:space="preserve">IDT Sept. 18, 2019 </w:t>
      </w:r>
      <w:r w:rsidRPr="00135593">
        <w:rPr>
          <w:i/>
          <w:iCs/>
        </w:rPr>
        <w:t>Ex Parte</w:t>
      </w:r>
      <w:r>
        <w:rPr>
          <w:iCs/>
        </w:rPr>
        <w:t xml:space="preserve"> at 2.  This misconstrues today’s </w:t>
      </w:r>
      <w:r w:rsidRPr="00A3077E">
        <w:rPr>
          <w:i/>
        </w:rPr>
        <w:t>Order</w:t>
      </w:r>
      <w:r>
        <w:rPr>
          <w:iCs/>
        </w:rPr>
        <w:t xml:space="preserve"> which, as noted, addresses the access-stimulating practices of LECs. </w:t>
      </w:r>
    </w:p>
  </w:footnote>
  <w:footnote w:id="321">
    <w:p w:rsidR="00844D1E" w:rsidP="00EB312D">
      <w:pPr>
        <w:pStyle w:val="FootnoteText"/>
      </w:pPr>
      <w:r>
        <w:rPr>
          <w:rStyle w:val="FootnoteReference"/>
        </w:rPr>
        <w:footnoteRef/>
      </w:r>
      <w:r>
        <w:t xml:space="preserve"> </w:t>
      </w:r>
      <w:r>
        <w:rPr>
          <w:i/>
        </w:rPr>
        <w:t>See, e.g.</w:t>
      </w:r>
      <w:r>
        <w:t xml:space="preserve">, </w:t>
      </w:r>
      <w:r w:rsidRPr="008B1794">
        <w:rPr>
          <w:i/>
        </w:rPr>
        <w:t>Modernizing the E-Rate Program for Schools and Libraries; Connect America Fund</w:t>
      </w:r>
      <w:r>
        <w:t xml:space="preserve">, </w:t>
      </w:r>
      <w:r w:rsidRPr="008B1794">
        <w:t>Second Report and Order and Order on Reconsideration</w:t>
      </w:r>
      <w:r>
        <w:t xml:space="preserve">, </w:t>
      </w:r>
      <w:r w:rsidRPr="008B1794">
        <w:t xml:space="preserve">29 FCC </w:t>
      </w:r>
      <w:r w:rsidRPr="008B1794">
        <w:t>Rcd</w:t>
      </w:r>
      <w:r w:rsidRPr="008B1794">
        <w:t xml:space="preserve"> 15538</w:t>
      </w:r>
      <w:r>
        <w:t>, 15568-69, para. 76 (2014) (finding “</w:t>
      </w:r>
      <w:r w:rsidRPr="008B1794">
        <w:t>that it is just and reasonable under section 201(b) for carriers to provide service at rates specific to the class of educational customers to which carriers must offer benchmarked rates</w:t>
      </w:r>
      <w:r>
        <w:t>” and “</w:t>
      </w:r>
      <w:r w:rsidRPr="008B1794">
        <w:t>for the same reasons that carriers</w:t>
      </w:r>
      <w:r>
        <w:t>’</w:t>
      </w:r>
      <w:r w:rsidRPr="008B1794">
        <w:t xml:space="preserve"> compliance with the requirements adopted here do not violate section 202(a</w:t>
      </w:r>
      <w:r w:rsidRPr="00791BF4">
        <w:t>)”).</w:t>
      </w:r>
    </w:p>
  </w:footnote>
  <w:footnote w:id="322">
    <w:p w:rsidR="00844D1E" w:rsidP="00EB312D">
      <w:pPr>
        <w:pStyle w:val="FootnoteText"/>
      </w:pPr>
      <w:r>
        <w:rPr>
          <w:rStyle w:val="FootnoteReference"/>
        </w:rPr>
        <w:footnoteRef/>
      </w:r>
      <w:r>
        <w:t xml:space="preserve"> 5 U.S.C. § 706.  </w:t>
      </w:r>
    </w:p>
  </w:footnote>
  <w:footnote w:id="323">
    <w:p w:rsidR="00844D1E" w:rsidRPr="00E556F3" w:rsidP="00EB312D">
      <w:pPr>
        <w:pStyle w:val="FootnoteText"/>
      </w:pPr>
      <w:r>
        <w:rPr>
          <w:rStyle w:val="FootnoteReference"/>
        </w:rPr>
        <w:footnoteRef/>
      </w:r>
      <w:r>
        <w:t xml:space="preserve"> </w:t>
      </w:r>
      <w:r w:rsidRPr="00E556F3">
        <w:rPr>
          <w:rStyle w:val="Emphasis"/>
        </w:rPr>
        <w:t xml:space="preserve">Petroleum Commc'ns, Inc. </w:t>
      </w:r>
      <w:r w:rsidRPr="00E556F3">
        <w:rPr>
          <w:rStyle w:val="cosearchterm"/>
          <w:bCs/>
          <w:i/>
          <w:iCs/>
        </w:rPr>
        <w:t>v</w:t>
      </w:r>
      <w:r w:rsidRPr="00E556F3">
        <w:rPr>
          <w:rStyle w:val="Emphasis"/>
        </w:rPr>
        <w:t>. FCC et al.</w:t>
      </w:r>
      <w:r w:rsidRPr="008D0364">
        <w:rPr>
          <w:rStyle w:val="Emphasis"/>
          <w:i w:val="0"/>
        </w:rPr>
        <w:t>,</w:t>
      </w:r>
      <w:r w:rsidRPr="00E556F3">
        <w:rPr>
          <w:rStyle w:val="Emphasis"/>
        </w:rPr>
        <w:t xml:space="preserve"> </w:t>
      </w:r>
      <w:r w:rsidRPr="00E556F3">
        <w:rPr>
          <w:rStyle w:val="Emphasis"/>
          <w:i w:val="0"/>
        </w:rPr>
        <w:t>22 F.3d 1164, 1172 (D.C. Cir. 1994)</w:t>
      </w:r>
      <w:r>
        <w:rPr>
          <w:rStyle w:val="Emphasis"/>
          <w:i w:val="0"/>
        </w:rPr>
        <w:t xml:space="preserve"> (citing </w:t>
      </w:r>
      <w:r w:rsidRPr="008915B8">
        <w:rPr>
          <w:rStyle w:val="Emphasis"/>
        </w:rPr>
        <w:t>New Orleans Channel 20, Inc. v. FCC</w:t>
      </w:r>
      <w:r w:rsidRPr="008D0364">
        <w:rPr>
          <w:rStyle w:val="Emphasis"/>
          <w:i w:val="0"/>
        </w:rPr>
        <w:t>,</w:t>
      </w:r>
      <w:r w:rsidRPr="008915B8">
        <w:rPr>
          <w:rStyle w:val="Emphasis"/>
        </w:rPr>
        <w:t xml:space="preserve"> </w:t>
      </w:r>
      <w:r w:rsidRPr="00E556F3">
        <w:rPr>
          <w:rStyle w:val="Emphasis"/>
          <w:i w:val="0"/>
        </w:rPr>
        <w:t>830 F.2d 361, 366 (D.C. Cir.1987)</w:t>
      </w:r>
      <w:r w:rsidRPr="008915B8">
        <w:t xml:space="preserve">; </w:t>
      </w:r>
      <w:r w:rsidRPr="008915B8">
        <w:rPr>
          <w:rStyle w:val="Emphasis"/>
        </w:rPr>
        <w:t>Public Media Center v. FCC</w:t>
      </w:r>
      <w:r w:rsidRPr="008D0364">
        <w:rPr>
          <w:rStyle w:val="Emphasis"/>
          <w:i w:val="0"/>
        </w:rPr>
        <w:t>,</w:t>
      </w:r>
      <w:r w:rsidRPr="008915B8">
        <w:rPr>
          <w:rStyle w:val="Emphasis"/>
        </w:rPr>
        <w:t xml:space="preserve"> </w:t>
      </w:r>
      <w:r w:rsidRPr="00E556F3">
        <w:rPr>
          <w:rStyle w:val="Emphasis"/>
          <w:i w:val="0"/>
        </w:rPr>
        <w:t>587 F.2d 1322, 1331 (D.C. Cir.1978)</w:t>
      </w:r>
      <w:r w:rsidRPr="008915B8">
        <w:t xml:space="preserve">; </w:t>
      </w:r>
      <w:r w:rsidRPr="008915B8">
        <w:rPr>
          <w:rStyle w:val="Emphasis"/>
        </w:rPr>
        <w:t>Melody Music, Inc. v. FCC</w:t>
      </w:r>
      <w:r w:rsidRPr="008D0364">
        <w:rPr>
          <w:rStyle w:val="Emphasis"/>
          <w:i w:val="0"/>
        </w:rPr>
        <w:t>,</w:t>
      </w:r>
      <w:r w:rsidRPr="008915B8">
        <w:rPr>
          <w:rStyle w:val="Emphasis"/>
        </w:rPr>
        <w:t xml:space="preserve"> </w:t>
      </w:r>
      <w:r w:rsidRPr="00E556F3">
        <w:rPr>
          <w:rStyle w:val="Emphasis"/>
          <w:i w:val="0"/>
        </w:rPr>
        <w:t>345 F.2d 730, 733 (D.C. Cir.</w:t>
      </w:r>
      <w:r>
        <w:rPr>
          <w:rStyle w:val="Emphasis"/>
          <w:i w:val="0"/>
        </w:rPr>
        <w:t xml:space="preserve"> </w:t>
      </w:r>
      <w:r w:rsidRPr="00E556F3">
        <w:rPr>
          <w:rStyle w:val="Emphasis"/>
          <w:i w:val="0"/>
        </w:rPr>
        <w:t>1965)</w:t>
      </w:r>
      <w:r>
        <w:rPr>
          <w:rStyle w:val="Emphasis"/>
          <w:i w:val="0"/>
        </w:rPr>
        <w:t>).</w:t>
      </w:r>
    </w:p>
  </w:footnote>
  <w:footnote w:id="324">
    <w:p w:rsidR="00844D1E" w:rsidP="00EB312D">
      <w:pPr>
        <w:pStyle w:val="FootnoteText"/>
      </w:pPr>
      <w:r>
        <w:rPr>
          <w:rStyle w:val="FootnoteReference"/>
        </w:rPr>
        <w:footnoteRef/>
      </w:r>
      <w:r>
        <w:t xml:space="preserve"> </w:t>
      </w:r>
      <w:r w:rsidRPr="009B6DDD">
        <w:rPr>
          <w:i/>
        </w:rPr>
        <w:t>In re FCC 11-161</w:t>
      </w:r>
      <w:r>
        <w:t xml:space="preserve">, 753 F.3d at 1145-47 (holding, in response to a challenge of two aspects of the Commission’s access stimulation rules as arbitrary and capricious, that the Commission “explained its rationale” and that “[t]he FCC’s view may be debatable, but it is neither arbitrary nor capricious”).  </w:t>
      </w:r>
      <w:r w:rsidRPr="00E22835">
        <w:t xml:space="preserve">In that regard, </w:t>
      </w:r>
      <w:r>
        <w:t xml:space="preserve">we view </w:t>
      </w:r>
      <w:r w:rsidRPr="00E22835">
        <w:t xml:space="preserve">arguments about the discriminatory nature of the access-stimulation rules adopted in 2011 </w:t>
      </w:r>
      <w:r>
        <w:t>as an untimely collateral attack and, independently, beyond the scope of our actions in this rulemaking, which is focused on new rules addressing the specific concerns regarding who is responsible for paying intermediate access provider tandem switching and tandem switched transport for access-stimulated traffic</w:t>
      </w:r>
      <w:r w:rsidRPr="00E22835">
        <w:t xml:space="preserve">.  </w:t>
      </w:r>
    </w:p>
  </w:footnote>
  <w:footnote w:id="325">
    <w:p w:rsidR="00844D1E" w:rsidP="00EB312D">
      <w:pPr>
        <w:pStyle w:val="FootnoteText"/>
      </w:pPr>
      <w:r>
        <w:rPr>
          <w:rStyle w:val="FootnoteReference"/>
        </w:rPr>
        <w:footnoteRef/>
      </w:r>
      <w:r>
        <w:t xml:space="preserve"> We acknowledge that the definition of intermediate access provider adopted here differs from the definition of “intermediate provider” in section 64.1600(f) of our rules.  47 CFR § 64.1600(f).</w:t>
      </w:r>
    </w:p>
  </w:footnote>
  <w:footnote w:id="326">
    <w:p w:rsidR="00844D1E" w:rsidP="00EB312D">
      <w:pPr>
        <w:pStyle w:val="FootnoteText"/>
      </w:pPr>
      <w:r>
        <w:rPr>
          <w:rStyle w:val="FootnoteReference"/>
        </w:rPr>
        <w:footnoteRef/>
      </w:r>
      <w:r>
        <w:t xml:space="preserve"> </w:t>
      </w:r>
      <w:r>
        <w:rPr>
          <w:i/>
        </w:rPr>
        <w:t xml:space="preserve">See </w:t>
      </w:r>
      <w:r>
        <w:t xml:space="preserve">Joint CLEC Comments at 55-56; </w:t>
      </w:r>
      <w:r>
        <w:rPr>
          <w:i/>
        </w:rPr>
        <w:t>see infra</w:t>
      </w:r>
      <w:r>
        <w:t xml:space="preserve"> Section IV</w:t>
      </w:r>
      <w:r w:rsidRPr="008D0364">
        <w:t>.</w:t>
      </w:r>
    </w:p>
  </w:footnote>
  <w:footnote w:id="327">
    <w:p w:rsidR="00844D1E" w:rsidP="00EB312D">
      <w:pPr>
        <w:pStyle w:val="FootnoteText"/>
      </w:pPr>
      <w:r>
        <w:rPr>
          <w:rStyle w:val="FootnoteReference"/>
        </w:rPr>
        <w:footnoteRef/>
      </w:r>
      <w:r>
        <w:t xml:space="preserve"> Wide Voice Jan. 15, 2019 </w:t>
      </w:r>
      <w:r w:rsidRPr="00D61EBC">
        <w:rPr>
          <w:i/>
        </w:rPr>
        <w:t>Ex Parte</w:t>
      </w:r>
      <w:r>
        <w:t xml:space="preserve"> at 2 </w:t>
      </w:r>
      <w:r w:rsidRPr="00964D7D">
        <w:t>n.3 (</w:t>
      </w:r>
      <w:r>
        <w:t>emphasis in original).</w:t>
      </w:r>
    </w:p>
  </w:footnote>
  <w:footnote w:id="328">
    <w:p w:rsidR="00844D1E" w:rsidP="00EB312D">
      <w:pPr>
        <w:pStyle w:val="FootnoteText"/>
      </w:pPr>
      <w:r>
        <w:rPr>
          <w:rStyle w:val="FootnoteReference"/>
        </w:rPr>
        <w:footnoteRef/>
      </w:r>
      <w:r>
        <w:t xml:space="preserve"> Joint CLEC Jan. 30, 2019 </w:t>
      </w:r>
      <w:r w:rsidRPr="003314A2">
        <w:rPr>
          <w:i/>
        </w:rPr>
        <w:t>Ex Parte</w:t>
      </w:r>
      <w:r>
        <w:t xml:space="preserve"> at 2-3; </w:t>
      </w:r>
      <w:r w:rsidRPr="00356B0B">
        <w:rPr>
          <w:i/>
        </w:rPr>
        <w:t xml:space="preserve">see also </w:t>
      </w:r>
      <w:r>
        <w:t xml:space="preserve">HD Tandem Aug. 12, 2019 </w:t>
      </w:r>
      <w:r w:rsidRPr="00356B0B">
        <w:rPr>
          <w:i/>
        </w:rPr>
        <w:t>Ex Par</w:t>
      </w:r>
      <w:r w:rsidRPr="3A0BB800">
        <w:rPr>
          <w:i/>
        </w:rPr>
        <w:t xml:space="preserve">te </w:t>
      </w:r>
      <w:r>
        <w:t xml:space="preserve">at 3; </w:t>
      </w:r>
      <w:r w:rsidRPr="00A67F16">
        <w:rPr>
          <w:i/>
        </w:rPr>
        <w:t xml:space="preserve">see generally </w:t>
      </w:r>
      <w:r w:rsidRPr="00A67F16">
        <w:rPr>
          <w:i/>
        </w:rPr>
        <w:t>In</w:t>
      </w:r>
      <w:r w:rsidRPr="00A67F16">
        <w:rPr>
          <w:i/>
        </w:rPr>
        <w:t xml:space="preserve"> re FCC 11-161</w:t>
      </w:r>
      <w:r>
        <w:t>.</w:t>
      </w:r>
    </w:p>
  </w:footnote>
  <w:footnote w:id="329">
    <w:p w:rsidR="00844D1E" w:rsidP="00EB312D">
      <w:pPr>
        <w:pStyle w:val="FootnoteText"/>
      </w:pPr>
      <w:r>
        <w:rPr>
          <w:rStyle w:val="FootnoteReference"/>
        </w:rPr>
        <w:footnoteRef/>
      </w:r>
      <w:r>
        <w:t xml:space="preserve"> 47 U.S.C. § 252.</w:t>
      </w:r>
    </w:p>
  </w:footnote>
  <w:footnote w:id="330">
    <w:p w:rsidR="00844D1E" w:rsidRPr="00C14AEF" w:rsidP="00EB312D">
      <w:pPr>
        <w:pStyle w:val="FootnoteText"/>
      </w:pPr>
      <w:r>
        <w:rPr>
          <w:rStyle w:val="FootnoteReference"/>
        </w:rPr>
        <w:footnoteRef/>
      </w:r>
      <w:r>
        <w:t xml:space="preserve"> </w:t>
      </w:r>
      <w:r>
        <w:rPr>
          <w:i/>
        </w:rPr>
        <w:t>USF/ICC Transformation Order</w:t>
      </w:r>
      <w:r>
        <w:t xml:space="preserve">, 26 FCC </w:t>
      </w:r>
      <w:r>
        <w:t>Rcd</w:t>
      </w:r>
      <w:r>
        <w:t xml:space="preserve"> at 17921-22, para. 775.</w:t>
      </w:r>
    </w:p>
  </w:footnote>
  <w:footnote w:id="331">
    <w:p w:rsidR="00844D1E" w:rsidP="00EB312D">
      <w:pPr>
        <w:pStyle w:val="FootnoteText"/>
      </w:pPr>
      <w:r>
        <w:rPr>
          <w:rStyle w:val="FootnoteReference"/>
        </w:rPr>
        <w:footnoteRef/>
      </w:r>
      <w:r>
        <w:t xml:space="preserve"> The record supports the efficiency of direct interconnection at access-stimulation levels of traffic, at least in some circumstances.  </w:t>
      </w:r>
      <w:r>
        <w:rPr>
          <w:i/>
        </w:rPr>
        <w:t>See</w:t>
      </w:r>
      <w:r w:rsidRPr="00D57292">
        <w:rPr>
          <w:i/>
        </w:rPr>
        <w:t>,</w:t>
      </w:r>
      <w:r w:rsidRPr="00817FDE">
        <w:t xml:space="preserve"> </w:t>
      </w:r>
      <w:r>
        <w:rPr>
          <w:i/>
        </w:rPr>
        <w:t>e.g.</w:t>
      </w:r>
      <w:r w:rsidRPr="00817FDE">
        <w:t xml:space="preserve">, </w:t>
      </w:r>
      <w:r>
        <w:t>AT&amp;T Comments at 7.</w:t>
      </w:r>
    </w:p>
  </w:footnote>
  <w:footnote w:id="332">
    <w:p w:rsidR="00844D1E" w:rsidP="00EB312D">
      <w:pPr>
        <w:pStyle w:val="FootnoteText"/>
      </w:pPr>
      <w:r>
        <w:rPr>
          <w:rStyle w:val="FootnoteReference"/>
        </w:rPr>
        <w:footnoteRef/>
      </w:r>
      <w:r>
        <w:t xml:space="preserve"> We recognize that there is a legal question about the applicability of the mandatory use requirements to traffic delivered to access-stimulating LECs prior to the adoption of this </w:t>
      </w:r>
      <w:r>
        <w:rPr>
          <w:i/>
        </w:rPr>
        <w:t>Order</w:t>
      </w:r>
      <w:r>
        <w:t xml:space="preserve">.  </w:t>
      </w:r>
      <w:r w:rsidRPr="006956AF">
        <w:rPr>
          <w:i/>
        </w:rPr>
        <w:t>See</w:t>
      </w:r>
      <w:r w:rsidRPr="001D7D8F">
        <w:t xml:space="preserve"> AT&amp;T Sept. 18, 2019 </w:t>
      </w:r>
      <w:r w:rsidRPr="003314A2">
        <w:rPr>
          <w:i/>
        </w:rPr>
        <w:t>Ex Parte</w:t>
      </w:r>
      <w:r w:rsidRPr="001D7D8F">
        <w:t xml:space="preserve"> at 1</w:t>
      </w:r>
      <w:r>
        <w:t>.  We do not opine on that issue here, but instead make clear that there is no such obligation going forward.</w:t>
      </w:r>
    </w:p>
  </w:footnote>
  <w:footnote w:id="333">
    <w:p w:rsidR="00844D1E" w:rsidP="00EB312D">
      <w:pPr>
        <w:pStyle w:val="FootnoteText"/>
      </w:pPr>
      <w:r>
        <w:rPr>
          <w:rStyle w:val="FootnoteReference"/>
        </w:rPr>
        <w:footnoteRef/>
      </w:r>
      <w:r>
        <w:t xml:space="preserve"> Wide Voice Comments at 12.</w:t>
      </w:r>
    </w:p>
  </w:footnote>
  <w:footnote w:id="334">
    <w:p w:rsidR="00844D1E" w:rsidP="00EB312D">
      <w:pPr>
        <w:pStyle w:val="FootnoteText"/>
      </w:pPr>
      <w:r>
        <w:rPr>
          <w:rStyle w:val="FootnoteReference"/>
        </w:rPr>
        <w:footnoteRef/>
      </w:r>
      <w:r>
        <w:t xml:space="preserve"> Sprint Reply at 6.</w:t>
      </w:r>
    </w:p>
  </w:footnote>
  <w:footnote w:id="335">
    <w:p w:rsidR="00844D1E" w:rsidP="00EB312D">
      <w:pPr>
        <w:pStyle w:val="FootnoteText"/>
      </w:pPr>
      <w:r>
        <w:rPr>
          <w:rStyle w:val="FootnoteReference"/>
        </w:rPr>
        <w:footnoteRef/>
      </w:r>
      <w:r>
        <w:t xml:space="preserve"> Sprint Comments at 2 (admitting that </w:t>
      </w:r>
      <w:r w:rsidRPr="00905F0D">
        <w:t>competitive alternatives to the CEA provider</w:t>
      </w:r>
      <w:r>
        <w:t>s</w:t>
      </w:r>
      <w:r w:rsidRPr="00905F0D">
        <w:t xml:space="preserve"> may be extremely limited or non-existent</w:t>
      </w:r>
      <w:r>
        <w:t xml:space="preserve">).  We acknowledge that there are competitive tandem providers, such as </w:t>
      </w:r>
      <w:r>
        <w:t>Inteliquent</w:t>
      </w:r>
      <w:r>
        <w:t xml:space="preserve">, Level 3, </w:t>
      </w:r>
      <w:r>
        <w:t>HyperCube</w:t>
      </w:r>
      <w:r>
        <w:t xml:space="preserve">, Peerless and </w:t>
      </w:r>
      <w:r>
        <w:t>Onvoy</w:t>
      </w:r>
      <w:r>
        <w:t xml:space="preserve">.  Petition of AT&amp;T Services, Inc., for Forbearance Under 47 U.S.C. § 160(c), WC Docket No. 16-363, at 7 (filed Sept. 30, 2016).  However, no commenter has provided any data about the locations of these tandems in Iowa and South Dakota, and the availability of associated transport services.  </w:t>
      </w:r>
      <w:r w:rsidRPr="00757FE2">
        <w:rPr>
          <w:i/>
        </w:rPr>
        <w:t>See</w:t>
      </w:r>
      <w:r>
        <w:t xml:space="preserve"> </w:t>
      </w:r>
      <w:r w:rsidRPr="00D43349">
        <w:rPr>
          <w:i/>
        </w:rPr>
        <w:t>Access Arbitrage Notice</w:t>
      </w:r>
      <w:r>
        <w:t xml:space="preserve">, 33 FCC </w:t>
      </w:r>
      <w:r>
        <w:t>Rcd</w:t>
      </w:r>
      <w:r>
        <w:t xml:space="preserve"> at 5577-78, para. 34 &amp; n.54 (asking about alternatives for solving arbitrage issues and mentioning competitive intermediate access providers).</w:t>
      </w:r>
    </w:p>
  </w:footnote>
  <w:footnote w:id="336">
    <w:p w:rsidR="00844D1E" w:rsidP="00EB312D">
      <w:pPr>
        <w:pStyle w:val="FootnoteText"/>
      </w:pPr>
      <w:r>
        <w:rPr>
          <w:rStyle w:val="FootnoteReference"/>
        </w:rPr>
        <w:footnoteRef/>
      </w:r>
      <w:r>
        <w:t xml:space="preserve"> </w:t>
      </w:r>
      <w:r>
        <w:t>Aureon</w:t>
      </w:r>
      <w:r>
        <w:t xml:space="preserve"> Reply at 7.  </w:t>
      </w:r>
    </w:p>
  </w:footnote>
  <w:footnote w:id="337">
    <w:p w:rsidR="00844D1E" w:rsidP="00EB312D">
      <w:pPr>
        <w:pStyle w:val="FootnoteText"/>
      </w:pPr>
      <w:r>
        <w:rPr>
          <w:rStyle w:val="FootnoteReference"/>
        </w:rPr>
        <w:footnoteRef/>
      </w:r>
      <w:r>
        <w:t xml:space="preserve"> SDN Comments at 1-2, 5; SDN Reply at 1-3, 5.</w:t>
      </w:r>
    </w:p>
  </w:footnote>
  <w:footnote w:id="338">
    <w:p w:rsidR="00844D1E" w:rsidRPr="004C6DEB" w:rsidP="00EB312D">
      <w:pPr>
        <w:pStyle w:val="FootnoteText"/>
      </w:pPr>
      <w:r w:rsidRPr="004C6DEB">
        <w:rPr>
          <w:rStyle w:val="FootnoteReference"/>
        </w:rPr>
        <w:footnoteRef/>
      </w:r>
      <w:r w:rsidRPr="004C6DEB">
        <w:t xml:space="preserve"> </w:t>
      </w:r>
      <w:r w:rsidRPr="004C6DEB">
        <w:rPr>
          <w:i/>
        </w:rPr>
        <w:t>Cf.</w:t>
      </w:r>
      <w:r w:rsidRPr="004C6DEB">
        <w:t xml:space="preserve"> Peerless </w:t>
      </w:r>
      <w:r>
        <w:t xml:space="preserve">and ANI </w:t>
      </w:r>
      <w:r w:rsidRPr="004C6DEB">
        <w:t>Comments at 10 (arguing that, if we adopt the rule</w:t>
      </w:r>
      <w:r>
        <w:t xml:space="preserve"> proposed in the</w:t>
      </w:r>
      <w:r w:rsidRPr="004C6DEB">
        <w:rPr>
          <w:i/>
        </w:rPr>
        <w:t xml:space="preserve"> Access Arbitrage N</w:t>
      </w:r>
      <w:r>
        <w:rPr>
          <w:i/>
        </w:rPr>
        <w:t>otice</w:t>
      </w:r>
      <w:r w:rsidRPr="004C6DEB">
        <w:t>, we should narrowly tailor it to apply only to LECs that subtend CEA networks)</w:t>
      </w:r>
      <w:r>
        <w:t>.</w:t>
      </w:r>
    </w:p>
  </w:footnote>
  <w:footnote w:id="339">
    <w:p w:rsidR="00844D1E" w:rsidP="00EB312D">
      <w:pPr>
        <w:pStyle w:val="FootnoteText"/>
      </w:pPr>
      <w:r>
        <w:rPr>
          <w:rStyle w:val="FootnoteReference"/>
        </w:rPr>
        <w:footnoteRef/>
      </w:r>
      <w:r>
        <w:t xml:space="preserve"> </w:t>
      </w:r>
      <w:r>
        <w:t>Aureon</w:t>
      </w:r>
      <w:r>
        <w:t xml:space="preserve"> May 23, 2019 </w:t>
      </w:r>
      <w:r w:rsidRPr="00053FBE">
        <w:rPr>
          <w:i/>
        </w:rPr>
        <w:t>Ex Parte</w:t>
      </w:r>
      <w:r>
        <w:rPr>
          <w:i/>
        </w:rPr>
        <w:t xml:space="preserve"> </w:t>
      </w:r>
      <w:r w:rsidRPr="00686F55">
        <w:t>at 5.</w:t>
      </w:r>
    </w:p>
  </w:footnote>
  <w:footnote w:id="340">
    <w:p w:rsidR="00844D1E" w:rsidRPr="0044240B" w:rsidP="00EB312D">
      <w:pPr>
        <w:pStyle w:val="FootnoteText"/>
      </w:pPr>
      <w:r>
        <w:rPr>
          <w:rStyle w:val="FootnoteReference"/>
        </w:rPr>
        <w:footnoteRef/>
      </w:r>
      <w:r>
        <w:t xml:space="preserve"> AT&amp;T Feb. 5, 2019 </w:t>
      </w:r>
      <w:r>
        <w:rPr>
          <w:i/>
        </w:rPr>
        <w:t xml:space="preserve">Ex Parte </w:t>
      </w:r>
      <w:r>
        <w:t xml:space="preserve">at 5-6; AT&amp;T Apr. 9, 2019 </w:t>
      </w:r>
      <w:r>
        <w:rPr>
          <w:i/>
        </w:rPr>
        <w:t>Ex Parte</w:t>
      </w:r>
      <w:r>
        <w:t xml:space="preserve"> at 10 n.30; Sprint May 16, 2019 </w:t>
      </w:r>
      <w:r>
        <w:rPr>
          <w:i/>
        </w:rPr>
        <w:t xml:space="preserve">Ex Parte </w:t>
      </w:r>
      <w:r>
        <w:t>at 6-7.</w:t>
      </w:r>
    </w:p>
  </w:footnote>
  <w:footnote w:id="341">
    <w:p w:rsidR="00844D1E" w:rsidP="00EB312D">
      <w:pPr>
        <w:pStyle w:val="FootnoteText"/>
      </w:pPr>
      <w:r>
        <w:rPr>
          <w:rStyle w:val="FootnoteReference"/>
        </w:rPr>
        <w:footnoteRef/>
      </w:r>
      <w:r>
        <w:t xml:space="preserve"> CenturyLink Comments at 11 (“This does not mean that the intermediate switched services tandem provider has to perform the tandem functions for free, it means the terminating carrier has worked with the intermediate switched services tandem provider to assume all financial responsibility and therefore shifts the financial responsibility to them.”).</w:t>
      </w:r>
    </w:p>
  </w:footnote>
  <w:footnote w:id="342">
    <w:p w:rsidR="00844D1E" w:rsidP="00EB312D">
      <w:pPr>
        <w:pStyle w:val="FootnoteText"/>
      </w:pPr>
      <w:r>
        <w:rPr>
          <w:rStyle w:val="FootnoteReference"/>
        </w:rPr>
        <w:footnoteRef/>
      </w:r>
      <w:r>
        <w:t xml:space="preserve"> </w:t>
      </w:r>
      <w:r>
        <w:rPr>
          <w:i/>
        </w:rPr>
        <w:t>See</w:t>
      </w:r>
      <w:r w:rsidRPr="00D57292">
        <w:rPr>
          <w:i/>
        </w:rPr>
        <w:t>,</w:t>
      </w:r>
      <w:r>
        <w:rPr>
          <w:i/>
        </w:rPr>
        <w:t xml:space="preserve"> </w:t>
      </w:r>
      <w:r w:rsidRPr="002E5659">
        <w:rPr>
          <w:i/>
        </w:rPr>
        <w:t>e.g.</w:t>
      </w:r>
      <w:r w:rsidRPr="002E5659">
        <w:t>,</w:t>
      </w:r>
      <w:r>
        <w:t xml:space="preserve"> </w:t>
      </w:r>
      <w:r>
        <w:rPr>
          <w:i/>
        </w:rPr>
        <w:t>Aureon</w:t>
      </w:r>
      <w:r>
        <w:rPr>
          <w:i/>
        </w:rPr>
        <w:t xml:space="preserve"> Tariff Investigation Order</w:t>
      </w:r>
      <w:r>
        <w:t>,</w:t>
      </w:r>
      <w:r w:rsidRPr="00130261">
        <w:t xml:space="preserve"> </w:t>
      </w:r>
      <w:r>
        <w:t xml:space="preserve">33 FCC </w:t>
      </w:r>
      <w:r>
        <w:t>Rcd</w:t>
      </w:r>
      <w:r>
        <w:t xml:space="preserve"> at 7562-63, para. 112 (summarizing the rules applicable to </w:t>
      </w:r>
      <w:r>
        <w:t>Aureon’s</w:t>
      </w:r>
      <w:r>
        <w:t xml:space="preserve"> transport rate); </w:t>
      </w:r>
      <w:r w:rsidRPr="00187D77">
        <w:rPr>
          <w:i/>
        </w:rPr>
        <w:t xml:space="preserve">July 1, 2018 Annual Access Charge Tariff Filings; South Dakota Network, </w:t>
      </w:r>
      <w:r w:rsidRPr="00FB7FAE">
        <w:rPr>
          <w:i/>
        </w:rPr>
        <w:t>LLC, Tariff</w:t>
      </w:r>
      <w:r w:rsidRPr="00187D77">
        <w:rPr>
          <w:i/>
        </w:rPr>
        <w:t xml:space="preserve"> F.C.C. No. 1</w:t>
      </w:r>
      <w:r>
        <w:t xml:space="preserve">, WC Docket No. 18-100, Transmittal No. 13, Memorandum Opinion and Order, 34 FCC </w:t>
      </w:r>
      <w:r>
        <w:t>Rcd</w:t>
      </w:r>
      <w:r>
        <w:t xml:space="preserve"> 1525, 1525, para. 2 (2019) (summarizing the rules applicable to SDN’s access service).  </w:t>
      </w:r>
      <w:r>
        <w:t>Aureon</w:t>
      </w:r>
      <w:r>
        <w:t xml:space="preserve"> admits that HD Tandem has removed billions of minutes of traffic from </w:t>
      </w:r>
      <w:r>
        <w:t>Aureon’s</w:t>
      </w:r>
      <w:r>
        <w:t xml:space="preserve"> CEA network.  </w:t>
      </w:r>
      <w:r>
        <w:t>Aureon</w:t>
      </w:r>
      <w:r>
        <w:t xml:space="preserve"> Reply at 12.</w:t>
      </w:r>
    </w:p>
  </w:footnote>
  <w:footnote w:id="343">
    <w:p w:rsidR="00844D1E" w:rsidP="00EB312D">
      <w:pPr>
        <w:pStyle w:val="FootnoteText"/>
      </w:pPr>
      <w:r>
        <w:rPr>
          <w:rStyle w:val="FootnoteReference"/>
        </w:rPr>
        <w:footnoteRef/>
      </w:r>
      <w:r>
        <w:t xml:space="preserve"> </w:t>
      </w:r>
      <w:r>
        <w:t>Aureon</w:t>
      </w:r>
      <w:r>
        <w:t xml:space="preserve"> May 23, 2019 </w:t>
      </w:r>
      <w:r w:rsidRPr="00A125B3">
        <w:rPr>
          <w:i/>
        </w:rPr>
        <w:t>Ex Parte</w:t>
      </w:r>
      <w:r>
        <w:t xml:space="preserve"> at 9; </w:t>
      </w:r>
      <w:r w:rsidRPr="002F4F2E">
        <w:rPr>
          <w:i/>
        </w:rPr>
        <w:t>see</w:t>
      </w:r>
      <w:r>
        <w:t xml:space="preserve"> Letter from James Troup, Counsel for </w:t>
      </w:r>
      <w:r>
        <w:t>Aureon</w:t>
      </w:r>
      <w:r>
        <w:t xml:space="preserve">, to Marlene Dortch, Secretary, FCC, </w:t>
      </w:r>
      <w:r>
        <w:rPr>
          <w:szCs w:val="22"/>
        </w:rPr>
        <w:t xml:space="preserve">WC Docket No. 18-155, </w:t>
      </w:r>
      <w:r>
        <w:t xml:space="preserve">at 1-2 (filed June 12, 2018); </w:t>
      </w:r>
      <w:r>
        <w:t>Aureon</w:t>
      </w:r>
      <w:r>
        <w:t xml:space="preserve"> Comments at 9-13; SDN Reply at 3-4.  </w:t>
      </w:r>
    </w:p>
  </w:footnote>
  <w:footnote w:id="344">
    <w:p w:rsidR="00844D1E" w:rsidP="00EB312D">
      <w:pPr>
        <w:pStyle w:val="FootnoteText"/>
      </w:pPr>
      <w:r>
        <w:rPr>
          <w:rStyle w:val="FootnoteReference"/>
        </w:rPr>
        <w:footnoteRef/>
      </w:r>
      <w:r>
        <w:t xml:space="preserve"> </w:t>
      </w:r>
      <w:r>
        <w:t>Aureon</w:t>
      </w:r>
      <w:r>
        <w:t xml:space="preserve"> May 23, 2019 </w:t>
      </w:r>
      <w:r w:rsidRPr="00053FBE">
        <w:rPr>
          <w:i/>
        </w:rPr>
        <w:t>Ex Parte</w:t>
      </w:r>
      <w:r>
        <w:t xml:space="preserve"> at 9.</w:t>
      </w:r>
    </w:p>
  </w:footnote>
  <w:footnote w:id="345">
    <w:p w:rsidR="00844D1E" w:rsidRPr="00B82C1D" w:rsidP="00EB312D">
      <w:pPr>
        <w:pStyle w:val="FootnoteText"/>
      </w:pPr>
      <w:r>
        <w:rPr>
          <w:rStyle w:val="FootnoteReference"/>
        </w:rPr>
        <w:footnoteRef/>
      </w:r>
      <w:r>
        <w:t xml:space="preserve"> </w:t>
      </w:r>
      <w:r w:rsidRPr="00B82C1D">
        <w:t>Aureon</w:t>
      </w:r>
      <w:r w:rsidRPr="00B82C1D">
        <w:t xml:space="preserve"> Comments at 4</w:t>
      </w:r>
      <w:r>
        <w:t>, 18-19</w:t>
      </w:r>
      <w:r w:rsidRPr="00B82C1D">
        <w:t xml:space="preserve">; </w:t>
      </w:r>
      <w:r w:rsidRPr="00B82C1D">
        <w:t>Aureon</w:t>
      </w:r>
      <w:r w:rsidRPr="00B82C1D">
        <w:t xml:space="preserve"> Reply at 3.</w:t>
      </w:r>
    </w:p>
  </w:footnote>
  <w:footnote w:id="346">
    <w:p w:rsidR="00844D1E" w:rsidP="00EB312D">
      <w:pPr>
        <w:pStyle w:val="FootnoteText"/>
      </w:pPr>
      <w:r>
        <w:rPr>
          <w:rStyle w:val="FootnoteReference"/>
        </w:rPr>
        <w:footnoteRef/>
      </w:r>
      <w:r>
        <w:t xml:space="preserve"> </w:t>
      </w:r>
      <w:r>
        <w:t>Aureon</w:t>
      </w:r>
      <w:r>
        <w:t xml:space="preserve"> May 23, 2019 </w:t>
      </w:r>
      <w:r w:rsidRPr="00053FBE">
        <w:rPr>
          <w:i/>
        </w:rPr>
        <w:t>Ex Parte</w:t>
      </w:r>
      <w:r>
        <w:t xml:space="preserve"> at 9.</w:t>
      </w:r>
    </w:p>
  </w:footnote>
  <w:footnote w:id="347">
    <w:p w:rsidR="00844D1E" w:rsidP="00EB312D">
      <w:pPr>
        <w:pStyle w:val="FootnoteText"/>
      </w:pPr>
      <w:r>
        <w:rPr>
          <w:rStyle w:val="FootnoteReference"/>
        </w:rPr>
        <w:footnoteRef/>
      </w:r>
      <w:r>
        <w:t xml:space="preserve"> </w:t>
      </w:r>
      <w:r w:rsidRPr="0023282A">
        <w:rPr>
          <w:i/>
        </w:rPr>
        <w:t>Id</w:t>
      </w:r>
      <w:r>
        <w:t>.</w:t>
      </w:r>
    </w:p>
  </w:footnote>
  <w:footnote w:id="348">
    <w:p w:rsidR="00844D1E" w:rsidP="00EB312D">
      <w:pPr>
        <w:pStyle w:val="FootnoteText"/>
      </w:pPr>
      <w:r>
        <w:rPr>
          <w:rStyle w:val="FootnoteReference"/>
        </w:rPr>
        <w:footnoteRef/>
      </w:r>
      <w:r>
        <w:t xml:space="preserve"> </w:t>
      </w:r>
      <w:r w:rsidRPr="003D0831">
        <w:rPr>
          <w:i/>
        </w:rPr>
        <w:t>See</w:t>
      </w:r>
      <w:r>
        <w:t xml:space="preserve"> </w:t>
      </w:r>
      <w:r w:rsidRPr="003D0831">
        <w:rPr>
          <w:i/>
        </w:rPr>
        <w:t>Aureon</w:t>
      </w:r>
      <w:r w:rsidRPr="003D0831">
        <w:rPr>
          <w:i/>
        </w:rPr>
        <w:t xml:space="preserve"> Section 214 Order</w:t>
      </w:r>
      <w:r>
        <w:t xml:space="preserve">, 3 FCC </w:t>
      </w:r>
      <w:r>
        <w:t>Rcd</w:t>
      </w:r>
      <w:r>
        <w:t xml:space="preserve"> at 1473, para. 32; </w:t>
      </w:r>
      <w:r w:rsidRPr="008027C3">
        <w:rPr>
          <w:i/>
        </w:rPr>
        <w:t>SDN Section 214 Order</w:t>
      </w:r>
      <w:r>
        <w:t xml:space="preserve">, </w:t>
      </w:r>
      <w:r w:rsidRPr="002E5659">
        <w:rPr>
          <w:rFonts w:eastAsia="Calibri"/>
        </w:rPr>
        <w:t xml:space="preserve">5 FCC </w:t>
      </w:r>
      <w:r w:rsidRPr="002E5659">
        <w:rPr>
          <w:rFonts w:eastAsia="Calibri"/>
        </w:rPr>
        <w:t>Rcd</w:t>
      </w:r>
      <w:r w:rsidRPr="002E5659">
        <w:rPr>
          <w:rFonts w:eastAsia="Calibri"/>
        </w:rPr>
        <w:t xml:space="preserve"> at 69</w:t>
      </w:r>
      <w:r>
        <w:rPr>
          <w:rFonts w:eastAsia="Calibri"/>
        </w:rPr>
        <w:t>80, para. 15</w:t>
      </w:r>
      <w:r>
        <w:t>.</w:t>
      </w:r>
    </w:p>
  </w:footnote>
  <w:footnote w:id="349">
    <w:p w:rsidR="00844D1E" w:rsidP="00EB312D">
      <w:pPr>
        <w:pStyle w:val="FootnoteText"/>
      </w:pPr>
      <w:r>
        <w:rPr>
          <w:rStyle w:val="FootnoteReference"/>
        </w:rPr>
        <w:footnoteRef/>
      </w:r>
      <w:r>
        <w:t xml:space="preserve"> AT&amp;T Feb. 5, 2019 </w:t>
      </w:r>
      <w:r w:rsidRPr="00D34945">
        <w:rPr>
          <w:i/>
        </w:rPr>
        <w:t>Ex Parte</w:t>
      </w:r>
      <w:r>
        <w:t xml:space="preserve"> at 3 (emphasis in original).  AT&amp;T’s focus is on Northern Valley Communications (NVC), which AT&amp;T lists as being in Redfield, South Dakota, and having two remote switches.  </w:t>
      </w:r>
      <w:r>
        <w:rPr>
          <w:i/>
        </w:rPr>
        <w:t>Id.</w:t>
      </w:r>
      <w:r>
        <w:t xml:space="preserve"> at 3 (providing a chart listing “Northern Valley”); </w:t>
      </w:r>
      <w:r w:rsidRPr="002D2EA5">
        <w:rPr>
          <w:i/>
        </w:rPr>
        <w:t>see</w:t>
      </w:r>
      <w:r>
        <w:t xml:space="preserve"> Joint CLEC Comments at 1 (listing NVC as a competitive LEC that participates in access stimulation). </w:t>
      </w:r>
    </w:p>
  </w:footnote>
  <w:footnote w:id="350">
    <w:p w:rsidR="00844D1E" w:rsidRPr="00F030F1" w:rsidP="00EB312D">
      <w:pPr>
        <w:pStyle w:val="FootnoteText"/>
      </w:pPr>
      <w:r>
        <w:rPr>
          <w:rStyle w:val="FootnoteReference"/>
        </w:rPr>
        <w:footnoteRef/>
      </w:r>
      <w:r>
        <w:t xml:space="preserve"> </w:t>
      </w:r>
      <w:r w:rsidRPr="005B775E">
        <w:rPr>
          <w:i/>
        </w:rPr>
        <w:t>Implementation of Section 402(</w:t>
      </w:r>
      <w:r>
        <w:rPr>
          <w:i/>
        </w:rPr>
        <w:t>b</w:t>
      </w:r>
      <w:r w:rsidRPr="005B775E">
        <w:rPr>
          <w:i/>
        </w:rPr>
        <w:t>)(2)(A) of the Telecommunications Act of 1996, Petition for Forbearance of the Independent Telephone &amp; Telecommunications Alliance</w:t>
      </w:r>
      <w:r>
        <w:t xml:space="preserve">, CC Docket No. 97-11, AAD File No. 98-43, Report and Order in CC Docket No. 97-11, Second Memorandum Opinion and Order in AAD File No. 98-43, 14 FCC </w:t>
      </w:r>
      <w:r>
        <w:t>Rcd</w:t>
      </w:r>
      <w:r>
        <w:t xml:space="preserve"> 11364,</w:t>
      </w:r>
      <w:r w:rsidRPr="005B775E">
        <w:t xml:space="preserve"> </w:t>
      </w:r>
      <w:r>
        <w:t>11372-74, paras. 12-16 (1999) (</w:t>
      </w:r>
      <w:r>
        <w:rPr>
          <w:i/>
        </w:rPr>
        <w:t>Blanket Section 214 Order</w:t>
      </w:r>
      <w:r>
        <w:t>) (finding that blanket authority for all domestic carriers was in the public interest for dominant and non-dominant carriers, and that by declining to completely forbear from section 214, the Commission affirmatively retained the ability to revoke section 214 authority or take enforcement action when warranted).</w:t>
      </w:r>
    </w:p>
  </w:footnote>
  <w:footnote w:id="351">
    <w:p w:rsidR="00844D1E" w:rsidP="00EB312D">
      <w:pPr>
        <w:pStyle w:val="FootnoteText"/>
      </w:pPr>
      <w:r>
        <w:rPr>
          <w:rStyle w:val="FootnoteReference"/>
        </w:rPr>
        <w:footnoteRef/>
      </w:r>
      <w:r>
        <w:t xml:space="preserve"> </w:t>
      </w:r>
      <w:r w:rsidRPr="00E96F43">
        <w:rPr>
          <w:i/>
        </w:rPr>
        <w:t>See</w:t>
      </w:r>
      <w:r>
        <w:t xml:space="preserve"> </w:t>
      </w:r>
      <w:r w:rsidRPr="00E96F43">
        <w:rPr>
          <w:i/>
        </w:rPr>
        <w:t>Access Arbitrage N</w:t>
      </w:r>
      <w:r>
        <w:rPr>
          <w:i/>
        </w:rPr>
        <w:t>otice</w:t>
      </w:r>
      <w:r>
        <w:t xml:space="preserve">, 33 FCC </w:t>
      </w:r>
      <w:r>
        <w:t>Rcd</w:t>
      </w:r>
      <w:r>
        <w:t xml:space="preserve"> at 5472, para. 17.</w:t>
      </w:r>
    </w:p>
  </w:footnote>
  <w:footnote w:id="352">
    <w:p w:rsidR="00844D1E" w:rsidRPr="002E5659" w:rsidP="00EB312D">
      <w:pPr>
        <w:spacing w:after="120"/>
        <w:rPr>
          <w:rFonts w:eastAsia="Calibri"/>
          <w:snapToGrid/>
          <w:kern w:val="0"/>
          <w:sz w:val="20"/>
        </w:rPr>
      </w:pPr>
      <w:r w:rsidRPr="006110C5">
        <w:rPr>
          <w:rStyle w:val="FootnoteReference"/>
        </w:rPr>
        <w:footnoteRef/>
      </w:r>
      <w:r w:rsidRPr="006110C5">
        <w:rPr>
          <w:sz w:val="20"/>
        </w:rPr>
        <w:t xml:space="preserve"> </w:t>
      </w:r>
      <w:bookmarkStart w:id="487" w:name="_Hlk16155385"/>
      <w:bookmarkStart w:id="488" w:name="_Hlk16155452"/>
      <w:r w:rsidRPr="006110C5">
        <w:rPr>
          <w:rFonts w:eastAsia="Calibri"/>
          <w:snapToGrid/>
          <w:kern w:val="0"/>
          <w:sz w:val="20"/>
        </w:rPr>
        <w:t xml:space="preserve">The modifications to the section 214 authorizations will be made in the names of Iowa Network Access Division (INAD) and South Dakota Network, LLC.  INAD is a division of Iowa Network Services, Inc. d/b/a </w:t>
      </w:r>
      <w:r w:rsidRPr="006110C5">
        <w:rPr>
          <w:rFonts w:eastAsia="Calibri"/>
          <w:snapToGrid/>
          <w:kern w:val="0"/>
          <w:sz w:val="20"/>
        </w:rPr>
        <w:t>Aureon</w:t>
      </w:r>
      <w:r w:rsidRPr="006110C5">
        <w:rPr>
          <w:rFonts w:eastAsia="Calibri"/>
          <w:snapToGrid/>
          <w:kern w:val="0"/>
          <w:sz w:val="20"/>
        </w:rPr>
        <w:t xml:space="preserve"> Network Services, and is the entity that originally received the section 214 certificate for Iowa.  </w:t>
      </w:r>
      <w:r w:rsidRPr="006110C5">
        <w:rPr>
          <w:rFonts w:eastAsia="Calibri"/>
          <w:i/>
          <w:snapToGrid/>
          <w:kern w:val="0"/>
          <w:sz w:val="20"/>
        </w:rPr>
        <w:t>Aureon</w:t>
      </w:r>
      <w:r w:rsidRPr="006110C5">
        <w:rPr>
          <w:rFonts w:eastAsia="Calibri"/>
          <w:i/>
          <w:snapToGrid/>
          <w:kern w:val="0"/>
          <w:sz w:val="20"/>
        </w:rPr>
        <w:t xml:space="preserve"> Section 214 Order</w:t>
      </w:r>
      <w:r w:rsidRPr="006110C5">
        <w:rPr>
          <w:rFonts w:eastAsia="Calibri"/>
          <w:snapToGrid/>
          <w:kern w:val="0"/>
          <w:sz w:val="20"/>
        </w:rPr>
        <w:t xml:space="preserve">, 3 FCC </w:t>
      </w:r>
      <w:r w:rsidRPr="006110C5">
        <w:rPr>
          <w:rFonts w:eastAsia="Calibri"/>
          <w:snapToGrid/>
          <w:kern w:val="0"/>
          <w:sz w:val="20"/>
        </w:rPr>
        <w:t>Rcd</w:t>
      </w:r>
      <w:r w:rsidRPr="006110C5">
        <w:rPr>
          <w:rFonts w:eastAsia="Calibri"/>
          <w:snapToGrid/>
          <w:kern w:val="0"/>
          <w:sz w:val="20"/>
        </w:rPr>
        <w:t xml:space="preserve"> at 1468 n.3; </w:t>
      </w:r>
      <w:r w:rsidRPr="006110C5">
        <w:rPr>
          <w:rFonts w:eastAsia="Calibri"/>
          <w:i/>
          <w:snapToGrid/>
          <w:kern w:val="0"/>
          <w:sz w:val="20"/>
        </w:rPr>
        <w:t>Iowa Network Access Division Tariff F.C.C. No. 1</w:t>
      </w:r>
      <w:r w:rsidRPr="006110C5">
        <w:rPr>
          <w:rFonts w:eastAsia="Calibri"/>
          <w:snapToGrid/>
          <w:kern w:val="0"/>
          <w:sz w:val="20"/>
        </w:rPr>
        <w:t xml:space="preserve">, WC Docket No. 18-60, Transmittal No. 38, Memorandum Opinion and Order, FCC 19-14, 2019 WL 1010709, at *1, paras. 1-2 (Feb. 28, 2019) (INAD is still a division of Iowa Network Services, Inc.).  SDCEA, Inc., is the entity that originally received the section 214 certificate for South Dakota, and was wholly owned by South Dakota Network, Inc.  </w:t>
      </w:r>
      <w:r w:rsidRPr="006110C5">
        <w:rPr>
          <w:rFonts w:eastAsia="Calibri"/>
          <w:i/>
          <w:snapToGrid/>
          <w:kern w:val="0"/>
          <w:sz w:val="20"/>
        </w:rPr>
        <w:t>S</w:t>
      </w:r>
      <w:r w:rsidRPr="006110C5">
        <w:rPr>
          <w:rFonts w:eastAsia="Calibri"/>
          <w:i/>
          <w:snapToGrid/>
          <w:kern w:val="0"/>
          <w:sz w:val="20"/>
        </w:rPr>
        <w:t>DN Section 214 Order</w:t>
      </w:r>
      <w:r w:rsidRPr="006110C5">
        <w:rPr>
          <w:rFonts w:eastAsia="Calibri"/>
          <w:snapToGrid/>
          <w:kern w:val="0"/>
          <w:sz w:val="20"/>
        </w:rPr>
        <w:t xml:space="preserve">, 5 FCC </w:t>
      </w:r>
      <w:r w:rsidRPr="006110C5">
        <w:rPr>
          <w:rFonts w:eastAsia="Calibri"/>
          <w:snapToGrid/>
          <w:kern w:val="0"/>
          <w:sz w:val="20"/>
        </w:rPr>
        <w:t>Rcd</w:t>
      </w:r>
      <w:r w:rsidRPr="006110C5">
        <w:rPr>
          <w:rFonts w:eastAsia="Calibri"/>
          <w:snapToGrid/>
          <w:kern w:val="0"/>
          <w:sz w:val="20"/>
        </w:rPr>
        <w:t xml:space="preserve"> at 6978, para. 2.  </w:t>
      </w:r>
      <w:r w:rsidRPr="006110C5">
        <w:rPr>
          <w:rFonts w:eastAsia="Calibri"/>
          <w:snapToGrid/>
          <w:kern w:val="0"/>
          <w:sz w:val="20"/>
        </w:rPr>
        <w:t xml:space="preserve">SDCEA dissolved in 1993, and its section 214 authorization was assigned to South Dakota Network, Inc.  </w:t>
      </w:r>
      <w:r w:rsidRPr="006110C5">
        <w:rPr>
          <w:rFonts w:eastAsia="Calibri"/>
          <w:i/>
          <w:snapToGrid/>
          <w:kern w:val="0"/>
          <w:sz w:val="20"/>
        </w:rPr>
        <w:t>See</w:t>
      </w:r>
      <w:r w:rsidRPr="006110C5">
        <w:rPr>
          <w:rFonts w:eastAsia="Calibri"/>
          <w:snapToGrid/>
          <w:kern w:val="0"/>
          <w:sz w:val="20"/>
        </w:rPr>
        <w:t xml:space="preserve"> South Dakota Secretary of State, Business Entity Detail, SDCEA, Inc. (last visited </w:t>
      </w:r>
      <w:r w:rsidRPr="00C17942">
        <w:rPr>
          <w:sz w:val="20"/>
        </w:rPr>
        <w:t>Sept. 4</w:t>
      </w:r>
      <w:r w:rsidRPr="006110C5">
        <w:rPr>
          <w:rFonts w:eastAsia="Calibri"/>
          <w:snapToGrid/>
          <w:kern w:val="0"/>
          <w:sz w:val="20"/>
        </w:rPr>
        <w:t xml:space="preserve">, 2019) (For dissolution information, search on “SDCEA” at </w:t>
      </w:r>
      <w:hyperlink r:id="rId4" w:history="1">
        <w:r w:rsidRPr="006110C5">
          <w:rPr>
            <w:rFonts w:eastAsia="Calibri"/>
            <w:snapToGrid/>
            <w:color w:val="0000FF"/>
            <w:kern w:val="0"/>
            <w:sz w:val="20"/>
            <w:u w:val="single"/>
          </w:rPr>
          <w:t>https://sosenterprise.sd.gov/‌BusinessServices/‌Business/FilingSearch.aspx</w:t>
        </w:r>
      </w:hyperlink>
      <w:r w:rsidRPr="006110C5">
        <w:rPr>
          <w:rFonts w:eastAsia="Calibri"/>
          <w:snapToGrid/>
          <w:kern w:val="0"/>
          <w:sz w:val="20"/>
        </w:rPr>
        <w:t xml:space="preserve">.); Report No. D-675-A, Public Notice, 1992 FCC LEXIS 7024, at *5 (Dec. 30, 1992) (announcing the grant of the pro forma assignment, W-P-C-6837).  In 2000, South Dakota Network, Inc., became South Dakota Network, LLC.  </w:t>
      </w:r>
      <w:r w:rsidRPr="006110C5">
        <w:rPr>
          <w:rFonts w:eastAsia="Calibri"/>
          <w:i/>
          <w:snapToGrid/>
          <w:kern w:val="0"/>
          <w:sz w:val="20"/>
        </w:rPr>
        <w:t>See</w:t>
      </w:r>
      <w:r w:rsidRPr="006110C5">
        <w:rPr>
          <w:rFonts w:eastAsia="Calibri"/>
          <w:snapToGrid/>
          <w:kern w:val="0"/>
          <w:sz w:val="20"/>
        </w:rPr>
        <w:t xml:space="preserve"> State of South Dakota, Certificate of Merger, Limited Liability Company (last visited </w:t>
      </w:r>
      <w:r w:rsidRPr="00C17942">
        <w:rPr>
          <w:sz w:val="20"/>
        </w:rPr>
        <w:t>Sept. 4</w:t>
      </w:r>
      <w:r w:rsidRPr="006110C5">
        <w:rPr>
          <w:rFonts w:eastAsia="Calibri"/>
          <w:snapToGrid/>
          <w:kern w:val="0"/>
          <w:sz w:val="20"/>
        </w:rPr>
        <w:t xml:space="preserve">, 2019) (For merger information, search on “South Dakota Network, LLC” at </w:t>
      </w:r>
      <w:hyperlink r:id="rId4" w:history="1">
        <w:r w:rsidRPr="006110C5">
          <w:rPr>
            <w:rStyle w:val="Hyperlink"/>
            <w:rFonts w:eastAsia="Calibri"/>
            <w:snapToGrid/>
            <w:kern w:val="0"/>
            <w:sz w:val="20"/>
          </w:rPr>
          <w:t>https://sosenterprise.sd.gov/‌BusinessServices/‌Business/FilingSearch.aspx</w:t>
        </w:r>
      </w:hyperlink>
      <w:r w:rsidRPr="006110C5">
        <w:rPr>
          <w:rFonts w:eastAsia="Calibri"/>
          <w:snapToGrid/>
          <w:kern w:val="0"/>
          <w:sz w:val="20"/>
        </w:rPr>
        <w:t>, click on “DL002688” twice, and view page 9)</w:t>
      </w:r>
      <w:bookmarkEnd w:id="487"/>
      <w:bookmarkEnd w:id="488"/>
      <w:r w:rsidRPr="006110C5">
        <w:rPr>
          <w:rFonts w:eastAsia="Calibri"/>
          <w:snapToGrid/>
          <w:kern w:val="0"/>
          <w:sz w:val="20"/>
        </w:rPr>
        <w:t>.</w:t>
      </w:r>
      <w:r>
        <w:rPr>
          <w:rFonts w:eastAsia="Calibri"/>
          <w:snapToGrid/>
          <w:kern w:val="0"/>
          <w:sz w:val="20"/>
        </w:rPr>
        <w:t xml:space="preserve">  </w:t>
      </w:r>
    </w:p>
  </w:footnote>
  <w:footnote w:id="353">
    <w:p w:rsidR="00844D1E" w:rsidP="00EB312D">
      <w:pPr>
        <w:pStyle w:val="FootnoteText"/>
      </w:pPr>
      <w:r>
        <w:rPr>
          <w:rStyle w:val="FootnoteReference"/>
        </w:rPr>
        <w:footnoteRef/>
      </w:r>
      <w:r>
        <w:t xml:space="preserve"> 47 </w:t>
      </w:r>
      <w:r w:rsidRPr="007367F6">
        <w:t xml:space="preserve">U.S.C. </w:t>
      </w:r>
      <w:bookmarkStart w:id="489" w:name="_Hlk12777651"/>
      <w:r w:rsidRPr="007367F6">
        <w:t>§</w:t>
      </w:r>
      <w:bookmarkEnd w:id="489"/>
      <w:r w:rsidRPr="007367F6">
        <w:t>§ 154(</w:t>
      </w:r>
      <w:r w:rsidRPr="007367F6">
        <w:t>i</w:t>
      </w:r>
      <w:r w:rsidRPr="007367F6">
        <w:t xml:space="preserve">), 214(c), 403; </w:t>
      </w:r>
      <w:r w:rsidRPr="007367F6">
        <w:rPr>
          <w:i/>
          <w:color w:val="000000"/>
        </w:rPr>
        <w:t xml:space="preserve">see ITT World Commc’ns, Inc., et al., </w:t>
      </w:r>
      <w:r w:rsidRPr="007367F6">
        <w:rPr>
          <w:color w:val="000000"/>
        </w:rPr>
        <w:t>File Nos. T-C-1989-1, T-C-2121-1, Memorandum Opinion, Order and Authorization, 14 F.C.C.2d 818, 821-22, paras. 12-13 (1968) (</w:t>
      </w:r>
      <w:r>
        <w:rPr>
          <w:color w:val="000000"/>
        </w:rPr>
        <w:t xml:space="preserve">modifying all section 214 authorizations relating to the overseas services of the applicants to increase the number of telephone channels); </w:t>
      </w:r>
      <w:r w:rsidRPr="00CF4D79">
        <w:rPr>
          <w:i/>
          <w:shd w:val="clear" w:color="auto" w:fill="FFFFFF"/>
        </w:rPr>
        <w:t>Blanket Section 214 Order</w:t>
      </w:r>
      <w:r w:rsidRPr="00CF4D79">
        <w:rPr>
          <w:shd w:val="clear" w:color="auto" w:fill="FFFFFF"/>
        </w:rPr>
        <w:t xml:space="preserve">, 14 FCC </w:t>
      </w:r>
      <w:r w:rsidRPr="00CF4D79">
        <w:rPr>
          <w:shd w:val="clear" w:color="auto" w:fill="FFFFFF"/>
        </w:rPr>
        <w:t>Rcd</w:t>
      </w:r>
      <w:r w:rsidRPr="00CF4D79">
        <w:rPr>
          <w:shd w:val="clear" w:color="auto" w:fill="FFFFFF"/>
        </w:rPr>
        <w:t xml:space="preserve"> at 11365, para. 1;</w:t>
      </w:r>
      <w:r w:rsidRPr="00CF4D79">
        <w:t xml:space="preserve"> </w:t>
      </w:r>
      <w:r w:rsidRPr="00CF4D79">
        <w:rPr>
          <w:i/>
        </w:rPr>
        <w:t>see</w:t>
      </w:r>
      <w:r w:rsidRPr="00DD3A58">
        <w:rPr>
          <w:i/>
        </w:rPr>
        <w:t xml:space="preserve"> also</w:t>
      </w:r>
      <w:r w:rsidRPr="000C501E">
        <w:t xml:space="preserve"> 47 CFR § 63.01. </w:t>
      </w:r>
    </w:p>
  </w:footnote>
  <w:footnote w:id="354">
    <w:p w:rsidR="00844D1E" w:rsidP="00EB312D">
      <w:pPr>
        <w:pStyle w:val="FootnoteText"/>
      </w:pPr>
      <w:r>
        <w:rPr>
          <w:rStyle w:val="FootnoteReference"/>
        </w:rPr>
        <w:footnoteRef/>
      </w:r>
      <w:r>
        <w:t xml:space="preserve"> </w:t>
      </w:r>
      <w:r w:rsidRPr="00E173B2">
        <w:rPr>
          <w:i/>
        </w:rPr>
        <w:t>E.g.</w:t>
      </w:r>
      <w:r>
        <w:t xml:space="preserve">, Letter from </w:t>
      </w:r>
      <w:r w:rsidRPr="00E173B2">
        <w:t>Rebekah Goodheart,</w:t>
      </w:r>
      <w:r>
        <w:t xml:space="preserve"> Counsel for NTCA, to Marlene Dortch, Secretary, FCC, WC Docket No. 18-155, at 1 (filed June 11, 2019)</w:t>
      </w:r>
      <w:r w:rsidRPr="00F15000">
        <w:t xml:space="preserve"> </w:t>
      </w:r>
      <w:r w:rsidRPr="00E45F0D">
        <w:t>(requesting that any reforms adopted in this proceeding</w:t>
      </w:r>
      <w:r w:rsidRPr="00E757C6">
        <w:t xml:space="preserve"> “do not sweep so broadly as to affect innocent” LECs)</w:t>
      </w:r>
      <w:r>
        <w:t>.</w:t>
      </w:r>
    </w:p>
  </w:footnote>
  <w:footnote w:id="355">
    <w:p w:rsidR="00844D1E" w:rsidRPr="00710EB8" w:rsidP="00EB312D">
      <w:pPr>
        <w:pStyle w:val="FootnoteText"/>
      </w:pPr>
      <w:r>
        <w:rPr>
          <w:rStyle w:val="FootnoteReference"/>
        </w:rPr>
        <w:footnoteRef/>
      </w:r>
      <w:r>
        <w:t xml:space="preserve"> Letter from Jeffry H. Smith, President and CEO, GVNW Consulting, Inc., to Marlene Dortch, Secretary, FCC, WC Docket No. 18-155, at 2 (filed </w:t>
      </w:r>
      <w:r w:rsidRPr="00710EB8">
        <w:t>July 12, 2018</w:t>
      </w:r>
      <w:r>
        <w:t>)</w:t>
      </w:r>
      <w:r w:rsidRPr="00710EB8">
        <w:t>.</w:t>
      </w:r>
    </w:p>
  </w:footnote>
  <w:footnote w:id="356">
    <w:p w:rsidR="00844D1E" w:rsidP="00EB312D">
      <w:pPr>
        <w:pStyle w:val="FootnoteText"/>
      </w:pPr>
      <w:r>
        <w:rPr>
          <w:rStyle w:val="FootnoteReference"/>
        </w:rPr>
        <w:footnoteRef/>
      </w:r>
      <w:r>
        <w:t xml:space="preserve"> 47 U.S.C. § 214(c).</w:t>
      </w:r>
    </w:p>
  </w:footnote>
  <w:footnote w:id="357">
    <w:p w:rsidR="00844D1E" w:rsidP="00EB312D">
      <w:pPr>
        <w:pStyle w:val="FootnoteText"/>
      </w:pPr>
      <w:r>
        <w:rPr>
          <w:rStyle w:val="FootnoteReference"/>
        </w:rPr>
        <w:footnoteRef/>
      </w:r>
      <w:r>
        <w:rPr>
          <w:i/>
          <w:spacing w:val="-1"/>
        </w:rPr>
        <w:t xml:space="preserve"> </w:t>
      </w:r>
      <w:r w:rsidRPr="009419C4">
        <w:rPr>
          <w:i/>
          <w:spacing w:val="-1"/>
        </w:rPr>
        <w:t>Aureon</w:t>
      </w:r>
      <w:r w:rsidRPr="009419C4">
        <w:rPr>
          <w:i/>
          <w:spacing w:val="-1"/>
        </w:rPr>
        <w:t xml:space="preserve"> Section 214 Order</w:t>
      </w:r>
      <w:r w:rsidRPr="00B51F53">
        <w:rPr>
          <w:spacing w:val="-1"/>
        </w:rPr>
        <w:t>,</w:t>
      </w:r>
      <w:r w:rsidRPr="00B51F53">
        <w:rPr>
          <w:spacing w:val="-3"/>
        </w:rPr>
        <w:t xml:space="preserve"> </w:t>
      </w:r>
      <w:r w:rsidRPr="00B51F53">
        <w:t>3</w:t>
      </w:r>
      <w:r w:rsidRPr="00B51F53">
        <w:rPr>
          <w:spacing w:val="-4"/>
        </w:rPr>
        <w:t xml:space="preserve"> </w:t>
      </w:r>
      <w:r w:rsidRPr="00B51F53">
        <w:t>FCC</w:t>
      </w:r>
      <w:r w:rsidRPr="00B51F53">
        <w:rPr>
          <w:spacing w:val="-6"/>
        </w:rPr>
        <w:t xml:space="preserve"> </w:t>
      </w:r>
      <w:r w:rsidRPr="00B51F53">
        <w:rPr>
          <w:spacing w:val="-1"/>
        </w:rPr>
        <w:t>Rcd</w:t>
      </w:r>
      <w:r>
        <w:rPr>
          <w:spacing w:val="-1"/>
        </w:rPr>
        <w:t xml:space="preserve"> at</w:t>
      </w:r>
      <w:r w:rsidRPr="00B51F53">
        <w:rPr>
          <w:spacing w:val="-1"/>
        </w:rPr>
        <w:t xml:space="preserve"> </w:t>
      </w:r>
      <w:r w:rsidRPr="00B51F53">
        <w:t>1468</w:t>
      </w:r>
      <w:r>
        <w:t>-69, paras. 6-10</w:t>
      </w:r>
      <w:r w:rsidRPr="00B51F53">
        <w:t>;</w:t>
      </w:r>
      <w:r>
        <w:t xml:space="preserve"> </w:t>
      </w:r>
      <w:r w:rsidRPr="009419C4">
        <w:rPr>
          <w:i/>
        </w:rPr>
        <w:t>SDN Section 214 Order</w:t>
      </w:r>
      <w:r w:rsidRPr="00CD6461">
        <w:t>,</w:t>
      </w:r>
      <w:r>
        <w:t xml:space="preserve"> 5 FCC </w:t>
      </w:r>
      <w:r>
        <w:t>Rcd</w:t>
      </w:r>
      <w:r>
        <w:t xml:space="preserve"> at 6978, para. 1. </w:t>
      </w:r>
    </w:p>
  </w:footnote>
  <w:footnote w:id="358">
    <w:p w:rsidR="00844D1E" w:rsidP="00EB312D">
      <w:pPr>
        <w:pStyle w:val="FootnoteText"/>
      </w:pPr>
      <w:r>
        <w:rPr>
          <w:rStyle w:val="FootnoteReference"/>
        </w:rPr>
        <w:footnoteRef/>
      </w:r>
      <w:r>
        <w:t xml:space="preserve"> </w:t>
      </w:r>
      <w:r w:rsidRPr="00D72B20">
        <w:rPr>
          <w:i/>
        </w:rPr>
        <w:t>Aureon</w:t>
      </w:r>
      <w:r w:rsidRPr="00D72B20">
        <w:rPr>
          <w:i/>
        </w:rPr>
        <w:t xml:space="preserve"> Section 214 Order</w:t>
      </w:r>
      <w:r w:rsidRPr="00D72B20">
        <w:t xml:space="preserve">, 3 FCC </w:t>
      </w:r>
      <w:r w:rsidRPr="00D72B20">
        <w:t>Rcd</w:t>
      </w:r>
      <w:r w:rsidRPr="00D72B20">
        <w:t xml:space="preserve"> at 146</w:t>
      </w:r>
      <w:r>
        <w:t>8-6</w:t>
      </w:r>
      <w:r w:rsidRPr="00D72B20">
        <w:t>9, para</w:t>
      </w:r>
      <w:r>
        <w:t>s</w:t>
      </w:r>
      <w:r w:rsidRPr="00D72B20">
        <w:t xml:space="preserve">. </w:t>
      </w:r>
      <w:r>
        <w:t>6-10.</w:t>
      </w:r>
    </w:p>
  </w:footnote>
  <w:footnote w:id="359">
    <w:p w:rsidR="00844D1E" w:rsidRPr="00D72B20" w:rsidP="00EB312D">
      <w:pPr>
        <w:widowControl/>
        <w:autoSpaceDE w:val="0"/>
        <w:autoSpaceDN w:val="0"/>
        <w:adjustRightInd w:val="0"/>
        <w:spacing w:after="120"/>
        <w:rPr>
          <w:sz w:val="20"/>
        </w:rPr>
      </w:pPr>
      <w:r>
        <w:rPr>
          <w:rStyle w:val="FootnoteReference"/>
        </w:rPr>
        <w:footnoteRef/>
      </w:r>
      <w:r w:rsidRPr="00437034">
        <w:rPr>
          <w:sz w:val="20"/>
        </w:rPr>
        <w:t xml:space="preserve"> </w:t>
      </w:r>
      <w:r w:rsidRPr="00C17942">
        <w:rPr>
          <w:i/>
          <w:sz w:val="20"/>
        </w:rPr>
        <w:t>Id</w:t>
      </w:r>
      <w:r w:rsidRPr="00C17942">
        <w:rPr>
          <w:sz w:val="20"/>
        </w:rPr>
        <w:t>.</w:t>
      </w:r>
      <w:r w:rsidRPr="00D72B20">
        <w:rPr>
          <w:sz w:val="20"/>
        </w:rPr>
        <w:t xml:space="preserve"> at 1469, para. 9</w:t>
      </w:r>
      <w:r>
        <w:rPr>
          <w:sz w:val="20"/>
        </w:rPr>
        <w:t xml:space="preserve"> (footnotes omitted)</w:t>
      </w:r>
      <w:r w:rsidRPr="00D72B20">
        <w:rPr>
          <w:snapToGrid/>
          <w:color w:val="000000"/>
          <w:kern w:val="0"/>
          <w:sz w:val="20"/>
        </w:rPr>
        <w:t>.</w:t>
      </w:r>
    </w:p>
  </w:footnote>
  <w:footnote w:id="360">
    <w:p w:rsidR="00844D1E" w:rsidP="00EB312D">
      <w:pPr>
        <w:pStyle w:val="FootnoteText"/>
      </w:pPr>
      <w:r>
        <w:rPr>
          <w:rStyle w:val="FootnoteReference"/>
        </w:rPr>
        <w:footnoteRef/>
      </w:r>
      <w:r>
        <w:t xml:space="preserve"> 47 U.S.C. § 214(c); </w:t>
      </w:r>
      <w:r w:rsidRPr="006930EC">
        <w:rPr>
          <w:i/>
        </w:rPr>
        <w:t>id.</w:t>
      </w:r>
      <w:r>
        <w:rPr>
          <w:i/>
        </w:rPr>
        <w:t xml:space="preserve"> </w:t>
      </w:r>
      <w:r>
        <w:t>§ 154(</w:t>
      </w:r>
      <w:r>
        <w:t>i</w:t>
      </w:r>
      <w:r>
        <w:t>) (“The Commission may perform any and all acts, make such rules and regulations, and issue such orders</w:t>
      </w:r>
      <w:r>
        <w:t>, .</w:t>
      </w:r>
      <w:r>
        <w:t xml:space="preserve"> . . as may be necessary in the execution of its functions.”); </w:t>
      </w:r>
      <w:r w:rsidRPr="002A6F37">
        <w:rPr>
          <w:i/>
        </w:rPr>
        <w:t>id.</w:t>
      </w:r>
      <w:r>
        <w:t xml:space="preserve"> §§ </w:t>
      </w:r>
      <w:r w:rsidRPr="00B31EB3">
        <w:t>1</w:t>
      </w:r>
      <w:r>
        <w:t xml:space="preserve">54(j), 403; </w:t>
      </w:r>
      <w:r w:rsidRPr="00851752">
        <w:rPr>
          <w:i/>
        </w:rPr>
        <w:t>see generally</w:t>
      </w:r>
      <w:r>
        <w:t xml:space="preserve"> </w:t>
      </w:r>
      <w:r w:rsidRPr="00851752">
        <w:rPr>
          <w:i/>
        </w:rPr>
        <w:t>International Settlement Rates</w:t>
      </w:r>
      <w:r>
        <w:t xml:space="preserve">, IB Docket No. 96-261, Report and Order, 12 FCC </w:t>
      </w:r>
      <w:r>
        <w:t>Rcd</w:t>
      </w:r>
      <w:r>
        <w:t xml:space="preserve"> 19806, 19910, para. 228 (1997) (applying conditions to existing holders of section 214 certificates).</w:t>
      </w:r>
    </w:p>
  </w:footnote>
  <w:footnote w:id="361">
    <w:p w:rsidR="00844D1E" w:rsidRPr="009B6DDD" w:rsidP="00EB312D">
      <w:pPr>
        <w:pStyle w:val="FootnoteText"/>
      </w:pPr>
      <w:r>
        <w:rPr>
          <w:rStyle w:val="FootnoteReference"/>
        </w:rPr>
        <w:footnoteRef/>
      </w:r>
      <w:r>
        <w:t xml:space="preserve"> </w:t>
      </w:r>
      <w:r>
        <w:rPr>
          <w:i/>
        </w:rPr>
        <w:t>Access Arbitrage Notice</w:t>
      </w:r>
      <w:r>
        <w:t xml:space="preserve">, 33 FCC </w:t>
      </w:r>
      <w:r>
        <w:t>Rcd</w:t>
      </w:r>
      <w:r>
        <w:rPr>
          <w:i/>
        </w:rPr>
        <w:t xml:space="preserve"> </w:t>
      </w:r>
      <w:r>
        <w:t>at 5484-94, Appx. B.</w:t>
      </w:r>
    </w:p>
  </w:footnote>
  <w:footnote w:id="362">
    <w:p w:rsidR="00844D1E" w:rsidRPr="00B82FB6" w:rsidP="00EB312D">
      <w:pPr>
        <w:pStyle w:val="FootnoteText"/>
      </w:pPr>
      <w:r>
        <w:rPr>
          <w:rStyle w:val="FootnoteReference"/>
        </w:rPr>
        <w:footnoteRef/>
      </w:r>
      <w:r>
        <w:t xml:space="preserve"> In the </w:t>
      </w:r>
      <w:r>
        <w:rPr>
          <w:i/>
        </w:rPr>
        <w:t>Access Arbitrage Notice</w:t>
      </w:r>
      <w:r>
        <w:t xml:space="preserve">, the Commission specifically sought comment on how it might further reduce the information collection burden for businesses with fewer than 25 employees that may be affected by the proposed rules but received none.  </w:t>
      </w:r>
      <w:r>
        <w:rPr>
          <w:i/>
        </w:rPr>
        <w:t>See Access Arbitrage Notice</w:t>
      </w:r>
      <w:r>
        <w:t xml:space="preserve">, 33 FCC </w:t>
      </w:r>
      <w:r>
        <w:t>Rcd</w:t>
      </w:r>
      <w:r>
        <w:rPr>
          <w:i/>
        </w:rPr>
        <w:t xml:space="preserve"> </w:t>
      </w:r>
      <w:r>
        <w:t>at 5480, para. 41.</w:t>
      </w:r>
    </w:p>
  </w:footnote>
  <w:footnote w:id="363">
    <w:p w:rsidR="00844D1E" w:rsidP="00EB312D">
      <w:pPr>
        <w:pStyle w:val="FootnoteText"/>
      </w:pPr>
      <w:r w:rsidRPr="00C76AC5">
        <w:rPr>
          <w:rStyle w:val="FootnoteReference"/>
        </w:rPr>
        <w:footnoteRef/>
      </w:r>
      <w:r>
        <w:t xml:space="preserve"> </w:t>
      </w:r>
      <w:r>
        <w:rPr>
          <w:i/>
        </w:rPr>
        <w:t>See</w:t>
      </w:r>
      <w:r>
        <w:t xml:space="preserve"> 5 U.S.C. § 604.  The RFA, </w:t>
      </w:r>
      <w:r>
        <w:rPr>
          <w:i/>
        </w:rPr>
        <w:t>see</w:t>
      </w:r>
      <w:r>
        <w:t xml:space="preserve"> 5 U.S.C. §§ 601-612, has been amended by the Small Business Regulatory Enforcement Fairness Act of 1996 (SBREFA), Pub. L. No. 104-121, Title II, 110 Stat. 847 (1996).  The SBREFA was enacted as Title II of the Contract with America Advancement Act of 1996 (CWAAA).</w:t>
      </w:r>
    </w:p>
  </w:footnote>
  <w:footnote w:id="364">
    <w:p w:rsidR="00844D1E" w:rsidRPr="000F2933" w:rsidP="00EB312D">
      <w:pPr>
        <w:pStyle w:val="Default"/>
        <w:spacing w:after="120"/>
        <w:rPr>
          <w:rFonts w:ascii="Times New Roman" w:hAnsi="Times New Roman" w:cs="Times New Roman"/>
          <w:sz w:val="20"/>
          <w:szCs w:val="20"/>
        </w:rPr>
      </w:pPr>
      <w:r w:rsidRPr="00F726AF">
        <w:rPr>
          <w:rStyle w:val="FootnoteReference"/>
        </w:rPr>
        <w:footnoteRef/>
      </w:r>
      <w:r w:rsidRPr="00F726AF">
        <w:rPr>
          <w:sz w:val="20"/>
          <w:szCs w:val="20"/>
        </w:rPr>
        <w:t xml:space="preserve"> </w:t>
      </w:r>
      <w:r w:rsidRPr="000F2933">
        <w:rPr>
          <w:rFonts w:ascii="Times New Roman" w:hAnsi="Times New Roman" w:cs="Times New Roman"/>
          <w:i/>
          <w:iCs/>
          <w:sz w:val="20"/>
          <w:szCs w:val="20"/>
        </w:rPr>
        <w:t xml:space="preserve">See </w:t>
      </w:r>
      <w:r w:rsidRPr="000F2933">
        <w:rPr>
          <w:rFonts w:ascii="Times New Roman" w:hAnsi="Times New Roman" w:cs="Times New Roman"/>
          <w:sz w:val="20"/>
          <w:szCs w:val="20"/>
        </w:rPr>
        <w:t xml:space="preserve">5 U.S.C. </w:t>
      </w:r>
      <w:r>
        <w:rPr>
          <w:rFonts w:ascii="Times New Roman" w:hAnsi="Times New Roman" w:cs="Times New Roman"/>
          <w:sz w:val="20"/>
          <w:szCs w:val="20"/>
        </w:rPr>
        <w:t>§ </w:t>
      </w:r>
      <w:r w:rsidRPr="000F2933">
        <w:rPr>
          <w:rFonts w:ascii="Times New Roman" w:hAnsi="Times New Roman" w:cs="Times New Roman"/>
          <w:sz w:val="20"/>
          <w:szCs w:val="20"/>
        </w:rPr>
        <w:t xml:space="preserve">603. The RFA, </w:t>
      </w:r>
      <w:r w:rsidRPr="000F2933">
        <w:rPr>
          <w:rFonts w:ascii="Times New Roman" w:hAnsi="Times New Roman" w:cs="Times New Roman"/>
          <w:i/>
          <w:iCs/>
          <w:sz w:val="20"/>
          <w:szCs w:val="20"/>
        </w:rPr>
        <w:t xml:space="preserve">see </w:t>
      </w:r>
      <w:r w:rsidRPr="000F2933">
        <w:rPr>
          <w:rFonts w:ascii="Times New Roman" w:hAnsi="Times New Roman" w:cs="Times New Roman"/>
          <w:sz w:val="20"/>
          <w:szCs w:val="20"/>
        </w:rPr>
        <w:t xml:space="preserve">5 U.S.C. </w:t>
      </w:r>
      <w:r>
        <w:rPr>
          <w:rFonts w:ascii="Times New Roman" w:hAnsi="Times New Roman" w:cs="Times New Roman"/>
          <w:sz w:val="20"/>
          <w:szCs w:val="20"/>
        </w:rPr>
        <w:t>§ </w:t>
      </w:r>
      <w:r w:rsidRPr="000F2933">
        <w:rPr>
          <w:rFonts w:ascii="Times New Roman" w:hAnsi="Times New Roman" w:cs="Times New Roman"/>
          <w:sz w:val="20"/>
          <w:szCs w:val="20"/>
        </w:rPr>
        <w:t>601–612, has been amended by the Small Business Regulatory Enforcement Fairness Act of 1996 (SBREFA), Pub. L. No. 104-121, Title II, 110 Stat. 857 (1996).</w:t>
      </w:r>
    </w:p>
  </w:footnote>
  <w:footnote w:id="365">
    <w:p w:rsidR="00844D1E" w:rsidRPr="000F2933" w:rsidP="00EB312D">
      <w:pPr>
        <w:pStyle w:val="FootnoteText"/>
      </w:pPr>
      <w:r w:rsidRPr="000F2933">
        <w:rPr>
          <w:rStyle w:val="FootnoteReference"/>
        </w:rPr>
        <w:footnoteRef/>
      </w:r>
      <w:r w:rsidRPr="000F2933">
        <w:t xml:space="preserve"> </w:t>
      </w:r>
      <w:r w:rsidRPr="000F2933">
        <w:rPr>
          <w:i/>
        </w:rPr>
        <w:t>Updating the Intercarrier Compensation Regime to Eliminate Access Arbitrage</w:t>
      </w:r>
      <w:r w:rsidRPr="000F2933">
        <w:t xml:space="preserve">, WC Docket No. 18-155, Notice of Proposed Rulemaking, 33 FCC </w:t>
      </w:r>
      <w:r w:rsidRPr="000F2933">
        <w:t>Rcd</w:t>
      </w:r>
      <w:r w:rsidRPr="000F2933">
        <w:t xml:space="preserve"> 5466, 5484, Appx. B (2018) (</w:t>
      </w:r>
      <w:r w:rsidRPr="000F2933">
        <w:rPr>
          <w:i/>
        </w:rPr>
        <w:t>Access Arbitrage</w:t>
      </w:r>
      <w:r w:rsidRPr="000F2933">
        <w:t xml:space="preserve"> </w:t>
      </w:r>
      <w:r w:rsidRPr="000F2933">
        <w:rPr>
          <w:i/>
        </w:rPr>
        <w:t>N</w:t>
      </w:r>
      <w:r>
        <w:rPr>
          <w:i/>
        </w:rPr>
        <w:t>otice</w:t>
      </w:r>
      <w:r w:rsidRPr="000F2933">
        <w:t>).</w:t>
      </w:r>
    </w:p>
  </w:footnote>
  <w:footnote w:id="366">
    <w:p w:rsidR="00844D1E" w:rsidRPr="000F2933" w:rsidP="00EB312D">
      <w:pPr>
        <w:pStyle w:val="FootnoteText"/>
      </w:pPr>
      <w:r w:rsidRPr="000F2933">
        <w:rPr>
          <w:rStyle w:val="FootnoteReference"/>
        </w:rPr>
        <w:footnoteRef/>
      </w:r>
      <w:r w:rsidRPr="000F2933">
        <w:t xml:space="preserve"> </w:t>
      </w:r>
      <w:r w:rsidRPr="000F2933">
        <w:rPr>
          <w:i/>
        </w:rPr>
        <w:t>See</w:t>
      </w:r>
      <w:r w:rsidRPr="000F2933">
        <w:t xml:space="preserve"> 5 U.S.C. </w:t>
      </w:r>
      <w:r>
        <w:t>§ </w:t>
      </w:r>
      <w:r w:rsidRPr="000F2933">
        <w:t>604.</w:t>
      </w:r>
    </w:p>
  </w:footnote>
  <w:footnote w:id="367">
    <w:p w:rsidR="00844D1E" w:rsidRPr="000F2933" w:rsidP="00EB312D">
      <w:pPr>
        <w:pStyle w:val="FootnoteText"/>
      </w:pPr>
      <w:r w:rsidRPr="000F2933">
        <w:rPr>
          <w:rStyle w:val="FootnoteReference"/>
        </w:rPr>
        <w:footnoteRef/>
      </w:r>
      <w:r w:rsidRPr="000F2933">
        <w:t xml:space="preserve"> </w:t>
      </w:r>
      <w:r w:rsidRPr="000F2933">
        <w:rPr>
          <w:i/>
        </w:rPr>
        <w:t>See, e.g.</w:t>
      </w:r>
      <w:r w:rsidRPr="000F2933">
        <w:t xml:space="preserve">, </w:t>
      </w:r>
      <w:r w:rsidRPr="004F3FA2">
        <w:rPr>
          <w:i/>
          <w:iCs/>
        </w:rPr>
        <w:t>Connect America Fund et al.</w:t>
      </w:r>
      <w:r w:rsidRPr="004F3FA2">
        <w:t>, WC Docket No. 10-90 et al., Report and Order and Further Notice of Prop</w:t>
      </w:r>
      <w:r w:rsidRPr="00E10000">
        <w:t xml:space="preserve">osed Rulemaking, 26 FCC </w:t>
      </w:r>
      <w:r w:rsidRPr="00E10000">
        <w:t>Rcd</w:t>
      </w:r>
      <w:r w:rsidRPr="00E10000">
        <w:t xml:space="preserve"> 17663</w:t>
      </w:r>
      <w:r>
        <w:t>, 18112, para. 1306</w:t>
      </w:r>
      <w:r w:rsidRPr="00E10000">
        <w:t xml:space="preserve"> (2011) (</w:t>
      </w:r>
      <w:r w:rsidRPr="00E10000">
        <w:rPr>
          <w:i/>
        </w:rPr>
        <w:t>USF/ICC Transformation Order</w:t>
      </w:r>
      <w:r w:rsidRPr="00E10000">
        <w:t>)</w:t>
      </w:r>
      <w:r>
        <w:t xml:space="preserve"> </w:t>
      </w:r>
      <w:r w:rsidRPr="000F2933">
        <w:t xml:space="preserve">(“The initial </w:t>
      </w:r>
      <w:r w:rsidRPr="000F2933">
        <w:t xml:space="preserve">transition </w:t>
      </w:r>
      <w:r>
        <w:t>.</w:t>
      </w:r>
      <w:r>
        <w:t> . .</w:t>
      </w:r>
      <w:r w:rsidRPr="000F2933">
        <w:t xml:space="preserve"> does not fully address tandem switching and transport charges.”)</w:t>
      </w:r>
      <w:r w:rsidRPr="00E10000">
        <w:t>,</w:t>
      </w:r>
      <w:r w:rsidRPr="00E10000">
        <w:rPr>
          <w:i/>
        </w:rPr>
        <w:t xml:space="preserve"> aff’d</w:t>
      </w:r>
      <w:r w:rsidRPr="00E10000">
        <w:t xml:space="preserve">, </w:t>
      </w:r>
      <w:r w:rsidRPr="00E10000">
        <w:rPr>
          <w:i/>
        </w:rPr>
        <w:t>In re FCC 11-161</w:t>
      </w:r>
      <w:r w:rsidRPr="00E10000">
        <w:t>, 753 F.3d 1015 (10</w:t>
      </w:r>
      <w:r w:rsidRPr="00E10000">
        <w:rPr>
          <w:vertAlign w:val="superscript"/>
        </w:rPr>
        <w:t>th</w:t>
      </w:r>
      <w:r w:rsidRPr="00E10000">
        <w:t xml:space="preserve"> Cir. 2014)</w:t>
      </w:r>
      <w:r>
        <w:t xml:space="preserve">; </w:t>
      </w:r>
      <w:r w:rsidRPr="000F2933">
        <w:t>AT&amp;T Comments at 1 (“[I]n the years since the [</w:t>
      </w:r>
      <w:r w:rsidRPr="000F2933">
        <w:rPr>
          <w:i/>
        </w:rPr>
        <w:t>USF/ICC</w:t>
      </w:r>
      <w:r w:rsidRPr="000F2933">
        <w:t xml:space="preserve">] </w:t>
      </w:r>
      <w:r w:rsidRPr="000F2933">
        <w:rPr>
          <w:i/>
        </w:rPr>
        <w:t>Transformation Order</w:t>
      </w:r>
      <w:r w:rsidRPr="000F2933">
        <w:t xml:space="preserve">, access-stimulating LECs, particularly those in rural areas, have found new ways around the intercarrier compensation and access stimulation rules.”); </w:t>
      </w:r>
      <w:r>
        <w:t xml:space="preserve">Letter from Matthew </w:t>
      </w:r>
      <w:r>
        <w:t>Nodine</w:t>
      </w:r>
      <w:r>
        <w:t xml:space="preserve">, Asst. VP, Federal Regulatory, AT&amp;T Services, Inc., to Marlene Dortch, Secretary, FCC, WC Docket No. 18-155, at 9 (filed Apr. 9, 2019) (AT&amp;T Apr. 9, 2019 </w:t>
      </w:r>
      <w:r w:rsidRPr="00CA01B2">
        <w:rPr>
          <w:i/>
        </w:rPr>
        <w:t>Ex Parte</w:t>
      </w:r>
      <w:r>
        <w:t>)</w:t>
      </w:r>
      <w:r w:rsidRPr="000F2933">
        <w:t xml:space="preserve"> (“[A]</w:t>
      </w:r>
      <w:r w:rsidRPr="000F2933">
        <w:t>ccess</w:t>
      </w:r>
      <w:r w:rsidRPr="000F2933">
        <w:t xml:space="preserve"> stimulators are able to continue to engage in such schemes by exploiting tandem and transport charges:  either directly, through excessive and unnecessary tariffed transport rates, or via contractual arrangements where the price of transport is still excessive but offered at a slight discount from the tariff rates of intermediate transport providers.”).</w:t>
      </w:r>
      <w:r>
        <w:t xml:space="preserve">  </w:t>
      </w:r>
    </w:p>
  </w:footnote>
  <w:footnote w:id="368">
    <w:p w:rsidR="00844D1E" w:rsidRPr="000F2933" w:rsidP="00EB312D">
      <w:pPr>
        <w:pStyle w:val="FootnoteText"/>
      </w:pPr>
      <w:r w:rsidRPr="000F2933">
        <w:rPr>
          <w:rStyle w:val="FootnoteReference"/>
        </w:rPr>
        <w:footnoteRef/>
      </w:r>
      <w:r w:rsidRPr="000F2933">
        <w:t xml:space="preserve"> CenturyLink Comments at 1 (“CenturyLink echoes the Commission’s concerns regarding these practices, which are currently imposing significant harms on the industry and undermining the Commission’s [ICC] regime.”); HD Tandem Comments at </w:t>
      </w:r>
      <w:r>
        <w:t>7</w:t>
      </w:r>
      <w:r w:rsidRPr="000F2933">
        <w:t xml:space="preserve"> (“HD Tandem agrees with the FCC that access stimulation continues to exist in the marketplace </w:t>
      </w:r>
      <w:r w:rsidRPr="006227C0">
        <w:t>today.” (footnote omitted)); NCTA Comments at 2; Sprint Comments at 1; Verizon Comments at 1, 6;</w:t>
      </w:r>
      <w:r w:rsidRPr="000F2933">
        <w:t xml:space="preserve"> Sprint Reply at 1-2; </w:t>
      </w:r>
      <w:r w:rsidRPr="000F2933">
        <w:rPr>
          <w:i/>
        </w:rPr>
        <w:t xml:space="preserve">see also </w:t>
      </w:r>
      <w:r w:rsidRPr="000F2933">
        <w:t xml:space="preserve">Peerless </w:t>
      </w:r>
      <w:r>
        <w:t>Network, Inc., and Affinity Network, Inc. d/b/a ANI Networks</w:t>
      </w:r>
      <w:r w:rsidRPr="000F2933">
        <w:t xml:space="preserve"> Comments at 5; AT&amp;T Reply at 2.</w:t>
      </w:r>
    </w:p>
  </w:footnote>
  <w:footnote w:id="369">
    <w:p w:rsidR="00844D1E" w:rsidRPr="000F2933" w:rsidP="00EB312D">
      <w:pPr>
        <w:pStyle w:val="FootnoteText"/>
      </w:pPr>
      <w:r w:rsidRPr="000F2933">
        <w:rPr>
          <w:rStyle w:val="FootnoteReference"/>
        </w:rPr>
        <w:footnoteRef/>
      </w:r>
      <w:r w:rsidRPr="000F2933">
        <w:t xml:space="preserve"> </w:t>
      </w:r>
      <w:r w:rsidRPr="000F2933">
        <w:rPr>
          <w:i/>
        </w:rPr>
        <w:t>See generally</w:t>
      </w:r>
      <w:r w:rsidRPr="000F2933">
        <w:t xml:space="preserve"> </w:t>
      </w:r>
      <w:r w:rsidRPr="000F2933">
        <w:rPr>
          <w:i/>
        </w:rPr>
        <w:t>USF/ICC Transformation Order</w:t>
      </w:r>
      <w:r w:rsidRPr="000F2933">
        <w:t xml:space="preserve">, 26 FCC </w:t>
      </w:r>
      <w:r w:rsidRPr="000F2933">
        <w:t>Rcd</w:t>
      </w:r>
      <w:r w:rsidRPr="000F2933">
        <w:t xml:space="preserve"> at 17908, para. 745 (“A consequent effect of the existing intercarrier compensation regime is that it allows carriers to shift recovery of the costs of their local networks to other providers because subscribers do not have accurate pricing signals to allow them to identify lower-cost or more efficient providers.”); </w:t>
      </w:r>
      <w:r w:rsidRPr="000F2933">
        <w:rPr>
          <w:i/>
        </w:rPr>
        <w:t>see also</w:t>
      </w:r>
      <w:r w:rsidRPr="000F2933">
        <w:t xml:space="preserve"> Peerless </w:t>
      </w:r>
      <w:r>
        <w:t xml:space="preserve">Network, Inc., et al. </w:t>
      </w:r>
      <w:r w:rsidRPr="006227C0">
        <w:t xml:space="preserve">Comments, WC Docket No. 10-90; CC Docket No. 01-92, at 13-15, 18-19 (rec. Oct. 26, 2017); </w:t>
      </w:r>
      <w:r w:rsidRPr="00D04A44">
        <w:t xml:space="preserve">Letter from Matthew </w:t>
      </w:r>
      <w:r w:rsidRPr="00D04A44">
        <w:t>Nodine</w:t>
      </w:r>
      <w:r w:rsidRPr="00D04A44">
        <w:t>, Assistant Vice President,</w:t>
      </w:r>
      <w:r>
        <w:t xml:space="preserve"> Federal Regulatory, AT&amp;T Services, Inc., to Marlene Dortch, Secretary, FCC, CC Docket No. 01-92; WC Docket Nos. 07-135, 10-90 and 18-155, at 3 (filed June 12, 2019)</w:t>
      </w:r>
      <w:r w:rsidRPr="000F2933">
        <w:t>.</w:t>
      </w:r>
    </w:p>
  </w:footnote>
  <w:footnote w:id="370">
    <w:p w:rsidR="00844D1E" w:rsidRPr="000F2933" w:rsidP="00EB312D">
      <w:pPr>
        <w:pStyle w:val="FootnoteText"/>
      </w:pPr>
      <w:r w:rsidRPr="000F2933">
        <w:rPr>
          <w:rStyle w:val="FootnoteReference"/>
        </w:rPr>
        <w:footnoteRef/>
      </w:r>
      <w:r w:rsidRPr="000F2933">
        <w:t xml:space="preserve"> West Reply at 4; AT&amp;T Reply at 2-3; CenturyLink Comments at 7.</w:t>
      </w:r>
    </w:p>
  </w:footnote>
  <w:footnote w:id="371">
    <w:p w:rsidR="00844D1E" w:rsidRPr="000F2933" w:rsidP="00EB312D">
      <w:pPr>
        <w:pStyle w:val="FootnoteText"/>
      </w:pPr>
      <w:r w:rsidRPr="000F2933">
        <w:rPr>
          <w:rStyle w:val="FootnoteReference"/>
        </w:rPr>
        <w:footnoteRef/>
      </w:r>
      <w:r w:rsidRPr="000F2933">
        <w:t xml:space="preserve"> </w:t>
      </w:r>
      <w:r w:rsidRPr="000F2933">
        <w:rPr>
          <w:i/>
        </w:rPr>
        <w:t xml:space="preserve">See </w:t>
      </w:r>
      <w:r>
        <w:rPr>
          <w:i/>
        </w:rPr>
        <w:t>supra</w:t>
      </w:r>
      <w:r w:rsidRPr="000F2933">
        <w:t xml:space="preserve"> Appx. A, 47 CFR § 61.3(</w:t>
      </w:r>
      <w:r w:rsidRPr="000F2933">
        <w:t>bbb</w:t>
      </w:r>
      <w:r w:rsidRPr="000F2933">
        <w:t xml:space="preserve">). </w:t>
      </w:r>
    </w:p>
  </w:footnote>
  <w:footnote w:id="372">
    <w:p w:rsidR="00844D1E" w:rsidP="00EB312D">
      <w:pPr>
        <w:pStyle w:val="FootnoteText"/>
      </w:pPr>
      <w:r>
        <w:rPr>
          <w:rStyle w:val="FootnoteReference"/>
        </w:rPr>
        <w:footnoteRef/>
      </w:r>
      <w:r>
        <w:t xml:space="preserve"> </w:t>
      </w:r>
      <w:r w:rsidRPr="00390C39">
        <w:rPr>
          <w:i/>
        </w:rPr>
        <w:t xml:space="preserve">See </w:t>
      </w:r>
      <w:r>
        <w:t xml:space="preserve">Letter from Leo A. Wrobel, CEO, </w:t>
      </w:r>
      <w:r>
        <w:t>FailSafe</w:t>
      </w:r>
      <w:r>
        <w:t xml:space="preserve"> Communications Inc., to Marlene Dortch, Secretary, FCC, WC Docket No. 18-155, at 4-5 (filed Sept. 13, 2019).</w:t>
      </w:r>
    </w:p>
  </w:footnote>
  <w:footnote w:id="373">
    <w:p w:rsidR="00844D1E" w:rsidP="00EB312D">
      <w:pPr>
        <w:pStyle w:val="FootnoteText"/>
      </w:pPr>
      <w:r>
        <w:rPr>
          <w:rStyle w:val="FootnoteReference"/>
        </w:rPr>
        <w:footnoteRef/>
      </w:r>
      <w:r>
        <w:t xml:space="preserve"> </w:t>
      </w:r>
      <w:r w:rsidRPr="0086051E">
        <w:rPr>
          <w:i/>
        </w:rPr>
        <w:t xml:space="preserve">See </w:t>
      </w:r>
      <w:r w:rsidRPr="002A5ADD">
        <w:rPr>
          <w:i/>
        </w:rPr>
        <w:t>supra</w:t>
      </w:r>
      <w:r w:rsidRPr="002A5ADD">
        <w:t xml:space="preserve"> para. 53.</w:t>
      </w:r>
    </w:p>
  </w:footnote>
  <w:footnote w:id="374">
    <w:p w:rsidR="00844D1E" w:rsidP="00EB312D">
      <w:pPr>
        <w:pStyle w:val="FootnoteText"/>
      </w:pPr>
      <w:r>
        <w:rPr>
          <w:rStyle w:val="FootnoteReference"/>
        </w:rPr>
        <w:footnoteRef/>
      </w:r>
      <w:r>
        <w:t xml:space="preserve"> 5 U.S.C. § 604(a)(3).</w:t>
      </w:r>
    </w:p>
  </w:footnote>
  <w:footnote w:id="375">
    <w:p w:rsidR="00844D1E" w:rsidRPr="000F2933" w:rsidP="00EB312D">
      <w:pPr>
        <w:pStyle w:val="FootnoteText"/>
      </w:pPr>
      <w:r w:rsidRPr="000F2933">
        <w:rPr>
          <w:rStyle w:val="FootnoteReference"/>
        </w:rPr>
        <w:footnoteRef/>
      </w:r>
      <w:r w:rsidRPr="000F2933">
        <w:t xml:space="preserve"> 5 U.S.C. </w:t>
      </w:r>
      <w:r>
        <w:t>§ </w:t>
      </w:r>
      <w:r w:rsidRPr="000F2933">
        <w:t>604(a)(3).</w:t>
      </w:r>
    </w:p>
  </w:footnote>
  <w:footnote w:id="376">
    <w:p w:rsidR="00844D1E" w:rsidRPr="000F2933" w:rsidP="00EB312D">
      <w:pPr>
        <w:pStyle w:val="FootnoteText"/>
      </w:pPr>
      <w:r w:rsidRPr="000F2933">
        <w:rPr>
          <w:rStyle w:val="FootnoteReference"/>
        </w:rPr>
        <w:footnoteRef/>
      </w:r>
      <w:r w:rsidRPr="000F2933">
        <w:t xml:space="preserve"> 5 U.S.C. </w:t>
      </w:r>
      <w:r>
        <w:t>§ </w:t>
      </w:r>
      <w:r w:rsidRPr="000F2933">
        <w:t>601(6).</w:t>
      </w:r>
    </w:p>
  </w:footnote>
  <w:footnote w:id="377">
    <w:p w:rsidR="00844D1E" w:rsidRPr="000F2933" w:rsidP="00EB312D">
      <w:pPr>
        <w:pStyle w:val="FootnoteText"/>
      </w:pPr>
      <w:r w:rsidRPr="000F2933">
        <w:rPr>
          <w:rStyle w:val="FootnoteReference"/>
        </w:rPr>
        <w:footnoteRef/>
      </w:r>
      <w:r w:rsidRPr="000F2933">
        <w:t xml:space="preserve"> 5 U.S.C. </w:t>
      </w:r>
      <w:r>
        <w:t>§ </w:t>
      </w:r>
      <w:r w:rsidRPr="000F2933">
        <w:t xml:space="preserve">601(3) (incorporating by reference the definition of “small-business concern” in the Small Business Act, 15 U.S.C. </w:t>
      </w:r>
      <w:r>
        <w:t>§ </w:t>
      </w:r>
      <w:r w:rsidRPr="000F2933">
        <w:t xml:space="preserve">632). </w:t>
      </w:r>
      <w:r>
        <w:t xml:space="preserve"> </w:t>
      </w:r>
      <w:r w:rsidRPr="000F2933">
        <w:t xml:space="preserve">Pursuant to 5 U.S.C. </w:t>
      </w:r>
      <w:r>
        <w:t>§ </w:t>
      </w:r>
      <w:r w:rsidRPr="000F2933">
        <w:t>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78">
    <w:p w:rsidR="00844D1E" w:rsidRPr="000F2933" w:rsidP="00EB312D">
      <w:pPr>
        <w:pStyle w:val="FootnoteText"/>
      </w:pPr>
      <w:r w:rsidRPr="000F2933">
        <w:rPr>
          <w:rStyle w:val="FootnoteReference"/>
        </w:rPr>
        <w:footnoteRef/>
      </w:r>
      <w:r w:rsidRPr="000F2933">
        <w:t xml:space="preserve"> 15 U.S.C. </w:t>
      </w:r>
      <w:r>
        <w:t>§ </w:t>
      </w:r>
      <w:r w:rsidRPr="000F2933">
        <w:t>632.</w:t>
      </w:r>
    </w:p>
  </w:footnote>
  <w:footnote w:id="379">
    <w:p w:rsidR="00844D1E" w:rsidP="00EB312D">
      <w:pPr>
        <w:pStyle w:val="FootnoteText"/>
      </w:pPr>
      <w:r>
        <w:rPr>
          <w:rStyle w:val="FootnoteReference"/>
        </w:rPr>
        <w:footnoteRef/>
      </w:r>
      <w:r>
        <w:t xml:space="preserve"> </w:t>
      </w:r>
      <w:r w:rsidRPr="00FE0680">
        <w:rPr>
          <w:i/>
        </w:rPr>
        <w:t>See</w:t>
      </w:r>
      <w:r>
        <w:t xml:space="preserve"> 5 U.S.C. § 601(3)-(6).</w:t>
      </w:r>
    </w:p>
  </w:footnote>
  <w:footnote w:id="380">
    <w:p w:rsidR="00844D1E" w:rsidP="00EB312D">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hyperlink r:id="rId5" w:history="1">
        <w:r w:rsidRPr="00CE6CB1">
          <w:rPr>
            <w:rStyle w:val="Hyperlink"/>
          </w:rPr>
          <w:t>https://www.sba.gov/sites/default/files/advocacy/SB-FAQ-2016_WEB.pdf</w:t>
        </w:r>
      </w:hyperlink>
      <w:r>
        <w:t xml:space="preserve"> (June 2016)</w:t>
      </w:r>
    </w:p>
  </w:footnote>
  <w:footnote w:id="381">
    <w:p w:rsidR="00844D1E" w:rsidP="00EB312D">
      <w:pPr>
        <w:pStyle w:val="FootnoteText"/>
      </w:pPr>
      <w:r>
        <w:rPr>
          <w:rStyle w:val="FootnoteReference"/>
        </w:rPr>
        <w:footnoteRef/>
      </w:r>
      <w:r>
        <w:t xml:space="preserve"> </w:t>
      </w:r>
      <w:r w:rsidRPr="00FE0680">
        <w:rPr>
          <w:i/>
        </w:rPr>
        <w:t>See</w:t>
      </w:r>
      <w:r>
        <w:t xml:space="preserve"> SBA, Office of Advocacy, “Frequently Asked Questions, Question 2- How many small businesses are there in the U.S.?” </w:t>
      </w:r>
      <w:hyperlink r:id="rId5" w:history="1">
        <w:r w:rsidRPr="00CE6CB1">
          <w:rPr>
            <w:rStyle w:val="Hyperlink"/>
          </w:rPr>
          <w:t>https://www.sba.gov/sites/default/files/advocacy/SB-FAQ-2016_WEB.pdf</w:t>
        </w:r>
      </w:hyperlink>
      <w:r>
        <w:t xml:space="preserve"> (June 2016).</w:t>
      </w:r>
    </w:p>
  </w:footnote>
  <w:footnote w:id="382">
    <w:p w:rsidR="00844D1E" w:rsidRPr="006B076E" w:rsidP="00EB312D">
      <w:pPr>
        <w:pStyle w:val="FootnoteText"/>
      </w:pPr>
      <w:r w:rsidRPr="006B076E">
        <w:rPr>
          <w:rStyle w:val="FootnoteReference"/>
        </w:rPr>
        <w:footnoteRef/>
      </w:r>
      <w:r w:rsidRPr="006B076E">
        <w:t xml:space="preserve"> </w:t>
      </w:r>
      <w:r w:rsidRPr="006B076E">
        <w:rPr>
          <w:spacing w:val="-2"/>
        </w:rPr>
        <w:t>5 U.S.C.</w:t>
      </w:r>
      <w:r w:rsidRPr="006B076E">
        <w:t xml:space="preserve"> </w:t>
      </w:r>
      <w:r>
        <w:t>§ </w:t>
      </w:r>
      <w:r w:rsidRPr="006B076E">
        <w:t>601(4).</w:t>
      </w:r>
    </w:p>
  </w:footnote>
  <w:footnote w:id="383">
    <w:p w:rsidR="00844D1E" w:rsidRPr="006B076E" w:rsidP="00EB312D">
      <w:pPr>
        <w:pStyle w:val="FootnoteText"/>
      </w:pPr>
      <w:r w:rsidRPr="006B076E">
        <w:rPr>
          <w:rStyle w:val="FootnoteReference"/>
        </w:rPr>
        <w:footnoteRef/>
      </w:r>
      <w:r>
        <w:rPr>
          <w:color w:val="000000"/>
        </w:rPr>
        <w:t xml:space="preserve">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w:t>
      </w:r>
      <w:r w:rsidRPr="006227C0">
        <w:rPr>
          <w:color w:val="000000"/>
        </w:rPr>
        <w:t>000.  Of</w:t>
      </w:r>
      <w:r w:rsidRPr="00835723">
        <w:rPr>
          <w:color w:val="000000"/>
        </w:rPr>
        <w:t xml:space="preserve"> this number</w:t>
      </w:r>
      <w:r>
        <w:rPr>
          <w:color w:val="000000"/>
        </w:rPr>
        <w:t>,</w:t>
      </w:r>
      <w:r w:rsidRPr="00835723">
        <w:rPr>
          <w:color w:val="000000"/>
        </w:rPr>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hyperlink r:id="rId6" w:history="1">
        <w:r>
          <w:rPr>
            <w:rStyle w:val="Hyperlink"/>
          </w:rPr>
          <w:t>http://nccs.urban.org/sites/all/nccs-archive/html//tablewiz/tw.php</w:t>
        </w:r>
      </w:hyperlink>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384">
    <w:p w:rsidR="00844D1E" w:rsidRPr="006B076E" w:rsidP="00EB312D">
      <w:pPr>
        <w:pStyle w:val="FootnoteText"/>
      </w:pPr>
      <w:r w:rsidRPr="006B076E">
        <w:rPr>
          <w:rStyle w:val="FootnoteReference"/>
          <w:spacing w:val="-2"/>
        </w:rPr>
        <w:footnoteRef/>
      </w:r>
      <w:r w:rsidRPr="006B076E">
        <w:t xml:space="preserve"> 5 U.S.C. </w:t>
      </w:r>
      <w:r>
        <w:t>§ </w:t>
      </w:r>
      <w:r w:rsidRPr="006B076E">
        <w:t>601(5).</w:t>
      </w:r>
    </w:p>
  </w:footnote>
  <w:footnote w:id="385">
    <w:p w:rsidR="00844D1E" w:rsidRPr="005E7451" w:rsidP="00EB312D">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hyperlink r:id="rId7" w:history="1">
        <w:r w:rsidRPr="00B55A29">
          <w:rPr>
            <w:rStyle w:val="Hyperlink"/>
            <w:i/>
          </w:rPr>
          <w:t>https://factfinder.census.gov/faces/affhelp/jsf/pages/metadata.xhtml?lang=en&amp;type=program&amp;id=program.en.COG#</w:t>
        </w:r>
      </w:hyperlink>
      <w:r>
        <w:t>.</w:t>
      </w:r>
    </w:p>
  </w:footnote>
  <w:footnote w:id="386">
    <w:p w:rsidR="00844D1E" w:rsidRPr="006B076E" w:rsidP="00EB312D">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hyperlink r:id="rId8" w:history="1">
        <w:r w:rsidRPr="00333EB9">
          <w:rPr>
            <w:rStyle w:val="Hyperlink"/>
            <w:bCs/>
          </w:rPr>
          <w:t>https://factfinder.census.gov/bkmk/table/1.0/en/COG/2012/ORG02.US01</w:t>
        </w:r>
      </w:hyperlink>
      <w:r w:rsidRPr="006B076E">
        <w:t xml:space="preserve">. </w:t>
      </w:r>
      <w:r>
        <w:t xml:space="preserve"> Local governmental jurisdictions are classified in two categories - General purpose governments (county, municipal and town or township) and Special purpose governments (special districts and independent school districts).  </w:t>
      </w:r>
    </w:p>
  </w:footnote>
  <w:footnote w:id="387">
    <w:p w:rsidR="00844D1E" w:rsidRPr="00835723" w:rsidP="00EB312D">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835723">
        <w:rPr>
          <w:bCs/>
          <w:color w:val="4E4B47"/>
        </w:rPr>
        <w:t xml:space="preserve">County Governments by Population-Size Group and State: 2012 </w:t>
      </w:r>
      <w:r w:rsidRPr="00835723">
        <w:rPr>
          <w:b/>
          <w:bCs/>
          <w:color w:val="4E4B47"/>
        </w:rPr>
        <w:t xml:space="preserve">- </w:t>
      </w:r>
      <w:r w:rsidRPr="005B36CB">
        <w:rPr>
          <w:bCs/>
          <w:color w:val="4E4B47"/>
        </w:rPr>
        <w:t>United States-States.</w:t>
      </w:r>
      <w:r w:rsidRPr="00E869AC">
        <w:t xml:space="preserve"> </w:t>
      </w:r>
      <w:hyperlink r:id="rId9" w:history="1">
        <w:r w:rsidRPr="00F51D2A">
          <w:rPr>
            <w:rStyle w:val="Hyperlink"/>
          </w:rPr>
          <w:t>https://factfinder.census.gov/bkmk/table/1.0/en/COG/2012/ORG06.US01</w:t>
        </w:r>
      </w:hyperlink>
      <w:r>
        <w:t xml:space="preserve">.  There were </w:t>
      </w:r>
      <w:r w:rsidRPr="00835723">
        <w:t xml:space="preserve">2,114 county governments with populations less than 50,000. </w:t>
      </w:r>
    </w:p>
  </w:footnote>
  <w:footnote w:id="388">
    <w:p w:rsidR="00844D1E" w:rsidRPr="00835723" w:rsidP="00EB312D">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Subcounty General-Purpose Governments by Population-Size Group and State: 2012 - United States – States.</w:t>
      </w:r>
      <w:hyperlink r:id="rId10" w:history="1">
        <w:r w:rsidRPr="00912BD6">
          <w:rPr>
            <w:rStyle w:val="Hyperlink"/>
          </w:rPr>
          <w:t>https://factfinder.census.gov/bkmk/table/1.0/en/COG/2012/ORG07.US01</w:t>
        </w:r>
      </w:hyperlink>
      <w:r>
        <w:rPr>
          <w:rStyle w:val="Hyperlink"/>
        </w:rPr>
        <w:t xml:space="preserve">. </w:t>
      </w:r>
      <w:r>
        <w:t>There were</w:t>
      </w:r>
      <w:r w:rsidRPr="00835723">
        <w:t xml:space="preserve"> 18,811 municipal and 16,207 town and township governments with populations less than 50,000. </w:t>
      </w:r>
    </w:p>
  </w:footnote>
  <w:footnote w:id="389">
    <w:p w:rsidR="00844D1E" w:rsidRPr="00835723" w:rsidP="00EB312D">
      <w:pPr>
        <w:spacing w:after="120"/>
        <w:rPr>
          <w:sz w:val="20"/>
        </w:rPr>
      </w:pPr>
      <w:r w:rsidRPr="00835723">
        <w:rPr>
          <w:rStyle w:val="FootnoteReference"/>
        </w:rPr>
        <w:footnoteRef/>
      </w:r>
      <w:r w:rsidRPr="00437034">
        <w:rPr>
          <w:sz w:val="20"/>
        </w:rPr>
        <w:t xml:space="preserve"> </w:t>
      </w:r>
      <w:r w:rsidRPr="00835723">
        <w:rPr>
          <w:i/>
          <w:sz w:val="20"/>
        </w:rPr>
        <w:t>See</w:t>
      </w:r>
      <w:r w:rsidRPr="00835723">
        <w:rPr>
          <w:sz w:val="20"/>
        </w:rPr>
        <w:t xml:space="preserve"> U.S. Census Bureau, 2012 Census of Governments, Elementary and Secondary School Systems by Enrollment-Size Group and State: 2012 - United States-States</w:t>
      </w:r>
      <w:r w:rsidRPr="00835723">
        <w:rPr>
          <w:bCs/>
          <w:color w:val="4E4B47"/>
          <w:sz w:val="20"/>
        </w:rPr>
        <w:t>.</w:t>
      </w:r>
      <w:r w:rsidRPr="00835723">
        <w:rPr>
          <w:sz w:val="20"/>
        </w:rPr>
        <w:t xml:space="preserve"> </w:t>
      </w:r>
      <w:hyperlink r:id="rId11" w:history="1">
        <w:r w:rsidRPr="006B7181">
          <w:rPr>
            <w:rStyle w:val="Hyperlink"/>
            <w:bCs/>
            <w:sz w:val="20"/>
          </w:rPr>
          <w:t>https://factfinder.census.gov/bkmk/table/1.0/en/COG/2012/ORG11.US01</w:t>
        </w:r>
      </w:hyperlink>
      <w:r w:rsidRPr="006B7181">
        <w:rPr>
          <w:bCs/>
          <w:color w:val="4E4B47"/>
          <w:sz w:val="20"/>
        </w:rPr>
        <w:t xml:space="preserve">. </w:t>
      </w:r>
      <w:r w:rsidRPr="006B7181">
        <w:rPr>
          <w:sz w:val="20"/>
        </w:rPr>
        <w:t xml:space="preserve">There were </w:t>
      </w:r>
      <w:r w:rsidRPr="00835723">
        <w:rPr>
          <w:sz w:val="20"/>
        </w:rPr>
        <w:t>12,184 independent school districts with enrollment populations less than 50,000.</w:t>
      </w:r>
    </w:p>
  </w:footnote>
  <w:footnote w:id="390">
    <w:p w:rsidR="00844D1E" w:rsidRPr="00835723" w:rsidP="00EB312D">
      <w:pPr>
        <w:spacing w:after="120"/>
        <w:rPr>
          <w:sz w:val="20"/>
        </w:rPr>
      </w:pPr>
      <w:r w:rsidRPr="00835723">
        <w:rPr>
          <w:rStyle w:val="FootnoteReference"/>
        </w:rPr>
        <w:footnoteRef/>
      </w:r>
      <w:r w:rsidRPr="00437034">
        <w:rPr>
          <w:sz w:val="20"/>
        </w:rPr>
        <w:t xml:space="preserve"> </w:t>
      </w:r>
      <w:r w:rsidRPr="00835723">
        <w:rPr>
          <w:i/>
          <w:sz w:val="20"/>
        </w:rPr>
        <w:t>See</w:t>
      </w:r>
      <w:r w:rsidRPr="00835723">
        <w:rPr>
          <w:sz w:val="20"/>
        </w:rPr>
        <w:t xml:space="preserve"> U.S. Census Bureau, 2012 Census of Governments, Special District Governments by Function and State: 2012 </w:t>
      </w:r>
      <w:r w:rsidRPr="00835723">
        <w:rPr>
          <w:bCs/>
          <w:color w:val="4E4B47"/>
          <w:sz w:val="20"/>
        </w:rPr>
        <w:t>-</w:t>
      </w:r>
      <w:r w:rsidRPr="00835723">
        <w:rPr>
          <w:sz w:val="20"/>
        </w:rPr>
        <w:t xml:space="preserve"> United States</w:t>
      </w:r>
      <w:r w:rsidRPr="00835723">
        <w:rPr>
          <w:bCs/>
          <w:color w:val="4E4B47"/>
          <w:sz w:val="20"/>
        </w:rPr>
        <w:t>-</w:t>
      </w:r>
      <w:r w:rsidRPr="00835723">
        <w:rPr>
          <w:sz w:val="20"/>
        </w:rPr>
        <w:t xml:space="preserve">States. </w:t>
      </w:r>
      <w:hyperlink r:id="rId12" w:history="1">
        <w:r w:rsidRPr="00835723">
          <w:rPr>
            <w:rStyle w:val="Hyperlink"/>
            <w:bCs/>
            <w:sz w:val="20"/>
          </w:rPr>
          <w:t>https://factfinder.census.gov/bkmk/table/1.0/en/COG/2012/ORG09.US01</w:t>
        </w:r>
      </w:hyperlink>
      <w:r w:rsidRPr="00DE6E25">
        <w:rPr>
          <w:rStyle w:val="Hyperlink"/>
          <w:bCs/>
          <w:sz w:val="20"/>
        </w:rPr>
        <w:t xml:space="preserve">.  </w:t>
      </w:r>
      <w:r w:rsidRPr="00835723">
        <w:rPr>
          <w:rStyle w:val="Hyperlink"/>
          <w:bCs/>
          <w:sz w:val="20"/>
        </w:rPr>
        <w:t>The U.S. Census Bureau data did not provide a population breakout for special district governments.</w:t>
      </w:r>
    </w:p>
  </w:footnote>
  <w:footnote w:id="391">
    <w:p w:rsidR="00844D1E" w:rsidRPr="005B5966" w:rsidP="00EB312D">
      <w:pPr>
        <w:pStyle w:val="FootnoteText"/>
      </w:pPr>
      <w:r w:rsidRPr="00835723">
        <w:rPr>
          <w:rStyle w:val="FootnoteReference"/>
        </w:rPr>
        <w:footnoteRef/>
      </w:r>
      <w:r w:rsidRPr="00835723">
        <w:t xml:space="preserve"> </w:t>
      </w:r>
      <w:r w:rsidRPr="00835723">
        <w:rPr>
          <w:i/>
        </w:rPr>
        <w:t>See</w:t>
      </w:r>
      <w:r w:rsidRPr="00835723">
        <w:t xml:space="preserve"> U.S. Census </w:t>
      </w:r>
      <w:r w:rsidRPr="000E7090">
        <w:t xml:space="preserve">Bureau, 2012 Census of Governments, </w:t>
      </w:r>
      <w:r w:rsidRPr="000E7090">
        <w:rPr>
          <w:b/>
          <w:bCs/>
        </w:rPr>
        <w:t>C</w:t>
      </w:r>
      <w:r w:rsidRPr="000E7090">
        <w:rPr>
          <w:bCs/>
        </w:rPr>
        <w:t xml:space="preserve">ounty Governments by Population-Size Group and State: 2012 - United States-States </w:t>
      </w:r>
      <w:r w:rsidRPr="000E7090">
        <w:rPr>
          <w:b/>
          <w:bCs/>
        </w:rPr>
        <w:t>-</w:t>
      </w:r>
      <w:r w:rsidRPr="000E7090">
        <w:t xml:space="preserve"> </w:t>
      </w:r>
      <w:hyperlink r:id="rId9" w:history="1">
        <w:r w:rsidRPr="007F3B6C">
          <w:rPr>
            <w:rStyle w:val="Hyperlink"/>
          </w:rPr>
          <w:t>https://factfinder.census.gov/bkmk/table/1.0/en/COG/2012/ORG06.US01</w:t>
        </w:r>
      </w:hyperlink>
      <w:r w:rsidRPr="007F3B6C">
        <w:t xml:space="preserve">; </w:t>
      </w:r>
      <w:r w:rsidRPr="00835723">
        <w:rPr>
          <w:bCs/>
        </w:rPr>
        <w:t xml:space="preserve">Subcounty General-Purpose Governments by Population-Size Group and State: 2012 - United States–States - </w:t>
      </w:r>
      <w:hyperlink r:id="rId10" w:history="1">
        <w:r w:rsidRPr="007F3B6C">
          <w:rPr>
            <w:rStyle w:val="Hyperlink"/>
          </w:rPr>
          <w:t>https://factfinder.census.gov/bkmk/table/1.0/en/COG/2012/ORG07.US01</w:t>
        </w:r>
      </w:hyperlink>
      <w:r w:rsidRPr="007F3B6C">
        <w:rPr>
          <w:rStyle w:val="Hyperlink"/>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hyperlink r:id="rId11" w:history="1">
        <w:r w:rsidRPr="007F3B6C">
          <w:rPr>
            <w:rStyle w:val="Hyperlink"/>
            <w:bCs/>
          </w:rPr>
          <w:t>https://factfinder.census.gov/bkmk/table/1.0/en/COG/2012/ORG11.US01</w:t>
        </w:r>
      </w:hyperlink>
      <w:r w:rsidRPr="007F3B6C">
        <w:rPr>
          <w:rStyle w:val="Hyperlink"/>
          <w:bCs/>
        </w:rPr>
        <w:t>.</w:t>
      </w:r>
      <w:r>
        <w:rPr>
          <w:rStyle w:val="Hyperlink"/>
          <w:bCs/>
        </w:rPr>
        <w:t xml:space="preserve"> </w:t>
      </w:r>
      <w:r w:rsidRPr="00CA1DBD">
        <w:rPr>
          <w:rStyle w:val="Hyperlink"/>
          <w:bCs/>
        </w:rPr>
        <w:t>While U</w:t>
      </w:r>
      <w:r>
        <w:rPr>
          <w:rStyle w:val="Hyperlink"/>
          <w:bCs/>
        </w:rPr>
        <w:t>.S.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392">
    <w:p w:rsidR="00844D1E" w:rsidP="00EB312D">
      <w:pPr>
        <w:pStyle w:val="FootnoteText"/>
      </w:pPr>
      <w:r>
        <w:rPr>
          <w:rStyle w:val="FootnoteReference"/>
        </w:rPr>
        <w:footnoteRef/>
      </w:r>
      <w:r>
        <w:t xml:space="preserve"> </w:t>
      </w:r>
      <w:r w:rsidRPr="00BE1BA4">
        <w:rPr>
          <w:i/>
        </w:rPr>
        <w:t>Id.</w:t>
      </w:r>
    </w:p>
  </w:footnote>
  <w:footnote w:id="393">
    <w:p w:rsidR="00844D1E" w:rsidRPr="000F2933" w:rsidP="00EB312D">
      <w:pPr>
        <w:pStyle w:val="FootnoteText"/>
      </w:pPr>
      <w:r w:rsidRPr="000F2933">
        <w:rPr>
          <w:rStyle w:val="FootnoteReference"/>
        </w:rPr>
        <w:footnoteRef/>
      </w:r>
      <w:r w:rsidRPr="000F2933">
        <w:t xml:space="preserve"> </w:t>
      </w:r>
      <w:bookmarkStart w:id="701" w:name="_Hlk16610173"/>
      <w:r w:rsidRPr="000F2933">
        <w:t xml:space="preserve">U.S. Census Bureau, </w:t>
      </w:r>
      <w:r w:rsidRPr="003A3EAD">
        <w:rPr>
          <w:i/>
        </w:rPr>
        <w:t>2012 NAICS Definition</w:t>
      </w:r>
      <w:r w:rsidRPr="000F2933">
        <w:t xml:space="preserve">, </w:t>
      </w:r>
      <w:hyperlink r:id="rId13" w:history="1">
        <w:r>
          <w:rPr>
            <w:rStyle w:val="Hyperlink"/>
          </w:rPr>
          <w:t>https://www.census.gov/cgi-bin/sssd/naics/naicsrch?code=517110&amp;search=2012+NAICS+Search</w:t>
        </w:r>
      </w:hyperlink>
      <w:r w:rsidRPr="000F2933">
        <w:t xml:space="preserve"> (last visited </w:t>
      </w:r>
      <w:r>
        <w:t>Aug. 15</w:t>
      </w:r>
      <w:r w:rsidRPr="000F2933">
        <w:t>, 201</w:t>
      </w:r>
      <w:r>
        <w:t>9</w:t>
      </w:r>
      <w:r w:rsidRPr="000F2933">
        <w:t>).</w:t>
      </w:r>
      <w:bookmarkEnd w:id="701"/>
    </w:p>
  </w:footnote>
  <w:footnote w:id="394">
    <w:p w:rsidR="00844D1E" w:rsidRPr="000F2933" w:rsidP="00EB312D">
      <w:pPr>
        <w:pStyle w:val="FootnoteText"/>
      </w:pPr>
      <w:r w:rsidRPr="000F2933">
        <w:rPr>
          <w:rStyle w:val="FootnoteReference"/>
        </w:rPr>
        <w:footnoteRef/>
      </w:r>
      <w:r w:rsidRPr="000F2933">
        <w:t xml:space="preserve"> 13 CFR </w:t>
      </w:r>
      <w:r>
        <w:rPr>
          <w:rStyle w:val="Footnote"/>
        </w:rPr>
        <w:t>§ </w:t>
      </w:r>
      <w:r w:rsidRPr="000F2933">
        <w:t>121.201 (NAICS Code 517110).</w:t>
      </w:r>
    </w:p>
  </w:footnote>
  <w:footnote w:id="395">
    <w:p w:rsidR="00844D1E" w:rsidRPr="000F2933" w:rsidP="00EB312D">
      <w:pPr>
        <w:pStyle w:val="FootnoteText"/>
      </w:pPr>
      <w:r w:rsidRPr="000F2933">
        <w:rPr>
          <w:rStyle w:val="FootnoteReference"/>
        </w:rPr>
        <w:footnoteRef/>
      </w:r>
      <w:r w:rsidRPr="000F2933">
        <w:t xml:space="preserve"> 13 CFR </w:t>
      </w:r>
      <w:r>
        <w:rPr>
          <w:rStyle w:val="Footnote"/>
        </w:rPr>
        <w:t>§ </w:t>
      </w:r>
      <w:r w:rsidRPr="000F2933">
        <w:t>121.201 (NAICS Code 517110).</w:t>
      </w:r>
    </w:p>
  </w:footnote>
  <w:footnote w:id="396">
    <w:p w:rsidR="00844D1E" w:rsidRPr="000F2933" w:rsidP="00EB312D">
      <w:pPr>
        <w:pStyle w:val="FootnoteText"/>
      </w:pPr>
      <w:r w:rsidRPr="000F2933">
        <w:rPr>
          <w:rStyle w:val="FootnoteReference"/>
        </w:rPr>
        <w:footnoteRef/>
      </w:r>
      <w:r w:rsidRPr="000F2933">
        <w:t xml:space="preserve"> </w:t>
      </w:r>
      <w:r w:rsidRPr="000F2933">
        <w:rPr>
          <w:i/>
        </w:rPr>
        <w:t xml:space="preserve">See </w:t>
      </w:r>
      <w:r w:rsidRPr="000F2933">
        <w:t xml:space="preserve">U.S. Census Bureau, </w:t>
      </w:r>
      <w:r w:rsidRPr="000F2933">
        <w:rPr>
          <w:i/>
        </w:rPr>
        <w:t>American Fact Finder</w:t>
      </w:r>
      <w:r w:rsidRPr="000F2933">
        <w:t xml:space="preserve"> (Jan. 08, 2016) </w:t>
      </w:r>
      <w:hyperlink r:id="rId14" w:history="1">
        <w:r w:rsidRPr="000F2933">
          <w:rPr>
            <w:rStyle w:val="Hyperlink"/>
          </w:rPr>
          <w:t>http://factfinder.census.gov/faces/tableservices/jsf/pages/productview.xhtml?pid=ECN_2012_US_51SSSZ2&amp;prodType=table</w:t>
        </w:r>
      </w:hyperlink>
      <w:r w:rsidRPr="000F2933">
        <w:t>.</w:t>
      </w:r>
    </w:p>
  </w:footnote>
  <w:footnote w:id="397">
    <w:p w:rsidR="00844D1E" w:rsidRPr="000F2933" w:rsidP="00EB312D">
      <w:pPr>
        <w:pStyle w:val="FootnoteText"/>
      </w:pPr>
      <w:r w:rsidRPr="000F2933">
        <w:rPr>
          <w:rStyle w:val="FootnoteReference"/>
        </w:rPr>
        <w:footnoteRef/>
      </w:r>
      <w:r w:rsidRPr="000F2933">
        <w:t xml:space="preserve"> 13 CFR </w:t>
      </w:r>
      <w:r>
        <w:rPr>
          <w:rStyle w:val="Footnote"/>
        </w:rPr>
        <w:t>§ </w:t>
      </w:r>
      <w:r w:rsidRPr="000F2933">
        <w:t>121.201 (NAICS Code 517110).</w:t>
      </w:r>
    </w:p>
  </w:footnote>
  <w:footnote w:id="398">
    <w:p w:rsidR="00844D1E" w:rsidRPr="000F2933" w:rsidP="00EB312D">
      <w:pPr>
        <w:pStyle w:val="FootnoteText"/>
      </w:pPr>
      <w:r w:rsidRPr="000F2933">
        <w:rPr>
          <w:rStyle w:val="FootnoteReference"/>
        </w:rPr>
        <w:footnoteRef/>
      </w:r>
      <w:r w:rsidRPr="000F2933">
        <w:t xml:space="preserve"> </w:t>
      </w:r>
      <w:r w:rsidRPr="000F2933">
        <w:rPr>
          <w:i/>
        </w:rPr>
        <w:t xml:space="preserve">See </w:t>
      </w:r>
      <w:r w:rsidRPr="000F2933">
        <w:t xml:space="preserve">U.S. Census Bureau, </w:t>
      </w:r>
      <w:r w:rsidRPr="000F2933">
        <w:rPr>
          <w:i/>
        </w:rPr>
        <w:t>American Fact Finder</w:t>
      </w:r>
      <w:r w:rsidRPr="000F2933">
        <w:t xml:space="preserve"> (Jan. 08, 2016) </w:t>
      </w:r>
      <w:hyperlink r:id="rId14" w:history="1">
        <w:r w:rsidRPr="000F2933">
          <w:rPr>
            <w:rStyle w:val="Hyperlink"/>
          </w:rPr>
          <w:t>http://factfinder.census.gov/faces/tableservices/jsf/pages/productview.xhtml?pid=ECN_2012_US_51SSSZ2&amp;prodType=table</w:t>
        </w:r>
      </w:hyperlink>
      <w:r w:rsidRPr="000F2933">
        <w:t>.</w:t>
      </w:r>
    </w:p>
  </w:footnote>
  <w:footnote w:id="399">
    <w:p w:rsidR="00844D1E" w:rsidRPr="000F2933" w:rsidP="00EB312D">
      <w:pPr>
        <w:pStyle w:val="FootnoteText"/>
      </w:pPr>
      <w:r w:rsidRPr="000F2933">
        <w:rPr>
          <w:rStyle w:val="FootnoteReference"/>
        </w:rPr>
        <w:footnoteRef/>
      </w:r>
      <w:r w:rsidRPr="000F2933">
        <w:t xml:space="preserve"> </w:t>
      </w:r>
      <w:r w:rsidRPr="000F2933">
        <w:rPr>
          <w:i/>
        </w:rPr>
        <w:t xml:space="preserve">See </w:t>
      </w:r>
      <w:r w:rsidRPr="000F2933">
        <w:t>FCC</w:t>
      </w:r>
      <w:r w:rsidRPr="000F2933">
        <w:rPr>
          <w:i/>
        </w:rPr>
        <w:t>, Trends in Telephone Service</w:t>
      </w:r>
      <w:r w:rsidRPr="000F2933">
        <w:t xml:space="preserve">, 5-5, </w:t>
      </w:r>
      <w:r w:rsidRPr="000F2933">
        <w:t>tbl</w:t>
      </w:r>
      <w:r w:rsidRPr="000F2933">
        <w:t>. 5.3 (Sept. 2010) (</w:t>
      </w:r>
      <w:r w:rsidRPr="000F2933">
        <w:rPr>
          <w:i/>
        </w:rPr>
        <w:t>Trends in Telephone Service</w:t>
      </w:r>
      <w:r w:rsidRPr="000F2933">
        <w:t xml:space="preserve">), </w:t>
      </w:r>
      <w:hyperlink r:id="rId15" w:history="1">
        <w:r w:rsidRPr="000F2933">
          <w:rPr>
            <w:rStyle w:val="Hyperlink"/>
          </w:rPr>
          <w:t>http://hraunfoss.fcc.gov/edocs_public/attachmatch/DOC-301823A1.pdf</w:t>
        </w:r>
      </w:hyperlink>
      <w:r w:rsidRPr="000F2933">
        <w:t>.</w:t>
      </w:r>
    </w:p>
  </w:footnote>
  <w:footnote w:id="400">
    <w:p w:rsidR="00844D1E" w:rsidRPr="000F2933" w:rsidP="00EB312D">
      <w:pPr>
        <w:pStyle w:val="FootnoteText"/>
      </w:pPr>
      <w:r w:rsidRPr="000F2933">
        <w:rPr>
          <w:rStyle w:val="FootnoteReference"/>
        </w:rPr>
        <w:footnoteRef/>
      </w:r>
      <w:r w:rsidRPr="000F2933">
        <w:t xml:space="preserve"> FCC</w:t>
      </w:r>
      <w:r w:rsidRPr="000F2933">
        <w:rPr>
          <w:i/>
        </w:rPr>
        <w:t>, Trends in Telephone Service</w:t>
      </w:r>
      <w:r w:rsidRPr="000F2933">
        <w:t xml:space="preserve">, 5-5, </w:t>
      </w:r>
      <w:r w:rsidRPr="000F2933">
        <w:t>tbl</w:t>
      </w:r>
      <w:r w:rsidRPr="000F2933">
        <w:t>. 5.3 (Sept. 2010) (</w:t>
      </w:r>
      <w:r w:rsidRPr="000F2933">
        <w:rPr>
          <w:i/>
        </w:rPr>
        <w:t>Trends in Telephone Service</w:t>
      </w:r>
      <w:r w:rsidRPr="000F2933">
        <w:t xml:space="preserve">), </w:t>
      </w:r>
      <w:hyperlink r:id="rId15" w:history="1">
        <w:r w:rsidRPr="000F2933">
          <w:rPr>
            <w:rStyle w:val="Hyperlink"/>
          </w:rPr>
          <w:t>http://hraunfoss.fcc.gov/edocs_public/attachmatch/DOC-301823A1.pdf</w:t>
        </w:r>
      </w:hyperlink>
      <w:r w:rsidRPr="000F2933">
        <w:t>.</w:t>
      </w:r>
    </w:p>
  </w:footnote>
  <w:footnote w:id="401">
    <w:p w:rsidR="00844D1E" w:rsidRPr="000F2933" w:rsidP="00EB312D">
      <w:pPr>
        <w:pStyle w:val="FootnoteText"/>
      </w:pPr>
      <w:r w:rsidRPr="000F2933">
        <w:rPr>
          <w:rStyle w:val="FootnoteReference"/>
        </w:rPr>
        <w:footnoteRef/>
      </w:r>
      <w:r w:rsidRPr="000F2933">
        <w:t xml:space="preserve"> 13 CFR </w:t>
      </w:r>
      <w:r>
        <w:rPr>
          <w:rStyle w:val="Footnote"/>
        </w:rPr>
        <w:t>§ </w:t>
      </w:r>
      <w:r w:rsidRPr="000F2933">
        <w:t>121.201 (NAICS Code 517110).</w:t>
      </w:r>
    </w:p>
  </w:footnote>
  <w:footnote w:id="402">
    <w:p w:rsidR="00844D1E" w:rsidRPr="000F2933" w:rsidP="00EB312D">
      <w:pPr>
        <w:pStyle w:val="FootnoteText"/>
      </w:pPr>
      <w:r w:rsidRPr="000F2933">
        <w:rPr>
          <w:rStyle w:val="FootnoteReference"/>
        </w:rPr>
        <w:footnoteRef/>
      </w:r>
      <w:r w:rsidRPr="000F2933">
        <w:t xml:space="preserve"> </w:t>
      </w:r>
      <w:r w:rsidRPr="000F2933">
        <w:rPr>
          <w:i/>
        </w:rPr>
        <w:t xml:space="preserve">See </w:t>
      </w:r>
      <w:r w:rsidRPr="000F2933">
        <w:t xml:space="preserve">U.S. Census Bureau, </w:t>
      </w:r>
      <w:r w:rsidRPr="000F2933">
        <w:rPr>
          <w:i/>
        </w:rPr>
        <w:t>American Fact Finder</w:t>
      </w:r>
      <w:r w:rsidRPr="000F2933">
        <w:t xml:space="preserve"> (Jan. 08, 2016) </w:t>
      </w:r>
      <w:hyperlink r:id="rId14" w:history="1">
        <w:r w:rsidRPr="000F2933">
          <w:rPr>
            <w:rStyle w:val="Hyperlink"/>
          </w:rPr>
          <w:t>http://factfinder.census.gov/faces/tableservices/jsf/pages/productview.xhtml?pid=ECN_2012_US_51SSSZ2&amp;prodType=table</w:t>
        </w:r>
      </w:hyperlink>
      <w:r w:rsidRPr="000F2933">
        <w:t>.</w:t>
      </w:r>
    </w:p>
  </w:footnote>
  <w:footnote w:id="403">
    <w:p w:rsidR="00844D1E" w:rsidRPr="000F2933" w:rsidP="00EB312D">
      <w:pPr>
        <w:pStyle w:val="FootnoteText"/>
      </w:pPr>
      <w:r w:rsidRPr="000F2933">
        <w:rPr>
          <w:rStyle w:val="FootnoteReference"/>
        </w:rPr>
        <w:footnoteRef/>
      </w:r>
      <w:r w:rsidRPr="000F2933">
        <w:t xml:space="preserve"> 5 U.S.C. </w:t>
      </w:r>
      <w:r>
        <w:t>§ </w:t>
      </w:r>
      <w:r w:rsidRPr="000F2933">
        <w:t>601(3).</w:t>
      </w:r>
    </w:p>
  </w:footnote>
  <w:footnote w:id="404">
    <w:p w:rsidR="00844D1E" w:rsidRPr="000F2933" w:rsidP="00EB312D">
      <w:pPr>
        <w:pStyle w:val="FootnoteText"/>
      </w:pPr>
      <w:r w:rsidRPr="000F2933">
        <w:rPr>
          <w:rStyle w:val="FootnoteReference"/>
        </w:rPr>
        <w:footnoteRef/>
      </w:r>
      <w:r w:rsidRPr="000F2933">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405">
    <w:p w:rsidR="00844D1E" w:rsidRPr="000F2933" w:rsidP="00EB312D">
      <w:pPr>
        <w:pStyle w:val="FootnoteText"/>
      </w:pPr>
      <w:r w:rsidRPr="000F2933">
        <w:rPr>
          <w:rStyle w:val="FootnoteReference"/>
        </w:rPr>
        <w:footnoteRef/>
      </w:r>
      <w:r w:rsidRPr="000F2933">
        <w:t xml:space="preserve"> 13 CFR </w:t>
      </w:r>
      <w:r>
        <w:rPr>
          <w:rStyle w:val="Footnote"/>
        </w:rPr>
        <w:t>§ </w:t>
      </w:r>
      <w:r w:rsidRPr="000F2933">
        <w:t>121.201 (NAICS Code 517110).</w:t>
      </w:r>
    </w:p>
  </w:footnote>
  <w:footnote w:id="406">
    <w:p w:rsidR="00844D1E" w:rsidRPr="000F2933" w:rsidP="00EB312D">
      <w:pPr>
        <w:pStyle w:val="FootnoteText"/>
      </w:pPr>
      <w:r w:rsidRPr="000F2933">
        <w:rPr>
          <w:rStyle w:val="FootnoteReference"/>
        </w:rPr>
        <w:footnoteRef/>
      </w:r>
      <w:r w:rsidRPr="000F2933">
        <w:t xml:space="preserve"> </w:t>
      </w:r>
      <w:r w:rsidRPr="000F2933">
        <w:rPr>
          <w:i/>
        </w:rPr>
        <w:t xml:space="preserve">See </w:t>
      </w:r>
      <w:r w:rsidRPr="000F2933">
        <w:t xml:space="preserve">U.S. Census Bureau, American Fact Finder (Jan. 08, 2016), </w:t>
      </w:r>
      <w:hyperlink r:id="rId14" w:history="1">
        <w:r w:rsidRPr="000F2933">
          <w:rPr>
            <w:rStyle w:val="Hyperlink"/>
          </w:rPr>
          <w:t>http://factfinder.census.gov/faces/tableservices/jsf/pages/productview.xhtml?pid=ECN_2012_US_51SSSZ2&amp;prodType=table</w:t>
        </w:r>
      </w:hyperlink>
      <w:r w:rsidRPr="000F2933">
        <w:t>.</w:t>
      </w:r>
    </w:p>
  </w:footnote>
  <w:footnote w:id="407">
    <w:p w:rsidR="00844D1E" w:rsidRPr="000F2933" w:rsidP="00EB312D">
      <w:pPr>
        <w:pStyle w:val="FootnoteText"/>
      </w:pPr>
      <w:r w:rsidRPr="000F2933">
        <w:rPr>
          <w:rStyle w:val="FootnoteReference"/>
        </w:rPr>
        <w:footnoteRef/>
      </w:r>
      <w:r w:rsidRPr="000F2933">
        <w:t xml:space="preserve"> </w:t>
      </w:r>
      <w:r w:rsidRPr="000F2933">
        <w:rPr>
          <w:i/>
        </w:rPr>
        <w:t>See Trends in Telephone Service</w:t>
      </w:r>
      <w:r w:rsidRPr="000F2933">
        <w:t xml:space="preserve">, at </w:t>
      </w:r>
      <w:r w:rsidRPr="000F2933">
        <w:t>tbl</w:t>
      </w:r>
      <w:r w:rsidRPr="000F2933">
        <w:t>. 5.3.</w:t>
      </w:r>
    </w:p>
  </w:footnote>
  <w:footnote w:id="408">
    <w:p w:rsidR="00844D1E" w:rsidRPr="000F2933" w:rsidP="00EB312D">
      <w:pPr>
        <w:pStyle w:val="FootnoteText"/>
      </w:pPr>
      <w:r w:rsidRPr="000F2933">
        <w:rPr>
          <w:rStyle w:val="FootnoteReference"/>
        </w:rPr>
        <w:footnoteRef/>
      </w:r>
      <w:r w:rsidRPr="000F2933">
        <w:t xml:space="preserve"> U.S. Census Bureau, </w:t>
      </w:r>
      <w:r w:rsidRPr="000F2933">
        <w:rPr>
          <w:i/>
        </w:rPr>
        <w:t>2012 NAICS Definition</w:t>
      </w:r>
      <w:r w:rsidRPr="000F2933">
        <w:t xml:space="preserve">, </w:t>
      </w:r>
      <w:hyperlink r:id="rId16" w:history="1">
        <w:r w:rsidRPr="000F2933">
          <w:rPr>
            <w:rStyle w:val="Hyperlink"/>
          </w:rPr>
          <w:t>https://www.census.gov/cgi-bin/sssd/naics/naicsrch?input=517911&amp;search=2012+NAICS+Search&amp;search=2012</w:t>
        </w:r>
      </w:hyperlink>
      <w:r w:rsidRPr="000F2933">
        <w:t xml:space="preserve"> (last visited </w:t>
      </w:r>
      <w:r>
        <w:t>Aug. 15</w:t>
      </w:r>
      <w:r w:rsidRPr="000F2933">
        <w:t>, 201</w:t>
      </w:r>
      <w:r>
        <w:t>9</w:t>
      </w:r>
      <w:r w:rsidRPr="000F2933">
        <w:t>).</w:t>
      </w:r>
    </w:p>
  </w:footnote>
  <w:footnote w:id="409">
    <w:p w:rsidR="00844D1E" w:rsidRPr="000F2933" w:rsidP="00EB312D">
      <w:pPr>
        <w:pStyle w:val="FootnoteText"/>
      </w:pPr>
      <w:r w:rsidRPr="000F2933">
        <w:rPr>
          <w:rStyle w:val="FootnoteReference"/>
        </w:rPr>
        <w:footnoteRef/>
      </w:r>
      <w:r w:rsidRPr="000F2933">
        <w:t xml:space="preserve"> 13 CFR </w:t>
      </w:r>
      <w:r>
        <w:t>§ </w:t>
      </w:r>
      <w:r w:rsidRPr="000F2933">
        <w:t>121.201 (NAICS code 517911).</w:t>
      </w:r>
    </w:p>
  </w:footnote>
  <w:footnote w:id="410">
    <w:p w:rsidR="00844D1E" w:rsidRPr="000F2933" w:rsidP="00EB312D">
      <w:pPr>
        <w:pStyle w:val="FootnoteText"/>
      </w:pPr>
      <w:r w:rsidRPr="000F2933">
        <w:rPr>
          <w:rStyle w:val="FootnoteReference"/>
        </w:rPr>
        <w:footnoteRef/>
      </w:r>
      <w:r w:rsidRPr="000F2933">
        <w:t xml:space="preserve"> U.S. Census Bureau, </w:t>
      </w:r>
      <w:r w:rsidRPr="000F2933">
        <w:rPr>
          <w:i/>
        </w:rPr>
        <w:t>2012 NAICS Definition</w:t>
      </w:r>
      <w:r w:rsidRPr="000F2933">
        <w:t xml:space="preserve">, </w:t>
      </w:r>
      <w:hyperlink r:id="rId16" w:history="1">
        <w:r w:rsidRPr="000F2933">
          <w:rPr>
            <w:rStyle w:val="Hyperlink"/>
          </w:rPr>
          <w:t>https://www.census.gov/cgi-bin/sssd/naics/naicsrch?input=517911&amp;search=2012+NAICS+Search&amp;search=2012</w:t>
        </w:r>
      </w:hyperlink>
      <w:r w:rsidRPr="000F2933">
        <w:t xml:space="preserve"> (last visited </w:t>
      </w:r>
      <w:r>
        <w:t>Aug. 15</w:t>
      </w:r>
      <w:r w:rsidRPr="000F2933">
        <w:t>, 201</w:t>
      </w:r>
      <w:r>
        <w:t>9</w:t>
      </w:r>
      <w:r w:rsidRPr="000F2933">
        <w:t>) (NAICS 517911 Telecommunications Resellers).</w:t>
      </w:r>
    </w:p>
  </w:footnote>
  <w:footnote w:id="411">
    <w:p w:rsidR="00844D1E" w:rsidRPr="000F2933" w:rsidP="00EB312D">
      <w:pPr>
        <w:pStyle w:val="FootnoteText"/>
      </w:pPr>
      <w:r w:rsidRPr="000F2933">
        <w:rPr>
          <w:rStyle w:val="FootnoteReference"/>
        </w:rPr>
        <w:footnoteRef/>
      </w:r>
      <w:r w:rsidRPr="000F2933">
        <w:t xml:space="preserve"> </w:t>
      </w:r>
      <w:r w:rsidRPr="000F2933">
        <w:rPr>
          <w:color w:val="000000"/>
        </w:rPr>
        <w:t xml:space="preserve">13 CFR </w:t>
      </w:r>
      <w:r>
        <w:rPr>
          <w:color w:val="000000"/>
        </w:rPr>
        <w:t>§ </w:t>
      </w:r>
      <w:r w:rsidRPr="000F2933">
        <w:rPr>
          <w:color w:val="000000"/>
        </w:rPr>
        <w:t>121.201 (NAICS code 517911).</w:t>
      </w:r>
    </w:p>
  </w:footnote>
  <w:footnote w:id="412">
    <w:p w:rsidR="00844D1E" w:rsidRPr="000F2933" w:rsidP="00EB312D">
      <w:pPr>
        <w:pStyle w:val="FootnoteText"/>
      </w:pPr>
      <w:r w:rsidRPr="000F2933">
        <w:rPr>
          <w:rStyle w:val="FootnoteReference"/>
        </w:rPr>
        <w:footnoteRef/>
      </w:r>
      <w:r w:rsidRPr="000F2933">
        <w:t xml:space="preserve"> </w:t>
      </w:r>
      <w:r w:rsidRPr="000F2933">
        <w:rPr>
          <w:i/>
        </w:rPr>
        <w:t xml:space="preserve">See </w:t>
      </w:r>
      <w:r w:rsidRPr="000F2933">
        <w:t xml:space="preserve">U.S. Census Bureau, </w:t>
      </w:r>
      <w:r w:rsidRPr="000F2933">
        <w:rPr>
          <w:i/>
        </w:rPr>
        <w:t>American Fact Finder</w:t>
      </w:r>
      <w:r w:rsidRPr="000F2933">
        <w:t xml:space="preserve"> (Jan. 08, 2016), </w:t>
      </w:r>
      <w:hyperlink r:id="rId14" w:history="1">
        <w:r w:rsidRPr="000F2933">
          <w:rPr>
            <w:rStyle w:val="Hyperlink"/>
          </w:rPr>
          <w:t>http://factfinder.census.gov/faces/tableservices/jsf/pages/productview.xhtml?pid=ECN_2012_US_51SSSZ2&amp;prodType=table</w:t>
        </w:r>
      </w:hyperlink>
      <w:r w:rsidRPr="000F2933">
        <w:t>.</w:t>
      </w:r>
    </w:p>
  </w:footnote>
  <w:footnote w:id="413">
    <w:p w:rsidR="00844D1E" w:rsidRPr="000F2933" w:rsidP="00EB312D">
      <w:pPr>
        <w:pStyle w:val="FootnoteText"/>
      </w:pPr>
      <w:r w:rsidRPr="000F2933">
        <w:rPr>
          <w:rStyle w:val="FootnoteReference"/>
        </w:rPr>
        <w:footnoteRef/>
      </w:r>
      <w:r w:rsidRPr="000F2933">
        <w:t xml:space="preserve"> 13 CFR </w:t>
      </w:r>
      <w:r>
        <w:t>§ </w:t>
      </w:r>
      <w:r w:rsidRPr="000F2933">
        <w:t>121.201 (NAICS code 517110).</w:t>
      </w:r>
    </w:p>
  </w:footnote>
  <w:footnote w:id="414">
    <w:p w:rsidR="00844D1E" w:rsidRPr="000F2933" w:rsidP="00EB312D">
      <w:pPr>
        <w:pStyle w:val="FootnoteText"/>
      </w:pPr>
      <w:r w:rsidRPr="000F2933">
        <w:rPr>
          <w:rStyle w:val="FootnoteReference"/>
        </w:rPr>
        <w:footnoteRef/>
      </w:r>
      <w:r w:rsidRPr="000F2933">
        <w:t xml:space="preserve"> </w:t>
      </w:r>
      <w:r w:rsidRPr="000F2933">
        <w:rPr>
          <w:i/>
        </w:rPr>
        <w:t xml:space="preserve">See </w:t>
      </w:r>
      <w:r w:rsidRPr="000F2933">
        <w:t xml:space="preserve">U.S. Census Bureau, </w:t>
      </w:r>
      <w:r w:rsidRPr="000F2933">
        <w:rPr>
          <w:i/>
        </w:rPr>
        <w:t>American Fact Finder</w:t>
      </w:r>
      <w:r w:rsidRPr="000F2933">
        <w:t xml:space="preserve"> (Jan. 08, 2016), </w:t>
      </w:r>
      <w:hyperlink r:id="rId14" w:history="1">
        <w:r w:rsidRPr="000F2933">
          <w:rPr>
            <w:rStyle w:val="Hyperlink"/>
          </w:rPr>
          <w:t>http://factfinder.census.gov/faces/tableservices/jsf/pages/productview.xhtml?pid=ECN_2012_US_51SSSZ2&amp;prodType=table</w:t>
        </w:r>
      </w:hyperlink>
      <w:r w:rsidRPr="000F2933">
        <w:t>.</w:t>
      </w:r>
    </w:p>
  </w:footnote>
  <w:footnote w:id="415">
    <w:p w:rsidR="00844D1E" w:rsidRPr="000F2933" w:rsidP="00EB312D">
      <w:pPr>
        <w:pStyle w:val="FootnoteText"/>
      </w:pPr>
      <w:r w:rsidRPr="000F2933">
        <w:rPr>
          <w:rStyle w:val="FootnoteReference"/>
        </w:rPr>
        <w:footnoteRef/>
      </w:r>
      <w:r w:rsidRPr="000F2933">
        <w:t xml:space="preserve"> </w:t>
      </w:r>
      <w:r w:rsidRPr="000F2933">
        <w:rPr>
          <w:i/>
        </w:rPr>
        <w:t>Trends in Telephone Service</w:t>
      </w:r>
      <w:r w:rsidRPr="000F2933">
        <w:t xml:space="preserve">, at </w:t>
      </w:r>
      <w:r w:rsidRPr="000F2933">
        <w:t>tbl</w:t>
      </w:r>
      <w:r w:rsidRPr="000F2933">
        <w:t>.</w:t>
      </w:r>
      <w:r w:rsidRPr="000F2933">
        <w:rPr>
          <w:color w:val="000000"/>
        </w:rPr>
        <w:t xml:space="preserve"> 5.3</w:t>
      </w:r>
      <w:r w:rsidRPr="000F2933">
        <w:t>.</w:t>
      </w:r>
    </w:p>
  </w:footnote>
  <w:footnote w:id="416">
    <w:p w:rsidR="00844D1E" w:rsidRPr="000F2933" w:rsidP="00EB312D">
      <w:pPr>
        <w:pStyle w:val="FootnoteText"/>
      </w:pPr>
      <w:r w:rsidRPr="000F2933">
        <w:rPr>
          <w:rStyle w:val="FootnoteReference"/>
          <w:color w:val="000000"/>
        </w:rPr>
        <w:footnoteRef/>
      </w:r>
      <w:r w:rsidRPr="000F2933">
        <w:t xml:space="preserve"> 13 CFR </w:t>
      </w:r>
      <w:r>
        <w:t>§ </w:t>
      </w:r>
      <w:r w:rsidRPr="000F2933">
        <w:t>121.201 (NAICS code 517110).</w:t>
      </w:r>
    </w:p>
  </w:footnote>
  <w:footnote w:id="417">
    <w:p w:rsidR="00844D1E" w:rsidRPr="000F2933" w:rsidP="00EB312D">
      <w:pPr>
        <w:pStyle w:val="FootnoteText"/>
      </w:pPr>
      <w:r w:rsidRPr="000F2933">
        <w:rPr>
          <w:rStyle w:val="FootnoteReference"/>
          <w:color w:val="000000"/>
        </w:rPr>
        <w:footnoteRef/>
      </w:r>
      <w:r w:rsidRPr="000F2933">
        <w:t xml:space="preserve">  </w:t>
      </w:r>
      <w:bookmarkStart w:id="703" w:name="_Hlk16610244"/>
      <w:r w:rsidRPr="000F2933">
        <w:rPr>
          <w:i/>
        </w:rPr>
        <w:t>See</w:t>
      </w:r>
      <w:r w:rsidRPr="000F2933">
        <w:t xml:space="preserve"> FCC, </w:t>
      </w:r>
      <w:r w:rsidRPr="000F2933">
        <w:rPr>
          <w:i/>
        </w:rPr>
        <w:t>FCC Form 499 Filer Database</w:t>
      </w:r>
      <w:r w:rsidRPr="000F2933">
        <w:t xml:space="preserve">, </w:t>
      </w:r>
      <w:hyperlink r:id="rId17" w:history="1">
        <w:r w:rsidRPr="000F2933">
          <w:rPr>
            <w:rStyle w:val="Hyperlink"/>
          </w:rPr>
          <w:t>http://apps.fcc.gov/cgb/form499/499a.cfm</w:t>
        </w:r>
      </w:hyperlink>
      <w:r w:rsidRPr="000F2933">
        <w:t xml:space="preserve"> (last visited </w:t>
      </w:r>
      <w:r>
        <w:t>Aug. 15</w:t>
      </w:r>
      <w:r w:rsidRPr="000F2933">
        <w:t>, 201</w:t>
      </w:r>
      <w:r>
        <w:t>9</w:t>
      </w:r>
      <w:r w:rsidRPr="000F2933">
        <w:t>).</w:t>
      </w:r>
      <w:bookmarkEnd w:id="703"/>
    </w:p>
  </w:footnote>
  <w:footnote w:id="418">
    <w:p w:rsidR="00844D1E" w:rsidRPr="000F2933" w:rsidP="00EB312D">
      <w:pPr>
        <w:pStyle w:val="FootnoteText"/>
      </w:pPr>
      <w:r w:rsidRPr="000F2933">
        <w:rPr>
          <w:rStyle w:val="FootnoteReference"/>
        </w:rPr>
        <w:footnoteRef/>
      </w:r>
      <w:r w:rsidRPr="000F2933">
        <w:t xml:space="preserve"> NAICS Code 517210.  </w:t>
      </w:r>
      <w:r w:rsidRPr="000F2933">
        <w:rPr>
          <w:i/>
        </w:rPr>
        <w:t>See</w:t>
      </w:r>
      <w:r w:rsidRPr="000F2933">
        <w:t xml:space="preserve"> U.S. Census Bureau, </w:t>
      </w:r>
      <w:r w:rsidRPr="000F2933">
        <w:rPr>
          <w:i/>
        </w:rPr>
        <w:t>American Fact Finder—About the Data</w:t>
      </w:r>
      <w:r w:rsidRPr="000F2933">
        <w:t xml:space="preserve">, </w:t>
      </w:r>
      <w:hyperlink r:id="rId18" w:history="1">
        <w:r w:rsidRPr="000F2933">
          <w:rPr>
            <w:rStyle w:val="Hyperlink"/>
          </w:rPr>
          <w:t>https://factfinder.census.gov/faces/affhelp/jsf/pages/metadata.xhtml?lang=en&amp;type=</w:t>
        </w:r>
        <w:r w:rsidRPr="000F2933">
          <w:rPr>
            <w:color w:val="0000FF"/>
            <w:u w:val="single"/>
          </w:rPr>
          <w:br/>
        </w:r>
        <w:r w:rsidRPr="000F2933">
          <w:rPr>
            <w:rStyle w:val="Hyperlink"/>
          </w:rPr>
          <w:t>ib&amp;id</w:t>
        </w:r>
        <w:r w:rsidRPr="000F2933">
          <w:rPr>
            <w:rStyle w:val="Hyperlink"/>
          </w:rPr>
          <w:t>=</w:t>
        </w:r>
        <w:r w:rsidRPr="000F2933">
          <w:rPr>
            <w:rStyle w:val="Hyperlink"/>
          </w:rPr>
          <w:t>ib.en</w:t>
        </w:r>
        <w:r w:rsidRPr="000F2933">
          <w:rPr>
            <w:rStyle w:val="Hyperlink"/>
          </w:rPr>
          <w:t>./ECN.NAICS2012.517210</w:t>
        </w:r>
      </w:hyperlink>
      <w:r w:rsidRPr="000F2933">
        <w:t>.</w:t>
      </w:r>
    </w:p>
  </w:footnote>
  <w:footnote w:id="419">
    <w:p w:rsidR="00844D1E" w:rsidRPr="000F2933" w:rsidP="00EB312D">
      <w:pPr>
        <w:pStyle w:val="FootnoteText"/>
      </w:pPr>
      <w:r w:rsidRPr="000F2933">
        <w:rPr>
          <w:rStyle w:val="FootnoteReference"/>
        </w:rPr>
        <w:footnoteRef/>
      </w:r>
      <w:r w:rsidRPr="000F2933">
        <w:rPr>
          <w:lang w:val="fr-FR"/>
        </w:rPr>
        <w:t xml:space="preserve"> 13 CFR </w:t>
      </w:r>
      <w:r>
        <w:rPr>
          <w:lang w:val="fr-FR"/>
        </w:rPr>
        <w:t>§ </w:t>
      </w:r>
      <w:r w:rsidRPr="000F2933">
        <w:rPr>
          <w:lang w:val="fr-FR"/>
        </w:rPr>
        <w:t>121.201 (NAICS code 517210).</w:t>
      </w:r>
    </w:p>
  </w:footnote>
  <w:footnote w:id="420">
    <w:p w:rsidR="00844D1E" w:rsidRPr="000F2933" w:rsidP="00EB312D">
      <w:pPr>
        <w:pStyle w:val="FootnoteText"/>
      </w:pPr>
      <w:r w:rsidRPr="000F2933">
        <w:rPr>
          <w:rStyle w:val="FootnoteReference"/>
        </w:rPr>
        <w:footnoteRef/>
      </w:r>
      <w:r w:rsidRPr="000F2933">
        <w:t xml:space="preserve"> U.S. Census Bureau, </w:t>
      </w:r>
      <w:r w:rsidRPr="000F2933">
        <w:rPr>
          <w:i/>
        </w:rPr>
        <w:t>American Fact Finder</w:t>
      </w:r>
      <w:r w:rsidRPr="000F2933">
        <w:t xml:space="preserve"> (Jan. 08, 2016), </w:t>
      </w:r>
      <w:hyperlink r:id="rId19" w:history="1">
        <w:r w:rsidRPr="000F2933">
          <w:rPr>
            <w:rStyle w:val="Hyperlink"/>
          </w:rPr>
          <w:t>https://factfinder.census.gov/faces/tableservices/jsf/pages/productview.xhtml?pid=ECN_2012_US_51SSSZ2&amp;prodType=table</w:t>
        </w:r>
      </w:hyperlink>
      <w:r w:rsidRPr="000F2933">
        <w:t xml:space="preserve"> (NAICS 51720, “Subject Series - </w:t>
      </w:r>
      <w:r w:rsidRPr="000F2933">
        <w:t>Estab</w:t>
      </w:r>
      <w:r w:rsidRPr="000F2933">
        <w:t xml:space="preserve"> &amp; Firm Size: Employment Size of Establishments for the U.S.: 2012”).</w:t>
      </w:r>
    </w:p>
  </w:footnote>
  <w:footnote w:id="421">
    <w:p w:rsidR="00844D1E" w:rsidRPr="000F2933" w:rsidP="00EB312D">
      <w:pPr>
        <w:pStyle w:val="FootnoteText"/>
      </w:pPr>
      <w:r w:rsidRPr="000F2933">
        <w:rPr>
          <w:rStyle w:val="FootnoteReference"/>
        </w:rPr>
        <w:footnoteRef/>
      </w:r>
      <w:r w:rsidRPr="000F2933">
        <w:t xml:space="preserve"> Available census data do not provide a more precise estimate of the number of firms that have employment of 1,500 or fewer employees; the largest category provided is for firms with “1000 employees or more.”</w:t>
      </w:r>
    </w:p>
  </w:footnote>
  <w:footnote w:id="422">
    <w:p w:rsidR="00844D1E" w:rsidRPr="000F2933" w:rsidP="00EB312D">
      <w:pPr>
        <w:pStyle w:val="FootnoteText"/>
      </w:pPr>
      <w:r w:rsidRPr="000F2933">
        <w:rPr>
          <w:rStyle w:val="FootnoteReference"/>
        </w:rPr>
        <w:footnoteRef/>
      </w:r>
      <w:r w:rsidRPr="000F2933">
        <w:t xml:space="preserve"> </w:t>
      </w:r>
      <w:r w:rsidRPr="000F2933">
        <w:rPr>
          <w:bCs/>
          <w:i/>
          <w:iCs/>
        </w:rPr>
        <w:t>See</w:t>
      </w:r>
      <w:r w:rsidRPr="000F2933">
        <w:t xml:space="preserve"> FCC, </w:t>
      </w:r>
      <w:r w:rsidRPr="000F2933">
        <w:rPr>
          <w:i/>
        </w:rPr>
        <w:t>Universal Licensing System</w:t>
      </w:r>
      <w:r w:rsidRPr="000F2933">
        <w:t xml:space="preserve">, </w:t>
      </w:r>
      <w:hyperlink r:id="rId20" w:history="1">
        <w:r w:rsidRPr="000F2933">
          <w:rPr>
            <w:rStyle w:val="Hyperlink"/>
          </w:rPr>
          <w:t>http://wireless.fcc.gov/uls</w:t>
        </w:r>
      </w:hyperlink>
      <w:r w:rsidRPr="000F2933">
        <w:rPr>
          <w:bCs/>
        </w:rPr>
        <w:t xml:space="preserve"> (last visited </w:t>
      </w:r>
      <w:r>
        <w:t>Aug. 15</w:t>
      </w:r>
      <w:r w:rsidRPr="000F2933">
        <w:t>, 201</w:t>
      </w:r>
      <w:r>
        <w:t>9</w:t>
      </w:r>
      <w:r w:rsidRPr="000F2933">
        <w:rPr>
          <w:bCs/>
        </w:rPr>
        <w:t>).</w:t>
      </w:r>
      <w:r>
        <w:t xml:space="preserve"> </w:t>
      </w:r>
      <w:r w:rsidRPr="000F2933">
        <w:t xml:space="preserve"> For the purposes of this IRFA, consistent with Commission practice for wireless services, the Commission estimates the number of licensees based on the number of unique FCC Registration Numbers.</w:t>
      </w:r>
    </w:p>
  </w:footnote>
  <w:footnote w:id="423">
    <w:p w:rsidR="00844D1E" w:rsidRPr="000F2933" w:rsidP="00EB312D">
      <w:pPr>
        <w:pStyle w:val="FootnoteText"/>
      </w:pPr>
      <w:r w:rsidRPr="000F2933">
        <w:rPr>
          <w:rStyle w:val="FootnoteReference"/>
        </w:rPr>
        <w:footnoteRef/>
      </w:r>
      <w:r w:rsidRPr="000F2933">
        <w:t xml:space="preserve"> </w:t>
      </w:r>
      <w:r w:rsidRPr="000F2933">
        <w:rPr>
          <w:i/>
        </w:rPr>
        <w:t>Trends in Telephone Service</w:t>
      </w:r>
      <w:r w:rsidRPr="000F2933">
        <w:t xml:space="preserve">, at </w:t>
      </w:r>
      <w:r w:rsidRPr="000F2933">
        <w:t>tbl</w:t>
      </w:r>
      <w:r w:rsidRPr="000F2933">
        <w:t>.</w:t>
      </w:r>
      <w:r w:rsidRPr="000F2933">
        <w:rPr>
          <w:color w:val="000000"/>
        </w:rPr>
        <w:t xml:space="preserve"> 5.3.</w:t>
      </w:r>
    </w:p>
  </w:footnote>
  <w:footnote w:id="424">
    <w:p w:rsidR="00844D1E" w:rsidRPr="000F2933" w:rsidP="00EB312D">
      <w:pPr>
        <w:pStyle w:val="FootnoteText"/>
      </w:pPr>
      <w:r w:rsidRPr="000F2933">
        <w:rPr>
          <w:rStyle w:val="FootnoteReference"/>
        </w:rPr>
        <w:footnoteRef/>
      </w:r>
      <w:r w:rsidRPr="000F2933">
        <w:t xml:space="preserve"> </w:t>
      </w:r>
      <w:r w:rsidRPr="000F2933">
        <w:rPr>
          <w:rStyle w:val="Footnote"/>
          <w:i/>
        </w:rPr>
        <w:t>Amendment of the Commission’s Rules to Establish Part 27</w:t>
      </w:r>
      <w:r w:rsidRPr="000F2933">
        <w:rPr>
          <w:rStyle w:val="Footnote"/>
        </w:rPr>
        <w:t>,</w:t>
      </w:r>
      <w:r w:rsidRPr="000F2933">
        <w:rPr>
          <w:rStyle w:val="Footnote"/>
          <w:i/>
        </w:rPr>
        <w:t xml:space="preserve"> the Wireless Communications Service (WCS)</w:t>
      </w:r>
      <w:r w:rsidRPr="000F2933">
        <w:rPr>
          <w:rStyle w:val="Footnote"/>
        </w:rPr>
        <w:t xml:space="preserve">, Report and Order, 12 FCC </w:t>
      </w:r>
      <w:r w:rsidRPr="000F2933">
        <w:rPr>
          <w:rStyle w:val="Footnote"/>
        </w:rPr>
        <w:t>Rcd</w:t>
      </w:r>
      <w:r w:rsidRPr="000F2933">
        <w:rPr>
          <w:rStyle w:val="Footnote"/>
        </w:rPr>
        <w:t xml:space="preserve"> 10785, 10879, para. 194 (1997).</w:t>
      </w:r>
    </w:p>
  </w:footnote>
  <w:footnote w:id="425">
    <w:p w:rsidR="00844D1E" w:rsidRPr="000F2933" w:rsidP="00EB312D">
      <w:pPr>
        <w:pStyle w:val="FootnoteText"/>
      </w:pPr>
      <w:r w:rsidRPr="000F2933">
        <w:rPr>
          <w:rStyle w:val="FootnoteReference"/>
        </w:rPr>
        <w:footnoteRef/>
      </w:r>
      <w:r w:rsidRPr="000F2933">
        <w:t xml:space="preserve"> </w:t>
      </w:r>
      <w:r w:rsidRPr="000F2933">
        <w:rPr>
          <w:rStyle w:val="Footnote"/>
          <w:i/>
        </w:rPr>
        <w:t>See</w:t>
      </w:r>
      <w:r w:rsidRPr="000F2933">
        <w:rPr>
          <w:rStyle w:val="Footnote"/>
        </w:rPr>
        <w:t xml:space="preserve"> </w:t>
      </w:r>
      <w:r w:rsidRPr="000F2933">
        <w:t>Letter</w:t>
      </w:r>
      <w:r w:rsidRPr="000F2933">
        <w:rPr>
          <w:rStyle w:val="Footnote"/>
        </w:rPr>
        <w:t xml:space="preserve"> from Aida Alvarez, Administrator, SBA, to Amy </w:t>
      </w:r>
      <w:r w:rsidRPr="000F2933">
        <w:rPr>
          <w:rStyle w:val="Footnote"/>
        </w:rPr>
        <w:t>Zoslov</w:t>
      </w:r>
      <w:r w:rsidRPr="000F2933">
        <w:rPr>
          <w:rStyle w:val="Footnote"/>
        </w:rPr>
        <w:t>, Chief, Auctions and Industry Analysis Division, Wireless Telecommunications Bureau, FCC (filed Dec. 2, 1998).</w:t>
      </w:r>
    </w:p>
  </w:footnote>
  <w:footnote w:id="426">
    <w:p w:rsidR="00844D1E" w:rsidRPr="000F2933" w:rsidP="00EB312D">
      <w:pPr>
        <w:pStyle w:val="FootnoteText"/>
      </w:pPr>
      <w:r w:rsidRPr="000F2933">
        <w:rPr>
          <w:rStyle w:val="Footnote"/>
          <w:vertAlign w:val="superscript"/>
        </w:rPr>
        <w:footnoteRef/>
      </w:r>
      <w:r w:rsidRPr="000F2933">
        <w:rPr>
          <w:rStyle w:val="Footnote"/>
        </w:rPr>
        <w:t xml:space="preserve"> 13 </w:t>
      </w:r>
      <w:r w:rsidRPr="000F2933">
        <w:t>CFR</w:t>
      </w:r>
      <w:r w:rsidRPr="000F2933">
        <w:rPr>
          <w:rStyle w:val="Footnote"/>
        </w:rPr>
        <w:t xml:space="preserve"> </w:t>
      </w:r>
      <w:r>
        <w:rPr>
          <w:rStyle w:val="Footnote"/>
        </w:rPr>
        <w:t>§ </w:t>
      </w:r>
      <w:r w:rsidRPr="000F2933">
        <w:rPr>
          <w:rStyle w:val="Footnote"/>
        </w:rPr>
        <w:t>121.201 (NAICS code 517210).</w:t>
      </w:r>
    </w:p>
  </w:footnote>
  <w:footnote w:id="427">
    <w:p w:rsidR="00844D1E" w:rsidRPr="000F2933" w:rsidP="00EB312D">
      <w:pPr>
        <w:pStyle w:val="FootnoteText"/>
      </w:pPr>
      <w:r w:rsidRPr="006227C0">
        <w:rPr>
          <w:rStyle w:val="Footnote"/>
          <w:vertAlign w:val="superscript"/>
        </w:rPr>
        <w:footnoteRef/>
      </w:r>
      <w:r w:rsidRPr="006227C0">
        <w:rPr>
          <w:rStyle w:val="Footnote"/>
          <w:vertAlign w:val="superscript"/>
        </w:rPr>
        <w:t xml:space="preserve"> </w:t>
      </w:r>
      <w:r w:rsidRPr="006227C0">
        <w:rPr>
          <w:rStyle w:val="Footnote"/>
          <w:i/>
        </w:rPr>
        <w:t>Id</w:t>
      </w:r>
      <w:r w:rsidRPr="006227C0">
        <w:rPr>
          <w:rStyle w:val="Footnote"/>
        </w:rPr>
        <w:t>.</w:t>
      </w:r>
    </w:p>
  </w:footnote>
  <w:footnote w:id="428">
    <w:p w:rsidR="00844D1E" w:rsidRPr="000F2933" w:rsidP="00EB312D">
      <w:pPr>
        <w:pStyle w:val="FootnoteText"/>
      </w:pPr>
      <w:r w:rsidRPr="000F2933">
        <w:rPr>
          <w:rStyle w:val="Footnote"/>
          <w:vertAlign w:val="superscript"/>
        </w:rPr>
        <w:footnoteRef/>
      </w:r>
      <w:r w:rsidRPr="000F2933">
        <w:rPr>
          <w:rStyle w:val="Footnote"/>
        </w:rPr>
        <w:t xml:space="preserve"> </w:t>
      </w:r>
      <w:r w:rsidRPr="000F2933">
        <w:rPr>
          <w:i/>
        </w:rPr>
        <w:t>Trends in Telephone Service</w:t>
      </w:r>
      <w:r w:rsidRPr="000F2933">
        <w:t xml:space="preserve">, at </w:t>
      </w:r>
      <w:r w:rsidRPr="000F2933">
        <w:t>tbl</w:t>
      </w:r>
      <w:r w:rsidRPr="000F2933">
        <w:t>.</w:t>
      </w:r>
      <w:r w:rsidRPr="000F2933">
        <w:rPr>
          <w:color w:val="000000"/>
        </w:rPr>
        <w:t xml:space="preserve"> 5.3.</w:t>
      </w:r>
    </w:p>
  </w:footnote>
  <w:footnote w:id="429">
    <w:p w:rsidR="00844D1E" w:rsidRPr="000F2933" w:rsidP="00EB312D">
      <w:pPr>
        <w:pStyle w:val="FootnoteText"/>
      </w:pPr>
      <w:r w:rsidRPr="000F2933">
        <w:rPr>
          <w:rStyle w:val="FootnoteReference"/>
        </w:rPr>
        <w:footnoteRef/>
      </w:r>
      <w:r w:rsidRPr="000F2933">
        <w:t xml:space="preserve"> </w:t>
      </w:r>
      <w:r w:rsidRPr="000F2933">
        <w:rPr>
          <w:i/>
        </w:rPr>
        <w:t>See</w:t>
      </w:r>
      <w:r w:rsidRPr="000F2933">
        <w:t xml:space="preserve"> U.S. Census Bureau, </w:t>
      </w:r>
      <w:r w:rsidRPr="003A3EAD">
        <w:rPr>
          <w:i/>
        </w:rPr>
        <w:t>2012 NAIC Definition</w:t>
      </w:r>
      <w:r w:rsidRPr="000F2933">
        <w:t xml:space="preserve">, </w:t>
      </w:r>
      <w:hyperlink r:id="rId21" w:history="1">
        <w:r w:rsidRPr="000F2933">
          <w:rPr>
            <w:rStyle w:val="Hyperlink"/>
          </w:rPr>
          <w:t>https://www.census.gov/cgi-bin/sssd/naics/naicsrch?input=515210&amp;search=2012+NAICS+Search&amp;search=2012</w:t>
        </w:r>
      </w:hyperlink>
      <w:r w:rsidRPr="000F2933">
        <w:t xml:space="preserve"> (last visited </w:t>
      </w:r>
      <w:r>
        <w:t>Aug. 15</w:t>
      </w:r>
      <w:r w:rsidRPr="000F2933">
        <w:t>, 201</w:t>
      </w:r>
      <w:r>
        <w:t>9</w:t>
      </w:r>
      <w:r w:rsidRPr="000F2933">
        <w:t>) (2012 NAICS code, “515210 Cable and Other Subscription Programming”).</w:t>
      </w:r>
    </w:p>
  </w:footnote>
  <w:footnote w:id="430">
    <w:p w:rsidR="00844D1E" w:rsidRPr="000F2933" w:rsidP="00EB312D">
      <w:pPr>
        <w:pStyle w:val="FootnoteText"/>
      </w:pPr>
      <w:r w:rsidRPr="000F2933">
        <w:rPr>
          <w:rStyle w:val="FootnoteReference"/>
        </w:rPr>
        <w:footnoteRef/>
      </w:r>
      <w:r w:rsidRPr="000F2933">
        <w:t xml:space="preserve"> 13 CFR </w:t>
      </w:r>
      <w:r>
        <w:t>§ </w:t>
      </w:r>
      <w:r w:rsidRPr="000F2933">
        <w:t>121.201 (NAICSs Code 515210).</w:t>
      </w:r>
    </w:p>
  </w:footnote>
  <w:footnote w:id="431">
    <w:p w:rsidR="00844D1E" w:rsidRPr="000F2933" w:rsidP="00EB312D">
      <w:pPr>
        <w:pStyle w:val="FootnoteText"/>
      </w:pPr>
      <w:r w:rsidRPr="000F2933">
        <w:rPr>
          <w:rStyle w:val="FootnoteReference"/>
        </w:rPr>
        <w:footnoteRef/>
      </w:r>
      <w:r w:rsidRPr="000F2933">
        <w:t xml:space="preserve"> </w:t>
      </w:r>
      <w:r w:rsidRPr="000F2933">
        <w:rPr>
          <w:i/>
        </w:rPr>
        <w:t xml:space="preserve">See </w:t>
      </w:r>
      <w:r w:rsidRPr="000F2933">
        <w:t xml:space="preserve">U.S. Census Bureau, </w:t>
      </w:r>
      <w:r w:rsidRPr="000F2933">
        <w:rPr>
          <w:i/>
        </w:rPr>
        <w:t>American Fact Finder</w:t>
      </w:r>
      <w:r w:rsidRPr="000F2933">
        <w:t xml:space="preserve"> (Jan. 08, 2016), </w:t>
      </w:r>
      <w:hyperlink r:id="rId19" w:history="1">
        <w:r w:rsidRPr="000F2933">
          <w:rPr>
            <w:rStyle w:val="Hyperlink"/>
          </w:rPr>
          <w:t>https://factfinder.census.gov/faces/tableservices/jsf/pages/productview.xhtml?pid=ECN_2012_US_51SSSZ2&amp;prodType=table</w:t>
        </w:r>
      </w:hyperlink>
      <w:r w:rsidRPr="000F2933">
        <w:t xml:space="preserve"> (NAICS code 51510, “</w:t>
      </w:r>
      <w:r w:rsidRPr="000F2933">
        <w:t>Estab</w:t>
      </w:r>
      <w:r w:rsidRPr="000F2933">
        <w:t xml:space="preserve"> &amp; Firm Size: Employment Size of Establishments for the U.S.”).</w:t>
      </w:r>
    </w:p>
  </w:footnote>
  <w:footnote w:id="432">
    <w:p w:rsidR="00844D1E" w:rsidRPr="000F2933" w:rsidP="00EB312D">
      <w:pPr>
        <w:pStyle w:val="FootnoteText"/>
      </w:pPr>
      <w:r w:rsidRPr="000F2933">
        <w:rPr>
          <w:rStyle w:val="FootnoteReference"/>
        </w:rPr>
        <w:footnoteRef/>
      </w:r>
      <w:r w:rsidRPr="000F2933">
        <w:t xml:space="preserve"> 47 CFR </w:t>
      </w:r>
      <w:r>
        <w:t>§ </w:t>
      </w:r>
      <w:r w:rsidRPr="000F2933">
        <w:t>76.901(e).</w:t>
      </w:r>
    </w:p>
  </w:footnote>
  <w:footnote w:id="433">
    <w:p w:rsidR="00844D1E" w:rsidRPr="000F2933" w:rsidP="00EB312D">
      <w:pPr>
        <w:pStyle w:val="FootnoteText"/>
      </w:pPr>
      <w:r w:rsidRPr="006227C0">
        <w:rPr>
          <w:rStyle w:val="FootnoteReference"/>
        </w:rPr>
        <w:footnoteRef/>
      </w:r>
      <w:r w:rsidRPr="006227C0">
        <w:t xml:space="preserve"> This</w:t>
      </w:r>
      <w:r w:rsidRPr="000F2933">
        <w:t xml:space="preserve"> figure was derived from an August 15, 2015 report from the FCC Media Bureau, based on data contained in the Commission’s Cable Operations and Licensing System (COALS).  </w:t>
      </w:r>
      <w:r w:rsidRPr="000F2933">
        <w:rPr>
          <w:i/>
        </w:rPr>
        <w:t>See</w:t>
      </w:r>
      <w:r w:rsidRPr="000F2933">
        <w:t xml:space="preserve"> </w:t>
      </w:r>
      <w:hyperlink r:id="rId22" w:history="1">
        <w:r w:rsidRPr="000F2933">
          <w:rPr>
            <w:rStyle w:val="Hyperlink"/>
          </w:rPr>
          <w:t>http://www.fcc.gov/coals</w:t>
        </w:r>
      </w:hyperlink>
      <w:r w:rsidRPr="000F2933">
        <w:t>.</w:t>
      </w:r>
    </w:p>
  </w:footnote>
  <w:footnote w:id="434">
    <w:p w:rsidR="00844D1E" w:rsidRPr="000F2933" w:rsidP="00EB312D">
      <w:pPr>
        <w:pStyle w:val="FootnoteText"/>
      </w:pPr>
      <w:r w:rsidRPr="000F2933">
        <w:rPr>
          <w:rStyle w:val="FootnoteReference"/>
        </w:rPr>
        <w:footnoteRef/>
      </w:r>
      <w:r w:rsidRPr="000F2933">
        <w:t xml:space="preserve"> Data obtained from SNL Kagan database on Apr. 19, 2017.</w:t>
      </w:r>
    </w:p>
  </w:footnote>
  <w:footnote w:id="435">
    <w:p w:rsidR="00844D1E" w:rsidRPr="000F2933" w:rsidP="00EB312D">
      <w:pPr>
        <w:pStyle w:val="FootnoteText"/>
      </w:pPr>
      <w:r w:rsidRPr="000F2933">
        <w:rPr>
          <w:rStyle w:val="FootnoteReference"/>
        </w:rPr>
        <w:footnoteRef/>
      </w:r>
      <w:r w:rsidRPr="000F2933">
        <w:t xml:space="preserve"> 47 CFR </w:t>
      </w:r>
      <w:r>
        <w:t>§ </w:t>
      </w:r>
      <w:r w:rsidRPr="000F2933">
        <w:t>76.901(c).</w:t>
      </w:r>
    </w:p>
  </w:footnote>
  <w:footnote w:id="436">
    <w:p w:rsidR="00844D1E" w:rsidRPr="000F2933" w:rsidP="00EB312D">
      <w:pPr>
        <w:pStyle w:val="FootnoteText"/>
      </w:pPr>
      <w:r w:rsidRPr="000F2933">
        <w:rPr>
          <w:rStyle w:val="FootnoteReference"/>
        </w:rPr>
        <w:footnoteRef/>
      </w:r>
      <w:r w:rsidRPr="000F2933">
        <w:t xml:space="preserve"> August 5, 2015 report from the FCC Media Bureau based on its research in COALS.  </w:t>
      </w:r>
      <w:r w:rsidRPr="000F2933">
        <w:rPr>
          <w:i/>
        </w:rPr>
        <w:t>See</w:t>
      </w:r>
      <w:r w:rsidRPr="000F2933">
        <w:t xml:space="preserve"> </w:t>
      </w:r>
      <w:hyperlink r:id="rId22" w:history="1">
        <w:r w:rsidRPr="000F2933">
          <w:rPr>
            <w:rStyle w:val="Hyperlink"/>
          </w:rPr>
          <w:t>http://www.fcc.gov/coals</w:t>
        </w:r>
      </w:hyperlink>
      <w:r w:rsidRPr="000F2933">
        <w:t>.</w:t>
      </w:r>
    </w:p>
  </w:footnote>
  <w:footnote w:id="437">
    <w:p w:rsidR="00844D1E" w:rsidRPr="000F2933" w:rsidP="00EB312D">
      <w:pPr>
        <w:pStyle w:val="FootnoteText"/>
      </w:pPr>
      <w:r w:rsidRPr="000F2933">
        <w:rPr>
          <w:rStyle w:val="FootnoteReference"/>
        </w:rPr>
        <w:footnoteRef/>
      </w:r>
      <w:r w:rsidRPr="000F2933">
        <w:t xml:space="preserve"> </w:t>
      </w:r>
      <w:r w:rsidRPr="000F2933">
        <w:rPr>
          <w:i/>
        </w:rPr>
        <w:t>See</w:t>
      </w:r>
      <w:r w:rsidRPr="000F2933">
        <w:t xml:space="preserve"> 47 CFR </w:t>
      </w:r>
      <w:r>
        <w:t>§ </w:t>
      </w:r>
      <w:r w:rsidRPr="000F2933">
        <w:t>76.901(f) &amp; nn.1-3.</w:t>
      </w:r>
    </w:p>
  </w:footnote>
  <w:footnote w:id="438">
    <w:p w:rsidR="00844D1E" w:rsidRPr="000F2933" w:rsidP="00EB312D">
      <w:pPr>
        <w:pStyle w:val="FootnoteText"/>
      </w:pPr>
      <w:r w:rsidRPr="000F2933">
        <w:rPr>
          <w:rStyle w:val="FootnoteReference"/>
        </w:rPr>
        <w:footnoteRef/>
      </w:r>
      <w:r w:rsidRPr="000F2933">
        <w:t xml:space="preserve"> </w:t>
      </w:r>
      <w:r w:rsidRPr="000F2933">
        <w:rPr>
          <w:i/>
        </w:rPr>
        <w:t>See</w:t>
      </w:r>
      <w:r w:rsidRPr="000F2933">
        <w:t xml:space="preserve"> SNL Kagan at </w:t>
      </w:r>
      <w:hyperlink r:id="rId23" w:history="1">
        <w:r w:rsidRPr="000F2933">
          <w:rPr>
            <w:rStyle w:val="Hyperlink"/>
          </w:rPr>
          <w:t>http://www.snl.com/interactivex/MultichannelIndustryBenchmarks.aspx</w:t>
        </w:r>
      </w:hyperlink>
      <w:r w:rsidRPr="000F2933">
        <w:rPr>
          <w:rStyle w:val="Hyperlink"/>
        </w:rPr>
        <w:t xml:space="preserve"> </w:t>
      </w:r>
      <w:r w:rsidRPr="000F2933">
        <w:t>(subscription required).</w:t>
      </w:r>
    </w:p>
  </w:footnote>
  <w:footnote w:id="439">
    <w:p w:rsidR="00844D1E" w:rsidRPr="000F2933" w:rsidP="00EB312D">
      <w:pPr>
        <w:pStyle w:val="FootnoteText"/>
      </w:pPr>
      <w:r w:rsidRPr="000F2933">
        <w:rPr>
          <w:rStyle w:val="FootnoteReference"/>
        </w:rPr>
        <w:footnoteRef/>
      </w:r>
      <w:r w:rsidRPr="000F2933">
        <w:t xml:space="preserve"> 47 CFR </w:t>
      </w:r>
      <w:r>
        <w:t>§ </w:t>
      </w:r>
      <w:r w:rsidRPr="000F2933">
        <w:t>76.901(f) &amp; nn.1-3.</w:t>
      </w:r>
    </w:p>
  </w:footnote>
  <w:footnote w:id="440">
    <w:p w:rsidR="00844D1E" w:rsidRPr="000F2933" w:rsidP="00EB312D">
      <w:pPr>
        <w:pStyle w:val="FootnoteText"/>
      </w:pPr>
      <w:r w:rsidRPr="000F2933">
        <w:rPr>
          <w:rStyle w:val="FootnoteReference"/>
        </w:rPr>
        <w:footnoteRef/>
      </w:r>
      <w:r w:rsidRPr="000F2933">
        <w:t xml:space="preserve"> </w:t>
      </w:r>
      <w:r w:rsidRPr="000F2933">
        <w:rPr>
          <w:i/>
        </w:rPr>
        <w:t>See</w:t>
      </w:r>
      <w:r w:rsidRPr="000F2933">
        <w:t xml:space="preserve"> SNL Kagan at </w:t>
      </w:r>
      <w:hyperlink r:id="rId24" w:history="1">
        <w:r w:rsidRPr="000F2933">
          <w:rPr>
            <w:rStyle w:val="Hyperlink"/>
          </w:rPr>
          <w:t>http://www.snl.com/interactivex/TopCable MSOs.aspx</w:t>
        </w:r>
      </w:hyperlink>
      <w:r w:rsidRPr="000F2933">
        <w:t xml:space="preserve"> (subscription required).</w:t>
      </w:r>
    </w:p>
  </w:footnote>
  <w:footnote w:id="441">
    <w:p w:rsidR="00844D1E" w:rsidRPr="000F2933" w:rsidP="00EB312D">
      <w:pPr>
        <w:pStyle w:val="FootnoteText"/>
      </w:pPr>
      <w:r w:rsidRPr="000F2933">
        <w:rPr>
          <w:rStyle w:val="FootnoteReference"/>
        </w:rPr>
        <w:footnoteRef/>
      </w:r>
      <w:r w:rsidRPr="000F2933">
        <w:t xml:space="preserve"> The Commission does receive such information on a case-by-case basis if a cable operator appeals a local franchise authority’s finding that the operator does not qualify as a small cable operator pursuant to section 76.901(f) of the Commission’s rules.  </w:t>
      </w:r>
      <w:r w:rsidRPr="000F2933">
        <w:rPr>
          <w:i/>
        </w:rPr>
        <w:t>See</w:t>
      </w:r>
      <w:r w:rsidRPr="000F2933">
        <w:t xml:space="preserve"> 47 CFR § 76.901(f).</w:t>
      </w:r>
    </w:p>
  </w:footnote>
  <w:footnote w:id="442">
    <w:p w:rsidR="00844D1E" w:rsidRPr="000F2933" w:rsidP="00EB312D">
      <w:pPr>
        <w:pStyle w:val="FootnoteText"/>
      </w:pPr>
      <w:r w:rsidRPr="000F2933">
        <w:rPr>
          <w:rStyle w:val="FootnoteReference"/>
        </w:rPr>
        <w:footnoteRef/>
      </w:r>
      <w:r w:rsidRPr="000F2933">
        <w:t xml:space="preserve"> U.S. Census Bureau, </w:t>
      </w:r>
      <w:r w:rsidRPr="000F2933">
        <w:rPr>
          <w:i/>
        </w:rPr>
        <w:t>NAICS Search</w:t>
      </w:r>
      <w:r w:rsidRPr="000F2933">
        <w:t xml:space="preserve">, </w:t>
      </w:r>
      <w:hyperlink r:id="rId25" w:history="1">
        <w:r w:rsidRPr="000F2933">
          <w:rPr>
            <w:rStyle w:val="Hyperlink"/>
          </w:rPr>
          <w:t>http://www.census.gov/cgi-bin/sssd/naics/naicsrch</w:t>
        </w:r>
      </w:hyperlink>
      <w:r w:rsidRPr="000F2933">
        <w:t xml:space="preserve"> (last visited </w:t>
      </w:r>
      <w:r>
        <w:t>Aug. 15</w:t>
      </w:r>
      <w:r w:rsidRPr="000F2933">
        <w:t>, 201</w:t>
      </w:r>
      <w:r>
        <w:t>9</w:t>
      </w:r>
      <w:r w:rsidRPr="000F2933">
        <w:t>) (enter 2012 NAICS code 517919).</w:t>
      </w:r>
    </w:p>
  </w:footnote>
  <w:footnote w:id="443">
    <w:p w:rsidR="00844D1E" w:rsidRPr="000F2933" w:rsidP="00EB312D">
      <w:pPr>
        <w:pStyle w:val="FootnoteText"/>
      </w:pPr>
      <w:r w:rsidRPr="000F2933">
        <w:rPr>
          <w:rStyle w:val="FootnoteReference"/>
        </w:rPr>
        <w:footnoteRef/>
      </w:r>
      <w:r w:rsidRPr="000F2933">
        <w:t xml:space="preserve"> 13 CFR </w:t>
      </w:r>
      <w:r>
        <w:t>§ </w:t>
      </w:r>
      <w:r w:rsidRPr="000F2933">
        <w:t>121.201 (NAICS Code 517919).</w:t>
      </w:r>
    </w:p>
  </w:footnote>
  <w:footnote w:id="444">
    <w:p w:rsidR="00844D1E" w:rsidRPr="000F2933" w:rsidP="00EB312D">
      <w:pPr>
        <w:pStyle w:val="FootnoteText"/>
      </w:pPr>
      <w:r w:rsidRPr="000F2933">
        <w:rPr>
          <w:rStyle w:val="FootnoteReference"/>
        </w:rPr>
        <w:footnoteRef/>
      </w:r>
      <w:r w:rsidRPr="000F2933">
        <w:t xml:space="preserve"> U.S. Census Bureau, </w:t>
      </w:r>
      <w:r w:rsidRPr="000F2933">
        <w:rPr>
          <w:i/>
        </w:rPr>
        <w:t>American Fact Finder</w:t>
      </w:r>
      <w:r w:rsidRPr="000F2933">
        <w:t xml:space="preserve"> (Jan. 08, 2016), </w:t>
      </w:r>
      <w:hyperlink r:id="rId26" w:history="1">
        <w:r w:rsidRPr="000F2933">
          <w:rPr>
            <w:rStyle w:val="Hyperlink"/>
          </w:rPr>
          <w:t>http://factfinder.census.gov/faces/tableservices/jsf/pages/productview.xhtml?pid=ECN_2012_US_51SSSZ4&amp;prodType=table</w:t>
        </w:r>
      </w:hyperlink>
      <w:r w:rsidRPr="000F2933">
        <w:t xml:space="preserve"> (2012 NAICS Code 517919, “</w:t>
      </w:r>
      <w:r w:rsidRPr="000F2933">
        <w:t>Estab</w:t>
      </w:r>
      <w:r w:rsidRPr="000F2933">
        <w:t xml:space="preserve"> &amp; Firm Size: Receipts Size of Firms for the U.S.”).</w:t>
      </w:r>
    </w:p>
  </w:footnote>
  <w:footnote w:id="445">
    <w:p w:rsidR="00844D1E" w:rsidRPr="000F2933" w:rsidP="00EB312D">
      <w:pPr>
        <w:pStyle w:val="FootnoteText"/>
        <w:rPr>
          <w:i/>
        </w:rPr>
      </w:pPr>
      <w:r w:rsidRPr="000F2933">
        <w:rPr>
          <w:rStyle w:val="FootnoteReference"/>
        </w:rPr>
        <w:footnoteRef/>
      </w:r>
      <w:r w:rsidRPr="000F2933">
        <w:t xml:space="preserve"> </w:t>
      </w:r>
      <w:r w:rsidRPr="000F2933">
        <w:rPr>
          <w:i/>
        </w:rPr>
        <w:t>Id.</w:t>
      </w:r>
    </w:p>
  </w:footnote>
  <w:footnote w:id="446">
    <w:p w:rsidR="00844D1E" w:rsidRPr="000F2933" w:rsidP="00EB312D">
      <w:pPr>
        <w:pStyle w:val="FootnoteText"/>
      </w:pPr>
      <w:r w:rsidRPr="000F2933">
        <w:rPr>
          <w:rStyle w:val="FootnoteReference"/>
        </w:rPr>
        <w:footnoteRef/>
      </w:r>
      <w:r w:rsidRPr="000F2933">
        <w:t xml:space="preserve"> 5 U.S.C. </w:t>
      </w:r>
      <w:r>
        <w:t>§ </w:t>
      </w:r>
      <w:r w:rsidRPr="000F2933">
        <w:t>603(c)(1) – (c)(4).</w:t>
      </w:r>
    </w:p>
  </w:footnote>
  <w:footnote w:id="447">
    <w:p w:rsidR="00844D1E" w:rsidRPr="00964574" w:rsidP="00EB312D">
      <w:pPr>
        <w:pStyle w:val="FootnoteText"/>
      </w:pPr>
      <w:r>
        <w:rPr>
          <w:rStyle w:val="FootnoteReference"/>
        </w:rPr>
        <w:footnoteRef/>
      </w:r>
      <w:r>
        <w:t xml:space="preserve"> </w:t>
      </w:r>
      <w:r>
        <w:rPr>
          <w:i/>
        </w:rPr>
        <w:t>Se</w:t>
      </w:r>
      <w:r w:rsidRPr="00D36CD6">
        <w:rPr>
          <w:i/>
        </w:rPr>
        <w:t xml:space="preserve">e supra </w:t>
      </w:r>
      <w:r w:rsidRPr="00D36CD6">
        <w:t>para. 77.</w:t>
      </w:r>
    </w:p>
  </w:footnote>
  <w:footnote w:id="448">
    <w:p w:rsidR="00844D1E" w:rsidRPr="000F2933" w:rsidP="00EB312D">
      <w:pPr>
        <w:pStyle w:val="FootnoteText"/>
      </w:pPr>
      <w:r w:rsidRPr="000F2933">
        <w:rPr>
          <w:rStyle w:val="FootnoteReference"/>
        </w:rPr>
        <w:footnoteRef/>
      </w:r>
      <w:r w:rsidRPr="000F2933">
        <w:t xml:space="preserve"> </w:t>
      </w:r>
      <w:r w:rsidRPr="000F2933">
        <w:rPr>
          <w:i/>
        </w:rPr>
        <w:t>Access Arbitrage Notice</w:t>
      </w:r>
      <w:r w:rsidRPr="000F2933">
        <w:t xml:space="preserve">, 33 FCC </w:t>
      </w:r>
      <w:r w:rsidRPr="000F2933">
        <w:t>Rcd</w:t>
      </w:r>
      <w:r w:rsidRPr="000F2933">
        <w:t xml:space="preserve"> at 5472-73, paras. 18-20; </w:t>
      </w:r>
      <w:r w:rsidRPr="006D5299">
        <w:rPr>
          <w:i/>
        </w:rPr>
        <w:t>see, e.g.</w:t>
      </w:r>
      <w:r w:rsidRPr="006D5299">
        <w:t>,</w:t>
      </w:r>
      <w:r w:rsidRPr="000F2933">
        <w:t xml:space="preserve"> AT&amp;T Comments at 12 (</w:t>
      </w:r>
      <w:r>
        <w:t xml:space="preserve">stating that </w:t>
      </w:r>
      <w:r w:rsidRPr="000F2933">
        <w:t>a 45-day implementation period is “reasonable”); NTCA Comments at 4; INCOMPAS Reply at 4 (“INCOMPAS encourages the Commission to require an access-stimulating LEC to provide written notice of its choice to the FCC and that the agency then make that election public.”).</w:t>
      </w:r>
    </w:p>
  </w:footnote>
  <w:footnote w:id="449">
    <w:p w:rsidR="00844D1E" w:rsidRPr="000F2933" w:rsidP="00EB312D">
      <w:pPr>
        <w:pStyle w:val="FootnoteText"/>
      </w:pPr>
      <w:r w:rsidRPr="000F2933">
        <w:rPr>
          <w:rStyle w:val="FootnoteReference"/>
        </w:rPr>
        <w:footnoteRef/>
      </w:r>
      <w:r w:rsidRPr="000F2933">
        <w:t xml:space="preserve"> Letter from James Troup and Tony Lee, Counsel for </w:t>
      </w:r>
      <w:r w:rsidRPr="000F2933">
        <w:t>Aureon</w:t>
      </w:r>
      <w:r w:rsidRPr="000F2933">
        <w:t>, to Marlene Dortch, Secretary, FCC, WC Docket Nos. 18-155</w:t>
      </w:r>
      <w:r>
        <w:t xml:space="preserve"> and</w:t>
      </w:r>
      <w:r w:rsidRPr="000F2933">
        <w:t xml:space="preserve"> 18-60, at 9 (filed May 23, 2019); SDN Comments at 5.  Whether or not a tariff change is necessary is a determination for </w:t>
      </w:r>
      <w:r>
        <w:t>each individual carrier</w:t>
      </w:r>
      <w:r w:rsidRPr="000F2933">
        <w:t xml:space="preserve"> to make.</w:t>
      </w:r>
    </w:p>
  </w:footnote>
  <w:footnote w:id="450">
    <w:p w:rsidR="00844D1E" w:rsidRPr="000F2933" w:rsidP="00EB312D">
      <w:pPr>
        <w:pStyle w:val="FootnoteText"/>
      </w:pPr>
      <w:r w:rsidRPr="000F2933">
        <w:rPr>
          <w:rStyle w:val="FootnoteReference"/>
        </w:rPr>
        <w:footnoteRef/>
      </w:r>
      <w:r w:rsidRPr="000F2933">
        <w:t xml:space="preserve"> </w:t>
      </w:r>
      <w:r w:rsidRPr="000F2933">
        <w:t>Aureon</w:t>
      </w:r>
      <w:r w:rsidRPr="000F2933">
        <w:t xml:space="preserve"> May 23, 2019 </w:t>
      </w:r>
      <w:r w:rsidRPr="000F2933">
        <w:rPr>
          <w:i/>
        </w:rPr>
        <w:t>Ex Parte</w:t>
      </w:r>
      <w:r w:rsidRPr="000F2933">
        <w:t xml:space="preserve"> at 9.</w:t>
      </w:r>
    </w:p>
  </w:footnote>
  <w:footnote w:id="451">
    <w:p w:rsidR="00844D1E" w:rsidRPr="000F2933" w:rsidP="00EB312D">
      <w:pPr>
        <w:pStyle w:val="FootnoteText"/>
      </w:pPr>
      <w:r w:rsidRPr="000F2933">
        <w:rPr>
          <w:rStyle w:val="FootnoteReference"/>
        </w:rPr>
        <w:footnoteRef/>
      </w:r>
      <w:r w:rsidRPr="000F2933">
        <w:t xml:space="preserve"> </w:t>
      </w:r>
      <w:r w:rsidRPr="000F2933">
        <w:rPr>
          <w:i/>
          <w:iCs/>
        </w:rPr>
        <w:t xml:space="preserve">See </w:t>
      </w:r>
      <w:r w:rsidRPr="000F2933">
        <w:t xml:space="preserve">5 U.S.C. </w:t>
      </w:r>
      <w:r>
        <w:t>§ </w:t>
      </w:r>
      <w:r w:rsidRPr="000F2933">
        <w:t>801(a)(1)(A).</w:t>
      </w:r>
    </w:p>
  </w:footnote>
  <w:footnote w:id="452">
    <w:p w:rsidR="00844D1E" w:rsidRPr="000F2933" w:rsidP="00EB312D">
      <w:pPr>
        <w:pStyle w:val="FootnoteText"/>
      </w:pPr>
      <w:r w:rsidRPr="000F2933">
        <w:rPr>
          <w:rStyle w:val="FootnoteReference"/>
        </w:rPr>
        <w:footnoteRef/>
      </w:r>
      <w:r w:rsidRPr="000F2933">
        <w:t xml:space="preserve"> </w:t>
      </w:r>
      <w:r w:rsidRPr="000F2933">
        <w:rPr>
          <w:i/>
          <w:iCs/>
        </w:rPr>
        <w:t xml:space="preserve">See </w:t>
      </w:r>
      <w:r w:rsidRPr="000F2933">
        <w:t xml:space="preserve">5 U.S.C. </w:t>
      </w:r>
      <w:r>
        <w:t>§ </w:t>
      </w:r>
      <w:r w:rsidRPr="000F2933">
        <w:t>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D1E" w:rsidP="002D6012">
    <w:pPr>
      <w:pStyle w:val="Header"/>
    </w:pPr>
    <w:r>
      <w:rPr>
        <w:noProof/>
      </w:rPr>
      <w:pict>
        <v:rect id="_x0000_s2049" style="width:468pt;height:0.95pt;margin-top:12.65pt;margin-left:0.6pt;mso-position-horizontal-relative:margin;position:absolute;visibility:visible;z-index:-251654144" o:allowincell="f" fillcolor="black" stroked="f" strokeweight="0.05pt">
          <w10:wrap anchorx="margin"/>
        </v:rect>
      </w:pict>
    </w:r>
    <w:r>
      <w:tab/>
      <w:t>Federal Communications Commission</w:t>
    </w:r>
    <w:r>
      <w:tab/>
    </w:r>
    <w:r>
      <w:rPr>
        <w:spacing w:val="-2"/>
      </w:rPr>
      <w:t>FCC 19-94</w:t>
    </w:r>
  </w:p>
  <w:p w:rsidR="00844D1E">
    <w:pPr>
      <w:tabs>
        <w:tab w:val="left" w:pos="-720"/>
      </w:tabs>
      <w:suppressAutoHyphens/>
      <w:spacing w:line="19" w:lineRule="exact"/>
      <w:rPr>
        <w:spacing w:val="-2"/>
      </w:rPr>
    </w:pPr>
    <w:r>
      <w:rPr>
        <w:noProof/>
      </w:rPr>
      <w:pict>
        <v:rect id="_x0000_s2050" style="width:468pt;height:0.95pt;margin-top:0;margin-left:0;mso-position-horizontal-relative:margin;position:absolute;visibility:visible;z-index:-251656192" o:allowincell="f" fillcolor="black" stroked="f" strokeweight="0.05pt">
          <w10:wrap anchorx="margin"/>
        </v:rect>
      </w:pict>
    </w:r>
  </w:p>
  <w:p w:rsidR="00844D1E">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D1E" w:rsidP="002D6012">
    <w:pPr>
      <w:pStyle w:val="Header"/>
    </w:pPr>
    <w:r>
      <w:rPr>
        <w:noProof/>
      </w:rPr>
      <w:pict>
        <v:rect id="_x0000_s2051"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19-94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D1E" w:rsidP="00810B6F">
    <w:pPr>
      <w:pStyle w:val="Header"/>
      <w:rPr>
        <w:b w:val="0"/>
      </w:rPr>
    </w:pPr>
    <w:r>
      <w:tab/>
      <w:t>Federal Communications Commission</w:t>
    </w:r>
    <w:r>
      <w:tab/>
      <w:t>FCC 19-94</w:t>
    </w:r>
  </w:p>
  <w:p w:rsidR="00844D1E">
    <w:pPr>
      <w:tabs>
        <w:tab w:val="left" w:pos="-720"/>
      </w:tabs>
      <w:suppressAutoHyphens/>
      <w:spacing w:line="19" w:lineRule="exact"/>
      <w:rPr>
        <w:spacing w:val="-2"/>
      </w:rPr>
    </w:pPr>
    <w:r>
      <w:rPr>
        <w:noProof/>
      </w:rPr>
      <w:pict>
        <v:rect id="Rectangle 1" o:spid="_x0000_s2052" style="width:468pt;height:0.95pt;margin-top:0;margin-left:0;mso-position-horizontal-relative:margin;position:absolute;visibility:visible;z-index:-251658240" o:allowincell="f" fillcolor="black" stroked="f" strokeweight="0.05pt">
          <w10:wrap anchorx="margin"/>
        </v:rect>
      </w:pict>
    </w:r>
  </w:p>
  <w:p w:rsidR="00844D1E">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D1E" w:rsidP="00810B6F">
    <w:pPr>
      <w:pStyle w:val="Header"/>
      <w:rPr>
        <w:b w:val="0"/>
      </w:rPr>
    </w:pPr>
    <w:r>
      <w:rPr>
        <w:noProof/>
      </w:rPr>
      <w:pict>
        <v:rect id="Rectangle 3" o:spid="_x0000_s2053"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t>F</w:t>
    </w:r>
    <w:r>
      <w:rPr>
        <w:spacing w:val="-2"/>
      </w:rPr>
      <w:t>CC 19-94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1C46202A"/>
    <w:lvl w:ilvl="0">
      <w:start w:val="1"/>
      <w:numFmt w:val="bullet"/>
      <w:pStyle w:val="ListBullet2"/>
      <w:lvlText w:val=""/>
      <w:lvlJc w:val="left"/>
      <w:pPr>
        <w:tabs>
          <w:tab w:val="num" w:pos="0"/>
        </w:tabs>
        <w:ind w:left="0" w:hanging="360"/>
      </w:pPr>
      <w:rPr>
        <w:rFonts w:ascii="Symbol" w:hAnsi="Symbol" w:hint="default"/>
      </w:rPr>
    </w:lvl>
  </w:abstractNum>
  <w:abstractNum w:abstractNumId="1">
    <w:nsid w:val="025A783C"/>
    <w:multiLevelType w:val="singleLevel"/>
    <w:tmpl w:val="A52053E0"/>
    <w:lvl w:ilvl="0">
      <w:start w:val="1"/>
      <w:numFmt w:val="decimal"/>
      <w:pStyle w:val="Title"/>
      <w:lvlText w:val="%1."/>
      <w:lvlJc w:val="left"/>
      <w:pPr>
        <w:tabs>
          <w:tab w:val="num" w:pos="1080"/>
        </w:tabs>
        <w:ind w:left="0" w:firstLine="720"/>
      </w:pPr>
      <w:rPr>
        <w:b w:val="0"/>
        <w:i w:val="0"/>
      </w:rPr>
    </w:lvl>
  </w:abstractNum>
  <w:abstractNum w:abstractNumId="2">
    <w:nsid w:val="07DA6922"/>
    <w:multiLevelType w:val="multilevel"/>
    <w:tmpl w:val="8F9E0D42"/>
    <w:lvl w:ilvl="0">
      <w:start w:val="1"/>
      <w:numFmt w:val="bullet"/>
      <w:lvlText w:val=""/>
      <w:lvlJc w:val="left"/>
      <w:pPr>
        <w:tabs>
          <w:tab w:val="num" w:pos="720"/>
        </w:tabs>
        <w:ind w:left="720" w:hanging="720"/>
      </w:pPr>
      <w:rPr>
        <w:rFonts w:ascii="Symbol" w:hAnsi="Symbol" w:hint="default"/>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2C2526F"/>
    <w:multiLevelType w:val="hybridMultilevel"/>
    <w:tmpl w:val="B656B70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0B4704"/>
    <w:multiLevelType w:val="hybridMultilevel"/>
    <w:tmpl w:val="761209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6253C7"/>
    <w:multiLevelType w:val="hybridMultilevel"/>
    <w:tmpl w:val="1D64F3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3D27658"/>
    <w:multiLevelType w:val="hybridMultilevel"/>
    <w:tmpl w:val="BBA40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9668E7"/>
    <w:multiLevelType w:val="hybridMultilevel"/>
    <w:tmpl w:val="2E36154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32A80CB6"/>
    <w:multiLevelType w:val="hybridMultilevel"/>
    <w:tmpl w:val="FD6A923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82653A0"/>
    <w:multiLevelType w:val="hybridMultilevel"/>
    <w:tmpl w:val="770C77B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8A83ADF"/>
    <w:multiLevelType w:val="multilevel"/>
    <w:tmpl w:val="8F9E0D42"/>
    <w:lvl w:ilvl="0">
      <w:start w:val="1"/>
      <w:numFmt w:val="bullet"/>
      <w:lvlText w:val=""/>
      <w:lvlJc w:val="left"/>
      <w:pPr>
        <w:tabs>
          <w:tab w:val="num" w:pos="720"/>
        </w:tabs>
        <w:ind w:left="720" w:hanging="720"/>
      </w:pPr>
      <w:rPr>
        <w:rFonts w:ascii="Symbol" w:hAnsi="Symbol" w:hint="default"/>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06E720A"/>
    <w:multiLevelType w:val="hybridMultilevel"/>
    <w:tmpl w:val="8C8699EA"/>
    <w:lvl w:ilvl="0">
      <w:start w:val="1"/>
      <w:numFmt w:val="bullet"/>
      <w:lvlText w:val=""/>
      <w:lvlJc w:val="left"/>
      <w:pPr>
        <w:ind w:left="1710" w:hanging="360"/>
      </w:pPr>
      <w:rPr>
        <w:rFonts w:ascii="Symbol" w:hAnsi="Symbol" w:hint="default"/>
      </w:rPr>
    </w:lvl>
    <w:lvl w:ilvl="1" w:tentative="1">
      <w:start w:val="1"/>
      <w:numFmt w:val="bullet"/>
      <w:lvlText w:val="o"/>
      <w:lvlJc w:val="left"/>
      <w:pPr>
        <w:ind w:left="2430" w:hanging="360"/>
      </w:pPr>
      <w:rPr>
        <w:rFonts w:ascii="Courier New" w:hAnsi="Courier New" w:cs="Courier New" w:hint="default"/>
      </w:rPr>
    </w:lvl>
    <w:lvl w:ilvl="2" w:tentative="1">
      <w:start w:val="1"/>
      <w:numFmt w:val="bullet"/>
      <w:lvlText w:val=""/>
      <w:lvlJc w:val="left"/>
      <w:pPr>
        <w:ind w:left="3150" w:hanging="360"/>
      </w:pPr>
      <w:rPr>
        <w:rFonts w:ascii="Wingdings" w:hAnsi="Wingdings" w:hint="default"/>
      </w:rPr>
    </w:lvl>
    <w:lvl w:ilvl="3" w:tentative="1">
      <w:start w:val="1"/>
      <w:numFmt w:val="bullet"/>
      <w:lvlText w:val=""/>
      <w:lvlJc w:val="left"/>
      <w:pPr>
        <w:ind w:left="3870" w:hanging="360"/>
      </w:pPr>
      <w:rPr>
        <w:rFonts w:ascii="Symbol" w:hAnsi="Symbol" w:hint="default"/>
      </w:rPr>
    </w:lvl>
    <w:lvl w:ilvl="4" w:tentative="1">
      <w:start w:val="1"/>
      <w:numFmt w:val="bullet"/>
      <w:lvlText w:val="o"/>
      <w:lvlJc w:val="left"/>
      <w:pPr>
        <w:ind w:left="4590" w:hanging="360"/>
      </w:pPr>
      <w:rPr>
        <w:rFonts w:ascii="Courier New" w:hAnsi="Courier New" w:cs="Courier New" w:hint="default"/>
      </w:rPr>
    </w:lvl>
    <w:lvl w:ilvl="5" w:tentative="1">
      <w:start w:val="1"/>
      <w:numFmt w:val="bullet"/>
      <w:lvlText w:val=""/>
      <w:lvlJc w:val="left"/>
      <w:pPr>
        <w:ind w:left="5310" w:hanging="360"/>
      </w:pPr>
      <w:rPr>
        <w:rFonts w:ascii="Wingdings" w:hAnsi="Wingdings" w:hint="default"/>
      </w:rPr>
    </w:lvl>
    <w:lvl w:ilvl="6" w:tentative="1">
      <w:start w:val="1"/>
      <w:numFmt w:val="bullet"/>
      <w:lvlText w:val=""/>
      <w:lvlJc w:val="left"/>
      <w:pPr>
        <w:ind w:left="6030" w:hanging="360"/>
      </w:pPr>
      <w:rPr>
        <w:rFonts w:ascii="Symbol" w:hAnsi="Symbol" w:hint="default"/>
      </w:rPr>
    </w:lvl>
    <w:lvl w:ilvl="7" w:tentative="1">
      <w:start w:val="1"/>
      <w:numFmt w:val="bullet"/>
      <w:lvlText w:val="o"/>
      <w:lvlJc w:val="left"/>
      <w:pPr>
        <w:ind w:left="6750" w:hanging="360"/>
      </w:pPr>
      <w:rPr>
        <w:rFonts w:ascii="Courier New" w:hAnsi="Courier New" w:cs="Courier New" w:hint="default"/>
      </w:rPr>
    </w:lvl>
    <w:lvl w:ilvl="8" w:tentative="1">
      <w:start w:val="1"/>
      <w:numFmt w:val="bullet"/>
      <w:lvlText w:val=""/>
      <w:lvlJc w:val="left"/>
      <w:pPr>
        <w:ind w:left="7470" w:hanging="360"/>
      </w:pPr>
      <w:rPr>
        <w:rFonts w:ascii="Wingdings" w:hAnsi="Wingdings" w:hint="default"/>
      </w:rPr>
    </w:lvl>
  </w:abstractNum>
  <w:abstractNum w:abstractNumId="16">
    <w:nsid w:val="45865688"/>
    <w:multiLevelType w:val="hybridMultilevel"/>
    <w:tmpl w:val="EE2CB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4FB471FC"/>
    <w:multiLevelType w:val="hybridMultilevel"/>
    <w:tmpl w:val="B2A6FB1C"/>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4FBD472C"/>
    <w:multiLevelType w:val="multilevel"/>
    <w:tmpl w:val="5EE4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41241F"/>
    <w:multiLevelType w:val="singleLevel"/>
    <w:tmpl w:val="EDBE40DE"/>
    <w:lvl w:ilvl="0">
      <w:start w:val="1"/>
      <w:numFmt w:val="decimal"/>
      <w:pStyle w:val="NumberedList"/>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abstractNum>
  <w:abstractNum w:abstractNumId="21">
    <w:nsid w:val="5814326A"/>
    <w:multiLevelType w:val="hybridMultilevel"/>
    <w:tmpl w:val="90F8E9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06D0C3D"/>
    <w:multiLevelType w:val="hybridMultilevel"/>
    <w:tmpl w:val="412EF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60059B6"/>
    <w:multiLevelType w:val="multilevel"/>
    <w:tmpl w:val="C12C4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7736A9C"/>
    <w:multiLevelType w:val="hybridMultilevel"/>
    <w:tmpl w:val="792C2D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5113AF"/>
    <w:multiLevelType w:val="hybridMultilevel"/>
    <w:tmpl w:val="28E41B10"/>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23"/>
  </w:num>
  <w:num w:numId="3">
    <w:abstractNumId w:val="11"/>
  </w:num>
  <w:num w:numId="4">
    <w:abstractNumId w:val="17"/>
  </w:num>
  <w:num w:numId="5">
    <w:abstractNumId w:val="9"/>
  </w:num>
  <w:num w:numId="6">
    <w:abstractNumId w:val="3"/>
  </w:num>
  <w:num w:numId="7">
    <w:abstractNumId w:val="0"/>
  </w:num>
  <w:num w:numId="8">
    <w:abstractNumId w:val="1"/>
  </w:num>
  <w:num w:numId="9">
    <w:abstractNumId w:val="20"/>
  </w:num>
  <w:num w:numId="10">
    <w:abstractNumId w:val="23"/>
    <w:lvlOverride w:ilvl="0">
      <w:startOverride w:val="1"/>
    </w:lvlOverride>
  </w:num>
  <w:num w:numId="11">
    <w:abstractNumId w:val="18"/>
  </w:num>
  <w:num w:numId="12">
    <w:abstractNumId w:val="4"/>
  </w:num>
  <w:num w:numId="13">
    <w:abstractNumId w:val="2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num>
  <w:num w:numId="24">
    <w:abstractNumId w:val="15"/>
  </w:num>
  <w:num w:numId="25">
    <w:abstractNumId w:val="22"/>
  </w:num>
  <w:num w:numId="26">
    <w:abstractNumId w:val="23"/>
    <w:lvlOverride w:ilvl="0">
      <w:startOverride w:val="1"/>
    </w:lvlOverride>
  </w:num>
  <w:num w:numId="27">
    <w:abstractNumId w:val="14"/>
  </w:num>
  <w:num w:numId="28">
    <w:abstractNumId w:val="2"/>
  </w:num>
  <w:num w:numId="29">
    <w:abstractNumId w:val="13"/>
  </w:num>
  <w:num w:numId="30">
    <w:abstractNumId w:val="23"/>
    <w:lvlOverride w:ilvl="0">
      <w:startOverride w:val="1"/>
    </w:lvlOverride>
  </w:num>
  <w:num w:numId="31">
    <w:abstractNumId w:val="23"/>
    <w:lvlOverride w:ilvl="0">
      <w:startOverride w:val="1"/>
    </w:lvlOverride>
  </w:num>
  <w:num w:numId="32">
    <w:abstractNumId w:val="25"/>
  </w:num>
  <w:num w:numId="33">
    <w:abstractNumId w:val="10"/>
  </w:num>
  <w:num w:numId="34">
    <w:abstractNumId w:val="21"/>
  </w:num>
  <w:num w:numId="35">
    <w:abstractNumId w:val="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2D"/>
    <w:rsid w:val="00001CB6"/>
    <w:rsid w:val="00001F4E"/>
    <w:rsid w:val="00006D74"/>
    <w:rsid w:val="000171AE"/>
    <w:rsid w:val="00017CBE"/>
    <w:rsid w:val="00032B71"/>
    <w:rsid w:val="0003388C"/>
    <w:rsid w:val="00036039"/>
    <w:rsid w:val="000371B0"/>
    <w:rsid w:val="00037F90"/>
    <w:rsid w:val="00042377"/>
    <w:rsid w:val="00043A6F"/>
    <w:rsid w:val="00045149"/>
    <w:rsid w:val="000462D3"/>
    <w:rsid w:val="00053021"/>
    <w:rsid w:val="000536A7"/>
    <w:rsid w:val="00053FBE"/>
    <w:rsid w:val="00054AEA"/>
    <w:rsid w:val="00064A26"/>
    <w:rsid w:val="000746E9"/>
    <w:rsid w:val="0008079A"/>
    <w:rsid w:val="000837F5"/>
    <w:rsid w:val="000839FB"/>
    <w:rsid w:val="000875BF"/>
    <w:rsid w:val="0009070B"/>
    <w:rsid w:val="00092B6D"/>
    <w:rsid w:val="0009531D"/>
    <w:rsid w:val="00095EA5"/>
    <w:rsid w:val="000967A8"/>
    <w:rsid w:val="00096D8C"/>
    <w:rsid w:val="000A1A30"/>
    <w:rsid w:val="000A28B4"/>
    <w:rsid w:val="000A5E95"/>
    <w:rsid w:val="000B15AC"/>
    <w:rsid w:val="000B50F7"/>
    <w:rsid w:val="000B5332"/>
    <w:rsid w:val="000B6E32"/>
    <w:rsid w:val="000C0B65"/>
    <w:rsid w:val="000C1E5D"/>
    <w:rsid w:val="000C501E"/>
    <w:rsid w:val="000D3170"/>
    <w:rsid w:val="000D6186"/>
    <w:rsid w:val="000D7A16"/>
    <w:rsid w:val="000E05FE"/>
    <w:rsid w:val="000E39AA"/>
    <w:rsid w:val="000E3D42"/>
    <w:rsid w:val="000E7090"/>
    <w:rsid w:val="000E757F"/>
    <w:rsid w:val="000F2933"/>
    <w:rsid w:val="000F420B"/>
    <w:rsid w:val="000F426E"/>
    <w:rsid w:val="000F46F3"/>
    <w:rsid w:val="000F704A"/>
    <w:rsid w:val="000F791E"/>
    <w:rsid w:val="0010181F"/>
    <w:rsid w:val="00110E55"/>
    <w:rsid w:val="001120BF"/>
    <w:rsid w:val="001156B9"/>
    <w:rsid w:val="00115B5D"/>
    <w:rsid w:val="00117E95"/>
    <w:rsid w:val="00122BD5"/>
    <w:rsid w:val="00125239"/>
    <w:rsid w:val="00130261"/>
    <w:rsid w:val="0013364E"/>
    <w:rsid w:val="0013391B"/>
    <w:rsid w:val="00133F79"/>
    <w:rsid w:val="00135593"/>
    <w:rsid w:val="00140B58"/>
    <w:rsid w:val="00153341"/>
    <w:rsid w:val="00155308"/>
    <w:rsid w:val="00157398"/>
    <w:rsid w:val="00157664"/>
    <w:rsid w:val="00164C38"/>
    <w:rsid w:val="00165EE5"/>
    <w:rsid w:val="00166774"/>
    <w:rsid w:val="00173BA3"/>
    <w:rsid w:val="00187D77"/>
    <w:rsid w:val="00194A66"/>
    <w:rsid w:val="001964D7"/>
    <w:rsid w:val="001A3845"/>
    <w:rsid w:val="001A4212"/>
    <w:rsid w:val="001B51B1"/>
    <w:rsid w:val="001C0F69"/>
    <w:rsid w:val="001C6312"/>
    <w:rsid w:val="001D133B"/>
    <w:rsid w:val="001D31E6"/>
    <w:rsid w:val="001D46B5"/>
    <w:rsid w:val="001D6BCF"/>
    <w:rsid w:val="001D7D8F"/>
    <w:rsid w:val="001E01CA"/>
    <w:rsid w:val="001E73E9"/>
    <w:rsid w:val="001F167B"/>
    <w:rsid w:val="001F5BC5"/>
    <w:rsid w:val="00204B2D"/>
    <w:rsid w:val="00206B44"/>
    <w:rsid w:val="0021059F"/>
    <w:rsid w:val="00216EE6"/>
    <w:rsid w:val="00221DD7"/>
    <w:rsid w:val="002220CE"/>
    <w:rsid w:val="00231B66"/>
    <w:rsid w:val="0023282A"/>
    <w:rsid w:val="00233A2A"/>
    <w:rsid w:val="00235BBC"/>
    <w:rsid w:val="00235E34"/>
    <w:rsid w:val="00236F1F"/>
    <w:rsid w:val="00247A62"/>
    <w:rsid w:val="00252F57"/>
    <w:rsid w:val="00257385"/>
    <w:rsid w:val="0025781B"/>
    <w:rsid w:val="00260224"/>
    <w:rsid w:val="0026158A"/>
    <w:rsid w:val="0026769B"/>
    <w:rsid w:val="00275CF5"/>
    <w:rsid w:val="002778B7"/>
    <w:rsid w:val="00281AF4"/>
    <w:rsid w:val="0028301F"/>
    <w:rsid w:val="00285017"/>
    <w:rsid w:val="00290E15"/>
    <w:rsid w:val="00293C07"/>
    <w:rsid w:val="00295A37"/>
    <w:rsid w:val="002979AD"/>
    <w:rsid w:val="00297EDC"/>
    <w:rsid w:val="002A0BC9"/>
    <w:rsid w:val="002A2C1B"/>
    <w:rsid w:val="002A2D2E"/>
    <w:rsid w:val="002A461F"/>
    <w:rsid w:val="002A5ADD"/>
    <w:rsid w:val="002A6F37"/>
    <w:rsid w:val="002A7F62"/>
    <w:rsid w:val="002B1C36"/>
    <w:rsid w:val="002B3826"/>
    <w:rsid w:val="002B3AFA"/>
    <w:rsid w:val="002B58C2"/>
    <w:rsid w:val="002B74C2"/>
    <w:rsid w:val="002C00E8"/>
    <w:rsid w:val="002C1FF7"/>
    <w:rsid w:val="002C33C2"/>
    <w:rsid w:val="002C49C0"/>
    <w:rsid w:val="002D2EA5"/>
    <w:rsid w:val="002D6012"/>
    <w:rsid w:val="002E137B"/>
    <w:rsid w:val="002E5659"/>
    <w:rsid w:val="002E626D"/>
    <w:rsid w:val="002E6B1D"/>
    <w:rsid w:val="002F4CC6"/>
    <w:rsid w:val="002F4F2E"/>
    <w:rsid w:val="00303890"/>
    <w:rsid w:val="00304712"/>
    <w:rsid w:val="003053DF"/>
    <w:rsid w:val="0031265D"/>
    <w:rsid w:val="003244AB"/>
    <w:rsid w:val="00324A1A"/>
    <w:rsid w:val="003314A2"/>
    <w:rsid w:val="00333EB9"/>
    <w:rsid w:val="0033778E"/>
    <w:rsid w:val="00343749"/>
    <w:rsid w:val="0034674C"/>
    <w:rsid w:val="003521C1"/>
    <w:rsid w:val="00356B0B"/>
    <w:rsid w:val="0035787D"/>
    <w:rsid w:val="0036257E"/>
    <w:rsid w:val="00364F24"/>
    <w:rsid w:val="003660ED"/>
    <w:rsid w:val="003674C5"/>
    <w:rsid w:val="003751EC"/>
    <w:rsid w:val="0037684D"/>
    <w:rsid w:val="0038144B"/>
    <w:rsid w:val="003824DF"/>
    <w:rsid w:val="0038709C"/>
    <w:rsid w:val="00390C39"/>
    <w:rsid w:val="00395167"/>
    <w:rsid w:val="003951F0"/>
    <w:rsid w:val="003A3EAD"/>
    <w:rsid w:val="003A4343"/>
    <w:rsid w:val="003B0550"/>
    <w:rsid w:val="003B1025"/>
    <w:rsid w:val="003B2529"/>
    <w:rsid w:val="003B5DD7"/>
    <w:rsid w:val="003B694F"/>
    <w:rsid w:val="003D0831"/>
    <w:rsid w:val="003D6C6C"/>
    <w:rsid w:val="003E1D80"/>
    <w:rsid w:val="003E28FA"/>
    <w:rsid w:val="003E2DD2"/>
    <w:rsid w:val="003F171C"/>
    <w:rsid w:val="003F23C7"/>
    <w:rsid w:val="003F4BDE"/>
    <w:rsid w:val="003F6BD9"/>
    <w:rsid w:val="003F7528"/>
    <w:rsid w:val="0040391A"/>
    <w:rsid w:val="00404008"/>
    <w:rsid w:val="00404177"/>
    <w:rsid w:val="00405A8B"/>
    <w:rsid w:val="00412FC5"/>
    <w:rsid w:val="00422276"/>
    <w:rsid w:val="00422837"/>
    <w:rsid w:val="0042355D"/>
    <w:rsid w:val="004242F1"/>
    <w:rsid w:val="0043272D"/>
    <w:rsid w:val="00433EBE"/>
    <w:rsid w:val="00435F80"/>
    <w:rsid w:val="00437034"/>
    <w:rsid w:val="0044240B"/>
    <w:rsid w:val="00445A00"/>
    <w:rsid w:val="00451B0F"/>
    <w:rsid w:val="00456800"/>
    <w:rsid w:val="00456AD0"/>
    <w:rsid w:val="004673B1"/>
    <w:rsid w:val="00470093"/>
    <w:rsid w:val="00470E68"/>
    <w:rsid w:val="0047304D"/>
    <w:rsid w:val="00473A76"/>
    <w:rsid w:val="004740C3"/>
    <w:rsid w:val="00481F35"/>
    <w:rsid w:val="0048200E"/>
    <w:rsid w:val="00484920"/>
    <w:rsid w:val="004861D1"/>
    <w:rsid w:val="004917CD"/>
    <w:rsid w:val="004A2692"/>
    <w:rsid w:val="004A3E9E"/>
    <w:rsid w:val="004A7C46"/>
    <w:rsid w:val="004A7E4D"/>
    <w:rsid w:val="004B33E5"/>
    <w:rsid w:val="004B6465"/>
    <w:rsid w:val="004C0C21"/>
    <w:rsid w:val="004C2EE3"/>
    <w:rsid w:val="004C6DEB"/>
    <w:rsid w:val="004C75A4"/>
    <w:rsid w:val="004D2F68"/>
    <w:rsid w:val="004D70A0"/>
    <w:rsid w:val="004E2693"/>
    <w:rsid w:val="004E42D2"/>
    <w:rsid w:val="004E4A22"/>
    <w:rsid w:val="004E5364"/>
    <w:rsid w:val="004F06CB"/>
    <w:rsid w:val="004F0963"/>
    <w:rsid w:val="004F13AB"/>
    <w:rsid w:val="004F1DED"/>
    <w:rsid w:val="004F3FA2"/>
    <w:rsid w:val="004F7E76"/>
    <w:rsid w:val="00500ACD"/>
    <w:rsid w:val="00511968"/>
    <w:rsid w:val="005151FC"/>
    <w:rsid w:val="0051621B"/>
    <w:rsid w:val="00520576"/>
    <w:rsid w:val="0052166F"/>
    <w:rsid w:val="00523E39"/>
    <w:rsid w:val="00526F3F"/>
    <w:rsid w:val="00527695"/>
    <w:rsid w:val="005276E4"/>
    <w:rsid w:val="0052776E"/>
    <w:rsid w:val="00534EAD"/>
    <w:rsid w:val="00537449"/>
    <w:rsid w:val="00537B21"/>
    <w:rsid w:val="00555966"/>
    <w:rsid w:val="0055614C"/>
    <w:rsid w:val="00565124"/>
    <w:rsid w:val="00566D06"/>
    <w:rsid w:val="00571BE2"/>
    <w:rsid w:val="005740E6"/>
    <w:rsid w:val="005857B5"/>
    <w:rsid w:val="00585CB5"/>
    <w:rsid w:val="00586813"/>
    <w:rsid w:val="00591B4D"/>
    <w:rsid w:val="005948D6"/>
    <w:rsid w:val="00594CDC"/>
    <w:rsid w:val="00597850"/>
    <w:rsid w:val="005A0B7C"/>
    <w:rsid w:val="005B122A"/>
    <w:rsid w:val="005B18FC"/>
    <w:rsid w:val="005B36CB"/>
    <w:rsid w:val="005B5966"/>
    <w:rsid w:val="005B69A4"/>
    <w:rsid w:val="005B775E"/>
    <w:rsid w:val="005C1BD0"/>
    <w:rsid w:val="005D3814"/>
    <w:rsid w:val="005D7503"/>
    <w:rsid w:val="005D7A95"/>
    <w:rsid w:val="005E14C2"/>
    <w:rsid w:val="005E3138"/>
    <w:rsid w:val="005E7451"/>
    <w:rsid w:val="005F032C"/>
    <w:rsid w:val="005F0A8C"/>
    <w:rsid w:val="005F20C2"/>
    <w:rsid w:val="005F31E4"/>
    <w:rsid w:val="005F5484"/>
    <w:rsid w:val="005F6C7A"/>
    <w:rsid w:val="00601AEC"/>
    <w:rsid w:val="0060399B"/>
    <w:rsid w:val="00605A24"/>
    <w:rsid w:val="006072E6"/>
    <w:rsid w:val="00607BA5"/>
    <w:rsid w:val="0061021C"/>
    <w:rsid w:val="006110C5"/>
    <w:rsid w:val="00611716"/>
    <w:rsid w:val="0061180A"/>
    <w:rsid w:val="00612FDD"/>
    <w:rsid w:val="0061389A"/>
    <w:rsid w:val="00613DC1"/>
    <w:rsid w:val="00614ACB"/>
    <w:rsid w:val="00621D5F"/>
    <w:rsid w:val="006227C0"/>
    <w:rsid w:val="0062690A"/>
    <w:rsid w:val="00626EB6"/>
    <w:rsid w:val="006314E2"/>
    <w:rsid w:val="0063473C"/>
    <w:rsid w:val="00643092"/>
    <w:rsid w:val="00645229"/>
    <w:rsid w:val="00652BB4"/>
    <w:rsid w:val="00655D03"/>
    <w:rsid w:val="00657CA6"/>
    <w:rsid w:val="00671CA1"/>
    <w:rsid w:val="00683388"/>
    <w:rsid w:val="00683F84"/>
    <w:rsid w:val="00684292"/>
    <w:rsid w:val="00686F55"/>
    <w:rsid w:val="00692AF8"/>
    <w:rsid w:val="006930EC"/>
    <w:rsid w:val="00693E1B"/>
    <w:rsid w:val="006956AF"/>
    <w:rsid w:val="00695EBB"/>
    <w:rsid w:val="006A1A15"/>
    <w:rsid w:val="006A6A81"/>
    <w:rsid w:val="006A6B86"/>
    <w:rsid w:val="006B076E"/>
    <w:rsid w:val="006B2568"/>
    <w:rsid w:val="006B4F96"/>
    <w:rsid w:val="006B7181"/>
    <w:rsid w:val="006B74E6"/>
    <w:rsid w:val="006B7A5C"/>
    <w:rsid w:val="006C7E1E"/>
    <w:rsid w:val="006D5299"/>
    <w:rsid w:val="006D63BA"/>
    <w:rsid w:val="006D6E55"/>
    <w:rsid w:val="006D7259"/>
    <w:rsid w:val="006E1030"/>
    <w:rsid w:val="006E55BF"/>
    <w:rsid w:val="006F00C0"/>
    <w:rsid w:val="006F16E6"/>
    <w:rsid w:val="006F7393"/>
    <w:rsid w:val="007009EF"/>
    <w:rsid w:val="0070224F"/>
    <w:rsid w:val="00703968"/>
    <w:rsid w:val="00710EB8"/>
    <w:rsid w:val="007115F7"/>
    <w:rsid w:val="00711810"/>
    <w:rsid w:val="00711F03"/>
    <w:rsid w:val="00713179"/>
    <w:rsid w:val="00713A4D"/>
    <w:rsid w:val="00714554"/>
    <w:rsid w:val="0071572F"/>
    <w:rsid w:val="00717281"/>
    <w:rsid w:val="00723A6B"/>
    <w:rsid w:val="00730190"/>
    <w:rsid w:val="007328EA"/>
    <w:rsid w:val="00734F7E"/>
    <w:rsid w:val="007367F6"/>
    <w:rsid w:val="00742D23"/>
    <w:rsid w:val="00752EE0"/>
    <w:rsid w:val="00753787"/>
    <w:rsid w:val="007539ED"/>
    <w:rsid w:val="00753B3A"/>
    <w:rsid w:val="007545A7"/>
    <w:rsid w:val="00755B45"/>
    <w:rsid w:val="007570AA"/>
    <w:rsid w:val="007579BB"/>
    <w:rsid w:val="00757FE2"/>
    <w:rsid w:val="007666FC"/>
    <w:rsid w:val="00770F04"/>
    <w:rsid w:val="00772C92"/>
    <w:rsid w:val="007800D9"/>
    <w:rsid w:val="00783DEA"/>
    <w:rsid w:val="00785689"/>
    <w:rsid w:val="00791268"/>
    <w:rsid w:val="00791BF4"/>
    <w:rsid w:val="00792AE9"/>
    <w:rsid w:val="0079754B"/>
    <w:rsid w:val="00797FC4"/>
    <w:rsid w:val="007A1E6D"/>
    <w:rsid w:val="007A4473"/>
    <w:rsid w:val="007A6F39"/>
    <w:rsid w:val="007A76B4"/>
    <w:rsid w:val="007B0A70"/>
    <w:rsid w:val="007B0EB2"/>
    <w:rsid w:val="007B53E9"/>
    <w:rsid w:val="007B597B"/>
    <w:rsid w:val="007B7708"/>
    <w:rsid w:val="007C4C13"/>
    <w:rsid w:val="007C6913"/>
    <w:rsid w:val="007C723D"/>
    <w:rsid w:val="007C77AD"/>
    <w:rsid w:val="007E0F9C"/>
    <w:rsid w:val="007E6E66"/>
    <w:rsid w:val="007F2AF3"/>
    <w:rsid w:val="007F3B6C"/>
    <w:rsid w:val="007F4D08"/>
    <w:rsid w:val="007F6FCD"/>
    <w:rsid w:val="007F796A"/>
    <w:rsid w:val="008027C3"/>
    <w:rsid w:val="00804E48"/>
    <w:rsid w:val="00805CED"/>
    <w:rsid w:val="00806749"/>
    <w:rsid w:val="0080721B"/>
    <w:rsid w:val="00810B6F"/>
    <w:rsid w:val="00817FDE"/>
    <w:rsid w:val="00820A86"/>
    <w:rsid w:val="008225BF"/>
    <w:rsid w:val="00822CE0"/>
    <w:rsid w:val="00834879"/>
    <w:rsid w:val="00835723"/>
    <w:rsid w:val="00840307"/>
    <w:rsid w:val="00841AB1"/>
    <w:rsid w:val="00844D1E"/>
    <w:rsid w:val="00844E8D"/>
    <w:rsid w:val="00847F49"/>
    <w:rsid w:val="00851752"/>
    <w:rsid w:val="0086051E"/>
    <w:rsid w:val="008633BE"/>
    <w:rsid w:val="00864E01"/>
    <w:rsid w:val="00864E79"/>
    <w:rsid w:val="008667AD"/>
    <w:rsid w:val="00866B03"/>
    <w:rsid w:val="00867600"/>
    <w:rsid w:val="00870A11"/>
    <w:rsid w:val="00871D63"/>
    <w:rsid w:val="0087731A"/>
    <w:rsid w:val="0088533F"/>
    <w:rsid w:val="00891171"/>
    <w:rsid w:val="008915B8"/>
    <w:rsid w:val="00892F50"/>
    <w:rsid w:val="008A130C"/>
    <w:rsid w:val="008A5B74"/>
    <w:rsid w:val="008B1794"/>
    <w:rsid w:val="008C00D4"/>
    <w:rsid w:val="008C42CF"/>
    <w:rsid w:val="008C68F1"/>
    <w:rsid w:val="008D0364"/>
    <w:rsid w:val="008D15F7"/>
    <w:rsid w:val="008D1DA2"/>
    <w:rsid w:val="008D439D"/>
    <w:rsid w:val="008D440A"/>
    <w:rsid w:val="008E5BA4"/>
    <w:rsid w:val="008E7E2D"/>
    <w:rsid w:val="008F1D02"/>
    <w:rsid w:val="008F2C5F"/>
    <w:rsid w:val="008F48E1"/>
    <w:rsid w:val="00904CBE"/>
    <w:rsid w:val="00905F0D"/>
    <w:rsid w:val="00912BD6"/>
    <w:rsid w:val="009149FE"/>
    <w:rsid w:val="00921803"/>
    <w:rsid w:val="009251AA"/>
    <w:rsid w:val="00926503"/>
    <w:rsid w:val="0093368B"/>
    <w:rsid w:val="00937F6A"/>
    <w:rsid w:val="00940A39"/>
    <w:rsid w:val="009419C4"/>
    <w:rsid w:val="009427B1"/>
    <w:rsid w:val="0094310E"/>
    <w:rsid w:val="00943CDF"/>
    <w:rsid w:val="00947676"/>
    <w:rsid w:val="00950C41"/>
    <w:rsid w:val="0095182B"/>
    <w:rsid w:val="00962C24"/>
    <w:rsid w:val="00964556"/>
    <w:rsid w:val="00964574"/>
    <w:rsid w:val="00964D7D"/>
    <w:rsid w:val="009726D8"/>
    <w:rsid w:val="009770AC"/>
    <w:rsid w:val="00993463"/>
    <w:rsid w:val="00993D56"/>
    <w:rsid w:val="00997299"/>
    <w:rsid w:val="009A0E15"/>
    <w:rsid w:val="009A44EB"/>
    <w:rsid w:val="009A670F"/>
    <w:rsid w:val="009B038E"/>
    <w:rsid w:val="009B0DED"/>
    <w:rsid w:val="009B374F"/>
    <w:rsid w:val="009B3F92"/>
    <w:rsid w:val="009B42F9"/>
    <w:rsid w:val="009B619A"/>
    <w:rsid w:val="009B6DDD"/>
    <w:rsid w:val="009C3329"/>
    <w:rsid w:val="009C4CD0"/>
    <w:rsid w:val="009C64D2"/>
    <w:rsid w:val="009D01A9"/>
    <w:rsid w:val="009D7308"/>
    <w:rsid w:val="009D74F0"/>
    <w:rsid w:val="009F3165"/>
    <w:rsid w:val="009F6D24"/>
    <w:rsid w:val="009F7648"/>
    <w:rsid w:val="009F76DB"/>
    <w:rsid w:val="00A07943"/>
    <w:rsid w:val="00A125B3"/>
    <w:rsid w:val="00A252D2"/>
    <w:rsid w:val="00A3077E"/>
    <w:rsid w:val="00A32C3B"/>
    <w:rsid w:val="00A3503F"/>
    <w:rsid w:val="00A351C0"/>
    <w:rsid w:val="00A35249"/>
    <w:rsid w:val="00A41DC6"/>
    <w:rsid w:val="00A429C3"/>
    <w:rsid w:val="00A45F4F"/>
    <w:rsid w:val="00A531AF"/>
    <w:rsid w:val="00A5350F"/>
    <w:rsid w:val="00A5666E"/>
    <w:rsid w:val="00A575AB"/>
    <w:rsid w:val="00A600A9"/>
    <w:rsid w:val="00A6237E"/>
    <w:rsid w:val="00A67F16"/>
    <w:rsid w:val="00A74C7D"/>
    <w:rsid w:val="00A81882"/>
    <w:rsid w:val="00A82C66"/>
    <w:rsid w:val="00A82D29"/>
    <w:rsid w:val="00A85E7E"/>
    <w:rsid w:val="00AA08E1"/>
    <w:rsid w:val="00AA55B7"/>
    <w:rsid w:val="00AA5B9E"/>
    <w:rsid w:val="00AA6DD7"/>
    <w:rsid w:val="00AB0CF3"/>
    <w:rsid w:val="00AB1939"/>
    <w:rsid w:val="00AB2407"/>
    <w:rsid w:val="00AB2CE7"/>
    <w:rsid w:val="00AB51AE"/>
    <w:rsid w:val="00AB53DF"/>
    <w:rsid w:val="00AC013B"/>
    <w:rsid w:val="00AC0628"/>
    <w:rsid w:val="00AC09DF"/>
    <w:rsid w:val="00AC5D6A"/>
    <w:rsid w:val="00AC6D60"/>
    <w:rsid w:val="00AC6F79"/>
    <w:rsid w:val="00AD2B0E"/>
    <w:rsid w:val="00AD535B"/>
    <w:rsid w:val="00AE2A83"/>
    <w:rsid w:val="00AE313A"/>
    <w:rsid w:val="00AF334A"/>
    <w:rsid w:val="00B04AAB"/>
    <w:rsid w:val="00B056EB"/>
    <w:rsid w:val="00B07256"/>
    <w:rsid w:val="00B07E5C"/>
    <w:rsid w:val="00B13683"/>
    <w:rsid w:val="00B24357"/>
    <w:rsid w:val="00B31EB3"/>
    <w:rsid w:val="00B36FA4"/>
    <w:rsid w:val="00B40716"/>
    <w:rsid w:val="00B4130A"/>
    <w:rsid w:val="00B4273D"/>
    <w:rsid w:val="00B51F53"/>
    <w:rsid w:val="00B54186"/>
    <w:rsid w:val="00B55A29"/>
    <w:rsid w:val="00B61EB2"/>
    <w:rsid w:val="00B6628B"/>
    <w:rsid w:val="00B66607"/>
    <w:rsid w:val="00B666C5"/>
    <w:rsid w:val="00B70293"/>
    <w:rsid w:val="00B70A82"/>
    <w:rsid w:val="00B811F7"/>
    <w:rsid w:val="00B82163"/>
    <w:rsid w:val="00B82C1D"/>
    <w:rsid w:val="00B82FB6"/>
    <w:rsid w:val="00B90ED2"/>
    <w:rsid w:val="00BA1EE3"/>
    <w:rsid w:val="00BA2101"/>
    <w:rsid w:val="00BA5DC6"/>
    <w:rsid w:val="00BA6196"/>
    <w:rsid w:val="00BC6D8C"/>
    <w:rsid w:val="00BD2200"/>
    <w:rsid w:val="00BD6F28"/>
    <w:rsid w:val="00BD7D02"/>
    <w:rsid w:val="00BE19B7"/>
    <w:rsid w:val="00BE1BA4"/>
    <w:rsid w:val="00BE41BB"/>
    <w:rsid w:val="00BE5076"/>
    <w:rsid w:val="00BE71A6"/>
    <w:rsid w:val="00BF110F"/>
    <w:rsid w:val="00BF369E"/>
    <w:rsid w:val="00BF7707"/>
    <w:rsid w:val="00C0119C"/>
    <w:rsid w:val="00C121C9"/>
    <w:rsid w:val="00C139AA"/>
    <w:rsid w:val="00C14AEF"/>
    <w:rsid w:val="00C15108"/>
    <w:rsid w:val="00C17942"/>
    <w:rsid w:val="00C34006"/>
    <w:rsid w:val="00C36B4C"/>
    <w:rsid w:val="00C408F5"/>
    <w:rsid w:val="00C41DE5"/>
    <w:rsid w:val="00C42277"/>
    <w:rsid w:val="00C426B1"/>
    <w:rsid w:val="00C51A78"/>
    <w:rsid w:val="00C55E88"/>
    <w:rsid w:val="00C56141"/>
    <w:rsid w:val="00C64B8F"/>
    <w:rsid w:val="00C66160"/>
    <w:rsid w:val="00C6640D"/>
    <w:rsid w:val="00C7053E"/>
    <w:rsid w:val="00C721AC"/>
    <w:rsid w:val="00C75C12"/>
    <w:rsid w:val="00C81046"/>
    <w:rsid w:val="00C87896"/>
    <w:rsid w:val="00C90A32"/>
    <w:rsid w:val="00C90D6A"/>
    <w:rsid w:val="00C97249"/>
    <w:rsid w:val="00CA01B2"/>
    <w:rsid w:val="00CA1D90"/>
    <w:rsid w:val="00CA1DBD"/>
    <w:rsid w:val="00CA247E"/>
    <w:rsid w:val="00CA6D21"/>
    <w:rsid w:val="00CA78BA"/>
    <w:rsid w:val="00CB008B"/>
    <w:rsid w:val="00CB390C"/>
    <w:rsid w:val="00CB453D"/>
    <w:rsid w:val="00CC72B6"/>
    <w:rsid w:val="00CD41AE"/>
    <w:rsid w:val="00CD52AA"/>
    <w:rsid w:val="00CD6461"/>
    <w:rsid w:val="00CE0A78"/>
    <w:rsid w:val="00CE2189"/>
    <w:rsid w:val="00CE5EDA"/>
    <w:rsid w:val="00CE6CB1"/>
    <w:rsid w:val="00CF4D79"/>
    <w:rsid w:val="00CF7AF7"/>
    <w:rsid w:val="00D0041B"/>
    <w:rsid w:val="00D0218D"/>
    <w:rsid w:val="00D04A44"/>
    <w:rsid w:val="00D0752A"/>
    <w:rsid w:val="00D10964"/>
    <w:rsid w:val="00D12C39"/>
    <w:rsid w:val="00D14B8B"/>
    <w:rsid w:val="00D16F9E"/>
    <w:rsid w:val="00D20549"/>
    <w:rsid w:val="00D2284F"/>
    <w:rsid w:val="00D25ABF"/>
    <w:rsid w:val="00D25FB5"/>
    <w:rsid w:val="00D31248"/>
    <w:rsid w:val="00D3141C"/>
    <w:rsid w:val="00D33B96"/>
    <w:rsid w:val="00D34945"/>
    <w:rsid w:val="00D36CD6"/>
    <w:rsid w:val="00D41A4E"/>
    <w:rsid w:val="00D43349"/>
    <w:rsid w:val="00D44223"/>
    <w:rsid w:val="00D46418"/>
    <w:rsid w:val="00D51605"/>
    <w:rsid w:val="00D56210"/>
    <w:rsid w:val="00D57292"/>
    <w:rsid w:val="00D61EBC"/>
    <w:rsid w:val="00D6356C"/>
    <w:rsid w:val="00D72547"/>
    <w:rsid w:val="00D72B20"/>
    <w:rsid w:val="00D7705E"/>
    <w:rsid w:val="00D81E25"/>
    <w:rsid w:val="00D847F2"/>
    <w:rsid w:val="00D87004"/>
    <w:rsid w:val="00D87845"/>
    <w:rsid w:val="00D94D6E"/>
    <w:rsid w:val="00DA2529"/>
    <w:rsid w:val="00DA6BD9"/>
    <w:rsid w:val="00DB130A"/>
    <w:rsid w:val="00DB23AD"/>
    <w:rsid w:val="00DB2EBB"/>
    <w:rsid w:val="00DB2EBF"/>
    <w:rsid w:val="00DB5298"/>
    <w:rsid w:val="00DB5ADC"/>
    <w:rsid w:val="00DB797E"/>
    <w:rsid w:val="00DC10A1"/>
    <w:rsid w:val="00DC1A86"/>
    <w:rsid w:val="00DC3B98"/>
    <w:rsid w:val="00DC43DD"/>
    <w:rsid w:val="00DC4C47"/>
    <w:rsid w:val="00DC4DF1"/>
    <w:rsid w:val="00DC655F"/>
    <w:rsid w:val="00DD0B59"/>
    <w:rsid w:val="00DD1E5F"/>
    <w:rsid w:val="00DD3A58"/>
    <w:rsid w:val="00DD568C"/>
    <w:rsid w:val="00DD649A"/>
    <w:rsid w:val="00DD7EBD"/>
    <w:rsid w:val="00DE2650"/>
    <w:rsid w:val="00DE6E25"/>
    <w:rsid w:val="00DF24BE"/>
    <w:rsid w:val="00DF31D1"/>
    <w:rsid w:val="00DF62B6"/>
    <w:rsid w:val="00E0568C"/>
    <w:rsid w:val="00E067D6"/>
    <w:rsid w:val="00E07225"/>
    <w:rsid w:val="00E10000"/>
    <w:rsid w:val="00E15FB6"/>
    <w:rsid w:val="00E173B2"/>
    <w:rsid w:val="00E205FB"/>
    <w:rsid w:val="00E22731"/>
    <w:rsid w:val="00E22835"/>
    <w:rsid w:val="00E22B22"/>
    <w:rsid w:val="00E27D72"/>
    <w:rsid w:val="00E31C8D"/>
    <w:rsid w:val="00E36792"/>
    <w:rsid w:val="00E407A9"/>
    <w:rsid w:val="00E41438"/>
    <w:rsid w:val="00E43880"/>
    <w:rsid w:val="00E44A0C"/>
    <w:rsid w:val="00E45F0D"/>
    <w:rsid w:val="00E52A1C"/>
    <w:rsid w:val="00E52B8B"/>
    <w:rsid w:val="00E5409F"/>
    <w:rsid w:val="00E556F3"/>
    <w:rsid w:val="00E61A5A"/>
    <w:rsid w:val="00E73B46"/>
    <w:rsid w:val="00E755F3"/>
    <w:rsid w:val="00E757C6"/>
    <w:rsid w:val="00E766EA"/>
    <w:rsid w:val="00E82E0F"/>
    <w:rsid w:val="00E869AC"/>
    <w:rsid w:val="00E90E31"/>
    <w:rsid w:val="00E91895"/>
    <w:rsid w:val="00E954F0"/>
    <w:rsid w:val="00E96795"/>
    <w:rsid w:val="00E96F43"/>
    <w:rsid w:val="00EA4284"/>
    <w:rsid w:val="00EA4930"/>
    <w:rsid w:val="00EB312D"/>
    <w:rsid w:val="00EB31CE"/>
    <w:rsid w:val="00EC0DE9"/>
    <w:rsid w:val="00ED1790"/>
    <w:rsid w:val="00ED32AD"/>
    <w:rsid w:val="00EE0C0D"/>
    <w:rsid w:val="00EE184A"/>
    <w:rsid w:val="00EE275E"/>
    <w:rsid w:val="00EE6488"/>
    <w:rsid w:val="00EF2848"/>
    <w:rsid w:val="00F00790"/>
    <w:rsid w:val="00F0192C"/>
    <w:rsid w:val="00F021FA"/>
    <w:rsid w:val="00F030F1"/>
    <w:rsid w:val="00F06302"/>
    <w:rsid w:val="00F066B9"/>
    <w:rsid w:val="00F068AA"/>
    <w:rsid w:val="00F123CC"/>
    <w:rsid w:val="00F15000"/>
    <w:rsid w:val="00F22800"/>
    <w:rsid w:val="00F232FE"/>
    <w:rsid w:val="00F3010F"/>
    <w:rsid w:val="00F311BB"/>
    <w:rsid w:val="00F347D2"/>
    <w:rsid w:val="00F4254A"/>
    <w:rsid w:val="00F4381F"/>
    <w:rsid w:val="00F44DA8"/>
    <w:rsid w:val="00F46C6B"/>
    <w:rsid w:val="00F51D2A"/>
    <w:rsid w:val="00F52CA2"/>
    <w:rsid w:val="00F53531"/>
    <w:rsid w:val="00F62D59"/>
    <w:rsid w:val="00F62E97"/>
    <w:rsid w:val="00F63B01"/>
    <w:rsid w:val="00F64209"/>
    <w:rsid w:val="00F674AA"/>
    <w:rsid w:val="00F726AF"/>
    <w:rsid w:val="00F83D4C"/>
    <w:rsid w:val="00F84682"/>
    <w:rsid w:val="00F937A9"/>
    <w:rsid w:val="00F93BF5"/>
    <w:rsid w:val="00FA3DAD"/>
    <w:rsid w:val="00FB2D53"/>
    <w:rsid w:val="00FB469A"/>
    <w:rsid w:val="00FB46C2"/>
    <w:rsid w:val="00FB578A"/>
    <w:rsid w:val="00FB64E1"/>
    <w:rsid w:val="00FB6745"/>
    <w:rsid w:val="00FB7FAE"/>
    <w:rsid w:val="00FC07AE"/>
    <w:rsid w:val="00FC239B"/>
    <w:rsid w:val="00FC4C3F"/>
    <w:rsid w:val="00FD3A4A"/>
    <w:rsid w:val="00FD4432"/>
    <w:rsid w:val="00FE0680"/>
    <w:rsid w:val="00FE232E"/>
    <w:rsid w:val="00FE31FA"/>
    <w:rsid w:val="00FF2F76"/>
    <w:rsid w:val="00FF57C5"/>
    <w:rsid w:val="00FF707E"/>
    <w:rsid w:val="1A1760E4"/>
    <w:rsid w:val="1F34C4E7"/>
    <w:rsid w:val="274A614C"/>
    <w:rsid w:val="288E0FEF"/>
    <w:rsid w:val="35E26B81"/>
    <w:rsid w:val="3A0BB800"/>
    <w:rsid w:val="46F79AC2"/>
    <w:rsid w:val="4F0B0093"/>
    <w:rsid w:val="50A5C783"/>
    <w:rsid w:val="62D2C496"/>
    <w:rsid w:val="6BC746F6"/>
    <w:rsid w:val="738C07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6D0A7D6-7B10-4FC3-AEDD-7423C615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uiPriority="99"/>
    <w:lsdException w:name="Title" w:qFormat="1"/>
    <w:lsdException w:name="Default Paragraph Font" w:uiPriority="1"/>
    <w:lsdException w:name="Subtitle" w:qFormat="1"/>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2AA"/>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CD52A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Heading 2 Char2,UNDERRUBRIK 1-2 Char,h2 Char"/>
    <w:basedOn w:val="Normal"/>
    <w:next w:val="ParaNum"/>
    <w:link w:val="Heading2Char"/>
    <w:autoRedefine/>
    <w:qFormat/>
    <w:rsid w:val="00CD52AA"/>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CD52AA"/>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CD52AA"/>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CD52AA"/>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CD52AA"/>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D52A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D52A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CD52A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D52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52AA"/>
  </w:style>
  <w:style w:type="paragraph" w:customStyle="1" w:styleId="ParaNum">
    <w:name w:val="ParaNum"/>
    <w:basedOn w:val="Normal"/>
    <w:link w:val="ParaNumCharChar1"/>
    <w:rsid w:val="00CD52AA"/>
    <w:pPr>
      <w:numPr>
        <w:numId w:val="2"/>
      </w:numPr>
      <w:tabs>
        <w:tab w:val="clear" w:pos="1080"/>
        <w:tab w:val="num" w:pos="1440"/>
      </w:tabs>
      <w:spacing w:after="120"/>
    </w:pPr>
  </w:style>
  <w:style w:type="paragraph" w:styleId="EndnoteText">
    <w:name w:val="endnote text"/>
    <w:basedOn w:val="Normal"/>
    <w:link w:val="EndnoteTextChar"/>
    <w:semiHidden/>
    <w:rsid w:val="00CD52AA"/>
    <w:rPr>
      <w:sz w:val="20"/>
    </w:rPr>
  </w:style>
  <w:style w:type="character" w:styleId="EndnoteReference">
    <w:name w:val="endnote reference"/>
    <w:semiHidden/>
    <w:rsid w:val="00CD52AA"/>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rsid w:val="00CD52A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D52AA"/>
    <w:rPr>
      <w:rFonts w:ascii="Times New Roman" w:hAnsi="Times New Roman"/>
      <w:dstrike w:val="0"/>
      <w:color w:val="auto"/>
      <w:sz w:val="20"/>
      <w:vertAlign w:val="superscript"/>
    </w:rPr>
  </w:style>
  <w:style w:type="paragraph" w:styleId="TOC1">
    <w:name w:val="toc 1"/>
    <w:basedOn w:val="Normal"/>
    <w:next w:val="Normal"/>
    <w:rsid w:val="00CD52AA"/>
    <w:pPr>
      <w:tabs>
        <w:tab w:val="left" w:pos="360"/>
        <w:tab w:val="right" w:leader="dot" w:pos="9360"/>
      </w:tabs>
      <w:suppressAutoHyphens/>
      <w:ind w:left="360" w:right="720" w:hanging="360"/>
    </w:pPr>
    <w:rPr>
      <w:caps/>
      <w:noProof/>
    </w:rPr>
  </w:style>
  <w:style w:type="paragraph" w:styleId="TOC2">
    <w:name w:val="toc 2"/>
    <w:basedOn w:val="Normal"/>
    <w:next w:val="Normal"/>
    <w:rsid w:val="00CD52AA"/>
    <w:pPr>
      <w:tabs>
        <w:tab w:val="left" w:pos="720"/>
        <w:tab w:val="right" w:leader="dot" w:pos="9360"/>
      </w:tabs>
      <w:suppressAutoHyphens/>
      <w:ind w:left="720" w:right="720" w:hanging="360"/>
    </w:pPr>
    <w:rPr>
      <w:noProof/>
    </w:rPr>
  </w:style>
  <w:style w:type="paragraph" w:styleId="TOC3">
    <w:name w:val="toc 3"/>
    <w:basedOn w:val="Normal"/>
    <w:next w:val="Normal"/>
    <w:rsid w:val="00CD52A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D52A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D52A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CD52A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D52A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D52A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D52A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D52AA"/>
    <w:pPr>
      <w:tabs>
        <w:tab w:val="right" w:pos="9360"/>
      </w:tabs>
      <w:suppressAutoHyphens/>
    </w:pPr>
  </w:style>
  <w:style w:type="character" w:customStyle="1" w:styleId="EquationCaption">
    <w:name w:val="_Equation Caption"/>
    <w:rsid w:val="00CD52AA"/>
  </w:style>
  <w:style w:type="paragraph" w:styleId="Header">
    <w:name w:val="header"/>
    <w:basedOn w:val="Normal"/>
    <w:link w:val="HeaderChar"/>
    <w:autoRedefine/>
    <w:rsid w:val="00CD52AA"/>
    <w:pPr>
      <w:tabs>
        <w:tab w:val="center" w:pos="4680"/>
        <w:tab w:val="right" w:pos="9360"/>
      </w:tabs>
    </w:pPr>
    <w:rPr>
      <w:b/>
    </w:rPr>
  </w:style>
  <w:style w:type="paragraph" w:styleId="Footer">
    <w:name w:val="footer"/>
    <w:basedOn w:val="Normal"/>
    <w:link w:val="FooterChar"/>
    <w:uiPriority w:val="99"/>
    <w:rsid w:val="00CD52AA"/>
    <w:pPr>
      <w:tabs>
        <w:tab w:val="center" w:pos="4320"/>
        <w:tab w:val="right" w:pos="8640"/>
      </w:tabs>
    </w:pPr>
  </w:style>
  <w:style w:type="character" w:styleId="PageNumber">
    <w:name w:val="page number"/>
    <w:basedOn w:val="DefaultParagraphFont"/>
    <w:rsid w:val="00CD52AA"/>
  </w:style>
  <w:style w:type="paragraph" w:styleId="BlockText">
    <w:name w:val="Block Text"/>
    <w:basedOn w:val="Normal"/>
    <w:rsid w:val="00CD52AA"/>
    <w:pPr>
      <w:spacing w:after="240"/>
      <w:ind w:left="1440" w:right="1440"/>
    </w:pPr>
  </w:style>
  <w:style w:type="paragraph" w:customStyle="1" w:styleId="Paratitle">
    <w:name w:val="Para title"/>
    <w:basedOn w:val="Normal"/>
    <w:rsid w:val="00CD52AA"/>
    <w:pPr>
      <w:tabs>
        <w:tab w:val="center" w:pos="9270"/>
      </w:tabs>
      <w:spacing w:after="240"/>
    </w:pPr>
    <w:rPr>
      <w:spacing w:val="-2"/>
    </w:rPr>
  </w:style>
  <w:style w:type="paragraph" w:customStyle="1" w:styleId="Bullet">
    <w:name w:val="Bullet"/>
    <w:basedOn w:val="Normal"/>
    <w:rsid w:val="00CD52AA"/>
    <w:pPr>
      <w:tabs>
        <w:tab w:val="left" w:pos="2160"/>
      </w:tabs>
      <w:spacing w:after="220"/>
      <w:ind w:left="2160" w:hanging="720"/>
    </w:pPr>
  </w:style>
  <w:style w:type="paragraph" w:customStyle="1" w:styleId="TableFormat">
    <w:name w:val="TableFormat"/>
    <w:basedOn w:val="Bullet"/>
    <w:rsid w:val="00CD52AA"/>
    <w:pPr>
      <w:tabs>
        <w:tab w:val="clear" w:pos="2160"/>
        <w:tab w:val="left" w:pos="5040"/>
      </w:tabs>
      <w:ind w:left="5040" w:hanging="3600"/>
    </w:pPr>
  </w:style>
  <w:style w:type="paragraph" w:customStyle="1" w:styleId="TOCTitle">
    <w:name w:val="TOC Title"/>
    <w:basedOn w:val="Normal"/>
    <w:rsid w:val="00CD52A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D52AA"/>
    <w:pPr>
      <w:jc w:val="center"/>
    </w:pPr>
    <w:rPr>
      <w:rFonts w:ascii="Times New Roman Bold" w:hAnsi="Times New Roman Bold"/>
      <w:b/>
      <w:bCs/>
      <w:caps/>
      <w:szCs w:val="22"/>
    </w:rPr>
  </w:style>
  <w:style w:type="character" w:styleId="Hyperlink">
    <w:name w:val="Hyperlink"/>
    <w:rsid w:val="00CD52AA"/>
    <w:rPr>
      <w:color w:val="0000FF"/>
      <w:u w:val="single"/>
    </w:rPr>
  </w:style>
  <w:style w:type="character" w:customStyle="1" w:styleId="FooterChar">
    <w:name w:val="Footer Char"/>
    <w:link w:val="Footer"/>
    <w:uiPriority w:val="99"/>
    <w:rsid w:val="00CD52AA"/>
    <w:rPr>
      <w:snapToGrid w:val="0"/>
      <w:kern w:val="28"/>
      <w:sz w:val="22"/>
    </w:rPr>
  </w:style>
  <w:style w:type="character" w:customStyle="1" w:styleId="ParaNumCharChar1">
    <w:name w:val="ParaNum Char Char1"/>
    <w:link w:val="ParaNum"/>
    <w:locked/>
    <w:rsid w:val="00EB312D"/>
    <w:rPr>
      <w:snapToGrid w:val="0"/>
      <w:kern w:val="28"/>
      <w:sz w:val="22"/>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locked/>
    <w:rsid w:val="00EB312D"/>
    <w:rPr>
      <w:rFonts w:ascii="Times New Roman Bold" w:hAnsi="Times New Roman Bold"/>
      <w:b/>
      <w:caps/>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1 Char Char Char,UNDERRUBRIK 1-2 Char Char,h2 Char Char"/>
    <w:link w:val="Heading2"/>
    <w:locked/>
    <w:rsid w:val="00EB312D"/>
    <w:rPr>
      <w:b/>
      <w:snapToGrid w:val="0"/>
      <w:kern w:val="28"/>
      <w:sz w:val="22"/>
    </w:rPr>
  </w:style>
  <w:style w:type="character" w:customStyle="1" w:styleId="Heading3Char">
    <w:name w:val="Heading 3 Char"/>
    <w:aliases w:val="1 Char Char,1 Char1,3 Char Char,3 Char1,31 Char Char,31 Char1,?? 3 Char Char,?? 3 Char1,Heading 3 Char Char Char,Heading 3 Char1 Char,Heading 3 Char1 Char Char Char,Titre 3 Char Char,Titre 3 Char1,Titre 31 Char Char,Titre 31 Char1"/>
    <w:link w:val="Heading3"/>
    <w:locked/>
    <w:rsid w:val="00EB312D"/>
    <w:rPr>
      <w:b/>
      <w:snapToGrid w:val="0"/>
      <w:kern w:val="28"/>
      <w:sz w:val="22"/>
    </w:rPr>
  </w:style>
  <w:style w:type="character" w:customStyle="1" w:styleId="Heading4Char">
    <w:name w:val="Heading 4 Char"/>
    <w:aliases w:val="Heading 4 Char Char Char Char,Heading 4 Char Char Char1,Heading 4 Char Char1 Char,Heading 4 Char1 Char Char,Heading 4 Char1 Char1,Heading 4 Char1 Char1 Char Char Char,Heading 4 Char2 Char,Heading 4 Char2 Char Char Char"/>
    <w:link w:val="Heading4"/>
    <w:locked/>
    <w:rsid w:val="00EB312D"/>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link w:val="Heading5"/>
    <w:locked/>
    <w:rsid w:val="00EB312D"/>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locked/>
    <w:rsid w:val="00EB312D"/>
    <w:rPr>
      <w:b/>
      <w:snapToGrid w:val="0"/>
      <w:kern w:val="28"/>
      <w:sz w:val="22"/>
    </w:rPr>
  </w:style>
  <w:style w:type="character" w:customStyle="1" w:styleId="Heading7Char">
    <w:name w:val="Heading 7 Char"/>
    <w:link w:val="Heading7"/>
    <w:locked/>
    <w:rsid w:val="00EB312D"/>
    <w:rPr>
      <w:b/>
      <w:snapToGrid w:val="0"/>
      <w:kern w:val="28"/>
      <w:sz w:val="22"/>
    </w:rPr>
  </w:style>
  <w:style w:type="character" w:customStyle="1" w:styleId="Heading8Char">
    <w:name w:val="Heading 8 Char"/>
    <w:link w:val="Heading8"/>
    <w:locked/>
    <w:rsid w:val="00EB312D"/>
    <w:rPr>
      <w:b/>
      <w:snapToGrid w:val="0"/>
      <w:kern w:val="28"/>
      <w:sz w:val="22"/>
    </w:rPr>
  </w:style>
  <w:style w:type="character" w:customStyle="1" w:styleId="Heading9Char">
    <w:name w:val="Heading 9 Char"/>
    <w:aliases w:val="9 Char,Heading 9.table Char,Titre 9 Char,Topic Char,t Char,table Char"/>
    <w:link w:val="Heading9"/>
    <w:locked/>
    <w:rsid w:val="00EB312D"/>
    <w:rPr>
      <w:b/>
      <w:snapToGrid w:val="0"/>
      <w:kern w:val="28"/>
      <w:sz w:val="22"/>
    </w:rPr>
  </w:style>
  <w:style w:type="character" w:customStyle="1" w:styleId="EndnoteTextChar">
    <w:name w:val="Endnote Text Char"/>
    <w:link w:val="EndnoteText"/>
    <w:semiHidden/>
    <w:locked/>
    <w:rsid w:val="00EB312D"/>
    <w:rPr>
      <w:snapToGrid w:val="0"/>
      <w:kern w:val="28"/>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locked/>
    <w:rsid w:val="00EB312D"/>
  </w:style>
  <w:style w:type="character" w:customStyle="1" w:styleId="HeaderChar">
    <w:name w:val="Header Char"/>
    <w:link w:val="Header"/>
    <w:locked/>
    <w:rsid w:val="00EB312D"/>
    <w:rPr>
      <w:b/>
      <w:snapToGrid w:val="0"/>
      <w:kern w:val="28"/>
      <w:sz w:val="22"/>
    </w:rPr>
  </w:style>
  <w:style w:type="paragraph" w:styleId="ListParagraph">
    <w:name w:val="List Paragraph"/>
    <w:basedOn w:val="Normal"/>
    <w:uiPriority w:val="34"/>
    <w:qFormat/>
    <w:rsid w:val="00EB312D"/>
    <w:pPr>
      <w:widowControl/>
      <w:ind w:left="720"/>
      <w:contextualSpacing/>
    </w:pPr>
    <w:rPr>
      <w:rFonts w:ascii="Calibri" w:hAnsi="Calibri"/>
      <w:kern w:val="0"/>
      <w:szCs w:val="22"/>
    </w:rPr>
  </w:style>
  <w:style w:type="character" w:styleId="CommentReference">
    <w:name w:val="annotation reference"/>
    <w:rsid w:val="00EB312D"/>
    <w:rPr>
      <w:rFonts w:cs="Times New Roman"/>
      <w:sz w:val="16"/>
      <w:szCs w:val="16"/>
    </w:rPr>
  </w:style>
  <w:style w:type="paragraph" w:styleId="CommentText">
    <w:name w:val="annotation text"/>
    <w:basedOn w:val="Normal"/>
    <w:link w:val="CommentTextChar"/>
    <w:rsid w:val="00EB312D"/>
    <w:rPr>
      <w:sz w:val="20"/>
    </w:rPr>
  </w:style>
  <w:style w:type="character" w:customStyle="1" w:styleId="CommentTextChar">
    <w:name w:val="Comment Text Char"/>
    <w:link w:val="CommentText"/>
    <w:rsid w:val="00EB312D"/>
    <w:rPr>
      <w:snapToGrid w:val="0"/>
      <w:kern w:val="28"/>
    </w:rPr>
  </w:style>
  <w:style w:type="paragraph" w:styleId="BalloonText">
    <w:name w:val="Balloon Text"/>
    <w:basedOn w:val="Normal"/>
    <w:link w:val="BalloonTextChar"/>
    <w:rsid w:val="00EB312D"/>
    <w:rPr>
      <w:rFonts w:ascii="Tahoma" w:hAnsi="Tahoma" w:cs="Tahoma"/>
      <w:sz w:val="16"/>
      <w:szCs w:val="16"/>
    </w:rPr>
  </w:style>
  <w:style w:type="character" w:customStyle="1" w:styleId="BalloonTextChar">
    <w:name w:val="Balloon Text Char"/>
    <w:link w:val="BalloonText"/>
    <w:rsid w:val="00EB312D"/>
    <w:rPr>
      <w:rFonts w:ascii="Tahoma" w:hAnsi="Tahoma" w:cs="Tahoma"/>
      <w:snapToGrid w:val="0"/>
      <w:kern w:val="28"/>
      <w:sz w:val="16"/>
      <w:szCs w:val="16"/>
    </w:rPr>
  </w:style>
  <w:style w:type="character" w:customStyle="1" w:styleId="ParaNumChar">
    <w:name w:val="ParaNum Char"/>
    <w:locked/>
    <w:rsid w:val="00EB312D"/>
    <w:rPr>
      <w:snapToGrid w:val="0"/>
      <w:kern w:val="28"/>
      <w:sz w:val="22"/>
    </w:rPr>
  </w:style>
  <w:style w:type="paragraph" w:styleId="CommentSubject">
    <w:name w:val="annotation subject"/>
    <w:basedOn w:val="CommentText"/>
    <w:next w:val="CommentText"/>
    <w:link w:val="CommentSubjectChar"/>
    <w:rsid w:val="00EB312D"/>
    <w:rPr>
      <w:b/>
      <w:bCs/>
    </w:rPr>
  </w:style>
  <w:style w:type="character" w:customStyle="1" w:styleId="CommentSubjectChar">
    <w:name w:val="Comment Subject Char"/>
    <w:link w:val="CommentSubject"/>
    <w:rsid w:val="00EB312D"/>
    <w:rPr>
      <w:b/>
      <w:bCs/>
      <w:snapToGrid w:val="0"/>
      <w:kern w:val="28"/>
    </w:rPr>
  </w:style>
  <w:style w:type="paragraph" w:styleId="ListBullet">
    <w:name w:val="List Bullet"/>
    <w:basedOn w:val="Normal"/>
    <w:uiPriority w:val="99"/>
    <w:rsid w:val="00EB312D"/>
    <w:pPr>
      <w:widowControl/>
      <w:tabs>
        <w:tab w:val="num" w:pos="360"/>
      </w:tabs>
      <w:spacing w:after="200" w:line="276" w:lineRule="auto"/>
      <w:ind w:left="360" w:hanging="360"/>
    </w:pPr>
    <w:rPr>
      <w:rFonts w:ascii="Calibri" w:hAnsi="Calibri"/>
      <w:kern w:val="0"/>
      <w:szCs w:val="22"/>
    </w:rPr>
  </w:style>
  <w:style w:type="character" w:customStyle="1" w:styleId="ParaNumChar2">
    <w:name w:val="ParaNum Char2"/>
    <w:locked/>
    <w:rsid w:val="00EB312D"/>
    <w:rPr>
      <w:rFonts w:ascii="Times New Roman" w:eastAsia="Times New Roman" w:hAnsi="Times New Roman" w:cs="Times New Roman"/>
      <w:kern w:val="28"/>
      <w:sz w:val="20"/>
      <w:szCs w:val="20"/>
      <w:lang w:eastAsia="ja-JP"/>
    </w:rPr>
  </w:style>
  <w:style w:type="character" w:customStyle="1" w:styleId="FootnoteTextChar1">
    <w:name w:val="Footnote Text Char1"/>
    <w:aliases w:val="ALTS FOOTNOTE Char Char1,Footnote Text Char2 Char Char1,Footnote Text Char2 Char1 Char1 Char Char1,Footnote Text Char3 Char1 Char Char Char Char1,Footnote Text Char3 Char1 Char Char1,f Char1,fn Char Char1,fn Char1 Char1,fn Char3"/>
    <w:locked/>
    <w:rsid w:val="00EB312D"/>
    <w:rPr>
      <w:lang w:val="en-US" w:eastAsia="en-US"/>
    </w:rPr>
  </w:style>
  <w:style w:type="character" w:styleId="Emphasis">
    <w:name w:val="Emphasis"/>
    <w:uiPriority w:val="20"/>
    <w:qFormat/>
    <w:rsid w:val="00EB312D"/>
    <w:rPr>
      <w:rFonts w:cs="Times New Roman"/>
      <w:i/>
    </w:rPr>
  </w:style>
  <w:style w:type="character" w:customStyle="1" w:styleId="apple-converted-space">
    <w:name w:val="apple-converted-space"/>
    <w:rsid w:val="00EB312D"/>
  </w:style>
  <w:style w:type="character" w:customStyle="1" w:styleId="emphi">
    <w:name w:val="emphi"/>
    <w:uiPriority w:val="99"/>
    <w:rsid w:val="00EB312D"/>
  </w:style>
  <w:style w:type="paragraph" w:styleId="NormalWeb">
    <w:name w:val="Normal (Web)"/>
    <w:basedOn w:val="Normal"/>
    <w:uiPriority w:val="99"/>
    <w:rsid w:val="00EB312D"/>
    <w:pPr>
      <w:widowControl/>
    </w:pPr>
    <w:rPr>
      <w:kern w:val="0"/>
      <w:sz w:val="24"/>
      <w:szCs w:val="24"/>
    </w:rPr>
  </w:style>
  <w:style w:type="paragraph" w:customStyle="1" w:styleId="fp-2">
    <w:name w:val="fp-2"/>
    <w:basedOn w:val="Normal"/>
    <w:rsid w:val="00EB312D"/>
    <w:pPr>
      <w:widowControl/>
      <w:spacing w:before="200" w:after="100"/>
      <w:ind w:left="960" w:hanging="960"/>
    </w:pPr>
    <w:rPr>
      <w:kern w:val="0"/>
      <w:sz w:val="24"/>
      <w:szCs w:val="24"/>
    </w:rPr>
  </w:style>
  <w:style w:type="character" w:customStyle="1" w:styleId="Footnote">
    <w:name w:val="Footnote"/>
    <w:rsid w:val="00EB312D"/>
    <w:rPr>
      <w:rFonts w:cs="Times New Roman"/>
    </w:rPr>
  </w:style>
  <w:style w:type="character" w:customStyle="1" w:styleId="FootnoteTextCharCharCharChar3CharCharChar1">
    <w:name w:val="Footnote Text Char Char Char Char3 Char Char Char1"/>
    <w:aliases w:val="Footnote Text Char Char Char Char3 Char,Footnote Text Char Char3 Char,Footnote Text Char1 Char Char3 Char,Footnote Text Char1 Char Char3 Char Char Char,Footnote Text Char3 Char1"/>
    <w:rsid w:val="00EB312D"/>
    <w:rPr>
      <w:lang w:val="en-US" w:eastAsia="en-US" w:bidi="ar-SA"/>
    </w:rPr>
  </w:style>
  <w:style w:type="character" w:customStyle="1" w:styleId="StyleFootnoteReferenceStyle13Style12NECGFootnoteReferenc">
    <w:name w:val="Style Footnote ReferenceStyle 13Style 12(NECG) Footnote Referenc..."/>
    <w:rsid w:val="00EB312D"/>
    <w:rPr>
      <w:rFonts w:ascii="Times New Roman" w:hAnsi="Times New Roman" w:cs="Times New Roman"/>
      <w:dstrike w:val="0"/>
      <w:color w:val="auto"/>
      <w:sz w:val="20"/>
      <w:vertAlign w:val="superscript"/>
    </w:rPr>
  </w:style>
  <w:style w:type="character" w:customStyle="1" w:styleId="text">
    <w:name w:val="text"/>
    <w:rsid w:val="00EB312D"/>
  </w:style>
  <w:style w:type="character" w:customStyle="1" w:styleId="Heading2CharChar">
    <w:name w:val="Heading 2 Char Char"/>
    <w:aliases w:val="Heading 2 Char Char1 Char Char Char Char,Heading 2 Char Char3 Char Char,Heading 2 Char1 Char Char,Heading 2 Char1 Char Char Char Char,Heading 2 Char1 Char Char Char Char Char Char"/>
    <w:rsid w:val="00EB312D"/>
    <w:rPr>
      <w:b/>
      <w:sz w:val="24"/>
      <w:lang w:val="en-US" w:eastAsia="en-US" w:bidi="ar-SA"/>
    </w:rPr>
  </w:style>
  <w:style w:type="character" w:styleId="FollowedHyperlink">
    <w:name w:val="FollowedHyperlink"/>
    <w:uiPriority w:val="99"/>
    <w:unhideWhenUsed/>
    <w:rsid w:val="00EB312D"/>
    <w:rPr>
      <w:color w:val="800080"/>
      <w:u w:val="single"/>
    </w:rPr>
  </w:style>
  <w:style w:type="paragraph" w:styleId="PlainText">
    <w:name w:val="Plain Text"/>
    <w:basedOn w:val="Normal"/>
    <w:link w:val="PlainTextChar"/>
    <w:uiPriority w:val="99"/>
    <w:rsid w:val="00EB312D"/>
    <w:pPr>
      <w:widowControl/>
    </w:pPr>
    <w:rPr>
      <w:rFonts w:ascii="Courier New" w:eastAsia="MS Mincho" w:hAnsi="Courier New" w:cs="Courier New"/>
      <w:snapToGrid/>
      <w:kern w:val="0"/>
      <w:sz w:val="20"/>
      <w:lang w:eastAsia="ja-JP"/>
    </w:rPr>
  </w:style>
  <w:style w:type="character" w:customStyle="1" w:styleId="PlainTextChar">
    <w:name w:val="Plain Text Char"/>
    <w:link w:val="PlainText"/>
    <w:uiPriority w:val="99"/>
    <w:rsid w:val="00EB312D"/>
    <w:rPr>
      <w:rFonts w:ascii="Courier New" w:eastAsia="MS Mincho" w:hAnsi="Courier New" w:cs="Courier New"/>
      <w:lang w:eastAsia="ja-JP"/>
    </w:rPr>
  </w:style>
  <w:style w:type="paragraph" w:customStyle="1" w:styleId="Default">
    <w:name w:val="Default"/>
    <w:rsid w:val="00EB312D"/>
    <w:pPr>
      <w:autoSpaceDE w:val="0"/>
      <w:autoSpaceDN w:val="0"/>
      <w:adjustRightInd w:val="0"/>
    </w:pPr>
    <w:rPr>
      <w:rFonts w:ascii="Garamond" w:eastAsia="Calibri" w:hAnsi="Garamond" w:cs="Garamond"/>
      <w:color w:val="000000"/>
      <w:sz w:val="24"/>
      <w:szCs w:val="24"/>
    </w:rPr>
  </w:style>
  <w:style w:type="paragraph" w:customStyle="1" w:styleId="Paranum0">
    <w:name w:val="Paranum"/>
    <w:basedOn w:val="Normal"/>
    <w:rsid w:val="00EB312D"/>
    <w:pPr>
      <w:tabs>
        <w:tab w:val="num" w:pos="6030"/>
      </w:tabs>
      <w:spacing w:after="220"/>
      <w:ind w:left="4950" w:firstLine="720"/>
      <w:jc w:val="both"/>
    </w:pPr>
    <w:rPr>
      <w:snapToGrid/>
      <w:kern w:val="0"/>
    </w:rPr>
  </w:style>
  <w:style w:type="paragraph" w:customStyle="1" w:styleId="StyleParanumLeft">
    <w:name w:val="Style Paranum + Left"/>
    <w:basedOn w:val="Paranum0"/>
    <w:rsid w:val="00EB312D"/>
    <w:pPr>
      <w:tabs>
        <w:tab w:val="num" w:pos="1440"/>
        <w:tab w:val="num" w:pos="2160"/>
      </w:tabs>
      <w:ind w:left="0"/>
      <w:jc w:val="left"/>
    </w:pPr>
  </w:style>
  <w:style w:type="paragraph" w:styleId="ListBullet2">
    <w:name w:val="List Bullet 2"/>
    <w:basedOn w:val="Normal"/>
    <w:rsid w:val="00EB312D"/>
    <w:pPr>
      <w:numPr>
        <w:numId w:val="7"/>
      </w:numPr>
      <w:ind w:left="360"/>
    </w:pPr>
    <w:rPr>
      <w:sz w:val="24"/>
    </w:rPr>
  </w:style>
  <w:style w:type="paragraph" w:styleId="Title">
    <w:name w:val="Title"/>
    <w:basedOn w:val="Normal"/>
    <w:link w:val="TitleChar"/>
    <w:qFormat/>
    <w:rsid w:val="00EB312D"/>
    <w:pPr>
      <w:numPr>
        <w:numId w:val="8"/>
      </w:numPr>
      <w:tabs>
        <w:tab w:val="clear" w:pos="1080"/>
      </w:tabs>
      <w:spacing w:before="240" w:after="60"/>
      <w:ind w:firstLine="0"/>
      <w:jc w:val="center"/>
      <w:outlineLvl w:val="0"/>
    </w:pPr>
    <w:rPr>
      <w:rFonts w:ascii="Arial" w:hAnsi="Arial"/>
      <w:b/>
      <w:sz w:val="32"/>
    </w:rPr>
  </w:style>
  <w:style w:type="character" w:customStyle="1" w:styleId="TitleChar">
    <w:name w:val="Title Char"/>
    <w:link w:val="Title"/>
    <w:rsid w:val="00EB312D"/>
    <w:rPr>
      <w:rFonts w:ascii="Arial" w:hAnsi="Arial"/>
      <w:b/>
      <w:snapToGrid w:val="0"/>
      <w:kern w:val="28"/>
      <w:sz w:val="32"/>
    </w:rPr>
  </w:style>
  <w:style w:type="paragraph" w:customStyle="1" w:styleId="NumberedList">
    <w:name w:val="Numbered List"/>
    <w:basedOn w:val="Normal"/>
    <w:rsid w:val="00EB312D"/>
    <w:pPr>
      <w:numPr>
        <w:numId w:val="9"/>
      </w:numPr>
      <w:spacing w:after="220"/>
    </w:pPr>
  </w:style>
  <w:style w:type="paragraph" w:styleId="NoSpacing">
    <w:name w:val="No Spacing"/>
    <w:uiPriority w:val="1"/>
    <w:qFormat/>
    <w:rsid w:val="00EB312D"/>
    <w:rPr>
      <w:rFonts w:ascii="Calibri" w:eastAsia="Calibri" w:hAnsi="Calibri"/>
      <w:sz w:val="22"/>
      <w:szCs w:val="22"/>
    </w:rPr>
  </w:style>
  <w:style w:type="character" w:customStyle="1" w:styleId="FootnoteTextChar2">
    <w:name w:val="Footnote Text Char2"/>
    <w:aliases w:val="ALTS FOOTNOTE Char Char Char,Footnote Text Char Char Char,Footnote Text Char Char Char Char Char,Footnote Text Char1 Char,Footnote Text Char3 Char1 Char Char Char Char Char2,Footnote Text Char5 Char Char Char,Footnote Text Char6 Char"/>
    <w:rsid w:val="00EB312D"/>
    <w:rPr>
      <w:snapToGrid w:val="0"/>
      <w:lang w:val="en-US" w:eastAsia="en-US" w:bidi="ar-SA"/>
    </w:rPr>
  </w:style>
  <w:style w:type="character" w:customStyle="1" w:styleId="Heading2CharChar2">
    <w:name w:val="Heading 2 Char Char2"/>
    <w:rsid w:val="00EB312D"/>
    <w:rPr>
      <w:rFonts w:cs="Times New Roman"/>
      <w:b/>
      <w:snapToGrid w:val="0"/>
      <w:kern w:val="28"/>
      <w:sz w:val="24"/>
      <w:lang w:val="en-US" w:eastAsia="en-US" w:bidi="ar-SA"/>
    </w:rPr>
  </w:style>
  <w:style w:type="character" w:customStyle="1" w:styleId="cohovertext">
    <w:name w:val="co_hovertext"/>
    <w:rsid w:val="00EB312D"/>
  </w:style>
  <w:style w:type="character" w:customStyle="1" w:styleId="cosearchterm">
    <w:name w:val="co_searchterm"/>
    <w:rsid w:val="00EB312D"/>
  </w:style>
  <w:style w:type="character" w:styleId="Strong">
    <w:name w:val="Strong"/>
    <w:uiPriority w:val="22"/>
    <w:qFormat/>
    <w:rsid w:val="00EB312D"/>
    <w:rPr>
      <w:b/>
      <w:bCs/>
    </w:rPr>
  </w:style>
  <w:style w:type="paragraph" w:styleId="Revision">
    <w:name w:val="Revision"/>
    <w:hidden/>
    <w:uiPriority w:val="99"/>
    <w:semiHidden/>
    <w:rsid w:val="00EB312D"/>
    <w:rPr>
      <w:snapToGrid w:val="0"/>
      <w:kern w:val="28"/>
      <w:sz w:val="22"/>
    </w:rPr>
  </w:style>
  <w:style w:type="character" w:customStyle="1" w:styleId="UnresolvedMention">
    <w:name w:val="Unresolved Mention"/>
    <w:uiPriority w:val="99"/>
    <w:semiHidden/>
    <w:unhideWhenUsed/>
    <w:rsid w:val="00EB312D"/>
    <w:rPr>
      <w:color w:val="605E5C"/>
      <w:shd w:val="clear" w:color="auto" w:fill="E1DFDD"/>
    </w:rPr>
  </w:style>
  <w:style w:type="table" w:styleId="TableGrid">
    <w:name w:val="Table Grid"/>
    <w:basedOn w:val="TableNormal"/>
    <w:uiPriority w:val="59"/>
    <w:rsid w:val="00EB312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pinpointicon">
    <w:name w:val="co_pinpointicon"/>
    <w:rsid w:val="00EB312D"/>
  </w:style>
  <w:style w:type="character" w:customStyle="1" w:styleId="ng-binding">
    <w:name w:val="ng-binding"/>
    <w:rsid w:val="00EB312D"/>
  </w:style>
  <w:style w:type="paragraph" w:styleId="TOCHeading">
    <w:name w:val="TOC Heading"/>
    <w:basedOn w:val="Heading1"/>
    <w:next w:val="Normal"/>
    <w:uiPriority w:val="39"/>
    <w:unhideWhenUsed/>
    <w:qFormat/>
    <w:rsid w:val="00EB312D"/>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customStyle="1" w:styleId="counderline">
    <w:name w:val="co_underline"/>
    <w:rsid w:val="00EB312D"/>
  </w:style>
  <w:style w:type="character" w:customStyle="1" w:styleId="normaltextrun">
    <w:name w:val="normaltextrun"/>
    <w:rsid w:val="00EB312D"/>
  </w:style>
  <w:style w:type="character" w:customStyle="1" w:styleId="spellingerror">
    <w:name w:val="spellingerror"/>
    <w:rsid w:val="00EB312D"/>
  </w:style>
  <w:style w:type="character" w:customStyle="1" w:styleId="searchterm">
    <w:name w:val="searchterm"/>
    <w:rsid w:val="00EB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3.xml" /><Relationship Id="rId14" Type="http://schemas.openxmlformats.org/officeDocument/2006/relationships/footer" Target="footer6.xml" /><Relationship Id="rId15" Type="http://schemas.openxmlformats.org/officeDocument/2006/relationships/footer" Target="footer7.xml" /><Relationship Id="rId16" Type="http://schemas.openxmlformats.org/officeDocument/2006/relationships/header" Target="header4.xml" /><Relationship Id="rId17" Type="http://schemas.openxmlformats.org/officeDocument/2006/relationships/footer" Target="footer8.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1.next.westlaw.com/Link/Document/FullText?findType=L&amp;pubNum=1000546&amp;cite=47USCAS214&amp;originatingDoc=I4bb49a1f2c2911dbbffafa490ee528f6&amp;refType=LQ&amp;originationContext=document&amp;transitionType=DocumentItem&amp;contextData=(sc.Search)"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puc.sd.gov/commission/dockets/misc/2011/ms11-001/010511a.pdf" TargetMode="External" /><Relationship Id="rId10" Type="http://schemas.openxmlformats.org/officeDocument/2006/relationships/hyperlink" Target="https://factfinder.census.gov/bkmk/table/1.0/en/COG/2012/ORG07.US01" TargetMode="External" /><Relationship Id="rId11" Type="http://schemas.openxmlformats.org/officeDocument/2006/relationships/hyperlink" Target="https://factfinder.census.gov/bkmk/table/1.0/en/COG/2012/ORG11.US01" TargetMode="External" /><Relationship Id="rId12" Type="http://schemas.openxmlformats.org/officeDocument/2006/relationships/hyperlink" Target="https://factfinder.census.gov/bkmk/table/1.0/en/COG/2012/ORG09.US01" TargetMode="External" /><Relationship Id="rId13" Type="http://schemas.openxmlformats.org/officeDocument/2006/relationships/hyperlink" Target="https://www.census.gov/cgi-bin/sssd/naics/naicsrch?code=517110&amp;search=2012+NAICS+Search" TargetMode="External" /><Relationship Id="rId14" Type="http://schemas.openxmlformats.org/officeDocument/2006/relationships/hyperlink" Target="http://factfinder.census.gov/faces/tableservices/jsf/pages/productview.xhtml?pid=ECN_2012_US_51SSSZ2&amp;prodType=table" TargetMode="External" /><Relationship Id="rId15" Type="http://schemas.openxmlformats.org/officeDocument/2006/relationships/hyperlink" Target="http://hraunfoss.fcc.gov/edocs_public/attachmatch/DOC-301823A1.pdf" TargetMode="External" /><Relationship Id="rId16" Type="http://schemas.openxmlformats.org/officeDocument/2006/relationships/hyperlink" Target="https://www.census.gov/cgi-bin/sssd/naics/naicsrch?input=517911&amp;search=2012+NAICS+Search&amp;search=2012" TargetMode="External" /><Relationship Id="rId17" Type="http://schemas.openxmlformats.org/officeDocument/2006/relationships/hyperlink" Target="http://apps.fcc.gov/cgb/form499/499a.cfm" TargetMode="External" /><Relationship Id="rId18" Type="http://schemas.openxmlformats.org/officeDocument/2006/relationships/hyperlink" Target="https://factfinder.census.gov/faces/affhelp/jsf/pages/metadata.xhtml?lang=en&amp;type=ib&amp;id=ib.en./ECN.NAICS2012.517210" TargetMode="External" /><Relationship Id="rId19" Type="http://schemas.openxmlformats.org/officeDocument/2006/relationships/hyperlink" Target="https://factfinder.census.gov/faces/tableservices/jsf/pages/productview.xhtml?pid=ECN_2012_US_51SSSZ2&amp;prodType=table" TargetMode="External" /><Relationship Id="rId2" Type="http://schemas.openxmlformats.org/officeDocument/2006/relationships/hyperlink" Target="https://docs.fcc.gov/public/attachments/DOC-349075A1.pdf" TargetMode="External" /><Relationship Id="rId20" Type="http://schemas.openxmlformats.org/officeDocument/2006/relationships/hyperlink" Target="http://wireless.fcc.gov/uls" TargetMode="External" /><Relationship Id="rId21" Type="http://schemas.openxmlformats.org/officeDocument/2006/relationships/hyperlink" Target="https://www.census.gov/cgi-bin/sssd/naics/naicsrch?input=515210&amp;search=2012+NAICS+Search&amp;search=2012" TargetMode="External" /><Relationship Id="rId22" Type="http://schemas.openxmlformats.org/officeDocument/2006/relationships/hyperlink" Target="http://www.fcc.gov/coals" TargetMode="External" /><Relationship Id="rId23" Type="http://schemas.openxmlformats.org/officeDocument/2006/relationships/hyperlink" Target="http://www.snl.com/interactivex/MultichannelIndustryBenchmarks.aspx" TargetMode="External" /><Relationship Id="rId24" Type="http://schemas.openxmlformats.org/officeDocument/2006/relationships/hyperlink" Target="http://www.snl.com/interactivex/TopCable%20MSOs.aspx" TargetMode="External" /><Relationship Id="rId25" Type="http://schemas.openxmlformats.org/officeDocument/2006/relationships/hyperlink" Target="http://www.census.gov/cgi-bin/sssd/naics/naicsrch" TargetMode="External" /><Relationship Id="rId26" Type="http://schemas.openxmlformats.org/officeDocument/2006/relationships/hyperlink" Target="http://factfinder.census.gov/faces/tableservices/jsf/pages/productview.xhtml?pid=ECN_2012_US_51SSSZ4&amp;prodType=table" TargetMode="External" /><Relationship Id="rId3" Type="http://schemas.openxmlformats.org/officeDocument/2006/relationships/hyperlink" Target="http://www.widevoice.com/network.html" TargetMode="External" /><Relationship Id="rId4" Type="http://schemas.openxmlformats.org/officeDocument/2006/relationships/hyperlink" Target="https://sosenterprise.sd.gov/BusinessServices/Business/FilingSearch.aspx" TargetMode="External" /><Relationship Id="rId5" Type="http://schemas.openxmlformats.org/officeDocument/2006/relationships/hyperlink" Target="https://www.sba.gov/sites/default/files/advocacy/SB-FAQ-2016_WEB.pdf" TargetMode="External" /><Relationship Id="rId6" Type="http://schemas.openxmlformats.org/officeDocument/2006/relationships/hyperlink" Target="http://nccs.urban.org/sites/all/nccs-archive/html/tablewiz/tw.php" TargetMode="External" /><Relationship Id="rId7" Type="http://schemas.openxmlformats.org/officeDocument/2006/relationships/hyperlink" Target="https://factfinder.census.gov/faces/affhelp/jsf/pages/metadata.xhtml?lang=en&amp;type=program&amp;id=program.en.COG" TargetMode="External" /><Relationship Id="rId8" Type="http://schemas.openxmlformats.org/officeDocument/2006/relationships/hyperlink" Target="https://factfinder.census.gov/bkmk/table/1.0/en/COG/2012/ORG02.US01" TargetMode="External" /><Relationship Id="rId9" Type="http://schemas.openxmlformats.org/officeDocument/2006/relationships/hyperlink" Target="https://factfinder.census.gov/bkmk/table/1.0/en/COG/2012/ORG06.US01"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