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D1448" w:rsidRPr="00980D7F" w:rsidP="000D1448">
      <w:pPr>
        <w:jc w:val="center"/>
        <w:rPr>
          <w:b/>
          <w:bCs/>
          <w:caps/>
          <w:szCs w:val="22"/>
        </w:rPr>
      </w:pPr>
      <w:bookmarkStart w:id="0" w:name="_GoBack"/>
      <w:bookmarkEnd w:id="0"/>
      <w:r w:rsidRPr="00980D7F">
        <w:rPr>
          <w:b/>
          <w:bCs/>
          <w:caps/>
          <w:szCs w:val="22"/>
        </w:rPr>
        <w:t>Statement of</w:t>
      </w:r>
    </w:p>
    <w:p w:rsidR="000D1448" w:rsidRPr="00980D7F" w:rsidP="000D1448">
      <w:pPr>
        <w:jc w:val="center"/>
        <w:rPr>
          <w:b/>
          <w:bCs/>
          <w:caps/>
          <w:szCs w:val="22"/>
        </w:rPr>
      </w:pPr>
      <w:r w:rsidRPr="00980D7F">
        <w:rPr>
          <w:b/>
          <w:bCs/>
          <w:caps/>
          <w:szCs w:val="22"/>
        </w:rPr>
        <w:t>Commissioner Brendan Carr</w:t>
      </w:r>
    </w:p>
    <w:p w:rsidR="000D1448" w:rsidRPr="00980D7F" w:rsidP="000D1448">
      <w:pPr>
        <w:jc w:val="center"/>
        <w:rPr>
          <w:b/>
          <w:bCs/>
          <w:caps/>
          <w:szCs w:val="22"/>
        </w:rPr>
      </w:pPr>
    </w:p>
    <w:p w:rsidR="000D1448" w:rsidP="000D1448">
      <w:pPr>
        <w:ind w:left="720" w:hanging="720"/>
        <w:rPr>
          <w:iCs/>
          <w:szCs w:val="22"/>
        </w:rPr>
      </w:pPr>
      <w:r w:rsidRPr="00980D7F">
        <w:rPr>
          <w:iCs/>
          <w:szCs w:val="22"/>
        </w:rPr>
        <w:t>Re:</w:t>
      </w:r>
      <w:r w:rsidRPr="00980D7F">
        <w:rPr>
          <w:szCs w:val="22"/>
        </w:rPr>
        <w:t xml:space="preserve"> </w:t>
      </w:r>
      <w:r w:rsidRPr="00980D7F">
        <w:rPr>
          <w:szCs w:val="22"/>
        </w:rPr>
        <w:tab/>
      </w:r>
      <w:r>
        <w:rPr>
          <w:i/>
          <w:szCs w:val="22"/>
        </w:rPr>
        <w:t>Auction of Priority Access Licenses for the 3550-3650 MHz Band</w:t>
      </w:r>
      <w:r w:rsidRPr="00144FEB">
        <w:rPr>
          <w:i/>
        </w:rPr>
        <w:t>; Comment Sought on Competitive Bidding Procedures for Auction 105; Bidding in Auction 105 Scheduled to Begin June 25, 2020</w:t>
      </w:r>
      <w:r>
        <w:rPr>
          <w:iCs/>
          <w:szCs w:val="22"/>
        </w:rPr>
        <w:t>, AU Docket No. 19-244</w:t>
      </w:r>
    </w:p>
    <w:p w:rsidR="000D1448" w:rsidP="000D1448">
      <w:pPr>
        <w:rPr>
          <w:iCs/>
          <w:szCs w:val="22"/>
        </w:rPr>
      </w:pPr>
    </w:p>
    <w:p w:rsidR="000D1448" w:rsidP="000D1448">
      <w:pPr>
        <w:rPr>
          <w:iCs/>
          <w:szCs w:val="22"/>
        </w:rPr>
      </w:pPr>
      <w:r>
        <w:rPr>
          <w:iCs/>
          <w:szCs w:val="22"/>
        </w:rPr>
        <w:tab/>
        <w:t xml:space="preserve"> Yankees, Red Sox.  Cowboys, Redskins.  Democrats, Republicans.  Those who say “aye” when voting for FCC items and those who (correctly) say “approve.”  In this time of division, what can bring such bitter rivals together?  The answer is right in front of us: 3.5.</w:t>
      </w:r>
    </w:p>
    <w:p w:rsidR="000D1448" w:rsidP="000D1448">
      <w:pPr>
        <w:ind w:firstLine="720"/>
        <w:rPr>
          <w:iCs/>
          <w:szCs w:val="22"/>
        </w:rPr>
      </w:pPr>
    </w:p>
    <w:p w:rsidR="000D1448" w:rsidP="000D1448">
      <w:pPr>
        <w:ind w:firstLine="720"/>
        <w:rPr>
          <w:iCs/>
          <w:szCs w:val="22"/>
        </w:rPr>
      </w:pPr>
      <w:r>
        <w:rPr>
          <w:iCs/>
          <w:szCs w:val="22"/>
        </w:rPr>
        <w:t>You see, last week, on the same stage appeared a cast of characters not often known for holding hands and singing kumbaya.  Verizon, AT&amp;T.  Google, Charter.  A group that runs trains, and a group that flies planes.  Even the FCC, NTIA, and DOD.</w:t>
      </w:r>
    </w:p>
    <w:p w:rsidR="000D1448" w:rsidP="000D1448">
      <w:pPr>
        <w:ind w:firstLine="720"/>
        <w:rPr>
          <w:iCs/>
          <w:szCs w:val="22"/>
        </w:rPr>
      </w:pPr>
    </w:p>
    <w:p w:rsidR="000D1448" w:rsidP="000D1448">
      <w:pPr>
        <w:ind w:firstLine="720"/>
        <w:rPr>
          <w:iCs/>
          <w:szCs w:val="22"/>
        </w:rPr>
      </w:pPr>
      <w:r>
        <w:rPr>
          <w:iCs/>
          <w:szCs w:val="22"/>
        </w:rPr>
        <w:t>They were celebrating the launch of OnGo, a private certification effort to commercialize the 3.5 GHz band.  It’s a sign that the private sector is ready to put this spectrum to use and has confidence in the band’s potential.  It’s also a milestone on this Commission’s road to freeing up more mid-band spectrum.  Commissioner O’Rielly deservedly was on stage to celebrate last week, and I want to join in the chorus that is rightly thanking him for his continued work on this effort.</w:t>
      </w:r>
    </w:p>
    <w:p w:rsidR="000D1448" w:rsidP="000D1448">
      <w:pPr>
        <w:ind w:firstLine="720"/>
        <w:rPr>
          <w:iCs/>
          <w:szCs w:val="22"/>
        </w:rPr>
      </w:pPr>
    </w:p>
    <w:p w:rsidR="000D1448" w:rsidP="000D1448">
      <w:pPr>
        <w:ind w:firstLine="720"/>
        <w:rPr>
          <w:iCs/>
          <w:szCs w:val="22"/>
        </w:rPr>
      </w:pPr>
      <w:r>
        <w:rPr>
          <w:iCs/>
          <w:szCs w:val="22"/>
        </w:rPr>
        <w:t>5G services will rely on every spectrum band—low, mid, and high.  Low-band will provide the coverage needed to bring 5G to every corner of America.  Mid-band will provide mobility at fast speeds.  And high-band will provide the fiber-like connections needed to support a full range of 5G offerings.  All three bands are essential.  And so I am proud of this Commission’s all-of-the-above approach to spectrum, which we continue in this Public Notice.</w:t>
      </w:r>
    </w:p>
    <w:p w:rsidR="000D1448" w:rsidP="000D1448">
      <w:pPr>
        <w:rPr>
          <w:iCs/>
          <w:szCs w:val="22"/>
        </w:rPr>
      </w:pPr>
    </w:p>
    <w:p w:rsidR="000D1448" w:rsidP="000D1448">
      <w:pPr>
        <w:pStyle w:val="ParaNum"/>
        <w:numPr>
          <w:ilvl w:val="0"/>
          <w:numId w:val="0"/>
        </w:numPr>
        <w:spacing w:after="0"/>
        <w:ind w:firstLine="720"/>
        <w:rPr>
          <w:iCs/>
          <w:szCs w:val="22"/>
        </w:rPr>
      </w:pPr>
      <w:r>
        <w:rPr>
          <w:iCs/>
          <w:szCs w:val="22"/>
        </w:rPr>
        <w:t>I want to thank the Office of Economics and Analytics and the Wireless Telecommunications Bureau for their work on this item.  It has my support.</w:t>
      </w:r>
    </w:p>
    <w:p w:rsidR="000D1448" w:rsidRPr="00557698" w:rsidP="00F5321E">
      <w:r w:rsidRPr="00557698">
        <w:t xml:space="preserve"> </w:t>
      </w:r>
    </w:p>
    <w:p w:rsidR="00D641D3"/>
    <w:sectPr w:rsidSect="001F45D3">
      <w:headerReference w:type="default" r:id="rId4"/>
      <w:footerReference w:type="even" r:id="rId5"/>
      <w:footerReference w:type="default" r:id="rId6"/>
      <w:headerReference w:type="first" r:id="rId7"/>
      <w:footerReference w:type="first" r:id="rId8"/>
      <w:footnotePr>
        <w:numRestart w:val="eachSect"/>
      </w:footnotePr>
      <w:endnotePr>
        <w:numFmt w:val="decimal"/>
      </w:endnotePr>
      <w:type w:val="continuous"/>
      <w:pgSz w:w="12240" w:h="15840"/>
      <w:pgMar w:top="720" w:right="1440" w:bottom="720" w:left="1440" w:header="432" w:footer="354"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448" w:rsidP="0055614C">
    <w:pPr>
      <w:pStyle w:val="Footer"/>
      <w:framePr w:wrap="around" w:vAnchor="text" w:hAnchor="margin" w:xAlign="center" w:y="1"/>
    </w:pPr>
    <w:r>
      <w:fldChar w:fldCharType="begin"/>
    </w:r>
    <w:r>
      <w:instrText xml:space="preserve">PAGE  </w:instrText>
    </w:r>
    <w:r>
      <w:fldChar w:fldCharType="separate"/>
    </w:r>
    <w:r>
      <w:fldChar w:fldCharType="end"/>
    </w:r>
  </w:p>
  <w:p w:rsidR="000D1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448"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0D1448" w:rsidP="003C7C9B">
    <w:pPr>
      <w:pStyle w:val="Footer"/>
      <w:jc w:val="cen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448" w:rsidRPr="00702DB8">
    <w:pPr>
      <w:pStyle w:val="Footer"/>
      <w:tabs>
        <w:tab w:val="clear" w:pos="8640"/>
      </w:tabs>
      <w:rPr>
        <w:sz w:val="20"/>
      </w:rPr>
    </w:pPr>
    <w:r w:rsidRPr="00702DB8">
      <w:rPr>
        <w:sz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448" w:rsidRPr="00876441" w:rsidP="0056419F">
    <w:pPr>
      <w:pStyle w:val="Header"/>
      <w:rPr>
        <w:rFonts w:ascii="Times New Roman" w:hAnsi="Times New Roman" w:cs="Times New Roman"/>
      </w:rPr>
    </w:pPr>
    <w:r>
      <w:tab/>
    </w:r>
    <w:r w:rsidRPr="00876441">
      <w:rPr>
        <w:rFonts w:ascii="Times New Roman" w:hAnsi="Times New Roman" w:cs="Times New Roman"/>
      </w:rPr>
      <w:t>Federal Communications Commission</w:t>
    </w:r>
    <w:r w:rsidRPr="0056419F">
      <w:tab/>
    </w:r>
    <w:r w:rsidRPr="00876441">
      <w:rPr>
        <w:rFonts w:ascii="Times New Roman" w:hAnsi="Times New Roman" w:cs="Times New Roman"/>
      </w:rPr>
      <w:t>FCC</w:t>
    </w:r>
    <w:r>
      <w:rPr>
        <w:rFonts w:ascii="Times New Roman" w:hAnsi="Times New Roman" w:cs="Times New Roman"/>
      </w:rPr>
      <w:t xml:space="preserve"> 19-96</w:t>
    </w:r>
  </w:p>
  <w:p w:rsidR="000D144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0D1448">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448" w:rsidRPr="00876441" w:rsidP="000D1448">
    <w:pPr>
      <w:pStyle w:val="Header"/>
      <w:rPr>
        <w:rFonts w:ascii="Times New Roman" w:hAnsi="Times New Roman" w:cs="Times New Roman"/>
      </w:rPr>
    </w:pPr>
    <w:r>
      <w:tab/>
    </w:r>
    <w:r w:rsidRPr="00876441">
      <w:rPr>
        <w:rFonts w:ascii="Times New Roman" w:hAnsi="Times New Roman" w:cs="Times New Roman"/>
      </w:rPr>
      <w:t>Federal Communications Commission</w:t>
    </w:r>
    <w:r w:rsidRPr="0056419F">
      <w:tab/>
    </w:r>
    <w:r w:rsidRPr="00876441">
      <w:rPr>
        <w:rFonts w:ascii="Times New Roman" w:hAnsi="Times New Roman" w:cs="Times New Roman"/>
      </w:rPr>
      <w:t>FCC</w:t>
    </w:r>
    <w:r>
      <w:rPr>
        <w:rFonts w:ascii="Times New Roman" w:hAnsi="Times New Roman" w:cs="Times New Roman"/>
      </w:rPr>
      <w:t xml:space="preserve"> 19-96</w:t>
    </w:r>
  </w:p>
  <w:p w:rsidR="000D1448" w:rsidP="000D144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7"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7"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0D1448" w:rsidP="000D1448">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097812"/>
    <w:multiLevelType w:val="hybridMultilevel"/>
    <w:tmpl w:val="F7AC3A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017372"/>
    <w:multiLevelType w:val="hybridMultilevel"/>
    <w:tmpl w:val="C70820C6"/>
    <w:lvl w:ilvl="0">
      <w:start w:val="1"/>
      <w:numFmt w:val="decimal"/>
      <w:lvlText w:val="%1."/>
      <w:lvlJc w:val="left"/>
      <w:pPr>
        <w:ind w:left="0" w:firstLine="720"/>
      </w:pPr>
      <w:rPr>
        <w:rFonts w:hint="default"/>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2B6E957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9AD5C68"/>
    <w:multiLevelType w:val="hybridMultilevel"/>
    <w:tmpl w:val="810AF7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9F6090A"/>
    <w:multiLevelType w:val="multilevel"/>
    <w:tmpl w:val="6226BEF4"/>
    <w:lvl w:ilvl="0">
      <w:start w:val="1"/>
      <w:numFmt w:val="upperRoman"/>
      <w:lvlText w:val="%1."/>
      <w:lvlJc w:val="left"/>
      <w:pPr>
        <w:tabs>
          <w:tab w:val="num" w:pos="720"/>
        </w:tabs>
        <w:ind w:left="720" w:hanging="720"/>
      </w:pPr>
      <w:rPr>
        <w:rFonts w:hint="default"/>
        <w:b w:val="0"/>
        <w:i w:val="0"/>
        <w:caps w:val="0"/>
        <w:strike w:val="0"/>
        <w:dstrike w:val="0"/>
        <w:vanish w:val="0"/>
        <w:sz w:val="22"/>
        <w:u w:val="none"/>
        <w:vertAlign w:val="baseline"/>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61182925"/>
    <w:multiLevelType w:val="multilevel"/>
    <w:tmpl w:val="6AE0A1F2"/>
    <w:lvl w:ilvl="0">
      <w:start w:val="1"/>
      <w:numFmt w:val="decimal"/>
      <w:pStyle w:val="ParaNum"/>
      <w:lvlText w:val="%1."/>
      <w:lvlJc w:val="left"/>
      <w:pPr>
        <w:ind w:left="0" w:firstLine="720"/>
      </w:pPr>
      <w:rPr>
        <w:rFonts w:hint="default"/>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14F566C"/>
    <w:multiLevelType w:val="multilevel"/>
    <w:tmpl w:val="C6BCC52E"/>
    <w:lvl w:ilvl="0">
      <w:start w:val="72"/>
      <w:numFmt w:val="decimal"/>
      <w:lvlText w:val="%1."/>
      <w:lvlJc w:val="left"/>
      <w:pPr>
        <w:tabs>
          <w:tab w:val="num" w:pos="1080"/>
        </w:tabs>
        <w:ind w:left="0" w:firstLine="720"/>
      </w:pPr>
      <w:rPr>
        <w:rFonts w:hint="default"/>
      </w:rPr>
    </w:lvl>
    <w:lvl w:ilvl="1">
      <w:start w:val="1"/>
      <w:numFmt w:val="upperLetter"/>
      <w:lvlText w:val="%2."/>
      <w:lvlJc w:val="left"/>
      <w:pPr>
        <w:tabs>
          <w:tab w:val="num" w:pos="1440"/>
        </w:tabs>
        <w:ind w:left="1440" w:hanging="720"/>
      </w:pPr>
      <w:rPr>
        <w:rFonts w:hint="default"/>
      </w:rPr>
    </w:lvl>
    <w:lvl w:ilvl="2">
      <w:start w:val="2"/>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6979157E"/>
    <w:multiLevelType w:val="hybridMultilevel"/>
    <w:tmpl w:val="80ACEB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46E6E71"/>
    <w:multiLevelType w:val="hybridMultilevel"/>
    <w:tmpl w:val="9E2C93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6E73E69"/>
    <w:multiLevelType w:val="hybridMultilevel"/>
    <w:tmpl w:val="F09295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7"/>
  </w:num>
  <w:num w:numId="5">
    <w:abstractNumId w:val="4"/>
  </w:num>
  <w:num w:numId="6">
    <w:abstractNumId w:val="0"/>
  </w:num>
  <w:num w:numId="7">
    <w:abstractNumId w:val="2"/>
  </w:num>
  <w:num w:numId="8">
    <w:abstractNumId w:val="8"/>
  </w:num>
  <w:num w:numId="9">
    <w:abstractNumId w:val="10"/>
  </w:num>
  <w:num w:numId="10">
    <w:abstractNumId w:val="1"/>
  </w:num>
  <w:num w:numId="11">
    <w:abstractNumId w:val="11"/>
  </w:num>
  <w:num w:numId="12">
    <w:abstractNumId w:val="1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48"/>
    <w:rsid w:val="000D1448"/>
    <w:rsid w:val="000E2A2C"/>
    <w:rsid w:val="00144FEB"/>
    <w:rsid w:val="001A1BE7"/>
    <w:rsid w:val="003C7C9B"/>
    <w:rsid w:val="0055614C"/>
    <w:rsid w:val="00557698"/>
    <w:rsid w:val="0056419F"/>
    <w:rsid w:val="00702DB8"/>
    <w:rsid w:val="00876441"/>
    <w:rsid w:val="00980D7F"/>
    <w:rsid w:val="00CC37B4"/>
    <w:rsid w:val="00D641D3"/>
    <w:rsid w:val="00DE57DC"/>
    <w:rsid w:val="00E00835"/>
    <w:rsid w:val="00E72760"/>
    <w:rsid w:val="00F5321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4C8C31F-0388-4013-B109-55016C0C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448"/>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0D1448"/>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D1448"/>
    <w:pPr>
      <w:keepNext/>
      <w:widowControl/>
      <w:numPr>
        <w:ilvl w:val="1"/>
        <w:numId w:val="3"/>
      </w:numPr>
      <w:spacing w:after="120"/>
      <w:outlineLvl w:val="1"/>
    </w:pPr>
    <w:rPr>
      <w:b/>
    </w:rPr>
  </w:style>
  <w:style w:type="paragraph" w:styleId="Heading3">
    <w:name w:val="heading 3"/>
    <w:basedOn w:val="Normal"/>
    <w:next w:val="ParaNum"/>
    <w:link w:val="Heading3Char"/>
    <w:qFormat/>
    <w:rsid w:val="000D144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0D144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0D144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D144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D1448"/>
    <w:pPr>
      <w:numPr>
        <w:ilvl w:val="6"/>
        <w:numId w:val="3"/>
      </w:numPr>
      <w:tabs>
        <w:tab w:val="left" w:pos="5040"/>
      </w:tabs>
      <w:spacing w:after="120"/>
      <w:outlineLvl w:val="6"/>
    </w:pPr>
    <w:rPr>
      <w:b/>
    </w:rPr>
  </w:style>
  <w:style w:type="paragraph" w:styleId="Heading8">
    <w:name w:val="heading 8"/>
    <w:basedOn w:val="Normal"/>
    <w:next w:val="ParaNum"/>
    <w:link w:val="Heading8Char"/>
    <w:qFormat/>
    <w:rsid w:val="000D1448"/>
    <w:pPr>
      <w:numPr>
        <w:ilvl w:val="7"/>
        <w:numId w:val="3"/>
      </w:numPr>
      <w:tabs>
        <w:tab w:val="left" w:pos="5760"/>
      </w:tabs>
      <w:spacing w:after="120"/>
      <w:outlineLvl w:val="7"/>
    </w:pPr>
    <w:rPr>
      <w:b/>
    </w:rPr>
  </w:style>
  <w:style w:type="paragraph" w:styleId="Heading9">
    <w:name w:val="heading 9"/>
    <w:basedOn w:val="Normal"/>
    <w:next w:val="ParaNum"/>
    <w:link w:val="Heading9Char"/>
    <w:qFormat/>
    <w:rsid w:val="000D1448"/>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1448"/>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0D1448"/>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0D1448"/>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0D1448"/>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0D1448"/>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0D1448"/>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0D1448"/>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0D1448"/>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0D1448"/>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0D1448"/>
    <w:pPr>
      <w:numPr>
        <w:numId w:val="2"/>
      </w:numPr>
      <w:spacing w:after="120"/>
    </w:pPr>
  </w:style>
  <w:style w:type="paragraph" w:styleId="EndnoteText">
    <w:name w:val="endnote text"/>
    <w:basedOn w:val="Normal"/>
    <w:link w:val="EndnoteTextChar"/>
    <w:semiHidden/>
    <w:rsid w:val="000D1448"/>
    <w:rPr>
      <w:sz w:val="20"/>
    </w:rPr>
  </w:style>
  <w:style w:type="character" w:customStyle="1" w:styleId="EndnoteTextChar">
    <w:name w:val="Endnote Text Char"/>
    <w:basedOn w:val="DefaultParagraphFont"/>
    <w:link w:val="EndnoteText"/>
    <w:semiHidden/>
    <w:rsid w:val="000D1448"/>
    <w:rPr>
      <w:rFonts w:ascii="Times New Roman" w:eastAsia="Times New Roman" w:hAnsi="Times New Roman" w:cs="Times New Roman"/>
      <w:snapToGrid w:val="0"/>
      <w:kern w:val="28"/>
      <w:sz w:val="20"/>
      <w:szCs w:val="20"/>
    </w:rPr>
  </w:style>
  <w:style w:type="character" w:styleId="EndnoteReference">
    <w:name w:val="endnote reference"/>
    <w:semiHidden/>
    <w:rsid w:val="000D1448"/>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rsid w:val="000D144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basedOn w:val="DefaultParagraphFont"/>
    <w:link w:val="FootnoteText"/>
    <w:rsid w:val="000D1448"/>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0D1448"/>
    <w:rPr>
      <w:rFonts w:ascii="Times New Roman" w:hAnsi="Times New Roman"/>
      <w:dstrike w:val="0"/>
      <w:color w:val="auto"/>
      <w:sz w:val="22"/>
      <w:vertAlign w:val="superscript"/>
    </w:rPr>
  </w:style>
  <w:style w:type="paragraph" w:styleId="TOC1">
    <w:name w:val="toc 1"/>
    <w:basedOn w:val="Normal"/>
    <w:next w:val="Normal"/>
    <w:semiHidden/>
    <w:rsid w:val="000D144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D1448"/>
    <w:pPr>
      <w:tabs>
        <w:tab w:val="left" w:pos="720"/>
        <w:tab w:val="right" w:leader="dot" w:pos="9360"/>
      </w:tabs>
      <w:suppressAutoHyphens/>
      <w:ind w:left="720" w:right="720" w:hanging="360"/>
    </w:pPr>
    <w:rPr>
      <w:noProof/>
    </w:rPr>
  </w:style>
  <w:style w:type="paragraph" w:styleId="TOC3">
    <w:name w:val="toc 3"/>
    <w:basedOn w:val="Normal"/>
    <w:next w:val="Normal"/>
    <w:semiHidden/>
    <w:rsid w:val="000D144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D144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D144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D144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D144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D144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D144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D1448"/>
    <w:pPr>
      <w:tabs>
        <w:tab w:val="right" w:pos="9360"/>
      </w:tabs>
      <w:suppressAutoHyphens/>
    </w:pPr>
  </w:style>
  <w:style w:type="character" w:customStyle="1" w:styleId="EquationCaption">
    <w:name w:val="_Equation Caption"/>
    <w:rsid w:val="000D1448"/>
  </w:style>
  <w:style w:type="paragraph" w:styleId="Header">
    <w:name w:val="header"/>
    <w:basedOn w:val="Normal"/>
    <w:link w:val="HeaderChar"/>
    <w:autoRedefine/>
    <w:rsid w:val="000D1448"/>
    <w:pPr>
      <w:tabs>
        <w:tab w:val="center" w:pos="4680"/>
        <w:tab w:val="right" w:pos="9360"/>
      </w:tabs>
    </w:pPr>
    <w:rPr>
      <w:rFonts w:ascii="Arial" w:hAnsi="Arial" w:cs="Arial"/>
      <w:b/>
      <w:szCs w:val="22"/>
    </w:rPr>
  </w:style>
  <w:style w:type="character" w:customStyle="1" w:styleId="HeaderChar">
    <w:name w:val="Header Char"/>
    <w:basedOn w:val="DefaultParagraphFont"/>
    <w:link w:val="Header"/>
    <w:rsid w:val="000D1448"/>
    <w:rPr>
      <w:rFonts w:ascii="Arial" w:eastAsia="Times New Roman" w:hAnsi="Arial" w:cs="Arial"/>
      <w:b/>
      <w:snapToGrid w:val="0"/>
      <w:kern w:val="28"/>
    </w:rPr>
  </w:style>
  <w:style w:type="paragraph" w:styleId="Footer">
    <w:name w:val="footer"/>
    <w:basedOn w:val="Normal"/>
    <w:link w:val="FooterChar"/>
    <w:uiPriority w:val="99"/>
    <w:rsid w:val="000D1448"/>
    <w:pPr>
      <w:tabs>
        <w:tab w:val="center" w:pos="4320"/>
        <w:tab w:val="right" w:pos="8640"/>
      </w:tabs>
    </w:pPr>
  </w:style>
  <w:style w:type="character" w:customStyle="1" w:styleId="FooterChar">
    <w:name w:val="Footer Char"/>
    <w:basedOn w:val="DefaultParagraphFont"/>
    <w:link w:val="Footer"/>
    <w:uiPriority w:val="99"/>
    <w:rsid w:val="000D1448"/>
    <w:rPr>
      <w:rFonts w:ascii="Times New Roman" w:eastAsia="Times New Roman" w:hAnsi="Times New Roman" w:cs="Times New Roman"/>
      <w:snapToGrid w:val="0"/>
      <w:kern w:val="28"/>
      <w:szCs w:val="20"/>
    </w:rPr>
  </w:style>
  <w:style w:type="character" w:styleId="PageNumber">
    <w:name w:val="page number"/>
    <w:basedOn w:val="DefaultParagraphFont"/>
    <w:rsid w:val="000D1448"/>
  </w:style>
  <w:style w:type="paragraph" w:styleId="BlockText">
    <w:name w:val="Block Text"/>
    <w:basedOn w:val="Normal"/>
    <w:rsid w:val="000D1448"/>
    <w:pPr>
      <w:spacing w:after="240"/>
      <w:ind w:left="1440" w:right="1440"/>
    </w:pPr>
  </w:style>
  <w:style w:type="paragraph" w:customStyle="1" w:styleId="Paratitle">
    <w:name w:val="Para title"/>
    <w:basedOn w:val="Normal"/>
    <w:rsid w:val="000D1448"/>
    <w:pPr>
      <w:tabs>
        <w:tab w:val="center" w:pos="9270"/>
      </w:tabs>
      <w:spacing w:after="240"/>
    </w:pPr>
    <w:rPr>
      <w:spacing w:val="-2"/>
    </w:rPr>
  </w:style>
  <w:style w:type="paragraph" w:customStyle="1" w:styleId="Bullet">
    <w:name w:val="Bullet"/>
    <w:basedOn w:val="Normal"/>
    <w:rsid w:val="000D1448"/>
    <w:pPr>
      <w:numPr>
        <w:numId w:val="1"/>
      </w:numPr>
      <w:tabs>
        <w:tab w:val="clear" w:pos="360"/>
        <w:tab w:val="left" w:pos="2160"/>
      </w:tabs>
      <w:spacing w:after="220"/>
      <w:ind w:left="2160" w:hanging="720"/>
    </w:pPr>
  </w:style>
  <w:style w:type="paragraph" w:customStyle="1" w:styleId="TableFormat">
    <w:name w:val="TableFormat"/>
    <w:basedOn w:val="Bullet"/>
    <w:rsid w:val="000D1448"/>
    <w:pPr>
      <w:numPr>
        <w:numId w:val="0"/>
      </w:numPr>
      <w:tabs>
        <w:tab w:val="clear" w:pos="2160"/>
        <w:tab w:val="left" w:pos="5040"/>
      </w:tabs>
      <w:ind w:left="5040" w:hanging="3600"/>
    </w:pPr>
  </w:style>
  <w:style w:type="paragraph" w:customStyle="1" w:styleId="TOCTitle">
    <w:name w:val="TOC Title"/>
    <w:basedOn w:val="Normal"/>
    <w:rsid w:val="000D144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D1448"/>
    <w:pPr>
      <w:jc w:val="center"/>
    </w:pPr>
    <w:rPr>
      <w:rFonts w:ascii="Times New Roman Bold" w:hAnsi="Times New Roman Bold"/>
      <w:b/>
      <w:bCs/>
      <w:caps/>
      <w:szCs w:val="22"/>
    </w:rPr>
  </w:style>
  <w:style w:type="character" w:styleId="Hyperlink">
    <w:name w:val="Hyperlink"/>
    <w:rsid w:val="000D1448"/>
    <w:rPr>
      <w:color w:val="0000FF"/>
      <w:u w:val="single"/>
    </w:rPr>
  </w:style>
  <w:style w:type="paragraph" w:styleId="ListParagraph">
    <w:name w:val="List Paragraph"/>
    <w:basedOn w:val="Normal"/>
    <w:uiPriority w:val="34"/>
    <w:qFormat/>
    <w:rsid w:val="000D1448"/>
    <w:pPr>
      <w:ind w:left="720"/>
    </w:pPr>
  </w:style>
  <w:style w:type="character" w:customStyle="1" w:styleId="ParaNumChar">
    <w:name w:val="ParaNum Char"/>
    <w:link w:val="ParaNum"/>
    <w:rsid w:val="000D1448"/>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0D14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448"/>
    <w:rPr>
      <w:rFonts w:ascii="Segoe UI" w:eastAsia="Times New Roman" w:hAnsi="Segoe UI" w:cs="Segoe UI"/>
      <w:snapToGrid w:val="0"/>
      <w:kern w:val="28"/>
      <w:sz w:val="18"/>
      <w:szCs w:val="18"/>
    </w:rPr>
  </w:style>
  <w:style w:type="character" w:customStyle="1" w:styleId="UnresolvedMention">
    <w:name w:val="Unresolved Mention"/>
    <w:uiPriority w:val="99"/>
    <w:semiHidden/>
    <w:unhideWhenUsed/>
    <w:rsid w:val="000D1448"/>
    <w:rPr>
      <w:color w:val="605E5C"/>
      <w:shd w:val="clear" w:color="auto" w:fill="E1DFDD"/>
    </w:rPr>
  </w:style>
  <w:style w:type="character" w:styleId="CommentReference">
    <w:name w:val="annotation reference"/>
    <w:uiPriority w:val="99"/>
    <w:semiHidden/>
    <w:unhideWhenUsed/>
    <w:rsid w:val="000D1448"/>
    <w:rPr>
      <w:sz w:val="16"/>
      <w:szCs w:val="16"/>
    </w:rPr>
  </w:style>
  <w:style w:type="paragraph" w:styleId="CommentText">
    <w:name w:val="annotation text"/>
    <w:basedOn w:val="Normal"/>
    <w:link w:val="CommentTextChar"/>
    <w:uiPriority w:val="99"/>
    <w:semiHidden/>
    <w:unhideWhenUsed/>
    <w:rsid w:val="000D1448"/>
    <w:rPr>
      <w:sz w:val="20"/>
    </w:rPr>
  </w:style>
  <w:style w:type="character" w:customStyle="1" w:styleId="CommentTextChar">
    <w:name w:val="Comment Text Char"/>
    <w:basedOn w:val="DefaultParagraphFont"/>
    <w:link w:val="CommentText"/>
    <w:uiPriority w:val="99"/>
    <w:semiHidden/>
    <w:rsid w:val="000D1448"/>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D1448"/>
    <w:rPr>
      <w:b/>
      <w:bCs/>
    </w:rPr>
  </w:style>
  <w:style w:type="character" w:customStyle="1" w:styleId="CommentSubjectChar">
    <w:name w:val="Comment Subject Char"/>
    <w:basedOn w:val="CommentTextChar"/>
    <w:link w:val="CommentSubject"/>
    <w:uiPriority w:val="99"/>
    <w:semiHidden/>
    <w:rsid w:val="000D1448"/>
    <w:rPr>
      <w:rFonts w:ascii="Times New Roman" w:eastAsia="Times New Roman" w:hAnsi="Times New Roman" w:cs="Times New Roman"/>
      <w:b/>
      <w:bCs/>
      <w:snapToGrid w:val="0"/>
      <w:kern w:val="28"/>
      <w:sz w:val="20"/>
      <w:szCs w:val="20"/>
    </w:rPr>
  </w:style>
  <w:style w:type="character" w:styleId="FollowedHyperlink">
    <w:name w:val="FollowedHyperlink"/>
    <w:uiPriority w:val="99"/>
    <w:semiHidden/>
    <w:unhideWhenUsed/>
    <w:rsid w:val="000D144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