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273E3" w:rsidRPr="00790B4B" w:rsidP="002659F3" w14:paraId="16ED3DB5" w14:textId="77777777">
      <w:pPr>
        <w:jc w:val="center"/>
        <w:rPr>
          <w:b/>
        </w:rPr>
      </w:pPr>
      <w:r w:rsidRPr="00790B4B">
        <w:rPr>
          <w:b/>
        </w:rPr>
        <w:t>Before the</w:t>
      </w:r>
    </w:p>
    <w:p w:rsidR="00E273E3" w:rsidRPr="00790B4B" w:rsidP="002659F3" w14:paraId="26651508" w14:textId="77777777">
      <w:pPr>
        <w:pStyle w:val="StyleBoldCentered"/>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E273E3" w:rsidRPr="00790B4B" w:rsidP="002659F3" w14:paraId="0EE4AA4D" w14:textId="77777777">
      <w:pPr>
        <w:pStyle w:val="StyleBoldCentered"/>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rsidR="00E273E3" w:rsidRPr="00790B4B" w:rsidP="002659F3" w14:paraId="75661001" w14:textId="77777777"/>
    <w:tbl>
      <w:tblPr>
        <w:tblW w:w="0" w:type="auto"/>
        <w:tblLayout w:type="fixed"/>
        <w:tblLook w:val="0000"/>
      </w:tblPr>
      <w:tblGrid>
        <w:gridCol w:w="4698"/>
        <w:gridCol w:w="630"/>
        <w:gridCol w:w="4248"/>
      </w:tblGrid>
      <w:tr w14:paraId="3EDB9D7C" w14:textId="77777777">
        <w:tblPrEx>
          <w:tblW w:w="0" w:type="auto"/>
          <w:tblLayout w:type="fixed"/>
          <w:tblLook w:val="0000"/>
        </w:tblPrEx>
        <w:tc>
          <w:tcPr>
            <w:tcW w:w="4698" w:type="dxa"/>
          </w:tcPr>
          <w:p w:rsidR="00E273E3" w:rsidRPr="00790B4B" w:rsidP="002659F3" w14:paraId="6780F3DE" w14:textId="77777777">
            <w:pPr>
              <w:suppressAutoHyphens/>
              <w:rPr>
                <w:spacing w:val="-2"/>
              </w:rPr>
            </w:pPr>
            <w:r w:rsidRPr="00790B4B">
              <w:rPr>
                <w:spacing w:val="-2"/>
              </w:rPr>
              <w:t>In the Matter of</w:t>
            </w:r>
          </w:p>
          <w:p w:rsidR="00E273E3" w:rsidRPr="00790B4B" w:rsidP="002659F3" w14:paraId="59186F14" w14:textId="77777777">
            <w:pPr>
              <w:suppressAutoHyphens/>
              <w:rPr>
                <w:spacing w:val="-2"/>
              </w:rPr>
            </w:pPr>
          </w:p>
          <w:p w:rsidR="00E273E3" w:rsidRPr="00344C0B" w:rsidP="002659F3" w14:paraId="196A2D88" w14:textId="77777777">
            <w:pPr>
              <w:suppressAutoHyphens/>
              <w:rPr>
                <w:spacing w:val="-2"/>
              </w:rPr>
            </w:pPr>
            <w:r w:rsidRPr="007043A4">
              <w:t xml:space="preserve">ABC Fulfillment Services LLC d/b/a </w:t>
            </w:r>
            <w:r w:rsidRPr="007043A4">
              <w:t>HobbyKing</w:t>
            </w:r>
            <w:r w:rsidRPr="007043A4">
              <w:t xml:space="preserve"> USA LLC and HobbyKing.com; and Indubitably, Inc. d/b/a </w:t>
            </w:r>
            <w:r w:rsidRPr="007043A4">
              <w:t>HobbyKing</w:t>
            </w:r>
            <w:r w:rsidRPr="007043A4">
              <w:t xml:space="preserve"> Corp., </w:t>
            </w:r>
            <w:r w:rsidRPr="007043A4">
              <w:t>HobbyKing</w:t>
            </w:r>
            <w:r w:rsidRPr="007043A4">
              <w:t xml:space="preserve"> USA LLC, </w:t>
            </w:r>
            <w:r w:rsidRPr="007043A4">
              <w:t>HobbyKing</w:t>
            </w:r>
            <w:r w:rsidRPr="007043A4">
              <w:t>, and HobbyKing.com</w:t>
            </w:r>
          </w:p>
        </w:tc>
        <w:tc>
          <w:tcPr>
            <w:tcW w:w="630" w:type="dxa"/>
          </w:tcPr>
          <w:p w:rsidR="00E273E3" w:rsidRPr="00344C0B" w:rsidP="002659F3" w14:paraId="19617707" w14:textId="77777777">
            <w:pPr>
              <w:suppressAutoHyphens/>
              <w:rPr>
                <w:spacing w:val="-2"/>
              </w:rPr>
            </w:pPr>
            <w:r w:rsidRPr="00344C0B">
              <w:rPr>
                <w:spacing w:val="-2"/>
              </w:rPr>
              <w:t>)</w:t>
            </w:r>
          </w:p>
          <w:p w:rsidR="00E273E3" w:rsidRPr="00344C0B" w:rsidP="002659F3" w14:paraId="4B1FF8FF" w14:textId="77777777">
            <w:pPr>
              <w:suppressAutoHyphens/>
              <w:rPr>
                <w:spacing w:val="-2"/>
              </w:rPr>
            </w:pPr>
            <w:r w:rsidRPr="00344C0B">
              <w:rPr>
                <w:spacing w:val="-2"/>
              </w:rPr>
              <w:t>)</w:t>
            </w:r>
          </w:p>
          <w:p w:rsidR="00E273E3" w:rsidRPr="00344C0B" w:rsidP="002659F3" w14:paraId="24A023FB" w14:textId="77777777">
            <w:pPr>
              <w:suppressAutoHyphens/>
              <w:rPr>
                <w:spacing w:val="-2"/>
              </w:rPr>
            </w:pPr>
            <w:r w:rsidRPr="00344C0B">
              <w:rPr>
                <w:spacing w:val="-2"/>
              </w:rPr>
              <w:t>)</w:t>
            </w:r>
          </w:p>
          <w:p w:rsidR="00E273E3" w:rsidRPr="00344C0B" w:rsidP="002659F3" w14:paraId="2E9129C1" w14:textId="77777777">
            <w:pPr>
              <w:suppressAutoHyphens/>
              <w:rPr>
                <w:spacing w:val="-2"/>
              </w:rPr>
            </w:pPr>
            <w:r w:rsidRPr="00344C0B">
              <w:rPr>
                <w:spacing w:val="-2"/>
              </w:rPr>
              <w:t>)</w:t>
            </w:r>
          </w:p>
          <w:p w:rsidR="00E273E3" w:rsidRPr="00344C0B" w:rsidP="002659F3" w14:paraId="11FB953A" w14:textId="77777777">
            <w:pPr>
              <w:suppressAutoHyphens/>
              <w:rPr>
                <w:spacing w:val="-2"/>
              </w:rPr>
            </w:pPr>
            <w:r w:rsidRPr="00344C0B">
              <w:rPr>
                <w:spacing w:val="-2"/>
              </w:rPr>
              <w:t>)</w:t>
            </w:r>
          </w:p>
        </w:tc>
        <w:tc>
          <w:tcPr>
            <w:tcW w:w="4248" w:type="dxa"/>
          </w:tcPr>
          <w:p w:rsidR="00E273E3" w:rsidRPr="00344C0B" w:rsidP="002659F3" w14:paraId="7B9889D0" w14:textId="77777777">
            <w:pPr>
              <w:suppressAutoHyphens/>
              <w:rPr>
                <w:spacing w:val="-2"/>
              </w:rPr>
            </w:pPr>
          </w:p>
          <w:p w:rsidR="00E273E3" w:rsidRPr="00344C0B" w:rsidP="002659F3" w14:paraId="25EBF629" w14:textId="77777777">
            <w:pPr>
              <w:suppressAutoHyphens/>
              <w:rPr>
                <w:spacing w:val="-2"/>
              </w:rPr>
            </w:pPr>
          </w:p>
          <w:p w:rsidR="00401002" w:rsidRPr="00401002" w:rsidP="00401002" w14:paraId="684F57A3" w14:textId="77777777">
            <w:pPr>
              <w:suppressAutoHyphens/>
              <w:ind w:left="432"/>
              <w:rPr>
                <w:spacing w:val="-2"/>
              </w:rPr>
            </w:pPr>
            <w:r w:rsidRPr="00401002">
              <w:rPr>
                <w:spacing w:val="-2"/>
              </w:rPr>
              <w:t>File No.:  EB-SED-17-00023762</w:t>
            </w:r>
          </w:p>
          <w:p w:rsidR="00401002" w:rsidRPr="00401002" w:rsidP="00401002" w14:paraId="46E1F2C3" w14:textId="77777777">
            <w:pPr>
              <w:suppressAutoHyphens/>
              <w:ind w:left="432"/>
              <w:rPr>
                <w:spacing w:val="-2"/>
              </w:rPr>
            </w:pPr>
            <w:r w:rsidRPr="00401002">
              <w:rPr>
                <w:spacing w:val="-2"/>
              </w:rPr>
              <w:t>NAL/Acct. No.:  201832100015</w:t>
            </w:r>
          </w:p>
          <w:p w:rsidR="00E273E3" w:rsidRPr="0007571D" w:rsidP="00401002" w14:paraId="652B07EB" w14:textId="77777777">
            <w:pPr>
              <w:suppressAutoHyphens/>
              <w:ind w:left="432"/>
              <w:rPr>
                <w:spacing w:val="-2"/>
              </w:rPr>
            </w:pPr>
            <w:r w:rsidRPr="00401002">
              <w:rPr>
                <w:spacing w:val="-2"/>
              </w:rPr>
              <w:t>FRN:  0027528975</w:t>
            </w:r>
          </w:p>
        </w:tc>
      </w:tr>
    </w:tbl>
    <w:p w:rsidR="00E273E3" w:rsidRPr="00344C0B" w:rsidP="002659F3" w14:paraId="0A357318" w14:textId="77777777"/>
    <w:p w:rsidR="00E273E3" w:rsidRPr="00344C0B" w:rsidP="002659F3" w14:paraId="3F8D196A" w14:textId="77777777">
      <w:pPr>
        <w:pStyle w:val="StyleBoldCentered"/>
        <w:spacing w:after="220"/>
      </w:pPr>
      <w:r w:rsidRPr="00344C0B">
        <w:t>forfeiture ORDER</w:t>
      </w:r>
    </w:p>
    <w:p w:rsidR="00E273E3" w:rsidRPr="0007571D" w:rsidP="00226191" w14:paraId="2314CC1B" w14:textId="4BA4DFFC">
      <w:pPr>
        <w:tabs>
          <w:tab w:val="right" w:pos="9360"/>
        </w:tabs>
        <w:suppressAutoHyphens/>
        <w:rPr>
          <w:spacing w:val="-2"/>
        </w:rPr>
      </w:pPr>
      <w:r w:rsidRPr="00344C0B">
        <w:rPr>
          <w:b/>
          <w:spacing w:val="-2"/>
        </w:rPr>
        <w:t xml:space="preserve">Adopted:  </w:t>
      </w:r>
      <w:r w:rsidR="00375BDB">
        <w:rPr>
          <w:b/>
          <w:spacing w:val="-2"/>
        </w:rPr>
        <w:t>July 22, 2020</w:t>
      </w:r>
      <w:r w:rsidRPr="0007571D" w:rsidR="006D2212">
        <w:rPr>
          <w:b/>
          <w:spacing w:val="-2"/>
        </w:rPr>
        <w:tab/>
        <w:t xml:space="preserve">Released:  </w:t>
      </w:r>
      <w:r w:rsidR="00375BDB">
        <w:rPr>
          <w:b/>
          <w:spacing w:val="-2"/>
        </w:rPr>
        <w:t>July 23, 2020</w:t>
      </w:r>
    </w:p>
    <w:p w:rsidR="00E273E3" w:rsidRPr="00344C0B" w:rsidP="00EE05DB" w14:paraId="6FE6DE0E" w14:textId="77777777">
      <w:pPr>
        <w:jc w:val="center"/>
      </w:pPr>
    </w:p>
    <w:p w:rsidR="00E273E3" w:rsidRPr="00344C0B" w:rsidP="002659F3" w14:paraId="06E1AC69" w14:textId="77A4B91B">
      <w:pPr>
        <w:rPr>
          <w:spacing w:val="-2"/>
        </w:rPr>
      </w:pPr>
      <w:r w:rsidRPr="00344C0B">
        <w:t xml:space="preserve">By the </w:t>
      </w:r>
      <w:r w:rsidRPr="00344C0B" w:rsidR="003343CA">
        <w:t>Commission</w:t>
      </w:r>
      <w:r w:rsidRPr="0007571D">
        <w:rPr>
          <w:spacing w:val="-2"/>
        </w:rPr>
        <w:t>:</w:t>
      </w:r>
      <w:r w:rsidR="00375BDB">
        <w:rPr>
          <w:spacing w:val="-2"/>
        </w:rPr>
        <w:t xml:space="preserve">  </w:t>
      </w:r>
      <w:r w:rsidRPr="00375BDB" w:rsidR="00375BDB">
        <w:rPr>
          <w:spacing w:val="-2"/>
        </w:rPr>
        <w:t xml:space="preserve">Commissioner </w:t>
      </w:r>
      <w:r w:rsidRPr="00375BDB" w:rsidR="00375BDB">
        <w:rPr>
          <w:spacing w:val="-2"/>
        </w:rPr>
        <w:t>O’Rielly</w:t>
      </w:r>
      <w:r w:rsidRPr="00375BDB" w:rsidR="00375BDB">
        <w:rPr>
          <w:spacing w:val="-2"/>
        </w:rPr>
        <w:t xml:space="preserve"> issuing a statement.</w:t>
      </w:r>
    </w:p>
    <w:p w:rsidR="00603A86" w:rsidP="00DF3EFE" w14:paraId="6DD47B19" w14:textId="5BF0EA7B">
      <w:pPr>
        <w:pStyle w:val="TOCTitle"/>
      </w:pPr>
      <w:bookmarkStart w:id="0" w:name="TOChere"/>
      <w:r>
        <w:t>Table of Contents</w:t>
      </w:r>
    </w:p>
    <w:p w:rsidR="00DF3EFE" w:rsidP="00DF3EFE" w14:paraId="44604CD8" w14:textId="2227248A">
      <w:pPr>
        <w:pStyle w:val="Paratitle"/>
      </w:pPr>
      <w:r>
        <w:t>Heading</w:t>
      </w:r>
      <w:r>
        <w:tab/>
        <w:t>Paragraph #</w:t>
      </w:r>
      <w:bookmarkStart w:id="1" w:name="start_here"/>
      <w:bookmarkEnd w:id="1"/>
    </w:p>
    <w:p w:rsidR="00DF3EFE" w:rsidP="00DF3EFE" w14:paraId="6409BA31" w14:textId="7C5AFAAF">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DF3EFE" w:rsidP="00DF3EFE" w14:paraId="6438E4C2" w14:textId="3924BC4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5</w:t>
      </w:r>
    </w:p>
    <w:p w:rsidR="00DF3EFE" w:rsidP="00DF3EFE" w14:paraId="75ACC316" w14:textId="48F1CCAE">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12</w:t>
      </w:r>
    </w:p>
    <w:p w:rsidR="00DF3EFE" w:rsidP="00DF3EFE" w14:paraId="7FC5104F" w14:textId="0E502FC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HobbyKing Marketed Unauthorized Equipment</w:t>
      </w:r>
      <w:r>
        <w:tab/>
        <w:t>13</w:t>
      </w:r>
    </w:p>
    <w:p w:rsidR="00DF3EFE" w:rsidP="00DF3EFE" w14:paraId="460FA780" w14:textId="7519644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HobbyKing Had Notice of the Authorization Requirements</w:t>
      </w:r>
      <w:r>
        <w:tab/>
        <w:t>17</w:t>
      </w:r>
    </w:p>
    <w:p w:rsidR="00DF3EFE" w:rsidP="00DF3EFE" w14:paraId="6199BCA1" w14:textId="5AB0151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The Fifth Amendment Did Not Relieve HobbyKing of its Duty to Respond to the LOI</w:t>
      </w:r>
      <w:r>
        <w:tab/>
        <w:t>24</w:t>
      </w:r>
    </w:p>
    <w:p w:rsidR="00DF3EFE" w:rsidP="00DF3EFE" w14:paraId="61E6523D" w14:textId="3B7F34B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The Proposed Forfeiture Amount Is Appropriate</w:t>
      </w:r>
      <w:r>
        <w:tab/>
        <w:t>27</w:t>
      </w:r>
    </w:p>
    <w:p w:rsidR="00DF3EFE" w:rsidP="00DF3EFE" w14:paraId="5BEDE1A0" w14:textId="77BFD34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Inability to Pay</w:t>
      </w:r>
      <w:r>
        <w:tab/>
        <w:t>29</w:t>
      </w:r>
    </w:p>
    <w:p w:rsidR="00DF3EFE" w:rsidP="00DF3EFE" w14:paraId="4FF58D71" w14:textId="4AF76F8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Other Downward Adjustment Factors</w:t>
      </w:r>
      <w:r>
        <w:tab/>
        <w:t>32</w:t>
      </w:r>
    </w:p>
    <w:p w:rsidR="00DF3EFE" w:rsidP="00DF3EFE" w14:paraId="1A400B7C" w14:textId="6CE066A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Comparison to Other Forfeitures</w:t>
      </w:r>
      <w:r>
        <w:tab/>
        <w:t>38</w:t>
      </w:r>
    </w:p>
    <w:p w:rsidR="00DF3EFE" w:rsidP="00DF3EFE" w14:paraId="260548F3" w14:textId="66CE721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w:t>
      </w:r>
      <w:r>
        <w:tab/>
        <w:t>40</w:t>
      </w:r>
    </w:p>
    <w:p w:rsidR="00DF3EFE" w:rsidP="00DF3EFE" w14:paraId="33CC4EE5" w14:textId="5F79B30D">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41</w:t>
      </w:r>
    </w:p>
    <w:bookmarkEnd w:id="0"/>
    <w:p w:rsidR="00DF3EFE" w:rsidRPr="00344C0B" w:rsidP="002659F3" w14:paraId="222D3DC4" w14:textId="77777777">
      <w:pPr>
        <w:rPr>
          <w:spacing w:val="-2"/>
        </w:rPr>
      </w:pPr>
    </w:p>
    <w:p w:rsidR="00E273E3" w:rsidRPr="00344C0B" w:rsidP="004C6A2A" w14:paraId="24F7FA96" w14:textId="77777777">
      <w:pPr>
        <w:pStyle w:val="Heading1"/>
      </w:pPr>
      <w:bookmarkStart w:id="2" w:name="_Toc379288998"/>
      <w:bookmarkStart w:id="3" w:name="_Toc379365499"/>
      <w:bookmarkStart w:id="4" w:name="_Toc7603259"/>
      <w:bookmarkStart w:id="5" w:name="_Toc13488314"/>
      <w:bookmarkStart w:id="6" w:name="_Toc19605230"/>
      <w:bookmarkStart w:id="7" w:name="_Toc19628685"/>
      <w:bookmarkStart w:id="8" w:name="_Toc19628712"/>
      <w:bookmarkStart w:id="9" w:name="_Toc22904513"/>
      <w:bookmarkStart w:id="10" w:name="_Toc23239874"/>
      <w:bookmarkStart w:id="11" w:name="_Toc30682625"/>
      <w:bookmarkStart w:id="12" w:name="_Toc30682686"/>
      <w:bookmarkStart w:id="13" w:name="_Toc40101065"/>
      <w:bookmarkStart w:id="14" w:name="_Toc40101713"/>
      <w:r w:rsidRPr="00344C0B">
        <w:t>INTRODUCTION</w:t>
      </w:r>
      <w:bookmarkEnd w:id="2"/>
      <w:bookmarkEnd w:id="3"/>
      <w:bookmarkEnd w:id="4"/>
      <w:bookmarkEnd w:id="5"/>
      <w:bookmarkEnd w:id="6"/>
      <w:bookmarkEnd w:id="7"/>
      <w:bookmarkEnd w:id="8"/>
      <w:bookmarkEnd w:id="9"/>
      <w:bookmarkEnd w:id="10"/>
      <w:bookmarkEnd w:id="11"/>
      <w:bookmarkEnd w:id="12"/>
      <w:bookmarkEnd w:id="13"/>
      <w:bookmarkEnd w:id="14"/>
    </w:p>
    <w:p w:rsidR="00393322" w:rsidP="00AC1659" w14:paraId="4500F295" w14:textId="4CD242A8">
      <w:pPr>
        <w:pStyle w:val="ParaNum"/>
      </w:pPr>
      <w:r>
        <w:t xml:space="preserve">The Commission’s equipment authorization and marketing rules are designed to ensure that equipment in the wireless ecosystem operates in a manner that minimizes the risks of harmful interference.  </w:t>
      </w:r>
      <w:r w:rsidR="00525629">
        <w:t xml:space="preserve">Unauthorized </w:t>
      </w:r>
      <w:r w:rsidR="00412C2E">
        <w:t xml:space="preserve">radio frequency </w:t>
      </w:r>
      <w:r w:rsidR="00525629">
        <w:t xml:space="preserve">equipment poses a serious threat to any number of </w:t>
      </w:r>
      <w:r w:rsidR="00412C2E">
        <w:t xml:space="preserve">important uses of </w:t>
      </w:r>
      <w:r w:rsidR="0035172F">
        <w:t>spectrum</w:t>
      </w:r>
      <w:r w:rsidR="00412C2E">
        <w:t>, including aviation safety</w:t>
      </w:r>
      <w:r>
        <w:t>,</w:t>
      </w:r>
      <w:r w:rsidR="00412C2E">
        <w:t xml:space="preserve"> weather radar,</w:t>
      </w:r>
      <w:r w:rsidR="00321674">
        <w:t xml:space="preserve"> and public safety communications,</w:t>
      </w:r>
      <w:r w:rsidR="00412C2E">
        <w:t xml:space="preserve"> because </w:t>
      </w:r>
      <w:r w:rsidR="00C141A4">
        <w:t xml:space="preserve">unauthorized and </w:t>
      </w:r>
      <w:r w:rsidR="009F1E0F">
        <w:t>untested</w:t>
      </w:r>
      <w:r w:rsidR="00412C2E">
        <w:t xml:space="preserve"> devices may not </w:t>
      </w:r>
      <w:r w:rsidR="00966825">
        <w:t xml:space="preserve">adhere to </w:t>
      </w:r>
      <w:r w:rsidR="00412C2E">
        <w:t xml:space="preserve">the technical </w:t>
      </w:r>
      <w:r w:rsidR="00966825">
        <w:t>requirement</w:t>
      </w:r>
      <w:r w:rsidR="000B646D">
        <w:t>s</w:t>
      </w:r>
      <w:r w:rsidR="00412C2E">
        <w:t xml:space="preserve"> </w:t>
      </w:r>
      <w:r>
        <w:t xml:space="preserve">we have </w:t>
      </w:r>
      <w:r w:rsidR="00412C2E">
        <w:t xml:space="preserve">developed to </w:t>
      </w:r>
      <w:r>
        <w:t xml:space="preserve">prevent </w:t>
      </w:r>
      <w:r w:rsidR="00412C2E">
        <w:t>interference to other devices</w:t>
      </w:r>
      <w:r w:rsidR="00F5019F">
        <w:t xml:space="preserve"> and services</w:t>
      </w:r>
      <w:r w:rsidR="00412C2E">
        <w:t xml:space="preserve">.  </w:t>
      </w:r>
    </w:p>
    <w:p w:rsidR="00826849" w:rsidP="00AC1659" w14:paraId="24F20B14" w14:textId="70CEFE7F">
      <w:pPr>
        <w:pStyle w:val="ParaNum"/>
      </w:pPr>
      <w:r>
        <w:t xml:space="preserve">In this Forfeiture Order, we issue a fine of </w:t>
      </w:r>
      <w:r w:rsidRPr="00344C0B">
        <w:t>$</w:t>
      </w:r>
      <w:r>
        <w:t xml:space="preserve">2,861,128 against </w:t>
      </w:r>
      <w:r w:rsidRPr="007043A4">
        <w:t>ABC Fulfillment Services LLC and Indubitably, Inc.</w:t>
      </w:r>
      <w:r>
        <w:t xml:space="preserve">, d/b/a </w:t>
      </w:r>
      <w:r>
        <w:t>HobbyKing</w:t>
      </w:r>
      <w:r w:rsidRPr="007043A4">
        <w:t xml:space="preserve"> (collectively, </w:t>
      </w:r>
      <w:r w:rsidRPr="007043A4">
        <w:t>HobbyKing</w:t>
      </w:r>
      <w:r w:rsidRPr="007043A4">
        <w:t xml:space="preserve"> or Company)</w:t>
      </w:r>
      <w:r>
        <w:t xml:space="preserve"> for persistently violating the Commission’s rules intended to ensure </w:t>
      </w:r>
      <w:r w:rsidR="003A40BE">
        <w:t xml:space="preserve">that </w:t>
      </w:r>
      <w:r>
        <w:t>radio frequency devices are properly authorized</w:t>
      </w:r>
      <w:r w:rsidR="003A40BE">
        <w:t>,</w:t>
      </w:r>
      <w:r>
        <w:t xml:space="preserve"> and for failing to respond to Commission orders in the investigation of the company’s practices.  </w:t>
      </w:r>
      <w:r w:rsidR="00412C2E">
        <w:t xml:space="preserve">For years, </w:t>
      </w:r>
      <w:r w:rsidRPr="007043A4" w:rsidR="008E5C88">
        <w:t>HobbyKing</w:t>
      </w:r>
      <w:r w:rsidRPr="007043A4" w:rsidR="008E5C88">
        <w:t xml:space="preserve"> </w:t>
      </w:r>
      <w:r w:rsidR="00412C2E">
        <w:t xml:space="preserve">advertised and sold </w:t>
      </w:r>
      <w:r w:rsidR="00966825">
        <w:t xml:space="preserve">on its website to U.S. consumers dozens of models of </w:t>
      </w:r>
      <w:r w:rsidR="00412C2E">
        <w:t xml:space="preserve">audio/video transmitters (AV transmitters) for </w:t>
      </w:r>
      <w:r w:rsidR="00966825">
        <w:t xml:space="preserve">use with </w:t>
      </w:r>
      <w:r w:rsidR="00412C2E">
        <w:t xml:space="preserve">unmanned aircraft systems (drones) without regard to whether those AV transmitters were compliant with the Communications Act </w:t>
      </w:r>
      <w:r w:rsidR="00814FB7">
        <w:t xml:space="preserve">of 1934, as amended (Act), </w:t>
      </w:r>
      <w:r w:rsidR="00412C2E">
        <w:t xml:space="preserve">or </w:t>
      </w:r>
      <w:r w:rsidR="00814FB7">
        <w:t xml:space="preserve">the </w:t>
      </w:r>
      <w:r w:rsidR="00412C2E">
        <w:t>Commission</w:t>
      </w:r>
      <w:r w:rsidR="0098443C">
        <w:t>’</w:t>
      </w:r>
      <w:r w:rsidR="00412C2E">
        <w:t>s rules.</w:t>
      </w:r>
      <w:r>
        <w:rPr>
          <w:rStyle w:val="FootnoteReference"/>
        </w:rPr>
        <w:footnoteReference w:id="3"/>
      </w:r>
      <w:r w:rsidR="00412C2E">
        <w:t xml:space="preserve">  </w:t>
      </w:r>
      <w:r w:rsidR="00966825">
        <w:t>Several of these models were capable of operating in spectrum bands used by</w:t>
      </w:r>
      <w:r w:rsidR="00814FB7">
        <w:t>,</w:t>
      </w:r>
      <w:r w:rsidR="00966825">
        <w:t xml:space="preserve"> and </w:t>
      </w:r>
      <w:r w:rsidR="00966825">
        <w:t>causing interference to</w:t>
      </w:r>
      <w:r w:rsidR="00814FB7">
        <w:t>,</w:t>
      </w:r>
      <w:r w:rsidR="00966825">
        <w:t xml:space="preserve"> important Federal government systems.  </w:t>
      </w:r>
      <w:r w:rsidR="00E0381C">
        <w:t>Some</w:t>
      </w:r>
      <w:r w:rsidR="003C106F">
        <w:t xml:space="preserve"> of the device models operated at power levels above those permitted in the Commission</w:t>
      </w:r>
      <w:r w:rsidR="0098443C">
        <w:t>’</w:t>
      </w:r>
      <w:r w:rsidR="003C106F">
        <w:t xml:space="preserve">s rules.  </w:t>
      </w:r>
    </w:p>
    <w:p w:rsidR="00412C2E" w:rsidP="00AC1659" w14:paraId="58551F96" w14:textId="66DDE64F">
      <w:pPr>
        <w:pStyle w:val="ParaNum"/>
      </w:pPr>
      <w:r>
        <w:t xml:space="preserve">The Commission’s Enforcement Bureau (Bureau) </w:t>
      </w:r>
      <w:r w:rsidR="0045780F">
        <w:t>undertook an investigation of these devices and HobbyKing’s marketing practices</w:t>
      </w:r>
      <w:r w:rsidR="008171C4">
        <w:t xml:space="preserve">, and </w:t>
      </w:r>
      <w:r>
        <w:t>HobbyKing</w:t>
      </w:r>
      <w:r>
        <w:t xml:space="preserve"> repeatedly failed </w:t>
      </w:r>
      <w:r w:rsidR="003C1512">
        <w:t xml:space="preserve">to respond </w:t>
      </w:r>
      <w:r>
        <w:t>fully to the Commission</w:t>
      </w:r>
      <w:r w:rsidR="0098443C">
        <w:t>’</w:t>
      </w:r>
      <w:r>
        <w:t xml:space="preserve">s requests for information.  </w:t>
      </w:r>
      <w:r w:rsidR="00E6472D">
        <w:t>On June 5, 2018, we issued a Notice of Apparent Liability</w:t>
      </w:r>
      <w:r w:rsidR="009B32F4">
        <w:t xml:space="preserve"> for Forfeiture</w:t>
      </w:r>
      <w:r w:rsidR="00E6472D">
        <w:t xml:space="preserve"> (</w:t>
      </w:r>
      <w:r w:rsidRPr="0081375C" w:rsidR="00E6472D">
        <w:rPr>
          <w:i/>
          <w:iCs/>
        </w:rPr>
        <w:t>NAL</w:t>
      </w:r>
      <w:r w:rsidR="00E6472D">
        <w:t xml:space="preserve">) against </w:t>
      </w:r>
      <w:r w:rsidR="00E6472D">
        <w:t>HobbyKing</w:t>
      </w:r>
      <w:r w:rsidR="00E6472D">
        <w:t xml:space="preserve"> for these apparent violations.</w:t>
      </w:r>
      <w:r>
        <w:rPr>
          <w:rStyle w:val="FootnoteReference"/>
        </w:rPr>
        <w:footnoteReference w:id="4"/>
      </w:r>
      <w:r w:rsidR="00E6472D">
        <w:t xml:space="preserve">  In its response to the </w:t>
      </w:r>
      <w:r w:rsidRPr="0081375C" w:rsidR="00E6472D">
        <w:rPr>
          <w:i/>
          <w:iCs/>
        </w:rPr>
        <w:t>NAL</w:t>
      </w:r>
      <w:r w:rsidR="00E6472D">
        <w:t xml:space="preserve">, </w:t>
      </w:r>
      <w:r w:rsidR="00E6472D">
        <w:t>HobbyKing</w:t>
      </w:r>
      <w:r w:rsidR="00E6472D">
        <w:t xml:space="preserve"> did not contest that </w:t>
      </w:r>
      <w:r w:rsidR="00C23FF5">
        <w:t xml:space="preserve">it marketed </w:t>
      </w:r>
      <w:r w:rsidR="00E6472D">
        <w:t xml:space="preserve">devices </w:t>
      </w:r>
      <w:r w:rsidR="00C23FF5">
        <w:t>without</w:t>
      </w:r>
      <w:r w:rsidR="00E6472D">
        <w:t xml:space="preserve"> equipment certifications</w:t>
      </w:r>
      <w:r w:rsidR="00C23FF5">
        <w:t xml:space="preserve"> or that it failed to respond fully to the Bureau</w:t>
      </w:r>
      <w:r w:rsidR="00E6472D">
        <w:t xml:space="preserve">.  Instead, </w:t>
      </w:r>
      <w:r w:rsidR="00E6472D">
        <w:t>HobbyKing</w:t>
      </w:r>
      <w:r w:rsidR="00E6472D">
        <w:t xml:space="preserve"> raised several unpersuasive legal challenges.  W</w:t>
      </w:r>
      <w:r w:rsidRPr="00344C0B" w:rsidR="00E6472D">
        <w:t xml:space="preserve">e find no reason to cancel, withdraw, or reduce the </w:t>
      </w:r>
      <w:r w:rsidR="00E6472D">
        <w:t xml:space="preserve">penalty we proposed in the </w:t>
      </w:r>
      <w:r w:rsidRPr="0081375C" w:rsidR="00E6472D">
        <w:rPr>
          <w:i/>
          <w:iCs/>
        </w:rPr>
        <w:t>NAL</w:t>
      </w:r>
      <w:r w:rsidRPr="00344C0B" w:rsidR="00E6472D">
        <w:t xml:space="preserve">, and we therefore assess the </w:t>
      </w:r>
      <w:r w:rsidR="00E6472D">
        <w:t xml:space="preserve">full </w:t>
      </w:r>
      <w:r w:rsidRPr="00344C0B" w:rsidR="00E6472D">
        <w:t>$</w:t>
      </w:r>
      <w:r w:rsidR="00E6472D">
        <w:t>2,861,128</w:t>
      </w:r>
      <w:r w:rsidRPr="0007571D" w:rsidR="00E6472D">
        <w:t xml:space="preserve"> forfeiture</w:t>
      </w:r>
      <w:r w:rsidR="00526096">
        <w:t>.</w:t>
      </w:r>
      <w:r w:rsidR="008E5C88">
        <w:t xml:space="preserve">  </w:t>
      </w:r>
    </w:p>
    <w:p w:rsidR="00A204BA" w:rsidRPr="00344C0B" w:rsidP="00C37DEA" w14:paraId="0BA62C75" w14:textId="69D94761">
      <w:pPr>
        <w:pStyle w:val="ParaNum"/>
      </w:pPr>
      <w:r>
        <w:t>W</w:t>
      </w:r>
      <w:r w:rsidR="00954B90">
        <w:t xml:space="preserve">e </w:t>
      </w:r>
      <w:r w:rsidR="00B30AC3">
        <w:t xml:space="preserve">also </w:t>
      </w:r>
      <w:r w:rsidR="00954B90">
        <w:t xml:space="preserve">warn </w:t>
      </w:r>
      <w:r w:rsidR="00954B90">
        <w:t>HobbyKing</w:t>
      </w:r>
      <w:r w:rsidR="00954B90">
        <w:t xml:space="preserve"> that continued failure to comply with the equipment marketing requirements </w:t>
      </w:r>
      <w:r w:rsidR="00814FB7">
        <w:t>is</w:t>
      </w:r>
      <w:r w:rsidR="00954B90">
        <w:t xml:space="preserve"> likely to be met with additional sanctions.  The Company</w:t>
      </w:r>
      <w:r w:rsidR="0098443C">
        <w:t>’</w:t>
      </w:r>
      <w:r w:rsidR="00954B90">
        <w:t xml:space="preserve">s </w:t>
      </w:r>
      <w:r w:rsidR="00140F34">
        <w:t xml:space="preserve">pledge </w:t>
      </w:r>
      <w:r w:rsidR="00C8674C">
        <w:t xml:space="preserve">to use “best efforts” not to market additional noncompliant products identified by the Bureau is </w:t>
      </w:r>
      <w:r w:rsidR="002B0900">
        <w:t xml:space="preserve">not </w:t>
      </w:r>
      <w:r w:rsidR="002B0900">
        <w:t>sufficient</w:t>
      </w:r>
      <w:r w:rsidR="00C8674C">
        <w:t xml:space="preserve">.  Simply put, </w:t>
      </w:r>
      <w:r w:rsidR="00C8674C">
        <w:t>HobbyKing</w:t>
      </w:r>
      <w:r w:rsidR="00C8674C">
        <w:t xml:space="preserve"> must comply with the equipment marketing </w:t>
      </w:r>
      <w:r w:rsidR="00A2382A">
        <w:t>requirements</w:t>
      </w:r>
      <w:r w:rsidR="0062251A">
        <w:t xml:space="preserve"> for all the radio frequency devices it markets</w:t>
      </w:r>
      <w:r w:rsidRPr="00344C0B" w:rsidR="00D97AD6">
        <w:t>.</w:t>
      </w:r>
      <w:r w:rsidR="00D97AD6">
        <w:t xml:space="preserve">  </w:t>
      </w:r>
    </w:p>
    <w:p w:rsidR="00E273E3" w:rsidRPr="00344C0B" w:rsidP="004C6A2A" w14:paraId="01043104" w14:textId="77777777">
      <w:pPr>
        <w:pStyle w:val="Heading1"/>
      </w:pPr>
      <w:bookmarkStart w:id="15" w:name="_Toc379288999"/>
      <w:bookmarkStart w:id="16" w:name="_Toc379365500"/>
      <w:bookmarkStart w:id="17" w:name="_Toc7603260"/>
      <w:bookmarkStart w:id="18" w:name="_Toc13488315"/>
      <w:bookmarkStart w:id="19" w:name="_Toc19605231"/>
      <w:bookmarkStart w:id="20" w:name="_Toc19628686"/>
      <w:bookmarkStart w:id="21" w:name="_Toc19628713"/>
      <w:bookmarkStart w:id="22" w:name="_Toc22904514"/>
      <w:bookmarkStart w:id="23" w:name="_Toc23239875"/>
      <w:bookmarkStart w:id="24" w:name="_Toc30682626"/>
      <w:bookmarkStart w:id="25" w:name="_Toc30682687"/>
      <w:bookmarkStart w:id="26" w:name="_Toc40101066"/>
      <w:bookmarkStart w:id="27" w:name="_Toc40101714"/>
      <w:r w:rsidRPr="00344C0B">
        <w:t>BACKGROUND</w:t>
      </w:r>
      <w:bookmarkEnd w:id="15"/>
      <w:bookmarkEnd w:id="16"/>
      <w:bookmarkEnd w:id="17"/>
      <w:bookmarkEnd w:id="18"/>
      <w:bookmarkEnd w:id="19"/>
      <w:bookmarkEnd w:id="20"/>
      <w:bookmarkEnd w:id="21"/>
      <w:bookmarkEnd w:id="22"/>
      <w:bookmarkEnd w:id="23"/>
      <w:bookmarkEnd w:id="24"/>
      <w:bookmarkEnd w:id="25"/>
      <w:bookmarkEnd w:id="26"/>
      <w:bookmarkEnd w:id="27"/>
    </w:p>
    <w:p w:rsidR="00A80A78" w:rsidP="00C90207" w14:paraId="5F8964D0" w14:textId="77777777">
      <w:pPr>
        <w:pStyle w:val="ParaNum"/>
      </w:pPr>
      <w:r w:rsidRPr="00667856">
        <w:rPr>
          <w:i/>
          <w:iCs/>
        </w:rPr>
        <w:t>Legal Framework.</w:t>
      </w:r>
      <w:r>
        <w:t xml:space="preserve">  </w:t>
      </w:r>
      <w:r w:rsidR="0082444F">
        <w:t xml:space="preserve">The Act and </w:t>
      </w:r>
      <w:r w:rsidR="00737C1B">
        <w:t xml:space="preserve">the </w:t>
      </w:r>
      <w:r w:rsidR="0082444F">
        <w:t>Commission</w:t>
      </w:r>
      <w:r w:rsidR="0098443C">
        <w:t>’</w:t>
      </w:r>
      <w:r w:rsidR="0082444F">
        <w:t xml:space="preserve">s equipment marketing rules collectively </w:t>
      </w:r>
      <w:r w:rsidR="00243913">
        <w:t>require</w:t>
      </w:r>
      <w:r w:rsidR="00E36345">
        <w:t xml:space="preserve"> that marketers of radio frequency devices </w:t>
      </w:r>
      <w:r w:rsidR="0062251A">
        <w:t>ensure</w:t>
      </w:r>
      <w:r w:rsidR="00F92B8E">
        <w:t>, prior to advertising or selling</w:t>
      </w:r>
      <w:r w:rsidR="00E36345">
        <w:t xml:space="preserve"> </w:t>
      </w:r>
      <w:r w:rsidR="00F92B8E">
        <w:t xml:space="preserve">such </w:t>
      </w:r>
      <w:r w:rsidR="00E36345">
        <w:t>devices</w:t>
      </w:r>
      <w:r w:rsidR="00F92B8E">
        <w:t>,</w:t>
      </w:r>
      <w:r w:rsidR="00E36345">
        <w:t xml:space="preserve"> </w:t>
      </w:r>
      <w:r w:rsidR="00F92B8E">
        <w:t xml:space="preserve">that they </w:t>
      </w:r>
      <w:r w:rsidR="00E36345">
        <w:t>will not cause harmful interference to authorized radio communication devices.</w:t>
      </w:r>
      <w:r>
        <w:rPr>
          <w:rStyle w:val="FootnoteReference"/>
        </w:rPr>
        <w:footnoteReference w:id="5"/>
      </w:r>
      <w:r w:rsidR="00E36345">
        <w:t xml:space="preserve">  </w:t>
      </w:r>
      <w:r w:rsidR="00243913">
        <w:t xml:space="preserve">Specifically, </w:t>
      </w:r>
      <w:r w:rsidR="007D0CA8">
        <w:t>s</w:t>
      </w:r>
      <w:r w:rsidR="00243913">
        <w:t>ection 302(b) of the Act provides that “[n]o person shall manufacture, import, sell, offer for sale, or ship devices or home electronic equipment and systems, or use devices, which fail to comply with regulations promulgated pursuant to this section.”</w:t>
      </w:r>
      <w:r>
        <w:rPr>
          <w:rStyle w:val="FootnoteReference"/>
        </w:rPr>
        <w:footnoteReference w:id="6"/>
      </w:r>
      <w:r w:rsidR="003674D0">
        <w:t xml:space="preserve">  The Commission has long-standing regulations, including technical</w:t>
      </w:r>
      <w:r w:rsidR="0062251A">
        <w:t>, authorization, and other</w:t>
      </w:r>
      <w:r w:rsidR="003674D0">
        <w:t xml:space="preserve"> requirements</w:t>
      </w:r>
      <w:r w:rsidR="00AF72A4">
        <w:t>,</w:t>
      </w:r>
      <w:r w:rsidR="003674D0">
        <w:t xml:space="preserve"> </w:t>
      </w:r>
      <w:r w:rsidR="00AF72A4">
        <w:t xml:space="preserve">designed to prevent interference from </w:t>
      </w:r>
      <w:r w:rsidR="003674D0">
        <w:t xml:space="preserve">devices that emit radio frequency energy.  </w:t>
      </w:r>
    </w:p>
    <w:p w:rsidR="00E36345" w:rsidP="00C90207" w14:paraId="18D915E3" w14:textId="716F56B6">
      <w:pPr>
        <w:pStyle w:val="ParaNum"/>
      </w:pPr>
      <w:r>
        <w:t xml:space="preserve">Most </w:t>
      </w:r>
      <w:r w:rsidR="00BD5D7B">
        <w:t xml:space="preserve">pertinent to </w:t>
      </w:r>
      <w:r w:rsidR="0062251A">
        <w:t>this case</w:t>
      </w:r>
      <w:r>
        <w:t>, section 2.803(b) of the Commission</w:t>
      </w:r>
      <w:r w:rsidR="0098443C">
        <w:t>’</w:t>
      </w:r>
      <w:r>
        <w:t xml:space="preserve">s rules prohibits the marketing of radio frequency devices unless the device has first been properly authorized, identified, and labeled in accordance with the </w:t>
      </w:r>
      <w:r w:rsidR="0062251A">
        <w:t>Commission</w:t>
      </w:r>
      <w:r w:rsidR="0098443C">
        <w:t>’</w:t>
      </w:r>
      <w:r w:rsidR="0062251A">
        <w:t>s r</w:t>
      </w:r>
      <w:r>
        <w:t>ules.</w:t>
      </w:r>
      <w:r>
        <w:rPr>
          <w:rStyle w:val="FootnoteReference"/>
        </w:rPr>
        <w:footnoteReference w:id="7"/>
      </w:r>
      <w:r w:rsidR="00243913">
        <w:t xml:space="preserve">  </w:t>
      </w:r>
      <w:r>
        <w:t xml:space="preserve">Electronic devices that intentionally emit radio frequency energy, called </w:t>
      </w:r>
      <w:r w:rsidR="00783740">
        <w:t>“</w:t>
      </w:r>
      <w:r>
        <w:t>intentional radiators,</w:t>
      </w:r>
      <w:r w:rsidR="00783740">
        <w:t>”</w:t>
      </w:r>
      <w:r>
        <w:t xml:space="preserve"> must be authorized through a certification procedure before they can be marketed to U.S. consumers.</w:t>
      </w:r>
      <w:r>
        <w:rPr>
          <w:rStyle w:val="FootnoteReference"/>
        </w:rPr>
        <w:footnoteReference w:id="8"/>
      </w:r>
      <w:r>
        <w:t xml:space="preserve">  </w:t>
      </w:r>
    </w:p>
    <w:p w:rsidR="00823601" w:rsidP="00C90207" w14:paraId="5B29581E" w14:textId="4F94368B">
      <w:pPr>
        <w:pStyle w:val="ParaNum"/>
      </w:pPr>
      <w:r w:rsidRPr="00667856">
        <w:rPr>
          <w:i/>
          <w:iCs/>
        </w:rPr>
        <w:t>Factual Background.</w:t>
      </w:r>
      <w:r>
        <w:t xml:space="preserve">  </w:t>
      </w:r>
      <w:r w:rsidRPr="00823601">
        <w:t>HobbyKing</w:t>
      </w:r>
      <w:r w:rsidRPr="00823601">
        <w:t xml:space="preserve"> is the trade name of several </w:t>
      </w:r>
      <w:r>
        <w:t xml:space="preserve">affiliated </w:t>
      </w:r>
      <w:r w:rsidRPr="00823601">
        <w:t>companies that, through HobbyKing.com,</w:t>
      </w:r>
      <w:r w:rsidRPr="00964B8D">
        <w:t xml:space="preserve"> market drone accessories</w:t>
      </w:r>
      <w:r w:rsidR="00E36345">
        <w:t>, including audio/video transmitters</w:t>
      </w:r>
      <w:r w:rsidRPr="00964B8D">
        <w:t>.</w:t>
      </w:r>
      <w:r>
        <w:rPr>
          <w:rStyle w:val="FootnoteReference"/>
        </w:rPr>
        <w:footnoteReference w:id="9"/>
      </w:r>
      <w:r w:rsidRPr="0007571D">
        <w:t xml:space="preserve">  </w:t>
      </w:r>
      <w:r w:rsidR="00E36345">
        <w:t>HobbyKing</w:t>
      </w:r>
      <w:r w:rsidR="00E36345">
        <w:t xml:space="preserve"> has a New York Office and customer service operations in the United States.</w:t>
      </w:r>
      <w:r>
        <w:rPr>
          <w:rStyle w:val="FootnoteReference"/>
        </w:rPr>
        <w:footnoteReference w:id="10"/>
      </w:r>
      <w:r w:rsidR="00191AD9">
        <w:t xml:space="preserve">  </w:t>
      </w:r>
    </w:p>
    <w:p w:rsidR="000B549A" w:rsidP="00137C34" w14:paraId="5C265425" w14:textId="505709B9">
      <w:pPr>
        <w:pStyle w:val="ParaNum"/>
      </w:pPr>
      <w:r>
        <w:t>After receiving complaints about HobbyKing</w:t>
      </w:r>
      <w:r w:rsidR="0098443C">
        <w:t>’</w:t>
      </w:r>
      <w:r>
        <w:t xml:space="preserve">s equipment </w:t>
      </w:r>
      <w:r>
        <w:t>marketing</w:t>
      </w:r>
      <w:r>
        <w:t>, t</w:t>
      </w:r>
      <w:r w:rsidR="00283A73">
        <w:t xml:space="preserve">he </w:t>
      </w:r>
      <w:r w:rsidR="005A079D">
        <w:t xml:space="preserve">Bureau’s </w:t>
      </w:r>
      <w:r w:rsidR="00283A73">
        <w:t>Spectrum Enforcement Division</w:t>
      </w:r>
      <w:r w:rsidR="00206B84">
        <w:t xml:space="preserve"> (Division)</w:t>
      </w:r>
      <w:r w:rsidR="00283A73">
        <w:t xml:space="preserve"> </w:t>
      </w:r>
      <w:r>
        <w:t xml:space="preserve">first </w:t>
      </w:r>
      <w:r w:rsidR="005D3DBA">
        <w:t xml:space="preserve">investigated </w:t>
      </w:r>
      <w:r w:rsidR="002C5489">
        <w:t>the Company</w:t>
      </w:r>
      <w:r w:rsidR="005D3DBA">
        <w:t xml:space="preserve"> practices</w:t>
      </w:r>
      <w:r w:rsidR="00186227">
        <w:t xml:space="preserve"> </w:t>
      </w:r>
      <w:r w:rsidR="002B0900">
        <w:t xml:space="preserve">in 2016.  The Division </w:t>
      </w:r>
      <w:r w:rsidR="00092159">
        <w:t xml:space="preserve">issued a citation </w:t>
      </w:r>
      <w:r w:rsidR="002B0900">
        <w:t>(</w:t>
      </w:r>
      <w:r w:rsidR="002B0900">
        <w:rPr>
          <w:i/>
        </w:rPr>
        <w:t xml:space="preserve">Marketing </w:t>
      </w:r>
      <w:r w:rsidRPr="002B0900" w:rsidR="002B0900">
        <w:rPr>
          <w:i/>
        </w:rPr>
        <w:t>Citation</w:t>
      </w:r>
      <w:r w:rsidR="002B0900">
        <w:t xml:space="preserve">) </w:t>
      </w:r>
      <w:r w:rsidRPr="002B0900" w:rsidR="000127FF">
        <w:t>against</w:t>
      </w:r>
      <w:r w:rsidR="000127FF">
        <w:t xml:space="preserve"> </w:t>
      </w:r>
      <w:r w:rsidR="000127FF">
        <w:t>HobbyKing</w:t>
      </w:r>
      <w:r w:rsidR="000127FF">
        <w:t xml:space="preserve"> </w:t>
      </w:r>
      <w:r w:rsidR="00E0381C">
        <w:t>for</w:t>
      </w:r>
      <w:r w:rsidR="005D3DBA">
        <w:t xml:space="preserve"> marketing AV transmitters that </w:t>
      </w:r>
      <w:r w:rsidR="005D3DBA">
        <w:t>were noncompliant</w:t>
      </w:r>
      <w:r>
        <w:t>.</w:t>
      </w:r>
      <w:r>
        <w:rPr>
          <w:rStyle w:val="FootnoteReference"/>
        </w:rPr>
        <w:footnoteReference w:id="11"/>
      </w:r>
      <w:r>
        <w:t xml:space="preserve">  Th</w:t>
      </w:r>
      <w:r w:rsidR="00537E68">
        <w:t>is</w:t>
      </w:r>
      <w:r>
        <w:t xml:space="preserve"> </w:t>
      </w:r>
      <w:r w:rsidRPr="00F42D45">
        <w:rPr>
          <w:i/>
        </w:rPr>
        <w:t>Marketing Citation</w:t>
      </w:r>
      <w:r>
        <w:t xml:space="preserve"> identified the equipment marketing rules to </w:t>
      </w:r>
      <w:r>
        <w:t>HobbyKing</w:t>
      </w:r>
      <w:r>
        <w:t xml:space="preserve"> and warned the </w:t>
      </w:r>
      <w:r w:rsidR="002E5F07">
        <w:t>C</w:t>
      </w:r>
      <w:r>
        <w:t>ompany that</w:t>
      </w:r>
      <w:r w:rsidR="002B0900">
        <w:t>,</w:t>
      </w:r>
      <w:r>
        <w:t xml:space="preserve"> if it continued to market noncompliant radio frequency devices, it could face significant civil fines.</w:t>
      </w:r>
      <w:r>
        <w:rPr>
          <w:rStyle w:val="FootnoteReference"/>
        </w:rPr>
        <w:footnoteReference w:id="12"/>
      </w:r>
      <w:r>
        <w:t xml:space="preserve">  </w:t>
      </w:r>
    </w:p>
    <w:p w:rsidR="00F36042" w:rsidP="00137C34" w14:paraId="4576FE7C" w14:textId="0B4899A8">
      <w:pPr>
        <w:pStyle w:val="ParaNum"/>
      </w:pPr>
      <w:r>
        <w:t xml:space="preserve">Following further complaints that </w:t>
      </w:r>
      <w:r>
        <w:t>HobbyKing</w:t>
      </w:r>
      <w:r>
        <w:t xml:space="preserve"> continued to market noncompliant radio frequency devices, the Division initiated a second investigation in 2017.</w:t>
      </w:r>
      <w:r w:rsidR="00812FB0">
        <w:t xml:space="preserve"> </w:t>
      </w:r>
      <w:r>
        <w:t xml:space="preserve"> </w:t>
      </w:r>
      <w:r w:rsidR="00812FB0">
        <w:t>HobbyKing</w:t>
      </w:r>
      <w:r w:rsidR="00812FB0">
        <w:t xml:space="preserve"> </w:t>
      </w:r>
      <w:r w:rsidR="002B0900">
        <w:t xml:space="preserve">did </w:t>
      </w:r>
      <w:r w:rsidR="00812FB0">
        <w:t xml:space="preserve">not respond </w:t>
      </w:r>
      <w:r w:rsidR="00364378">
        <w:t xml:space="preserve">in </w:t>
      </w:r>
      <w:r w:rsidR="00812FB0">
        <w:t>full to the Letter of Inquiry</w:t>
      </w:r>
      <w:r w:rsidR="00510237">
        <w:t xml:space="preserve"> (LOI)</w:t>
      </w:r>
      <w:r w:rsidR="00812FB0">
        <w:t>,</w:t>
      </w:r>
      <w:r w:rsidR="00246A02">
        <w:t xml:space="preserve"> </w:t>
      </w:r>
      <w:r w:rsidRPr="00246A02" w:rsidR="00246A02">
        <w:t>provid</w:t>
      </w:r>
      <w:r w:rsidR="00246A02">
        <w:t>ing</w:t>
      </w:r>
      <w:r w:rsidRPr="00246A02" w:rsidR="00246A02">
        <w:t xml:space="preserve"> information </w:t>
      </w:r>
      <w:r w:rsidR="00AF72A4">
        <w:t xml:space="preserve">only </w:t>
      </w:r>
      <w:r w:rsidRPr="00246A02" w:rsidR="00246A02">
        <w:t xml:space="preserve">on the four </w:t>
      </w:r>
      <w:r w:rsidR="00246A02">
        <w:t>AV transmitters</w:t>
      </w:r>
      <w:r w:rsidRPr="00246A02" w:rsidR="00246A02">
        <w:t xml:space="preserve"> specifically identified in the</w:t>
      </w:r>
      <w:r w:rsidR="00CF6419">
        <w:t xml:space="preserve"> </w:t>
      </w:r>
      <w:r w:rsidRPr="00246A02" w:rsidR="00246A02">
        <w:t>LOI</w:t>
      </w:r>
      <w:r w:rsidR="00E77666">
        <w:t xml:space="preserve">. </w:t>
      </w:r>
      <w:r w:rsidRPr="00246A02" w:rsidR="00246A02">
        <w:t xml:space="preserve"> </w:t>
      </w:r>
      <w:r w:rsidR="00E77666">
        <w:t xml:space="preserve">The Company was silent, however, concerning </w:t>
      </w:r>
      <w:r w:rsidR="001C0B67">
        <w:t xml:space="preserve">the Division’s </w:t>
      </w:r>
      <w:r w:rsidR="00E77666">
        <w:t xml:space="preserve">questions about </w:t>
      </w:r>
      <w:r w:rsidR="00246A02">
        <w:t xml:space="preserve">the </w:t>
      </w:r>
      <w:r w:rsidRPr="00246A02" w:rsidR="00246A02">
        <w:t xml:space="preserve">other AV transmitters listed on </w:t>
      </w:r>
      <w:r w:rsidR="00246A02">
        <w:t>HobbyKing’s</w:t>
      </w:r>
      <w:r w:rsidRPr="00246A02" w:rsidR="00246A02">
        <w:t xml:space="preserve"> website</w:t>
      </w:r>
      <w:r w:rsidR="00246A02">
        <w:t xml:space="preserve">, </w:t>
      </w:r>
      <w:r w:rsidR="00812FB0">
        <w:t>arguing</w:t>
      </w:r>
      <w:r w:rsidR="009E66D7">
        <w:t xml:space="preserve"> instead</w:t>
      </w:r>
      <w:r w:rsidR="00812FB0">
        <w:t xml:space="preserve"> that it was not marketing AV transmitters in the United States</w:t>
      </w:r>
      <w:r w:rsidR="008A154A">
        <w:t>.</w:t>
      </w:r>
      <w:r>
        <w:rPr>
          <w:rStyle w:val="FootnoteReference"/>
        </w:rPr>
        <w:footnoteReference w:id="13"/>
      </w:r>
      <w:r>
        <w:t xml:space="preserve">  The Division issued a</w:t>
      </w:r>
      <w:r w:rsidR="00923E90">
        <w:t>nother</w:t>
      </w:r>
      <w:r>
        <w:t xml:space="preserve"> citation against </w:t>
      </w:r>
      <w:r>
        <w:t>HobbyKing</w:t>
      </w:r>
      <w:r w:rsidR="00594089">
        <w:t xml:space="preserve"> </w:t>
      </w:r>
      <w:r w:rsidRPr="009C4EE7" w:rsidR="00594089">
        <w:t>(</w:t>
      </w:r>
      <w:r w:rsidRPr="009C4EE7" w:rsidR="00594089">
        <w:rPr>
          <w:i/>
        </w:rPr>
        <w:t>Letter of Inquiry Citation</w:t>
      </w:r>
      <w:r w:rsidRPr="009C4EE7" w:rsidR="00594089">
        <w:t>)</w:t>
      </w:r>
      <w:r w:rsidR="00923E90">
        <w:t>, this one</w:t>
      </w:r>
      <w:r>
        <w:t xml:space="preserve"> for its refusal to fully respond</w:t>
      </w:r>
      <w:r w:rsidRPr="00DB0FEE">
        <w:t xml:space="preserve"> </w:t>
      </w:r>
      <w:r>
        <w:t>to requests for information in the second investigation.</w:t>
      </w:r>
      <w:r>
        <w:rPr>
          <w:rStyle w:val="FootnoteReference"/>
        </w:rPr>
        <w:footnoteReference w:id="14"/>
      </w:r>
      <w:r w:rsidR="00812FB0">
        <w:t xml:space="preserve">  </w:t>
      </w:r>
    </w:p>
    <w:p w:rsidR="00E273E3" w:rsidRPr="00344C0B" w:rsidP="00D94C3C" w14:paraId="06FAED77" w14:textId="6E90B617">
      <w:pPr>
        <w:pStyle w:val="ParaNum"/>
      </w:pPr>
      <w:r w:rsidRPr="0007571D">
        <w:t xml:space="preserve">On </w:t>
      </w:r>
      <w:r w:rsidR="007C1D46">
        <w:t>June 5, 2018</w:t>
      </w:r>
      <w:r w:rsidRPr="0007571D">
        <w:t xml:space="preserve">, the </w:t>
      </w:r>
      <w:r w:rsidR="00C339C4">
        <w:t xml:space="preserve">Commission </w:t>
      </w:r>
      <w:r w:rsidRPr="0007571D">
        <w:t xml:space="preserve">issued </w:t>
      </w:r>
      <w:r w:rsidRPr="00344C0B" w:rsidR="00CB6E37">
        <w:t xml:space="preserve">the </w:t>
      </w:r>
      <w:r w:rsidRPr="00955ED6" w:rsidR="0067355C">
        <w:rPr>
          <w:i/>
          <w:iCs/>
        </w:rPr>
        <w:t>NAL</w:t>
      </w:r>
      <w:r w:rsidR="006C5D72">
        <w:t>,</w:t>
      </w:r>
      <w:r w:rsidRPr="00537E68">
        <w:rPr>
          <w:i/>
        </w:rPr>
        <w:t xml:space="preserve"> </w:t>
      </w:r>
      <w:r w:rsidRPr="0007571D" w:rsidR="00CB6E37">
        <w:t xml:space="preserve">proposing a </w:t>
      </w:r>
      <w:r w:rsidRPr="00344C0B">
        <w:t>$</w:t>
      </w:r>
      <w:r w:rsidR="007C1D46">
        <w:t>2,861,128</w:t>
      </w:r>
      <w:r w:rsidRPr="0007571D">
        <w:t xml:space="preserve"> </w:t>
      </w:r>
      <w:r w:rsidRPr="00344C0B" w:rsidR="00CB6E37">
        <w:t xml:space="preserve">forfeiture </w:t>
      </w:r>
      <w:r w:rsidR="002B0900">
        <w:t>penal</w:t>
      </w:r>
      <w:r w:rsidR="001568D3">
        <w:t>t</w:t>
      </w:r>
      <w:r w:rsidR="002B0900">
        <w:t xml:space="preserve">y </w:t>
      </w:r>
      <w:r w:rsidRPr="00344C0B" w:rsidR="00154A5C">
        <w:t>against</w:t>
      </w:r>
      <w:r w:rsidR="007C1D46">
        <w:t xml:space="preserve"> </w:t>
      </w:r>
      <w:r w:rsidR="007C1D46">
        <w:t>HobbyKing</w:t>
      </w:r>
      <w:r w:rsidRPr="0007571D" w:rsidR="00154A5C">
        <w:t xml:space="preserve"> </w:t>
      </w:r>
      <w:r w:rsidRPr="0007571D">
        <w:t>for its apparent willful and</w:t>
      </w:r>
      <w:r w:rsidRPr="00344C0B">
        <w:t xml:space="preserve"> repeated violation</w:t>
      </w:r>
      <w:r w:rsidR="002B0900">
        <w:t>s</w:t>
      </w:r>
      <w:r w:rsidRPr="00344C0B">
        <w:t xml:space="preserve"> of </w:t>
      </w:r>
      <w:r w:rsidR="00063033">
        <w:t>s</w:t>
      </w:r>
      <w:r w:rsidRPr="007043A4" w:rsidR="007C1D46">
        <w:t>ection 302 of the Act</w:t>
      </w:r>
      <w:r w:rsidR="00F071C4">
        <w:t>,</w:t>
      </w:r>
      <w:r>
        <w:rPr>
          <w:rStyle w:val="FootnoteReference"/>
        </w:rPr>
        <w:footnoteReference w:id="15"/>
      </w:r>
      <w:r w:rsidRPr="007043A4" w:rsidR="007C1D46">
        <w:t xml:space="preserve"> </w:t>
      </w:r>
      <w:r w:rsidR="00751D4D">
        <w:t>s</w:t>
      </w:r>
      <w:r w:rsidRPr="007043A4" w:rsidR="007C1D46">
        <w:t>ection</w:t>
      </w:r>
      <w:r w:rsidR="009E2728">
        <w:t> </w:t>
      </w:r>
      <w:r w:rsidRPr="007043A4" w:rsidR="007C1D46">
        <w:t>2.803</w:t>
      </w:r>
      <w:r w:rsidR="007C1D46">
        <w:t xml:space="preserve"> </w:t>
      </w:r>
      <w:r w:rsidRPr="007043A4" w:rsidR="007C1D46">
        <w:t>of the Commission</w:t>
      </w:r>
      <w:r w:rsidR="0098443C">
        <w:t>’</w:t>
      </w:r>
      <w:r w:rsidRPr="007043A4" w:rsidR="007C1D46">
        <w:t>s rules</w:t>
      </w:r>
      <w:r w:rsidR="00510237">
        <w:t>,</w:t>
      </w:r>
      <w:r>
        <w:rPr>
          <w:rStyle w:val="FootnoteReference"/>
        </w:rPr>
        <w:footnoteReference w:id="16"/>
      </w:r>
      <w:r w:rsidR="007C1D46">
        <w:t xml:space="preserve"> and two Commission orders</w:t>
      </w:r>
      <w:bookmarkStart w:id="28" w:name="_Ref19616712"/>
      <w:r>
        <w:rPr>
          <w:rStyle w:val="FootnoteReference"/>
        </w:rPr>
        <w:footnoteReference w:id="17"/>
      </w:r>
      <w:bookmarkEnd w:id="28"/>
      <w:r w:rsidRPr="007043A4" w:rsidR="007C1D46">
        <w:t xml:space="preserve"> </w:t>
      </w:r>
      <w:r w:rsidRPr="0007571D" w:rsidR="00CB6E37">
        <w:t>by</w:t>
      </w:r>
      <w:r w:rsidR="007C1D46">
        <w:t xml:space="preserve"> marketing noncompliant radio frequency devices and </w:t>
      </w:r>
      <w:r w:rsidR="004B5D22">
        <w:t xml:space="preserve">by </w:t>
      </w:r>
      <w:r w:rsidR="007C1D46">
        <w:t>refusing to provide full responses to Commission inquiries in the investigation</w:t>
      </w:r>
      <w:r w:rsidRPr="00537E68">
        <w:rPr>
          <w:color w:val="000000"/>
        </w:rPr>
        <w:t>.</w:t>
      </w:r>
      <w:r>
        <w:rPr>
          <w:rStyle w:val="FootnoteReference"/>
        </w:rPr>
        <w:footnoteReference w:id="18"/>
      </w:r>
      <w:r w:rsidRPr="00537E68" w:rsidR="00364378">
        <w:rPr>
          <w:color w:val="000000"/>
        </w:rPr>
        <w:t xml:space="preserve">  </w:t>
      </w:r>
      <w:r w:rsidR="00537E68">
        <w:t>Despite HobbyKing</w:t>
      </w:r>
      <w:r w:rsidR="0098443C">
        <w:t>’</w:t>
      </w:r>
      <w:r w:rsidR="00537E68">
        <w:t xml:space="preserve">s failure to respond fully to the </w:t>
      </w:r>
      <w:r w:rsidR="004E272A">
        <w:t>LOI</w:t>
      </w:r>
      <w:r w:rsidR="002B0900">
        <w:t>,</w:t>
      </w:r>
      <w:r w:rsidR="00537E68">
        <w:t xml:space="preserve"> the second investigation </w:t>
      </w:r>
      <w:r w:rsidR="00E0381C">
        <w:t xml:space="preserve">revealed </w:t>
      </w:r>
      <w:r w:rsidR="00537E68">
        <w:t xml:space="preserve">that </w:t>
      </w:r>
      <w:r w:rsidR="00C16466">
        <w:t xml:space="preserve">the Company </w:t>
      </w:r>
      <w:r w:rsidR="00537E68">
        <w:t>apparently had continued to market many noncompliant AV transmitters after</w:t>
      </w:r>
      <w:r w:rsidR="00594089">
        <w:t xml:space="preserve"> the</w:t>
      </w:r>
      <w:r w:rsidR="00537E68">
        <w:t xml:space="preserve"> </w:t>
      </w:r>
      <w:r w:rsidR="002B0900">
        <w:t xml:space="preserve">Division issued </w:t>
      </w:r>
      <w:r w:rsidR="00537E68">
        <w:t xml:space="preserve">the </w:t>
      </w:r>
      <w:r w:rsidRPr="00F42D45" w:rsidR="00537E68">
        <w:rPr>
          <w:i/>
        </w:rPr>
        <w:t>Marketing Citation</w:t>
      </w:r>
      <w:r w:rsidR="00537E68">
        <w:t>.</w:t>
      </w:r>
      <w:r>
        <w:rPr>
          <w:rStyle w:val="FootnoteReference"/>
        </w:rPr>
        <w:footnoteReference w:id="19"/>
      </w:r>
      <w:r w:rsidR="00537E68">
        <w:t xml:space="preserve">  Specifically, </w:t>
      </w:r>
      <w:r w:rsidR="00537E68">
        <w:t>HobbyKing</w:t>
      </w:r>
      <w:r w:rsidR="00537E68">
        <w:t xml:space="preserve"> apparently continued to market 65 </w:t>
      </w:r>
      <w:r w:rsidR="00537E68">
        <w:t xml:space="preserve">uncertified AV transmitter models on its </w:t>
      </w:r>
      <w:r w:rsidRPr="00EB0724" w:rsidR="00537E68">
        <w:t>website</w:t>
      </w:r>
      <w:r w:rsidR="00537E68">
        <w:t>.</w:t>
      </w:r>
      <w:r>
        <w:rPr>
          <w:rStyle w:val="FootnoteReference"/>
        </w:rPr>
        <w:footnoteReference w:id="20"/>
      </w:r>
      <w:r w:rsidR="005E5BF1">
        <w:t xml:space="preserve">  </w:t>
      </w:r>
      <w:bookmarkStart w:id="29" w:name="_Hlk508710480"/>
      <w:r w:rsidR="0007090A">
        <w:t xml:space="preserve">Twelve </w:t>
      </w:r>
      <w:r w:rsidR="00E0381C">
        <w:t xml:space="preserve">of those </w:t>
      </w:r>
      <w:r w:rsidR="0007090A">
        <w:t xml:space="preserve">models </w:t>
      </w:r>
      <w:r w:rsidR="00B52C0D">
        <w:t>operat</w:t>
      </w:r>
      <w:r w:rsidR="00E0381C">
        <w:t>ed</w:t>
      </w:r>
      <w:r w:rsidR="00B52C0D">
        <w:t xml:space="preserve"> in restricted frequency bands </w:t>
      </w:r>
      <w:r w:rsidR="006E22E3">
        <w:t xml:space="preserve">that are reserved for federal uses and </w:t>
      </w:r>
      <w:r w:rsidR="0007090A">
        <w:t xml:space="preserve">threatened to interfere with critical Federal Aviation Administration </w:t>
      </w:r>
      <w:r w:rsidR="004B67E3">
        <w:t xml:space="preserve">(FAA) </w:t>
      </w:r>
      <w:r w:rsidR="0007090A">
        <w:t>systems and other important federal operations.</w:t>
      </w:r>
      <w:r>
        <w:rPr>
          <w:rStyle w:val="FootnoteReference"/>
        </w:rPr>
        <w:footnoteReference w:id="21"/>
      </w:r>
      <w:r w:rsidR="0007090A">
        <w:t xml:space="preserve">  Three models </w:t>
      </w:r>
      <w:r w:rsidR="00B52C0D">
        <w:t xml:space="preserve">operated at power levels exceeding Commission limits </w:t>
      </w:r>
      <w:r w:rsidR="006E22E3">
        <w:t>and</w:t>
      </w:r>
      <w:r w:rsidR="0007090A">
        <w:t xml:space="preserve"> could interfere with </w:t>
      </w:r>
      <w:r w:rsidR="004B67E3">
        <w:t xml:space="preserve">FAA terminal </w:t>
      </w:r>
      <w:r w:rsidR="0007090A">
        <w:t>doppler weather radar.</w:t>
      </w:r>
      <w:bookmarkEnd w:id="29"/>
      <w:r>
        <w:rPr>
          <w:rStyle w:val="FootnoteReference"/>
        </w:rPr>
        <w:footnoteReference w:id="22"/>
      </w:r>
      <w:r w:rsidR="0007090A">
        <w:t xml:space="preserve">  </w:t>
      </w:r>
      <w:r w:rsidR="004E272A">
        <w:t xml:space="preserve">We upwardly adjusted </w:t>
      </w:r>
      <w:r w:rsidR="004E272A">
        <w:rPr>
          <w:color w:val="000000"/>
        </w:rPr>
        <w:t>t</w:t>
      </w:r>
      <w:r w:rsidRPr="00537E68" w:rsidR="007669E5">
        <w:rPr>
          <w:color w:val="000000"/>
        </w:rPr>
        <w:t xml:space="preserve">he </w:t>
      </w:r>
      <w:r w:rsidRPr="00537E68" w:rsidR="009573BE">
        <w:rPr>
          <w:color w:val="000000"/>
        </w:rPr>
        <w:t xml:space="preserve">proposed </w:t>
      </w:r>
      <w:r w:rsidR="00537E68">
        <w:rPr>
          <w:color w:val="000000"/>
        </w:rPr>
        <w:t xml:space="preserve">base </w:t>
      </w:r>
      <w:r w:rsidRPr="00537E68" w:rsidR="007669E5">
        <w:rPr>
          <w:color w:val="000000"/>
        </w:rPr>
        <w:t xml:space="preserve">forfeiture amount </w:t>
      </w:r>
      <w:r w:rsidRPr="00537E68" w:rsidR="00B46056">
        <w:rPr>
          <w:color w:val="000000"/>
        </w:rPr>
        <w:t xml:space="preserve">for the marketing violations </w:t>
      </w:r>
      <w:r w:rsidRPr="00537E68" w:rsidR="007669E5">
        <w:rPr>
          <w:color w:val="000000"/>
        </w:rPr>
        <w:t xml:space="preserve">because </w:t>
      </w:r>
      <w:r w:rsidRPr="00537E68" w:rsidR="007669E5">
        <w:rPr>
          <w:color w:val="000000"/>
        </w:rPr>
        <w:t>HobbyKing</w:t>
      </w:r>
      <w:r w:rsidRPr="00537E68" w:rsidR="009573BE">
        <w:rPr>
          <w:color w:val="000000"/>
        </w:rPr>
        <w:t xml:space="preserve"> apparently</w:t>
      </w:r>
      <w:r w:rsidRPr="00537E68" w:rsidR="007669E5">
        <w:rPr>
          <w:color w:val="000000"/>
        </w:rPr>
        <w:t xml:space="preserve"> </w:t>
      </w:r>
      <w:r w:rsidRPr="00537E68" w:rsidR="00E260A8">
        <w:rPr>
          <w:color w:val="000000"/>
        </w:rPr>
        <w:t>had</w:t>
      </w:r>
      <w:r w:rsidR="00212AA6">
        <w:rPr>
          <w:color w:val="000000"/>
        </w:rPr>
        <w:t>:</w:t>
      </w:r>
      <w:r w:rsidR="00113915">
        <w:rPr>
          <w:color w:val="000000"/>
        </w:rPr>
        <w:t xml:space="preserve"> </w:t>
      </w:r>
      <w:r w:rsidR="00212AA6">
        <w:rPr>
          <w:color w:val="000000"/>
        </w:rPr>
        <w:t xml:space="preserve"> (a)</w:t>
      </w:r>
      <w:r w:rsidRPr="00537E68" w:rsidR="00E260A8">
        <w:rPr>
          <w:color w:val="000000"/>
        </w:rPr>
        <w:t xml:space="preserve"> long marketed noncompliant devices</w:t>
      </w:r>
      <w:r w:rsidR="00113915">
        <w:rPr>
          <w:color w:val="000000"/>
        </w:rPr>
        <w:t>;</w:t>
      </w:r>
      <w:r w:rsidRPr="00537E68" w:rsidR="00113915">
        <w:rPr>
          <w:color w:val="000000"/>
        </w:rPr>
        <w:t xml:space="preserve"> </w:t>
      </w:r>
      <w:r w:rsidR="00212AA6">
        <w:rPr>
          <w:color w:val="000000"/>
        </w:rPr>
        <w:t>(b) </w:t>
      </w:r>
      <w:r w:rsidRPr="00537E68" w:rsidR="009573BE">
        <w:rPr>
          <w:color w:val="000000"/>
        </w:rPr>
        <w:t xml:space="preserve">intentionally marketed </w:t>
      </w:r>
      <w:r w:rsidRPr="00537E68" w:rsidR="00E260A8">
        <w:rPr>
          <w:color w:val="000000"/>
        </w:rPr>
        <w:t xml:space="preserve">devices </w:t>
      </w:r>
      <w:r w:rsidRPr="00537E68" w:rsidR="00FF513F">
        <w:rPr>
          <w:color w:val="000000"/>
        </w:rPr>
        <w:t xml:space="preserve">which </w:t>
      </w:r>
      <w:r w:rsidRPr="00537E68" w:rsidR="00E260A8">
        <w:rPr>
          <w:color w:val="000000"/>
        </w:rPr>
        <w:t>could not be certified because of their operating frequencies</w:t>
      </w:r>
      <w:r w:rsidR="00113915">
        <w:rPr>
          <w:color w:val="000000"/>
        </w:rPr>
        <w:t>;</w:t>
      </w:r>
      <w:r w:rsidRPr="00537E68" w:rsidR="00113915">
        <w:rPr>
          <w:color w:val="000000"/>
        </w:rPr>
        <w:t xml:space="preserve"> </w:t>
      </w:r>
      <w:r w:rsidRPr="00537E68" w:rsidR="00E260A8">
        <w:rPr>
          <w:color w:val="000000"/>
        </w:rPr>
        <w:t>and</w:t>
      </w:r>
      <w:r w:rsidRPr="00537E68" w:rsidR="009573BE">
        <w:rPr>
          <w:color w:val="000000"/>
        </w:rPr>
        <w:t xml:space="preserve"> </w:t>
      </w:r>
      <w:r w:rsidR="00212AA6">
        <w:rPr>
          <w:color w:val="000000"/>
        </w:rPr>
        <w:t xml:space="preserve">(c) </w:t>
      </w:r>
      <w:r w:rsidRPr="00537E68" w:rsidR="009573BE">
        <w:rPr>
          <w:color w:val="000000"/>
        </w:rPr>
        <w:t>for</w:t>
      </w:r>
      <w:r w:rsidRPr="00537E68" w:rsidR="00E260A8">
        <w:rPr>
          <w:color w:val="000000"/>
        </w:rPr>
        <w:t xml:space="preserve"> some of the devices</w:t>
      </w:r>
      <w:r w:rsidRPr="00537E68" w:rsidR="009573BE">
        <w:rPr>
          <w:color w:val="000000"/>
        </w:rPr>
        <w:t>, advertised and sold equipment that</w:t>
      </w:r>
      <w:r w:rsidRPr="00537E68" w:rsidR="00E260A8">
        <w:rPr>
          <w:color w:val="000000"/>
        </w:rPr>
        <w:t xml:space="preserve"> presented an egregious threat to public safety.</w:t>
      </w:r>
      <w:r>
        <w:rPr>
          <w:rStyle w:val="FootnoteReference"/>
        </w:rPr>
        <w:footnoteReference w:id="23"/>
      </w:r>
      <w:r w:rsidRPr="00537E68" w:rsidR="00E260A8">
        <w:rPr>
          <w:color w:val="000000"/>
        </w:rPr>
        <w:t xml:space="preserve">  </w:t>
      </w:r>
      <w:r w:rsidRPr="00537E68" w:rsidR="009573BE">
        <w:rPr>
          <w:color w:val="000000"/>
        </w:rPr>
        <w:t xml:space="preserve">In addition, </w:t>
      </w:r>
      <w:r w:rsidR="004E272A">
        <w:rPr>
          <w:color w:val="000000"/>
        </w:rPr>
        <w:t xml:space="preserve">we upwardly adjusted </w:t>
      </w:r>
      <w:r w:rsidR="008B41B5">
        <w:rPr>
          <w:color w:val="000000"/>
        </w:rPr>
        <w:t xml:space="preserve">the proposed forfeiture amount for </w:t>
      </w:r>
      <w:r w:rsidRPr="00537E68" w:rsidR="00E260A8">
        <w:rPr>
          <w:color w:val="000000"/>
        </w:rPr>
        <w:t>HobbyKing</w:t>
      </w:r>
      <w:r w:rsidR="0098443C">
        <w:rPr>
          <w:color w:val="000000"/>
        </w:rPr>
        <w:t>’</w:t>
      </w:r>
      <w:r w:rsidRPr="00537E68" w:rsidR="00E260A8">
        <w:rPr>
          <w:color w:val="000000"/>
        </w:rPr>
        <w:t xml:space="preserve">s </w:t>
      </w:r>
      <w:r w:rsidRPr="00537E68" w:rsidR="009573BE">
        <w:rPr>
          <w:color w:val="000000"/>
        </w:rPr>
        <w:t xml:space="preserve">apparent </w:t>
      </w:r>
      <w:r w:rsidRPr="00537E68" w:rsidR="00E260A8">
        <w:rPr>
          <w:color w:val="000000"/>
        </w:rPr>
        <w:t xml:space="preserve">violations </w:t>
      </w:r>
      <w:r w:rsidR="00212AA6">
        <w:rPr>
          <w:color w:val="000000"/>
        </w:rPr>
        <w:t xml:space="preserve">that </w:t>
      </w:r>
      <w:r w:rsidRPr="00537E68" w:rsidR="00E260A8">
        <w:rPr>
          <w:color w:val="000000"/>
        </w:rPr>
        <w:t xml:space="preserve">related to its failure to fully respond to the </w:t>
      </w:r>
      <w:r w:rsidR="004E272A">
        <w:t>LOI</w:t>
      </w:r>
      <w:r w:rsidRPr="00537E68" w:rsidR="00E260A8">
        <w:rPr>
          <w:color w:val="000000"/>
        </w:rPr>
        <w:t xml:space="preserve"> based on </w:t>
      </w:r>
      <w:r w:rsidRPr="00537E68" w:rsidR="00E260A8">
        <w:rPr>
          <w:color w:val="000000"/>
        </w:rPr>
        <w:t>HobbyKing</w:t>
      </w:r>
      <w:r w:rsidR="0098443C">
        <w:rPr>
          <w:color w:val="000000"/>
        </w:rPr>
        <w:t>’</w:t>
      </w:r>
      <w:r w:rsidRPr="00537E68" w:rsidR="00E260A8">
        <w:rPr>
          <w:color w:val="000000"/>
        </w:rPr>
        <w:t>s</w:t>
      </w:r>
      <w:r w:rsidRPr="00537E68" w:rsidR="00E260A8">
        <w:rPr>
          <w:color w:val="000000"/>
        </w:rPr>
        <w:t xml:space="preserve"> egregious behavior in refusing to cooperate in the investigation after being given numerous opportunities to cure its failure to respond.</w:t>
      </w:r>
      <w:r>
        <w:rPr>
          <w:rStyle w:val="FootnoteReference"/>
        </w:rPr>
        <w:footnoteReference w:id="24"/>
      </w:r>
      <w:r w:rsidRPr="00537E68" w:rsidR="00E260A8">
        <w:rPr>
          <w:color w:val="000000"/>
        </w:rPr>
        <w:t xml:space="preserve">  </w:t>
      </w:r>
      <w:r w:rsidRPr="00537E68" w:rsidR="003D01A6">
        <w:rPr>
          <w:color w:val="000000"/>
        </w:rPr>
        <w:t>In sum, HobbyKing</w:t>
      </w:r>
      <w:r w:rsidR="0098443C">
        <w:rPr>
          <w:color w:val="000000"/>
        </w:rPr>
        <w:t>’</w:t>
      </w:r>
      <w:r w:rsidRPr="00537E68" w:rsidR="003D01A6">
        <w:rPr>
          <w:color w:val="000000"/>
        </w:rPr>
        <w:t xml:space="preserve">s apparent violations and accompanying conduct justified a significant proposed forfeiture in the </w:t>
      </w:r>
      <w:r w:rsidRPr="00955ED6" w:rsidR="0067355C">
        <w:rPr>
          <w:i/>
          <w:iCs/>
          <w:color w:val="000000"/>
        </w:rPr>
        <w:t>NAL</w:t>
      </w:r>
      <w:r w:rsidRPr="00537E68" w:rsidR="003D01A6">
        <w:rPr>
          <w:color w:val="000000"/>
        </w:rPr>
        <w:t xml:space="preserve">.  </w:t>
      </w:r>
    </w:p>
    <w:p w:rsidR="000B29ED" w:rsidRPr="0007571D" w:rsidP="00C339C4" w14:paraId="6374B363" w14:textId="40A68159">
      <w:pPr>
        <w:pStyle w:val="ParaNum"/>
      </w:pPr>
      <w:r w:rsidRPr="00344C0B">
        <w:t xml:space="preserve">On </w:t>
      </w:r>
      <w:r w:rsidR="007C1D46">
        <w:t>July 5, 2018</w:t>
      </w:r>
      <w:r w:rsidRPr="0007571D">
        <w:t xml:space="preserve">, </w:t>
      </w:r>
      <w:r w:rsidR="007C1D46">
        <w:t>HobbyKing</w:t>
      </w:r>
      <w:r w:rsidRPr="0007571D">
        <w:t xml:space="preserve"> </w:t>
      </w:r>
      <w:r w:rsidRPr="0007571D">
        <w:t xml:space="preserve">filed a response to the </w:t>
      </w:r>
      <w:r w:rsidRPr="00955ED6" w:rsidR="0067355C">
        <w:rPr>
          <w:i/>
          <w:iCs/>
          <w:color w:val="000000"/>
        </w:rPr>
        <w:t>NAL</w:t>
      </w:r>
      <w:r w:rsidR="00936586">
        <w:rPr>
          <w:color w:val="000000"/>
        </w:rPr>
        <w:t>, making a</w:t>
      </w:r>
      <w:r w:rsidRPr="0007571D">
        <w:t xml:space="preserve"> number of arguments as to why the </w:t>
      </w:r>
      <w:r w:rsidRPr="00955ED6" w:rsidR="0067355C">
        <w:rPr>
          <w:i/>
          <w:iCs/>
        </w:rPr>
        <w:t>NAL</w:t>
      </w:r>
      <w:r w:rsidRPr="0007571D">
        <w:t xml:space="preserve"> should be</w:t>
      </w:r>
      <w:r w:rsidR="005C092C">
        <w:t xml:space="preserve"> canceled </w:t>
      </w:r>
      <w:r w:rsidR="006C5D72">
        <w:t xml:space="preserve">or </w:t>
      </w:r>
      <w:r w:rsidR="005C092C">
        <w:t>the forfeiture amount reduced.</w:t>
      </w:r>
      <w:r>
        <w:rPr>
          <w:rStyle w:val="FootnoteReference"/>
        </w:rPr>
        <w:footnoteReference w:id="25"/>
      </w:r>
      <w:r w:rsidR="00812FB0">
        <w:t xml:space="preserve">  </w:t>
      </w:r>
      <w:r w:rsidRPr="00955ED6" w:rsidR="002C3EDE">
        <w:rPr>
          <w:i/>
          <w:iCs/>
        </w:rPr>
        <w:t>First</w:t>
      </w:r>
      <w:r w:rsidR="002C3EDE">
        <w:t xml:space="preserve">, </w:t>
      </w:r>
      <w:r w:rsidR="00812FB0">
        <w:t>HobbyKing</w:t>
      </w:r>
      <w:r w:rsidR="00812FB0">
        <w:t xml:space="preserve"> claims</w:t>
      </w:r>
      <w:r w:rsidR="001D35A5">
        <w:t xml:space="preserve"> that </w:t>
      </w:r>
      <w:r w:rsidR="006C5D72">
        <w:t xml:space="preserve">the Commission does not have marketing rules that specifically address </w:t>
      </w:r>
      <w:r w:rsidR="00E04DB0">
        <w:t>so-called</w:t>
      </w:r>
      <w:r w:rsidR="001D35A5">
        <w:t xml:space="preserve"> “versatile” </w:t>
      </w:r>
      <w:r w:rsidR="002C3EDE">
        <w:t>drone equipment that can operate on both amateur and non-amateur frequencies.</w:t>
      </w:r>
      <w:r>
        <w:rPr>
          <w:rStyle w:val="FootnoteReference"/>
        </w:rPr>
        <w:footnoteReference w:id="26"/>
      </w:r>
      <w:r w:rsidR="002C3EDE">
        <w:t xml:space="preserve"> </w:t>
      </w:r>
      <w:r w:rsidR="00812FB0">
        <w:t xml:space="preserve"> </w:t>
      </w:r>
      <w:r w:rsidRPr="00955ED6" w:rsidR="002C3EDE">
        <w:rPr>
          <w:i/>
          <w:iCs/>
        </w:rPr>
        <w:t>Second</w:t>
      </w:r>
      <w:r w:rsidR="002C3EDE">
        <w:t xml:space="preserve">, the </w:t>
      </w:r>
      <w:r w:rsidR="00931A54">
        <w:t>C</w:t>
      </w:r>
      <w:r w:rsidR="002C3EDE">
        <w:t xml:space="preserve">ompany claims that </w:t>
      </w:r>
      <w:r w:rsidR="00812FB0">
        <w:t>it had no notice that marketing</w:t>
      </w:r>
      <w:r w:rsidR="00364378">
        <w:t xml:space="preserve"> AV transmitters that could operate on unauthorized frequencies </w:t>
      </w:r>
      <w:r w:rsidR="00812FB0">
        <w:t>was unlawful.</w:t>
      </w:r>
      <w:r>
        <w:rPr>
          <w:rStyle w:val="FootnoteReference"/>
        </w:rPr>
        <w:footnoteReference w:id="27"/>
      </w:r>
      <w:r w:rsidR="00812FB0">
        <w:t xml:space="preserve">  </w:t>
      </w:r>
      <w:r w:rsidRPr="00955ED6" w:rsidR="002C3EDE">
        <w:rPr>
          <w:i/>
          <w:iCs/>
        </w:rPr>
        <w:t>Third</w:t>
      </w:r>
      <w:r w:rsidR="002C3EDE">
        <w:t xml:space="preserve">, </w:t>
      </w:r>
      <w:r w:rsidR="00812FB0">
        <w:t>HobbyKing</w:t>
      </w:r>
      <w:r w:rsidR="00812FB0">
        <w:t xml:space="preserve"> claims that the requirement to fully respond to the </w:t>
      </w:r>
      <w:r w:rsidR="004177D9">
        <w:t>LOI</w:t>
      </w:r>
      <w:r w:rsidR="00490C5F">
        <w:t xml:space="preserve"> </w:t>
      </w:r>
      <w:r w:rsidR="006E22E3">
        <w:t xml:space="preserve">violated </w:t>
      </w:r>
      <w:r w:rsidR="008A154A">
        <w:t>the</w:t>
      </w:r>
      <w:r w:rsidR="003343A8">
        <w:t xml:space="preserve"> </w:t>
      </w:r>
      <w:r w:rsidR="002E5F07">
        <w:t>C</w:t>
      </w:r>
      <w:r w:rsidR="003343A8">
        <w:t>ompany</w:t>
      </w:r>
      <w:r w:rsidR="0098443C">
        <w:t>’</w:t>
      </w:r>
      <w:r w:rsidR="003343A8">
        <w:t xml:space="preserve">s </w:t>
      </w:r>
      <w:r w:rsidR="008A154A">
        <w:t>Fifth Amendment right against self-incrimination.</w:t>
      </w:r>
      <w:r>
        <w:rPr>
          <w:rStyle w:val="FootnoteReference"/>
        </w:rPr>
        <w:footnoteReference w:id="28"/>
      </w:r>
      <w:r w:rsidR="008A154A">
        <w:t xml:space="preserve">  </w:t>
      </w:r>
      <w:r w:rsidRPr="00955ED6" w:rsidR="008A154A">
        <w:rPr>
          <w:i/>
          <w:iCs/>
        </w:rPr>
        <w:t>F</w:t>
      </w:r>
      <w:r w:rsidRPr="00955ED6" w:rsidR="00931A54">
        <w:rPr>
          <w:i/>
          <w:iCs/>
        </w:rPr>
        <w:t>ourth</w:t>
      </w:r>
      <w:r w:rsidR="008A154A">
        <w:t xml:space="preserve">, </w:t>
      </w:r>
      <w:r w:rsidR="008A154A">
        <w:t>HobbyKing</w:t>
      </w:r>
      <w:r w:rsidR="008A154A">
        <w:t xml:space="preserve"> asserts that the forfeiture amount should be reduced </w:t>
      </w:r>
      <w:r w:rsidR="00321972">
        <w:t>based on various downward adjustment factors, including inability to pay.</w:t>
      </w:r>
      <w:r>
        <w:rPr>
          <w:rStyle w:val="FootnoteReference"/>
        </w:rPr>
        <w:footnoteReference w:id="29"/>
      </w:r>
      <w:r w:rsidR="00936586">
        <w:t xml:space="preserve">  </w:t>
      </w:r>
      <w:r w:rsidR="00F92B8E">
        <w:t>I</w:t>
      </w:r>
      <w:r w:rsidR="002C3EDE">
        <w:t>n response to the directive</w:t>
      </w:r>
      <w:r w:rsidR="00F647CE">
        <w:t xml:space="preserve"> in the </w:t>
      </w:r>
      <w:r w:rsidRPr="00955ED6" w:rsidR="0067355C">
        <w:rPr>
          <w:i/>
          <w:iCs/>
        </w:rPr>
        <w:t>NAL</w:t>
      </w:r>
      <w:r w:rsidR="002C3EDE">
        <w:t xml:space="preserve"> to cease marketing noncompliant devices, </w:t>
      </w:r>
      <w:r w:rsidR="002C3EDE">
        <w:t>HobbyKing</w:t>
      </w:r>
      <w:r w:rsidR="002C3EDE">
        <w:t xml:space="preserve"> claims that it no longer sells the 65 models identified in the</w:t>
      </w:r>
      <w:r w:rsidRPr="00955ED6" w:rsidR="002C3EDE">
        <w:rPr>
          <w:i/>
          <w:iCs/>
        </w:rPr>
        <w:t xml:space="preserve"> NAL</w:t>
      </w:r>
      <w:r w:rsidR="00DD2CE4">
        <w:t>.  The Company</w:t>
      </w:r>
      <w:r w:rsidR="00E47899">
        <w:t xml:space="preserve"> also stated that it</w:t>
      </w:r>
      <w:r w:rsidR="002C3EDE">
        <w:t xml:space="preserve"> </w:t>
      </w:r>
      <w:r w:rsidR="006C5D72">
        <w:t xml:space="preserve">will </w:t>
      </w:r>
      <w:r w:rsidR="002C3EDE">
        <w:t xml:space="preserve">use “best efforts” to </w:t>
      </w:r>
      <w:r w:rsidR="002E5F07">
        <w:t>avoid</w:t>
      </w:r>
      <w:r w:rsidR="002C3EDE">
        <w:t xml:space="preserve"> market</w:t>
      </w:r>
      <w:r w:rsidR="002E5F07">
        <w:t>ing</w:t>
      </w:r>
      <w:r w:rsidR="002C3EDE">
        <w:t xml:space="preserve"> other noncompliant devices</w:t>
      </w:r>
      <w:r w:rsidR="00563512">
        <w:t xml:space="preserve"> that the Bureau identified in an enforcement advisory issued the same day as the </w:t>
      </w:r>
      <w:r w:rsidRPr="00955ED6" w:rsidR="00563512">
        <w:rPr>
          <w:i/>
          <w:iCs/>
        </w:rPr>
        <w:t>NAL</w:t>
      </w:r>
      <w:r w:rsidR="009573BE">
        <w:t>.</w:t>
      </w:r>
      <w:r>
        <w:rPr>
          <w:rStyle w:val="FootnoteReference"/>
        </w:rPr>
        <w:footnoteReference w:id="30"/>
      </w:r>
      <w:r w:rsidR="00630D55">
        <w:t xml:space="preserve">  </w:t>
      </w:r>
      <w:r w:rsidR="003D01A6">
        <w:t xml:space="preserve"> </w:t>
      </w:r>
    </w:p>
    <w:p w:rsidR="009F1E0F" w:rsidP="004C6A2A" w14:paraId="0F12DB69" w14:textId="77777777">
      <w:pPr>
        <w:pStyle w:val="Heading1"/>
      </w:pPr>
      <w:bookmarkStart w:id="30" w:name="_Toc379289000"/>
      <w:bookmarkStart w:id="31" w:name="_Toc379365501"/>
      <w:bookmarkStart w:id="32" w:name="_Toc7603261"/>
      <w:bookmarkStart w:id="33" w:name="_Toc13488316"/>
      <w:bookmarkStart w:id="34" w:name="_Toc19605232"/>
      <w:bookmarkStart w:id="35" w:name="_Toc19628687"/>
      <w:bookmarkStart w:id="36" w:name="_Toc19628714"/>
      <w:bookmarkStart w:id="37" w:name="_Toc22904515"/>
      <w:bookmarkStart w:id="38" w:name="_Toc23239876"/>
      <w:bookmarkStart w:id="39" w:name="_Toc30682627"/>
      <w:bookmarkStart w:id="40" w:name="_Toc30682688"/>
      <w:bookmarkStart w:id="41" w:name="_Toc40101067"/>
      <w:bookmarkStart w:id="42" w:name="_Toc40101715"/>
      <w:r w:rsidRPr="00344C0B">
        <w:t>DISCUSSION</w:t>
      </w:r>
      <w:bookmarkEnd w:id="30"/>
      <w:bookmarkEnd w:id="31"/>
      <w:bookmarkEnd w:id="32"/>
      <w:bookmarkEnd w:id="33"/>
      <w:bookmarkEnd w:id="34"/>
      <w:bookmarkEnd w:id="35"/>
      <w:bookmarkEnd w:id="36"/>
      <w:bookmarkEnd w:id="37"/>
      <w:bookmarkEnd w:id="38"/>
      <w:bookmarkEnd w:id="39"/>
      <w:bookmarkEnd w:id="40"/>
      <w:bookmarkEnd w:id="41"/>
      <w:bookmarkEnd w:id="42"/>
    </w:p>
    <w:p w:rsidR="00E6009E" w:rsidRPr="00344C0B" w:rsidP="00673654" w14:paraId="6177FF4B" w14:textId="2494B775">
      <w:pPr>
        <w:pStyle w:val="ParaNum"/>
      </w:pPr>
      <w:r>
        <w:t>In this Forfeiture Order, we find</w:t>
      </w:r>
      <w:r w:rsidR="006C5D72">
        <w:t xml:space="preserve"> </w:t>
      </w:r>
      <w:r>
        <w:t xml:space="preserve">that </w:t>
      </w:r>
      <w:r>
        <w:t>HobbyKing</w:t>
      </w:r>
      <w:r>
        <w:t xml:space="preserve"> </w:t>
      </w:r>
      <w:r w:rsidR="006C5D72">
        <w:t>violated the Act and the Commission</w:t>
      </w:r>
      <w:r w:rsidR="0098443C">
        <w:t>’</w:t>
      </w:r>
      <w:r w:rsidR="006C5D72">
        <w:t xml:space="preserve">s rules by </w:t>
      </w:r>
      <w:r>
        <w:t>market</w:t>
      </w:r>
      <w:r w:rsidR="006C5D72">
        <w:t>ing</w:t>
      </w:r>
      <w:r>
        <w:t xml:space="preserve"> </w:t>
      </w:r>
      <w:r w:rsidR="00D34034">
        <w:t>65 models of</w:t>
      </w:r>
      <w:r>
        <w:t xml:space="preserve"> noncompliant </w:t>
      </w:r>
      <w:r w:rsidR="00D34034">
        <w:t xml:space="preserve">radio frequency </w:t>
      </w:r>
      <w:r w:rsidR="00A531BD">
        <w:t>accessories on its website</w:t>
      </w:r>
      <w:r>
        <w:t xml:space="preserve"> and </w:t>
      </w:r>
      <w:r w:rsidR="003E1B01">
        <w:t xml:space="preserve">by failing </w:t>
      </w:r>
      <w:r>
        <w:t>to respond to Commission orders</w:t>
      </w:r>
      <w:r w:rsidR="00A531BD">
        <w:t xml:space="preserve"> issued during the investigation</w:t>
      </w:r>
      <w:r>
        <w:t xml:space="preserve">.  </w:t>
      </w:r>
      <w:r w:rsidRPr="00344C0B">
        <w:t xml:space="preserve">The Commission </w:t>
      </w:r>
      <w:r w:rsidRPr="00344C0B" w:rsidR="00E273E3">
        <w:t xml:space="preserve">proposed </w:t>
      </w:r>
      <w:r w:rsidRPr="00344C0B">
        <w:t xml:space="preserve">a </w:t>
      </w:r>
      <w:r w:rsidRPr="00344C0B" w:rsidR="00E273E3">
        <w:t xml:space="preserve">forfeiture </w:t>
      </w:r>
      <w:r w:rsidRPr="00344C0B" w:rsidR="00E273E3">
        <w:t xml:space="preserve">in this case in accordance with </w:t>
      </w:r>
      <w:r w:rsidR="00490E67">
        <w:t>s</w:t>
      </w:r>
      <w:r w:rsidRPr="00344C0B" w:rsidR="00E273E3">
        <w:t>ection 503(b) of the Act,</w:t>
      </w:r>
      <w:r>
        <w:rPr>
          <w:rStyle w:val="FootnoteReference"/>
        </w:rPr>
        <w:footnoteReference w:id="31"/>
      </w:r>
      <w:r w:rsidRPr="0007571D" w:rsidR="00E273E3">
        <w:t xml:space="preserve"> </w:t>
      </w:r>
      <w:r w:rsidR="00490E67">
        <w:t>s</w:t>
      </w:r>
      <w:r w:rsidRPr="0007571D" w:rsidR="00E273E3">
        <w:t xml:space="preserve">ection 1.80 of the </w:t>
      </w:r>
      <w:r w:rsidR="00C339C4">
        <w:t>Commission</w:t>
      </w:r>
      <w:r w:rsidR="0098443C">
        <w:t>’</w:t>
      </w:r>
      <w:r w:rsidR="00C339C4">
        <w:t>s r</w:t>
      </w:r>
      <w:r w:rsidRPr="0007571D" w:rsidR="00E273E3">
        <w:t>ules,</w:t>
      </w:r>
      <w:r>
        <w:rPr>
          <w:vertAlign w:val="superscript"/>
        </w:rPr>
        <w:footnoteReference w:id="32"/>
      </w:r>
      <w:r w:rsidRPr="0007571D" w:rsidR="00E273E3">
        <w:t xml:space="preserve"> and the Commissi</w:t>
      </w:r>
      <w:r w:rsidRPr="00344C0B" w:rsidR="00E273E3">
        <w:t>on</w:t>
      </w:r>
      <w:r w:rsidR="0098443C">
        <w:t>’</w:t>
      </w:r>
      <w:r w:rsidRPr="00344C0B" w:rsidR="00E273E3">
        <w:t xml:space="preserve">s </w:t>
      </w:r>
      <w:r w:rsidRPr="007F5C62" w:rsidR="00E273E3">
        <w:rPr>
          <w:i/>
        </w:rPr>
        <w:t xml:space="preserve">Forfeiture Policy </w:t>
      </w:r>
      <w:r w:rsidRPr="007F5C62" w:rsidR="00E273E3">
        <w:rPr>
          <w:rFonts w:eastAsia="MS Mincho"/>
          <w:i/>
        </w:rPr>
        <w:t>Statement</w:t>
      </w:r>
      <w:r w:rsidRPr="00344C0B" w:rsidR="00E273E3">
        <w:t>.</w:t>
      </w:r>
      <w:r>
        <w:rPr>
          <w:rStyle w:val="FootnoteReference"/>
        </w:rPr>
        <w:footnoteReference w:id="33"/>
      </w:r>
      <w:r w:rsidRPr="0007571D" w:rsidR="00E273E3">
        <w:t xml:space="preserve">  </w:t>
      </w:r>
      <w:r w:rsidRPr="00344C0B">
        <w:t>When we assess</w:t>
      </w:r>
      <w:r w:rsidRPr="00344C0B" w:rsidR="00E273E3">
        <w:t xml:space="preserve"> forfeitures, </w:t>
      </w:r>
      <w:r w:rsidR="00490E67">
        <w:t>s</w:t>
      </w:r>
      <w:r w:rsidRPr="00344C0B" w:rsidR="00E273E3">
        <w:t>ection 503(b)(2)(E)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34"/>
      </w:r>
      <w:r w:rsidRPr="0007571D" w:rsidR="00E273E3">
        <w:t xml:space="preserve">  </w:t>
      </w:r>
      <w:r w:rsidRPr="007F5C62" w:rsidR="00582F97">
        <w:t>W</w:t>
      </w:r>
      <w:r w:rsidRPr="007F5C62" w:rsidR="006B685D">
        <w:t>e</w:t>
      </w:r>
      <w:r w:rsidRPr="007F5C62">
        <w:t xml:space="preserve"> have </w:t>
      </w:r>
      <w:r w:rsidRPr="007F5C62" w:rsidR="006B685D">
        <w:t xml:space="preserve">fully </w:t>
      </w:r>
      <w:r w:rsidRPr="007F5C62">
        <w:t xml:space="preserve">considered </w:t>
      </w:r>
      <w:r w:rsidR="00401002">
        <w:t>HobbyKing</w:t>
      </w:r>
      <w:r w:rsidR="0098443C">
        <w:t>’</w:t>
      </w:r>
      <w:r w:rsidR="00401002">
        <w:t xml:space="preserve">s </w:t>
      </w:r>
      <w:r w:rsidRPr="007F5C62">
        <w:t xml:space="preserve">response to the </w:t>
      </w:r>
      <w:r w:rsidRPr="00955ED6" w:rsidR="0067355C">
        <w:rPr>
          <w:i/>
          <w:iCs/>
        </w:rPr>
        <w:t>NAL</w:t>
      </w:r>
      <w:r w:rsidRPr="007F5C62" w:rsidR="00401002">
        <w:t xml:space="preserve">, </w:t>
      </w:r>
      <w:r w:rsidRPr="007F5C62">
        <w:t xml:space="preserve">which </w:t>
      </w:r>
      <w:r w:rsidR="003E67E7">
        <w:t xml:space="preserve">does not contest any facts and </w:t>
      </w:r>
      <w:r w:rsidRPr="007F5C62">
        <w:t xml:space="preserve">includes </w:t>
      </w:r>
      <w:r w:rsidR="003E67E7">
        <w:t xml:space="preserve">only </w:t>
      </w:r>
      <w:r w:rsidRPr="007F5C62">
        <w:t xml:space="preserve">a variety of legal arguments, none of </w:t>
      </w:r>
      <w:r w:rsidR="003E67E7">
        <w:t>which we find</w:t>
      </w:r>
      <w:r w:rsidRPr="007F5C62">
        <w:t xml:space="preserve"> persuasive.  We therefore a</w:t>
      </w:r>
      <w:r w:rsidR="003E1B01">
        <w:t>dopt</w:t>
      </w:r>
      <w:r w:rsidRPr="007F5C62">
        <w:t xml:space="preserve"> the $</w:t>
      </w:r>
      <w:r w:rsidRPr="007F5C62" w:rsidR="007B4207">
        <w:t>2,861,128</w:t>
      </w:r>
      <w:r w:rsidRPr="007F5C62">
        <w:t xml:space="preserve"> forfeiture </w:t>
      </w:r>
      <w:r w:rsidR="003E1B01">
        <w:t xml:space="preserve">penalty </w:t>
      </w:r>
      <w:r w:rsidRPr="007F5C62">
        <w:t>proposed in the</w:t>
      </w:r>
      <w:r w:rsidRPr="007F5C62" w:rsidR="00565A03">
        <w:rPr>
          <w:i/>
        </w:rPr>
        <w:t xml:space="preserve"> </w:t>
      </w:r>
      <w:r w:rsidRPr="00955ED6" w:rsidR="0067355C">
        <w:rPr>
          <w:i/>
          <w:iCs/>
        </w:rPr>
        <w:t>NAL</w:t>
      </w:r>
      <w:r w:rsidRPr="007F5C62">
        <w:rPr>
          <w:i/>
        </w:rPr>
        <w:t>.</w:t>
      </w:r>
    </w:p>
    <w:p w:rsidR="003A32DC" w:rsidRPr="00C5374C" w:rsidP="004C6A2A" w14:paraId="5389CA45" w14:textId="01B33E15">
      <w:pPr>
        <w:pStyle w:val="Heading2"/>
      </w:pPr>
      <w:bookmarkStart w:id="43" w:name="_Toc19605233"/>
      <w:bookmarkStart w:id="44" w:name="_Toc19628688"/>
      <w:bookmarkStart w:id="45" w:name="_Toc19628715"/>
      <w:bookmarkStart w:id="46" w:name="_Toc22904516"/>
      <w:bookmarkStart w:id="47" w:name="_Toc23239877"/>
      <w:bookmarkStart w:id="48" w:name="_Toc30682628"/>
      <w:bookmarkStart w:id="49" w:name="_Toc30682689"/>
      <w:bookmarkStart w:id="50" w:name="_Toc40101068"/>
      <w:bookmarkStart w:id="51" w:name="_Toc40101716"/>
      <w:bookmarkStart w:id="52" w:name="_Toc13488317"/>
      <w:bookmarkStart w:id="53" w:name="_Toc7603262"/>
      <w:r w:rsidRPr="00C5374C">
        <w:t>H</w:t>
      </w:r>
      <w:r w:rsidRPr="00212AA6" w:rsidR="00212AA6">
        <w:t>obby</w:t>
      </w:r>
      <w:r w:rsidRPr="00C5374C">
        <w:t>K</w:t>
      </w:r>
      <w:r w:rsidRPr="00C5374C" w:rsidR="00212AA6">
        <w:t>ing</w:t>
      </w:r>
      <w:r w:rsidRPr="00C5374C">
        <w:t xml:space="preserve"> </w:t>
      </w:r>
      <w:r w:rsidRPr="00C5374C" w:rsidR="003E1B01">
        <w:t xml:space="preserve">Marketed Unauthorized </w:t>
      </w:r>
      <w:r w:rsidRPr="00C5374C">
        <w:t>E</w:t>
      </w:r>
      <w:r w:rsidRPr="00C5374C" w:rsidR="00212AA6">
        <w:t>quipment</w:t>
      </w:r>
      <w:bookmarkEnd w:id="43"/>
      <w:bookmarkEnd w:id="44"/>
      <w:bookmarkEnd w:id="45"/>
      <w:bookmarkEnd w:id="46"/>
      <w:bookmarkEnd w:id="47"/>
      <w:bookmarkEnd w:id="48"/>
      <w:bookmarkEnd w:id="49"/>
      <w:bookmarkEnd w:id="50"/>
      <w:bookmarkEnd w:id="51"/>
      <w:r w:rsidRPr="00C5374C">
        <w:t xml:space="preserve"> </w:t>
      </w:r>
      <w:bookmarkEnd w:id="52"/>
      <w:r w:rsidRPr="00C5374C">
        <w:t xml:space="preserve"> </w:t>
      </w:r>
    </w:p>
    <w:p w:rsidR="003A32DC" w:rsidP="00F26EAF" w14:paraId="682193BA" w14:textId="62C835D2">
      <w:pPr>
        <w:pStyle w:val="ParaNum"/>
      </w:pPr>
      <w:r>
        <w:t xml:space="preserve">AV transmitters, such as </w:t>
      </w:r>
      <w:r>
        <w:t>the</w:t>
      </w:r>
      <w:r w:rsidR="00F1494C">
        <w:t xml:space="preserve"> 65 models of</w:t>
      </w:r>
      <w:r>
        <w:t xml:space="preserve"> AV transmitters </w:t>
      </w:r>
      <w:r>
        <w:t xml:space="preserve">marketed by </w:t>
      </w:r>
      <w:r>
        <w:t>HobbyKing</w:t>
      </w:r>
      <w:r>
        <w:t xml:space="preserve">, </w:t>
      </w:r>
      <w:r>
        <w:t>are</w:t>
      </w:r>
      <w:r w:rsidR="00145E99">
        <w:t xml:space="preserve"> </w:t>
      </w:r>
      <w:r>
        <w:t xml:space="preserve">radio frequency devices </w:t>
      </w:r>
      <w:r w:rsidR="00145E99">
        <w:t xml:space="preserve">subject to the </w:t>
      </w:r>
      <w:r w:rsidR="00120F34">
        <w:t>Commission</w:t>
      </w:r>
      <w:r w:rsidR="0098443C">
        <w:t>’</w:t>
      </w:r>
      <w:r w:rsidR="00120F34">
        <w:t xml:space="preserve">s </w:t>
      </w:r>
      <w:r w:rsidR="00145E99">
        <w:t>equipment marketing r</w:t>
      </w:r>
      <w:r w:rsidR="00120F34">
        <w:t>ules</w:t>
      </w:r>
      <w:r w:rsidR="00145E99">
        <w:t xml:space="preserve">.  These AV transmitters are radio frequency devices </w:t>
      </w:r>
      <w:r>
        <w:t>because they are “capable of emitting radiofrequency energy by radiation, conduction, or other means.”</w:t>
      </w:r>
      <w:r>
        <w:rPr>
          <w:rStyle w:val="FootnoteReference"/>
        </w:rPr>
        <w:footnoteReference w:id="35"/>
      </w:r>
      <w:r>
        <w:t xml:space="preserve">  </w:t>
      </w:r>
      <w:r w:rsidR="00145E99">
        <w:t>More specifically, t</w:t>
      </w:r>
      <w:r>
        <w:t>he AV transmitters are intentional radiators because they “intentionally generate[] and emit[] radio frequency energy by radiation or induction.”</w:t>
      </w:r>
      <w:r>
        <w:rPr>
          <w:rStyle w:val="FootnoteReference"/>
        </w:rPr>
        <w:footnoteReference w:id="36"/>
      </w:r>
      <w:r>
        <w:t xml:space="preserve">  Intentional radiators must be certified</w:t>
      </w:r>
      <w:r w:rsidR="00145E99">
        <w:t xml:space="preserve"> before they can be marketed to U.S. consumers</w:t>
      </w:r>
      <w:r>
        <w:t>.</w:t>
      </w:r>
      <w:r>
        <w:rPr>
          <w:rStyle w:val="FootnoteReference"/>
        </w:rPr>
        <w:footnoteReference w:id="37"/>
      </w:r>
      <w:r>
        <w:t xml:space="preserve">  </w:t>
      </w:r>
      <w:r w:rsidR="0012531B">
        <w:t>HobbyKing</w:t>
      </w:r>
      <w:r w:rsidR="0012531B">
        <w:t xml:space="preserve"> marketed </w:t>
      </w:r>
      <w:r w:rsidR="005F55A3">
        <w:t xml:space="preserve">each of </w:t>
      </w:r>
      <w:r w:rsidR="0012531B">
        <w:t xml:space="preserve">the </w:t>
      </w:r>
      <w:r w:rsidR="005F55A3">
        <w:t xml:space="preserve">65 </w:t>
      </w:r>
      <w:r w:rsidR="00131E5C">
        <w:t>equipment model</w:t>
      </w:r>
      <w:r w:rsidR="0012531B">
        <w:t xml:space="preserve">s </w:t>
      </w:r>
      <w:r w:rsidR="00B9636A">
        <w:t xml:space="preserve">at issue </w:t>
      </w:r>
      <w:r w:rsidR="0012531B">
        <w:t>to United States consumers.</w:t>
      </w:r>
      <w:r>
        <w:rPr>
          <w:rStyle w:val="FootnoteReference"/>
        </w:rPr>
        <w:footnoteReference w:id="38"/>
      </w:r>
      <w:r w:rsidR="00F24056">
        <w:t xml:space="preserve">  </w:t>
      </w:r>
      <w:r w:rsidR="007F1037">
        <w:t>N</w:t>
      </w:r>
      <w:r w:rsidR="00262CCD">
        <w:t>o certification exists for the 65 AV transmitter</w:t>
      </w:r>
      <w:r w:rsidR="00D96FD4">
        <w:t xml:space="preserve"> model</w:t>
      </w:r>
      <w:r w:rsidR="00262CCD">
        <w:t xml:space="preserve">s at issue and </w:t>
      </w:r>
      <w:r w:rsidR="00262CCD">
        <w:t>HobbyKing</w:t>
      </w:r>
      <w:r w:rsidR="00262CCD">
        <w:t xml:space="preserve"> does not argue otherwise.</w:t>
      </w:r>
      <w:r>
        <w:rPr>
          <w:rStyle w:val="FootnoteReference"/>
        </w:rPr>
        <w:footnoteReference w:id="39"/>
      </w:r>
    </w:p>
    <w:p w:rsidR="009F258B" w:rsidP="00F73566" w14:paraId="1F41FF0D" w14:textId="683753C3">
      <w:pPr>
        <w:pStyle w:val="ParaNum"/>
      </w:pPr>
      <w:bookmarkStart w:id="54" w:name="_Ref13226474"/>
      <w:r>
        <w:t>The Commission has consistently stated that devices that do not operate solely on amateur frequencies require authorization.</w:t>
      </w:r>
      <w:r w:rsidR="00AF2116">
        <w:t xml:space="preserve">  </w:t>
      </w:r>
      <w:r w:rsidR="00C61285">
        <w:t>Sixteen years ago</w:t>
      </w:r>
      <w:r w:rsidR="00AF2116">
        <w:t xml:space="preserve">, </w:t>
      </w:r>
      <w:r w:rsidR="00C42159">
        <w:t xml:space="preserve">in </w:t>
      </w:r>
      <w:r w:rsidRPr="00AC10B0" w:rsidR="00C42159">
        <w:rPr>
          <w:i/>
        </w:rPr>
        <w:t>Pilot Travel</w:t>
      </w:r>
      <w:r w:rsidR="00AF2116">
        <w:t xml:space="preserve">, the Commission fined a marketer that offered </w:t>
      </w:r>
      <w:r w:rsidR="00377EDF">
        <w:t xml:space="preserve">for sale </w:t>
      </w:r>
      <w:r w:rsidR="00AF2116">
        <w:t>non-certified transmitters</w:t>
      </w:r>
      <w:r w:rsidR="00C42159">
        <w:t xml:space="preserve"> </w:t>
      </w:r>
      <w:r w:rsidR="00377EDF">
        <w:t>because, although the transmitters operated in the amateur band, they were “equipped with rotary, toggle, or pushbutton switches mounted externally on the unit, which allow</w:t>
      </w:r>
      <w:r w:rsidR="007228F8">
        <w:t>[ed]</w:t>
      </w:r>
      <w:r w:rsidR="00377EDF">
        <w:t xml:space="preserve"> operation in the [Citizens Band] bands after completion of minor and trivial internal modifications to the equipment.”</w:t>
      </w:r>
      <w:r>
        <w:rPr>
          <w:rStyle w:val="FootnoteReference"/>
        </w:rPr>
        <w:footnoteReference w:id="40"/>
      </w:r>
      <w:r w:rsidR="00377EDF">
        <w:t xml:space="preserve">  Because the transmitters could</w:t>
      </w:r>
      <w:r w:rsidR="00C42159">
        <w:t xml:space="preserve"> easily</w:t>
      </w:r>
      <w:r w:rsidR="00377EDF">
        <w:t xml:space="preserve"> operate off the amateur </w:t>
      </w:r>
      <w:r w:rsidR="00C42159">
        <w:t xml:space="preserve">bands, the transmitters required certification under the </w:t>
      </w:r>
      <w:r w:rsidR="00AC10B0">
        <w:t xml:space="preserve">Commission’s </w:t>
      </w:r>
      <w:r w:rsidR="00C42159">
        <w:t>general marketing and CB rules.</w:t>
      </w:r>
      <w:r>
        <w:rPr>
          <w:rStyle w:val="FootnoteReference"/>
        </w:rPr>
        <w:footnoteReference w:id="41"/>
      </w:r>
      <w:r w:rsidR="00C42159">
        <w:t xml:space="preserve">  </w:t>
      </w:r>
      <w:r w:rsidR="00496684">
        <w:t xml:space="preserve">Even before that time, the Commission </w:t>
      </w:r>
      <w:r w:rsidR="009E161F">
        <w:t>publicly explained</w:t>
      </w:r>
      <w:r w:rsidR="00AC10B0">
        <w:t xml:space="preserve"> </w:t>
      </w:r>
      <w:r>
        <w:t>that “[d]</w:t>
      </w:r>
      <w:r w:rsidRPr="00B330FD">
        <w:t>evices</w:t>
      </w:r>
      <w:r w:rsidRPr="00B330FD">
        <w:t xml:space="preserve"> used in the Amateur Radio Service do not require authorization prior to being imported into the United States, </w:t>
      </w:r>
      <w:r w:rsidRPr="00AC10B0">
        <w:rPr>
          <w:i/>
        </w:rPr>
        <w:t>but</w:t>
      </w:r>
      <w:r w:rsidRPr="00B330FD">
        <w:t xml:space="preserve"> </w:t>
      </w:r>
      <w:r w:rsidRPr="00AC10B0">
        <w:rPr>
          <w:i/>
        </w:rPr>
        <w:t xml:space="preserve">devices for other services, </w:t>
      </w:r>
      <w:r w:rsidRPr="00AC10B0">
        <w:rPr>
          <w:i/>
        </w:rPr>
        <w:t>including the CB service, require Commission approval</w:t>
      </w:r>
      <w:r w:rsidRPr="00B330FD">
        <w:t>.</w:t>
      </w:r>
      <w:r>
        <w:t>”</w:t>
      </w:r>
      <w:r>
        <w:rPr>
          <w:rStyle w:val="FootnoteReference"/>
        </w:rPr>
        <w:footnoteReference w:id="42"/>
      </w:r>
      <w:r>
        <w:t xml:space="preserve">  </w:t>
      </w:r>
      <w:r w:rsidR="00AC10B0">
        <w:t xml:space="preserve">These Commission actions </w:t>
      </w:r>
      <w:r w:rsidR="006E22E3">
        <w:t>provided</w:t>
      </w:r>
      <w:r w:rsidR="009E161F">
        <w:t xml:space="preserve"> </w:t>
      </w:r>
      <w:r w:rsidR="00B51D82">
        <w:t>long-standin</w:t>
      </w:r>
      <w:r w:rsidR="00647E5C">
        <w:t>g</w:t>
      </w:r>
      <w:r>
        <w:t xml:space="preserve"> notice to entities like </w:t>
      </w:r>
      <w:r>
        <w:t>HobbyKing</w:t>
      </w:r>
      <w:r>
        <w:t xml:space="preserve"> that</w:t>
      </w:r>
      <w:r w:rsidR="004D77F5">
        <w:t>,</w:t>
      </w:r>
      <w:r>
        <w:t xml:space="preserve"> if a radio frequency device operates both on and off amateur frequencies, </w:t>
      </w:r>
      <w:r w:rsidR="008C1CDB">
        <w:t>the device</w:t>
      </w:r>
      <w:r>
        <w:t xml:space="preserve"> require</w:t>
      </w:r>
      <w:r w:rsidR="003D7C39">
        <w:t>s</w:t>
      </w:r>
      <w:r>
        <w:t xml:space="preserve"> Commission approval.</w:t>
      </w:r>
      <w:r>
        <w:rPr>
          <w:rStyle w:val="FootnoteReference"/>
        </w:rPr>
        <w:footnoteReference w:id="43"/>
      </w:r>
      <w:r>
        <w:t xml:space="preserve">  Thus, </w:t>
      </w:r>
      <w:r w:rsidR="00D96FD4">
        <w:t>pursuant to</w:t>
      </w:r>
      <w:r>
        <w:t xml:space="preserve"> the Act, the Commission’s rules, and </w:t>
      </w:r>
      <w:r w:rsidR="006352AF">
        <w:t xml:space="preserve">FCC </w:t>
      </w:r>
      <w:r>
        <w:t xml:space="preserve">precedent, the AV transmitters </w:t>
      </w:r>
      <w:r w:rsidR="00D96FD4">
        <w:t xml:space="preserve">models at issue </w:t>
      </w:r>
      <w:r>
        <w:t>required certification</w:t>
      </w:r>
      <w:r w:rsidR="00D96FD4">
        <w:t xml:space="preserve">. </w:t>
      </w:r>
      <w:r>
        <w:t xml:space="preserve"> </w:t>
      </w:r>
      <w:r w:rsidR="00D96FD4">
        <w:t>Y</w:t>
      </w:r>
      <w:r>
        <w:t xml:space="preserve">et </w:t>
      </w:r>
      <w:r w:rsidR="00D96FD4">
        <w:t xml:space="preserve">they </w:t>
      </w:r>
      <w:r>
        <w:t xml:space="preserve">had none, making them noncompliant.  Accordingly, </w:t>
      </w:r>
      <w:r>
        <w:t>HobbyKing</w:t>
      </w:r>
      <w:r>
        <w:t xml:space="preserve"> could not market them in the United States.</w:t>
      </w:r>
      <w:bookmarkEnd w:id="54"/>
      <w:r>
        <w:t xml:space="preserve">  </w:t>
      </w:r>
    </w:p>
    <w:p w:rsidR="001A74BE" w:rsidP="00FE17D6" w14:paraId="6B2D3E87" w14:textId="63D85036">
      <w:pPr>
        <w:pStyle w:val="ParaNum"/>
      </w:pPr>
      <w:r>
        <w:t>HobbyKing</w:t>
      </w:r>
      <w:r w:rsidR="008E1F8D">
        <w:t xml:space="preserve"> mistakenly claims </w:t>
      </w:r>
      <w:r w:rsidR="00957404">
        <w:t xml:space="preserve">the Commission needed to adopt </w:t>
      </w:r>
      <w:r w:rsidR="00474858">
        <w:t xml:space="preserve">equipment marketing </w:t>
      </w:r>
      <w:r w:rsidR="00957404">
        <w:t>rule</w:t>
      </w:r>
      <w:r w:rsidR="00474858">
        <w:t>s</w:t>
      </w:r>
      <w:r w:rsidR="00957404">
        <w:t xml:space="preserve"> that </w:t>
      </w:r>
      <w:r w:rsidR="00474858">
        <w:t xml:space="preserve">specifically </w:t>
      </w:r>
      <w:r w:rsidR="008E1F8D">
        <w:t>address</w:t>
      </w:r>
      <w:r w:rsidR="00474858">
        <w:t xml:space="preserve"> equipment designed to operate as drone accessories</w:t>
      </w:r>
      <w:r w:rsidR="00726F1A">
        <w:t>,</w:t>
      </w:r>
      <w:r w:rsidR="00474858">
        <w:t xml:space="preserve"> both </w:t>
      </w:r>
      <w:r w:rsidR="004D3AD8">
        <w:t xml:space="preserve">within </w:t>
      </w:r>
      <w:r w:rsidR="00474858">
        <w:t xml:space="preserve">the amateur radio service bands and outside of </w:t>
      </w:r>
      <w:r w:rsidR="004D3AD8">
        <w:t>them</w:t>
      </w:r>
      <w:r w:rsidR="00F35F5F">
        <w:t xml:space="preserve"> (</w:t>
      </w:r>
      <w:r w:rsidR="004D3AD8">
        <w:t>which the Company dubs</w:t>
      </w:r>
      <w:r w:rsidR="00F35F5F">
        <w:t xml:space="preserve"> “versatile” equipment)</w:t>
      </w:r>
      <w:r w:rsidR="00474858">
        <w:t xml:space="preserve"> in order to take enforcement action against </w:t>
      </w:r>
      <w:r w:rsidR="00474858">
        <w:t>HobbyKing</w:t>
      </w:r>
      <w:r w:rsidR="00474858">
        <w:t>.</w:t>
      </w:r>
      <w:r>
        <w:rPr>
          <w:rStyle w:val="FootnoteReference"/>
        </w:rPr>
        <w:footnoteReference w:id="44"/>
      </w:r>
      <w:r w:rsidR="00474858">
        <w:t xml:space="preserve">  </w:t>
      </w:r>
      <w:r w:rsidR="00931A54">
        <w:t xml:space="preserve">Contrary to </w:t>
      </w:r>
      <w:r w:rsidR="00931A54">
        <w:t>HobbyKing</w:t>
      </w:r>
      <w:r w:rsidR="0098443C">
        <w:t>’</w:t>
      </w:r>
      <w:r w:rsidR="00931A54">
        <w:t>s</w:t>
      </w:r>
      <w:r w:rsidR="00931A54">
        <w:t xml:space="preserve"> assertion, t</w:t>
      </w:r>
      <w:r w:rsidR="00474858">
        <w:t xml:space="preserve">he requirement that AV transmitters obtain equipment </w:t>
      </w:r>
      <w:r w:rsidR="00307518">
        <w:t>authorization</w:t>
      </w:r>
      <w:r w:rsidR="00474858">
        <w:t xml:space="preserve"> applies to </w:t>
      </w:r>
      <w:r w:rsidRPr="00026366" w:rsidR="00474858">
        <w:rPr>
          <w:i/>
          <w:iCs/>
        </w:rPr>
        <w:t>all</w:t>
      </w:r>
      <w:r w:rsidR="00474858">
        <w:t xml:space="preserve"> intentional radiators.  </w:t>
      </w:r>
      <w:r w:rsidR="00EA1B6F">
        <w:t>T</w:t>
      </w:r>
      <w:r w:rsidR="00474858">
        <w:t>he Commission</w:t>
      </w:r>
      <w:r w:rsidR="0098443C">
        <w:t>’</w:t>
      </w:r>
      <w:r w:rsidR="00474858">
        <w:t xml:space="preserve">s rules explicitly state </w:t>
      </w:r>
      <w:r w:rsidR="00F771A4">
        <w:t>that</w:t>
      </w:r>
      <w:r w:rsidR="003A32DC">
        <w:t>, “[u]</w:t>
      </w:r>
      <w:r w:rsidR="003A32DC">
        <w:t>nless</w:t>
      </w:r>
      <w:r w:rsidR="003A32DC">
        <w:t xml:space="preserve"> specifically exempted, </w:t>
      </w:r>
      <w:r w:rsidR="003A32DC">
        <w:t>the</w:t>
      </w:r>
      <w:r w:rsidR="008E1F8D">
        <w:t xml:space="preserve"> </w:t>
      </w:r>
      <w:r w:rsidR="00AF72A4">
        <w:t>.</w:t>
      </w:r>
      <w:r w:rsidR="00AF72A4">
        <w:t> . .</w:t>
      </w:r>
      <w:r w:rsidR="008E1F8D">
        <w:t xml:space="preserve"> </w:t>
      </w:r>
      <w:r w:rsidR="003A32DC">
        <w:t>marketing of an intentional or unintentional radiator that is not in compliance with the administrative and technical provisions in this part, including prior equipment authorization</w:t>
      </w:r>
      <w:r w:rsidR="00474858">
        <w:t xml:space="preserve"> . . . </w:t>
      </w:r>
      <w:r w:rsidR="003A32DC">
        <w:t>is prohibited under section 302 of the Communications Act of 1934, as amended, and subpart I of part 2 of this chapter.”</w:t>
      </w:r>
      <w:r w:rsidRPr="00F771A4" w:rsidR="00F771A4">
        <w:rPr>
          <w:rStyle w:val="FootnoteReference"/>
        </w:rPr>
        <w:t xml:space="preserve"> </w:t>
      </w:r>
      <w:r>
        <w:rPr>
          <w:rStyle w:val="FootnoteReference"/>
        </w:rPr>
        <w:footnoteReference w:id="45"/>
      </w:r>
      <w:r w:rsidR="003A32DC">
        <w:t xml:space="preserve">  </w:t>
      </w:r>
      <w:r w:rsidR="00052C23">
        <w:t>Moreover, although</w:t>
      </w:r>
      <w:r w:rsidR="003A32DC">
        <w:t xml:space="preserve"> </w:t>
      </w:r>
      <w:r w:rsidR="00052C23">
        <w:t xml:space="preserve">devices that operate </w:t>
      </w:r>
      <w:r w:rsidR="003A32DC">
        <w:t xml:space="preserve">purely </w:t>
      </w:r>
      <w:r w:rsidR="00052C23">
        <w:t xml:space="preserve">in </w:t>
      </w:r>
      <w:r w:rsidR="003A32DC">
        <w:t xml:space="preserve">amateur </w:t>
      </w:r>
      <w:r w:rsidR="00052C23">
        <w:t>radio service bands</w:t>
      </w:r>
      <w:r w:rsidR="00B771F4">
        <w:t xml:space="preserve"> are exempt from the authorization requirement</w:t>
      </w:r>
      <w:r w:rsidR="003A32DC">
        <w:t>,</w:t>
      </w:r>
      <w:bookmarkStart w:id="55" w:name="_Ref10727172"/>
      <w:r>
        <w:rPr>
          <w:rStyle w:val="FootnoteReference"/>
        </w:rPr>
        <w:footnoteReference w:id="46"/>
      </w:r>
      <w:bookmarkEnd w:id="55"/>
      <w:r w:rsidR="003A32DC">
        <w:t xml:space="preserve"> </w:t>
      </w:r>
      <w:r w:rsidR="00B57221">
        <w:t xml:space="preserve">it is well established </w:t>
      </w:r>
      <w:r w:rsidR="0079426E">
        <w:t>that no similar</w:t>
      </w:r>
      <w:r w:rsidR="00052C23">
        <w:t xml:space="preserve"> </w:t>
      </w:r>
      <w:r w:rsidR="003A32DC">
        <w:t xml:space="preserve">exemption </w:t>
      </w:r>
      <w:r w:rsidR="0079426E">
        <w:t xml:space="preserve">extends to </w:t>
      </w:r>
      <w:r w:rsidR="003A32DC">
        <w:t xml:space="preserve">devices that can operate on </w:t>
      </w:r>
      <w:r w:rsidR="00052C23">
        <w:t xml:space="preserve">both amateur and </w:t>
      </w:r>
      <w:r w:rsidR="003A32DC">
        <w:t>non-amateur frequencies</w:t>
      </w:r>
      <w:r w:rsidR="00052C23">
        <w:t>,</w:t>
      </w:r>
      <w:r w:rsidR="00026366">
        <w:t xml:space="preserve"> </w:t>
      </w:r>
      <w:r w:rsidR="004C567C">
        <w:t>whether described as “versatile” or not.</w:t>
      </w:r>
      <w:r w:rsidR="003A32DC">
        <w:t xml:space="preserve">  </w:t>
      </w:r>
      <w:r w:rsidR="00073798">
        <w:t xml:space="preserve">Taken to its logical extreme, </w:t>
      </w:r>
      <w:r w:rsidRPr="00371EA2" w:rsidR="008E1F8D">
        <w:t>HobbyKing</w:t>
      </w:r>
      <w:r w:rsidR="0098443C">
        <w:t>’</w:t>
      </w:r>
      <w:r w:rsidRPr="00371EA2" w:rsidR="008E1F8D">
        <w:t xml:space="preserve">s argument would allow any intentional radiator to avoid </w:t>
      </w:r>
      <w:r w:rsidR="00ED5D7F">
        <w:t xml:space="preserve">the </w:t>
      </w:r>
      <w:r w:rsidR="00DD3FC4">
        <w:t>authorization</w:t>
      </w:r>
      <w:r w:rsidR="00ED5D7F">
        <w:t xml:space="preserve"> steps</w:t>
      </w:r>
      <w:r w:rsidRPr="00371EA2" w:rsidR="008E1F8D">
        <w:t xml:space="preserve"> by simply including </w:t>
      </w:r>
      <w:r w:rsidR="00AF72A4">
        <w:t xml:space="preserve">the capability to operate </w:t>
      </w:r>
      <w:r w:rsidRPr="00371EA2" w:rsidR="008E1F8D">
        <w:t xml:space="preserve">on amateur frequencies.  </w:t>
      </w:r>
      <w:r w:rsidR="006E22E3">
        <w:t>That</w:t>
      </w:r>
      <w:r w:rsidRPr="00371EA2" w:rsidR="008E1F8D">
        <w:t xml:space="preserve"> result would render </w:t>
      </w:r>
      <w:r w:rsidR="008E1F8D">
        <w:t xml:space="preserve">meaningless </w:t>
      </w:r>
      <w:r w:rsidRPr="00371EA2" w:rsidR="008E1F8D">
        <w:t>the Commission</w:t>
      </w:r>
      <w:r w:rsidR="0098443C">
        <w:t>’</w:t>
      </w:r>
      <w:r w:rsidRPr="00371EA2" w:rsidR="008E1F8D">
        <w:t>s regulations</w:t>
      </w:r>
      <w:r w:rsidR="008E1F8D">
        <w:t>.</w:t>
      </w:r>
    </w:p>
    <w:p w:rsidR="00502055" w:rsidRPr="00706A7E" w:rsidP="00E45334" w14:paraId="3319CC5D" w14:textId="5643EADB">
      <w:pPr>
        <w:pStyle w:val="ParaNum"/>
        <w:widowControl/>
      </w:pPr>
      <w:r>
        <w:t>I</w:t>
      </w:r>
      <w:r w:rsidR="00B90340">
        <w:t>n</w:t>
      </w:r>
      <w:r w:rsidR="00F036F8">
        <w:t xml:space="preserve"> </w:t>
      </w:r>
      <w:r>
        <w:t>its</w:t>
      </w:r>
      <w:r w:rsidR="00F036F8">
        <w:t xml:space="preserve"> NAL Response, </w:t>
      </w:r>
      <w:r>
        <w:t>HobbyKing</w:t>
      </w:r>
      <w:r w:rsidRPr="004547B0" w:rsidR="004547B0">
        <w:t xml:space="preserve"> </w:t>
      </w:r>
      <w:r w:rsidR="00F036F8">
        <w:t>claims</w:t>
      </w:r>
      <w:r w:rsidR="001D2729">
        <w:t xml:space="preserve"> that it has ceased marketing the 65 models identified in the </w:t>
      </w:r>
      <w:r w:rsidRPr="00955ED6" w:rsidR="0067355C">
        <w:rPr>
          <w:i/>
          <w:iCs/>
        </w:rPr>
        <w:t>NAL</w:t>
      </w:r>
      <w:r>
        <w:t>, but</w:t>
      </w:r>
      <w:r w:rsidRPr="00400905" w:rsidR="001D2729">
        <w:rPr>
          <w:i/>
        </w:rPr>
        <w:t xml:space="preserve"> </w:t>
      </w:r>
      <w:r w:rsidRPr="001D2729" w:rsidR="001D2729">
        <w:t xml:space="preserve">promises </w:t>
      </w:r>
      <w:r>
        <w:t xml:space="preserve">only </w:t>
      </w:r>
      <w:r w:rsidRPr="001D2729" w:rsidR="001D2729">
        <w:t>to make “best efforts” not to market</w:t>
      </w:r>
      <w:r w:rsidR="001D2729">
        <w:t xml:space="preserve"> other</w:t>
      </w:r>
      <w:r w:rsidRPr="001D2729" w:rsidR="001D2729">
        <w:t xml:space="preserve"> noncompliant radio frequency devices</w:t>
      </w:r>
      <w:r w:rsidR="001D2729">
        <w:t xml:space="preserve"> identified in </w:t>
      </w:r>
      <w:r w:rsidR="00C75771">
        <w:t xml:space="preserve">the </w:t>
      </w:r>
      <w:r w:rsidRPr="00C75771" w:rsidR="00C75771">
        <w:rPr>
          <w:i/>
        </w:rPr>
        <w:t>AV Transmitter Enforcement Advisory</w:t>
      </w:r>
      <w:r w:rsidRPr="001D2729" w:rsidR="001D2729">
        <w:t>.</w:t>
      </w:r>
      <w:r>
        <w:rPr>
          <w:rStyle w:val="FootnoteReference"/>
          <w:sz w:val="22"/>
        </w:rPr>
        <w:footnoteReference w:id="47"/>
      </w:r>
      <w:r w:rsidR="00E04DB0">
        <w:t xml:space="preserve">  </w:t>
      </w:r>
      <w:r w:rsidR="00EB0724">
        <w:t>Despite the Company’s claims to the contrary, t</w:t>
      </w:r>
      <w:r w:rsidR="00E04DB0">
        <w:t xml:space="preserve">he Commission is </w:t>
      </w:r>
      <w:r w:rsidR="005F025C">
        <w:t xml:space="preserve">not required to identify for </w:t>
      </w:r>
      <w:r w:rsidR="00E04DB0">
        <w:t>HobbyKing</w:t>
      </w:r>
      <w:r w:rsidR="00F036F8">
        <w:t xml:space="preserve"> </w:t>
      </w:r>
      <w:r w:rsidR="005F025C">
        <w:t>each individual model that</w:t>
      </w:r>
      <w:r w:rsidR="00F036F8">
        <w:t xml:space="preserve"> require</w:t>
      </w:r>
      <w:r w:rsidR="005F025C">
        <w:t>s</w:t>
      </w:r>
      <w:r w:rsidR="00F036F8">
        <w:t xml:space="preserve"> authorization</w:t>
      </w:r>
      <w:r>
        <w:t>.  R</w:t>
      </w:r>
      <w:r w:rsidR="005F025C">
        <w:t>ather</w:t>
      </w:r>
      <w:r w:rsidR="00E04DB0">
        <w:t>,</w:t>
      </w:r>
      <w:r w:rsidRPr="001D2729" w:rsidR="001D2729">
        <w:t xml:space="preserve"> </w:t>
      </w:r>
      <w:r w:rsidR="001D2729">
        <w:t>HobbyKi</w:t>
      </w:r>
      <w:r w:rsidR="00FE5FC0">
        <w:t>ng</w:t>
      </w:r>
      <w:r w:rsidR="00FE5FC0">
        <w:t xml:space="preserve"> has a</w:t>
      </w:r>
      <w:r w:rsidR="00C75771">
        <w:t xml:space="preserve"> continuing</w:t>
      </w:r>
      <w:r w:rsidR="00FE5FC0">
        <w:t xml:space="preserve"> obligation to market </w:t>
      </w:r>
      <w:r w:rsidR="00C75771">
        <w:t xml:space="preserve">only </w:t>
      </w:r>
      <w:r w:rsidR="00FE5FC0">
        <w:t>radio frequency equipment that is properly authorized</w:t>
      </w:r>
      <w:r w:rsidR="0026161C">
        <w:t>.</w:t>
      </w:r>
      <w:r w:rsidR="00FE5FC0">
        <w:t xml:space="preserve">  </w:t>
      </w:r>
      <w:r>
        <w:t xml:space="preserve">We therefore remind </w:t>
      </w:r>
      <w:r>
        <w:t>HobbyKing</w:t>
      </w:r>
      <w:r>
        <w:t xml:space="preserve"> that </w:t>
      </w:r>
      <w:r w:rsidR="006A2167">
        <w:t xml:space="preserve">continuing to </w:t>
      </w:r>
      <w:r>
        <w:t>market noncompliant radio frequency devices could result in further significant forfeitures.</w:t>
      </w:r>
    </w:p>
    <w:p w:rsidR="003C5EF1" w:rsidRPr="0007571D" w:rsidP="004C6A2A" w14:paraId="7FC1D729" w14:textId="2A8791E3">
      <w:pPr>
        <w:pStyle w:val="Heading2"/>
      </w:pPr>
      <w:bookmarkStart w:id="56" w:name="_Ref13473502"/>
      <w:bookmarkStart w:id="57" w:name="_Toc13488318"/>
      <w:bookmarkStart w:id="58" w:name="_Toc19605234"/>
      <w:bookmarkStart w:id="59" w:name="_Toc19628689"/>
      <w:bookmarkStart w:id="60" w:name="_Toc19628716"/>
      <w:bookmarkStart w:id="61" w:name="_Toc22904517"/>
      <w:bookmarkStart w:id="62" w:name="_Toc23239878"/>
      <w:bookmarkStart w:id="63" w:name="_Toc30682629"/>
      <w:bookmarkStart w:id="64" w:name="_Toc30682690"/>
      <w:bookmarkStart w:id="65" w:name="_Toc40101069"/>
      <w:bookmarkStart w:id="66" w:name="_Toc40101717"/>
      <w:r>
        <w:t>H</w:t>
      </w:r>
      <w:r w:rsidR="005A4F5E">
        <w:t>obby</w:t>
      </w:r>
      <w:r>
        <w:t>K</w:t>
      </w:r>
      <w:r w:rsidR="005A4F5E">
        <w:t>ing</w:t>
      </w:r>
      <w:r>
        <w:t xml:space="preserve"> </w:t>
      </w:r>
      <w:r w:rsidR="008E1F8D">
        <w:t>Had</w:t>
      </w:r>
      <w:r w:rsidR="00F1494C">
        <w:t xml:space="preserve"> </w:t>
      </w:r>
      <w:r>
        <w:t>N</w:t>
      </w:r>
      <w:r w:rsidR="005A4F5E">
        <w:t>otice</w:t>
      </w:r>
      <w:r>
        <w:t xml:space="preserve"> </w:t>
      </w:r>
      <w:r w:rsidR="00F92B8E">
        <w:t xml:space="preserve">of the </w:t>
      </w:r>
      <w:r w:rsidR="007C4839">
        <w:t>Authorization Requirements</w:t>
      </w:r>
      <w:bookmarkEnd w:id="53"/>
      <w:bookmarkEnd w:id="56"/>
      <w:bookmarkEnd w:id="57"/>
      <w:bookmarkEnd w:id="58"/>
      <w:bookmarkEnd w:id="59"/>
      <w:bookmarkEnd w:id="60"/>
      <w:bookmarkEnd w:id="61"/>
      <w:bookmarkEnd w:id="62"/>
      <w:bookmarkEnd w:id="63"/>
      <w:bookmarkEnd w:id="64"/>
      <w:bookmarkEnd w:id="65"/>
      <w:bookmarkEnd w:id="66"/>
    </w:p>
    <w:p w:rsidR="00F45496" w:rsidP="00BC7025" w14:paraId="4A6835C2" w14:textId="58E553CB">
      <w:pPr>
        <w:pStyle w:val="ParaNum"/>
      </w:pPr>
      <w:r>
        <w:t>We reject HobbyKing’s assertion that it lacked fair notice of its legal obligations.</w:t>
      </w:r>
      <w:r>
        <w:rPr>
          <w:rStyle w:val="FootnoteReference"/>
        </w:rPr>
        <w:footnoteReference w:id="48"/>
      </w:r>
      <w:r w:rsidR="003C32CF">
        <w:t xml:space="preserve">  </w:t>
      </w:r>
      <w:r w:rsidR="006A2167">
        <w:t>Generally, regulatory requirements must be reasonably ascertainable before they can be enforced.</w:t>
      </w:r>
      <w:r>
        <w:rPr>
          <w:rStyle w:val="FootnoteReference"/>
        </w:rPr>
        <w:footnoteReference w:id="49"/>
      </w:r>
      <w:r w:rsidR="006A2167">
        <w:t xml:space="preserve">  In this instance, </w:t>
      </w:r>
      <w:r w:rsidR="00582F97">
        <w:t>HobbyKing</w:t>
      </w:r>
      <w:r w:rsidR="00582F97">
        <w:t xml:space="preserve"> had ample notice that the </w:t>
      </w:r>
      <w:r w:rsidR="006A2167">
        <w:t xml:space="preserve">Commission’s </w:t>
      </w:r>
      <w:r w:rsidR="00582F97">
        <w:t>long-standing equipment authorization regulations apply to a radio frequency device that intentionally emits radio frequency energy and can operate on both amateur and non-amateur frequencies</w:t>
      </w:r>
      <w:r w:rsidR="003E67E7">
        <w:t>.</w:t>
      </w:r>
      <w:r w:rsidR="00582F97">
        <w:t xml:space="preserve">  </w:t>
      </w:r>
      <w:bookmarkStart w:id="67" w:name="_Ref3367571"/>
      <w:r w:rsidR="00DE2CFD">
        <w:t>The</w:t>
      </w:r>
      <w:r w:rsidR="006A2167">
        <w:t>se</w:t>
      </w:r>
      <w:r w:rsidR="00DE2CFD">
        <w:t xml:space="preserve"> requirements have been clear and consistent for decades, and the Bureau twice put </w:t>
      </w:r>
      <w:r w:rsidR="00DE2CFD">
        <w:t>HobbyKing</w:t>
      </w:r>
      <w:r w:rsidR="00DE2CFD">
        <w:t xml:space="preserve"> on notice by serving citations warning about the very same requirements.</w:t>
      </w:r>
      <w:r w:rsidR="008E1F55">
        <w:t xml:space="preserve">  </w:t>
      </w:r>
    </w:p>
    <w:p w:rsidR="00D03E53" w:rsidP="005218F4" w14:paraId="1AE322AE" w14:textId="3A8AC115">
      <w:pPr>
        <w:pStyle w:val="ParaNum"/>
      </w:pPr>
      <w:r>
        <w:t>T</w:t>
      </w:r>
      <w:r w:rsidR="00717775">
        <w:t xml:space="preserve">he plain language of </w:t>
      </w:r>
      <w:r w:rsidR="00286506">
        <w:t>s</w:t>
      </w:r>
      <w:r w:rsidR="00717775">
        <w:t xml:space="preserve">ection 302 </w:t>
      </w:r>
      <w:r w:rsidR="00903F72">
        <w:t xml:space="preserve">of the Act </w:t>
      </w:r>
      <w:r w:rsidR="00717775">
        <w:t>and the</w:t>
      </w:r>
      <w:r w:rsidR="00903F72">
        <w:t xml:space="preserve"> implementing sections of the</w:t>
      </w:r>
      <w:r w:rsidR="00717775">
        <w:t xml:space="preserve"> Commission</w:t>
      </w:r>
      <w:r w:rsidR="0098443C">
        <w:t>’</w:t>
      </w:r>
      <w:r w:rsidR="00717775">
        <w:t xml:space="preserve">s rules provide sufficient notice that </w:t>
      </w:r>
      <w:r w:rsidR="008E2FF7">
        <w:t>radio frequency devices</w:t>
      </w:r>
      <w:r w:rsidR="006F2347">
        <w:t xml:space="preserve"> </w:t>
      </w:r>
      <w:r w:rsidR="008E2FF7">
        <w:t xml:space="preserve">are subject to </w:t>
      </w:r>
      <w:r w:rsidR="008259A1">
        <w:t>regulation by the Commission</w:t>
      </w:r>
      <w:r w:rsidR="00DF028E">
        <w:t>, including authorization requirements</w:t>
      </w:r>
      <w:r w:rsidR="00717775">
        <w:t>.</w:t>
      </w:r>
      <w:r>
        <w:rPr>
          <w:rStyle w:val="FootnoteReference"/>
        </w:rPr>
        <w:footnoteReference w:id="50"/>
      </w:r>
      <w:r w:rsidR="00717775">
        <w:t xml:space="preserve">  </w:t>
      </w:r>
      <w:r w:rsidR="00903F72">
        <w:t xml:space="preserve">Section 302 of the Act states that the Commission may </w:t>
      </w:r>
      <w:r w:rsidR="00233A84">
        <w:t xml:space="preserve">issue rules on radio frequency devices and that </w:t>
      </w:r>
      <w:r w:rsidR="00903F72">
        <w:t>“[n]</w:t>
      </w:r>
      <w:r w:rsidRPr="00903F72" w:rsidR="00903F72">
        <w:t>o person shall manufacture, import, sell, offer for sale, or ship devices or home electronic equipment and systems, or use devices, which fail to comply with regulations promulgated pursuant to this section.</w:t>
      </w:r>
      <w:r w:rsidR="00211E77">
        <w:t>”</w:t>
      </w:r>
      <w:r>
        <w:rPr>
          <w:rStyle w:val="FootnoteReference"/>
        </w:rPr>
        <w:footnoteReference w:id="51"/>
      </w:r>
      <w:r w:rsidR="006F2347">
        <w:t xml:space="preserve">  </w:t>
      </w:r>
      <w:r w:rsidR="00233A84">
        <w:t>In turn, t</w:t>
      </w:r>
      <w:r w:rsidR="006F2347">
        <w:t xml:space="preserve">he Commission has promulgated a number of </w:t>
      </w:r>
      <w:r w:rsidR="004064EE">
        <w:t>rules</w:t>
      </w:r>
      <w:r w:rsidR="006F2347">
        <w:t xml:space="preserve"> in </w:t>
      </w:r>
      <w:r w:rsidR="00F14B1B">
        <w:t>p</w:t>
      </w:r>
      <w:r w:rsidR="006F2347">
        <w:t xml:space="preserve">art 2 and </w:t>
      </w:r>
      <w:r w:rsidR="00F14B1B">
        <w:t>p</w:t>
      </w:r>
      <w:r w:rsidR="006F2347">
        <w:t>art 15 in Title 47 of the Code of Federal Regulations</w:t>
      </w:r>
      <w:r w:rsidR="004064EE">
        <w:t xml:space="preserve"> regulating radio frequency devices</w:t>
      </w:r>
      <w:r w:rsidR="00233A84">
        <w:t xml:space="preserve">, including a prohibition on </w:t>
      </w:r>
      <w:r w:rsidR="00211E77">
        <w:t>marketing</w:t>
      </w:r>
      <w:r w:rsidR="006F2347">
        <w:t xml:space="preserve"> </w:t>
      </w:r>
      <w:r w:rsidR="0061583B">
        <w:t>radio frequency devices</w:t>
      </w:r>
      <w:r w:rsidR="00BC7025">
        <w:t xml:space="preserve"> unless they comply with the specific </w:t>
      </w:r>
      <w:r w:rsidR="00233A84">
        <w:t>administrative requirements.</w:t>
      </w:r>
      <w:r>
        <w:rPr>
          <w:rStyle w:val="FootnoteReference"/>
        </w:rPr>
        <w:footnoteReference w:id="52"/>
      </w:r>
      <w:r w:rsidR="00BC7025">
        <w:t xml:space="preserve">  </w:t>
      </w:r>
      <w:bookmarkEnd w:id="67"/>
    </w:p>
    <w:p w:rsidR="0050346C" w:rsidP="00903F72" w14:paraId="16B62077" w14:textId="39DEB48F">
      <w:pPr>
        <w:pStyle w:val="ParaNum"/>
      </w:pPr>
      <w:r>
        <w:t>Commission precedent on equipment authorization</w:t>
      </w:r>
      <w:r w:rsidR="00D569D4">
        <w:t xml:space="preserve"> requirements</w:t>
      </w:r>
      <w:r w:rsidR="00331F1B">
        <w:t xml:space="preserve"> </w:t>
      </w:r>
      <w:r w:rsidR="00D716D6">
        <w:t xml:space="preserve">for </w:t>
      </w:r>
      <w:r w:rsidR="00331F1B">
        <w:t>devices that operate on both amateur and other frequencies</w:t>
      </w:r>
      <w:r>
        <w:t xml:space="preserve"> date</w:t>
      </w:r>
      <w:r w:rsidR="00D569D4">
        <w:t>s</w:t>
      </w:r>
      <w:r>
        <w:t xml:space="preserve"> as far back as 1999</w:t>
      </w:r>
      <w:r w:rsidR="004D77F5">
        <w:t>,</w:t>
      </w:r>
      <w:r w:rsidR="00D569D4">
        <w:t xml:space="preserve"> and has </w:t>
      </w:r>
      <w:r w:rsidR="004D77F5">
        <w:t>not changed in any material way since</w:t>
      </w:r>
      <w:r w:rsidR="00D569D4">
        <w:t xml:space="preserve"> </w:t>
      </w:r>
      <w:r w:rsidR="00D716D6">
        <w:t>then</w:t>
      </w:r>
      <w:r>
        <w:t>.</w:t>
      </w:r>
      <w:r>
        <w:rPr>
          <w:rStyle w:val="FootnoteReference"/>
        </w:rPr>
        <w:footnoteReference w:id="53"/>
      </w:r>
      <w:r>
        <w:t xml:space="preserve"> </w:t>
      </w:r>
      <w:r w:rsidR="00D569D4">
        <w:t xml:space="preserve"> </w:t>
      </w:r>
      <w:r w:rsidRPr="00371EA2" w:rsidR="003E67E7">
        <w:t>HobbyKing</w:t>
      </w:r>
      <w:r w:rsidRPr="00371EA2" w:rsidR="003E67E7">
        <w:t xml:space="preserve"> argues that the </w:t>
      </w:r>
      <w:r w:rsidRPr="00955ED6" w:rsidR="0067355C">
        <w:rPr>
          <w:i/>
          <w:iCs/>
        </w:rPr>
        <w:t>NAL</w:t>
      </w:r>
      <w:r w:rsidRPr="00371EA2" w:rsidR="003E67E7">
        <w:t xml:space="preserve"> did not provide sufficient notice of any such regulation, </w:t>
      </w:r>
      <w:r w:rsidRPr="00371EA2" w:rsidR="003E67E7">
        <w:t>because section 2.803 of the Commission</w:t>
      </w:r>
      <w:r w:rsidR="0098443C">
        <w:t>’</w:t>
      </w:r>
      <w:r w:rsidRPr="00371EA2" w:rsidR="003E67E7">
        <w:t>s rules “says nothing” about authorization for devices that operate on both amateur and other frequencies.</w:t>
      </w:r>
      <w:r>
        <w:rPr>
          <w:rStyle w:val="FootnoteReference"/>
        </w:rPr>
        <w:footnoteReference w:id="54"/>
      </w:r>
      <w:r w:rsidRPr="00371EA2" w:rsidR="003E67E7">
        <w:t xml:space="preserve">  </w:t>
      </w:r>
      <w:r w:rsidR="005300FF">
        <w:t xml:space="preserve">This argument is misplaced.  </w:t>
      </w:r>
      <w:r w:rsidR="00CF6354">
        <w:t xml:space="preserve">The Commission’s rules are clear that </w:t>
      </w:r>
      <w:r w:rsidR="00FE0BE4">
        <w:t xml:space="preserve">any intentional radiator </w:t>
      </w:r>
      <w:r w:rsidR="00FB28E0">
        <w:t xml:space="preserve">is subject to </w:t>
      </w:r>
      <w:r w:rsidR="00133BB4">
        <w:t>equipment-authorization requirements unless an exception applies</w:t>
      </w:r>
      <w:r w:rsidR="000B035D">
        <w:t xml:space="preserve">. </w:t>
      </w:r>
      <w:r w:rsidR="0014093A">
        <w:t xml:space="preserve"> T</w:t>
      </w:r>
      <w:r w:rsidR="00133BB4">
        <w:t xml:space="preserve">he Commission has excepted </w:t>
      </w:r>
      <w:r w:rsidR="00D716D6">
        <w:t xml:space="preserve">only </w:t>
      </w:r>
      <w:r w:rsidR="008F7114">
        <w:t xml:space="preserve">devices that operate </w:t>
      </w:r>
      <w:r w:rsidR="008F7114">
        <w:rPr>
          <w:i/>
        </w:rPr>
        <w:t xml:space="preserve">solely </w:t>
      </w:r>
      <w:r w:rsidR="008F7114">
        <w:t xml:space="preserve">on </w:t>
      </w:r>
      <w:r w:rsidR="00A8213B">
        <w:t>amateur frequencies</w:t>
      </w:r>
      <w:r w:rsidR="0014093A">
        <w:t>.  Moreover</w:t>
      </w:r>
      <w:r w:rsidR="00A8213B">
        <w:t xml:space="preserve">, the Commission has given </w:t>
      </w:r>
      <w:r w:rsidR="00B34C88">
        <w:t xml:space="preserve">manufacturers and marketers </w:t>
      </w:r>
      <w:r w:rsidR="00A8213B">
        <w:t xml:space="preserve">no reason to believe that </w:t>
      </w:r>
      <w:r w:rsidR="00E6171B">
        <w:t xml:space="preserve">a device that </w:t>
      </w:r>
      <w:r w:rsidR="00E6171B">
        <w:t>is capable of operating</w:t>
      </w:r>
      <w:r w:rsidR="00E6171B">
        <w:t xml:space="preserve"> on </w:t>
      </w:r>
      <w:r w:rsidR="00A313FA">
        <w:t>non-</w:t>
      </w:r>
      <w:r w:rsidR="00E6171B">
        <w:t xml:space="preserve">amateur frequencies </w:t>
      </w:r>
      <w:r w:rsidR="003C544D">
        <w:t>would be exempt.</w:t>
      </w:r>
      <w:r w:rsidR="007856CC">
        <w:t xml:space="preserve"> </w:t>
      </w:r>
      <w:r w:rsidR="003C544D">
        <w:t xml:space="preserve"> </w:t>
      </w:r>
      <w:r w:rsidR="00A51044">
        <w:t>Rather, o</w:t>
      </w:r>
      <w:r w:rsidR="003C544D">
        <w:t xml:space="preserve">ur rules </w:t>
      </w:r>
      <w:r w:rsidR="00A51044">
        <w:t>state</w:t>
      </w:r>
      <w:r w:rsidR="003C544D">
        <w:t xml:space="preserve"> that r</w:t>
      </w:r>
      <w:r w:rsidR="005300FF">
        <w:t>adio frequency devices that operate in multiple bands must meet the rules for each band.</w:t>
      </w:r>
      <w:r>
        <w:rPr>
          <w:rStyle w:val="FootnoteReference"/>
        </w:rPr>
        <w:footnoteReference w:id="55"/>
      </w:r>
      <w:r w:rsidR="005300FF">
        <w:t xml:space="preserve">  </w:t>
      </w:r>
      <w:r w:rsidR="0089798B">
        <w:t xml:space="preserve">And our precedent is consistent: </w:t>
      </w:r>
      <w:r w:rsidR="007D1D03">
        <w:t xml:space="preserve">the </w:t>
      </w:r>
      <w:r w:rsidR="00D569D4">
        <w:t xml:space="preserve">Bureau </w:t>
      </w:r>
      <w:r w:rsidR="00DE45E5">
        <w:t xml:space="preserve">has </w:t>
      </w:r>
      <w:r w:rsidR="00D569D4">
        <w:t xml:space="preserve">investigated and </w:t>
      </w:r>
      <w:r w:rsidR="00DE45E5">
        <w:t xml:space="preserve">taken </w:t>
      </w:r>
      <w:r w:rsidR="00D569D4">
        <w:t xml:space="preserve">action against companies for marketing similar equipment </w:t>
      </w:r>
      <w:r w:rsidR="00DE45E5">
        <w:t xml:space="preserve">that </w:t>
      </w:r>
      <w:r w:rsidR="00D569D4">
        <w:t>can operate both on and off amateur frequency bands.</w:t>
      </w:r>
      <w:r>
        <w:rPr>
          <w:rStyle w:val="FootnoteReference"/>
        </w:rPr>
        <w:footnoteReference w:id="56"/>
      </w:r>
      <w:r w:rsidR="00D569D4">
        <w:t xml:space="preserve">  </w:t>
      </w:r>
      <w:r w:rsidRPr="009C4EE7" w:rsidR="00CC7F5F">
        <w:t xml:space="preserve">  </w:t>
      </w:r>
    </w:p>
    <w:p w:rsidR="00B631A7" w:rsidP="00E45334" w14:paraId="01E60B4B" w14:textId="347ACF76">
      <w:pPr>
        <w:pStyle w:val="ParaNum"/>
        <w:widowControl/>
      </w:pPr>
      <w:r>
        <w:t xml:space="preserve">In addition, the </w:t>
      </w:r>
      <w:r w:rsidRPr="00F24C7E">
        <w:rPr>
          <w:i/>
        </w:rPr>
        <w:t>Marketing Citation</w:t>
      </w:r>
      <w:r>
        <w:t xml:space="preserve"> issued to </w:t>
      </w:r>
      <w:r>
        <w:t>HobbyKing</w:t>
      </w:r>
      <w:r>
        <w:t xml:space="preserve"> in 2016 put </w:t>
      </w:r>
      <w:r>
        <w:t>HobbyKing</w:t>
      </w:r>
      <w:r>
        <w:t xml:space="preserve"> on notice that it must seek authorization for the AV transmitters and stop marketing those that had no authorization.</w:t>
      </w:r>
      <w:r>
        <w:rPr>
          <w:rStyle w:val="FootnoteReference"/>
        </w:rPr>
        <w:footnoteReference w:id="57"/>
      </w:r>
      <w:r>
        <w:t xml:space="preserve">  A citation is intended to put an entity that “</w:t>
      </w:r>
      <w:r w:rsidRPr="00FB179E">
        <w:t>does not hold a license, permit, certificate, or other authorization issued by the Commission</w:t>
      </w:r>
      <w:r>
        <w:t>” on notice that its actions have violated the Act or the Commission’s rules.</w:t>
      </w:r>
      <w:r>
        <w:rPr>
          <w:rStyle w:val="FootnoteReference"/>
        </w:rPr>
        <w:footnoteReference w:id="58"/>
      </w:r>
      <w:r>
        <w:t xml:space="preserve">  The </w:t>
      </w:r>
      <w:r w:rsidRPr="00F24C7E">
        <w:rPr>
          <w:i/>
        </w:rPr>
        <w:t>Marketing Citation</w:t>
      </w:r>
      <w:r>
        <w:t xml:space="preserve"> found that two models of AV transmitters marketed by </w:t>
      </w:r>
      <w:r>
        <w:t>HobbyKing</w:t>
      </w:r>
      <w:r>
        <w:t xml:space="preserve"> required certification and labeling, and it warned </w:t>
      </w:r>
      <w:r>
        <w:t>HobbyKing</w:t>
      </w:r>
      <w:r>
        <w:t xml:space="preserve"> that the Commission might impose future sanctions on the Company</w:t>
      </w:r>
      <w:r w:rsidRPr="002857B6">
        <w:t xml:space="preserve"> if it continued its practices</w:t>
      </w:r>
      <w:r>
        <w:t>.</w:t>
      </w:r>
      <w:r>
        <w:rPr>
          <w:rStyle w:val="FootnoteReference"/>
        </w:rPr>
        <w:footnoteReference w:id="59"/>
      </w:r>
      <w:r>
        <w:t xml:space="preserve">  Yet </w:t>
      </w:r>
      <w:r>
        <w:t>HobbyKing</w:t>
      </w:r>
      <w:r>
        <w:t xml:space="preserve"> continued to market one of the AV transmitters, and so that model was included in the </w:t>
      </w:r>
      <w:r w:rsidRPr="00955ED6">
        <w:rPr>
          <w:i/>
          <w:iCs/>
        </w:rPr>
        <w:t>NAL</w:t>
      </w:r>
      <w:r>
        <w:t>.</w:t>
      </w:r>
      <w:r>
        <w:rPr>
          <w:rStyle w:val="FootnoteReference"/>
        </w:rPr>
        <w:footnoteReference w:id="60"/>
      </w:r>
      <w:r>
        <w:t xml:space="preserve">  </w:t>
      </w:r>
      <w:r w:rsidR="00B93FCA">
        <w:t>More broadly, a</w:t>
      </w:r>
      <w:r>
        <w:t xml:space="preserve">s stated in the </w:t>
      </w:r>
      <w:r>
        <w:rPr>
          <w:i/>
        </w:rPr>
        <w:t>Marketing Citation</w:t>
      </w:r>
      <w:r>
        <w:t>, “</w:t>
      </w:r>
      <w:r w:rsidRPr="006973AF">
        <w:t>HobbyKing</w:t>
      </w:r>
      <w:r w:rsidRPr="006973AF">
        <w:t xml:space="preserve"> is hereby on notice that it must comply with Section 302(b) of the Act and Sections 2.803 and 2.925 of the Commission</w:t>
      </w:r>
      <w:r>
        <w:t>’</w:t>
      </w:r>
      <w:r w:rsidRPr="006973AF">
        <w:t>s rules (Rules)</w:t>
      </w:r>
      <w:r>
        <w:t>.”</w:t>
      </w:r>
      <w:r>
        <w:rPr>
          <w:rStyle w:val="FootnoteReference"/>
        </w:rPr>
        <w:footnoteReference w:id="61"/>
      </w:r>
      <w:r>
        <w:t xml:space="preserve">  The </w:t>
      </w:r>
      <w:r w:rsidRPr="006973AF">
        <w:rPr>
          <w:i/>
        </w:rPr>
        <w:t>Marketing Citation</w:t>
      </w:r>
      <w:r>
        <w:t xml:space="preserve"> further warned that “[</w:t>
      </w:r>
      <w:r>
        <w:t>i</w:t>
      </w:r>
      <w:r>
        <w:t>]</w:t>
      </w:r>
      <w:r w:rsidRPr="006973AF">
        <w:t xml:space="preserve">f </w:t>
      </w:r>
      <w:r w:rsidRPr="006973AF">
        <w:t>HobbyKing</w:t>
      </w:r>
      <w:r w:rsidRPr="006973AF">
        <w:t xml:space="preserve"> subsequently engages in any conduct of the type this Citation describes—and specifically any violation of Section 302(b) of the Act and Sections 2.803 and 2.925 of the Rules—it may be subject to civil penalties, including but not limited to, substantial monetary forfeitures and/or seizures of equipment.</w:t>
      </w:r>
      <w:r>
        <w:t>”</w:t>
      </w:r>
      <w:r>
        <w:rPr>
          <w:rStyle w:val="FootnoteReference"/>
        </w:rPr>
        <w:footnoteReference w:id="62"/>
      </w:r>
      <w:r>
        <w:t xml:space="preserve">  Despite this clear notice, </w:t>
      </w:r>
      <w:r>
        <w:t>HobbyKing</w:t>
      </w:r>
      <w:r>
        <w:t xml:space="preserve"> continued to market noncompliant radio </w:t>
      </w:r>
      <w:r>
        <w:t xml:space="preserve">frequency devices, including one of the AV transmitters that was identified as noncompliant in the </w:t>
      </w:r>
      <w:r>
        <w:rPr>
          <w:i/>
        </w:rPr>
        <w:t>Marketing Citation</w:t>
      </w:r>
      <w:r>
        <w:t>, and is now subject to sanction.</w:t>
      </w:r>
      <w:r>
        <w:rPr>
          <w:rStyle w:val="FootnoteReference"/>
        </w:rPr>
        <w:footnoteReference w:id="63"/>
      </w:r>
      <w:r>
        <w:t xml:space="preserve">  </w:t>
      </w:r>
    </w:p>
    <w:p w:rsidR="00AF1B64" w:rsidP="00AF1B64" w14:paraId="58DDC8C3" w14:textId="77777777">
      <w:pPr>
        <w:pStyle w:val="ParaNum"/>
      </w:pPr>
      <w:r>
        <w:t>Contrary to HobbyKing’s assertion, the Commission is not required to elaborate on every type of radio frequency device that, without the appropriate authorization, could violate section 302 of the Act or the Commission’s rules before enforcing the statute and the rules.</w:t>
      </w:r>
      <w:r>
        <w:rPr>
          <w:rStyle w:val="FootnoteReference"/>
        </w:rPr>
        <w:footnoteReference w:id="64"/>
      </w:r>
      <w:r>
        <w:t xml:space="preserve">  As the D.C. Circuit has said, “[t]he fair notice doctrine, which is couched in terms of due process, provides redress only if an agency’s interpretation is ‘so far from a reasonable person’s understanding of the regulations that they could not have fairly informed the regulated party of the agency’s perspective.’”</w:t>
      </w:r>
      <w:r>
        <w:rPr>
          <w:rStyle w:val="FootnoteReference"/>
        </w:rPr>
        <w:footnoteReference w:id="65"/>
      </w:r>
      <w:r>
        <w:t xml:space="preserve">  Here, the many years of Commission regulation of radio frequency devices generally, including intentional radiators like the AV transmitters, and specific enforcement actions involving similar devices, fairly informed </w:t>
      </w:r>
      <w:r>
        <w:t>HobbyKing</w:t>
      </w:r>
      <w:r>
        <w:t xml:space="preserve"> that it must seek certification before marketing the AV transmitters in the United States.</w:t>
      </w:r>
      <w:r>
        <w:rPr>
          <w:rStyle w:val="FootnoteReference"/>
        </w:rPr>
        <w:footnoteReference w:id="66"/>
      </w:r>
      <w:r>
        <w:t xml:space="preserve">  </w:t>
      </w:r>
    </w:p>
    <w:p w:rsidR="00D716D6" w:rsidP="00903F72" w14:paraId="2395A8BB" w14:textId="010D4E62">
      <w:pPr>
        <w:pStyle w:val="ParaNum"/>
      </w:pPr>
      <w:r>
        <w:t xml:space="preserve">We </w:t>
      </w:r>
      <w:r w:rsidR="00B93FCA">
        <w:t xml:space="preserve">further </w:t>
      </w:r>
      <w:r>
        <w:t xml:space="preserve">disagree with </w:t>
      </w:r>
      <w:r w:rsidRPr="009C4EE7">
        <w:t>HobbyKing</w:t>
      </w:r>
      <w:r>
        <w:t>’s</w:t>
      </w:r>
      <w:r w:rsidRPr="009C4EE7">
        <w:t xml:space="preserve"> claim that bureau-level </w:t>
      </w:r>
      <w:r>
        <w:t>enforcement actions</w:t>
      </w:r>
      <w:r w:rsidRPr="009C4EE7">
        <w:t xml:space="preserve"> cannot provide notice.</w:t>
      </w:r>
      <w:r>
        <w:rPr>
          <w:rStyle w:val="FootnoteReference"/>
        </w:rPr>
        <w:footnoteReference w:id="67"/>
      </w:r>
      <w:r w:rsidRPr="009C4EE7">
        <w:t xml:space="preserve">  </w:t>
      </w:r>
      <w:r>
        <w:t>Putting aside that the plain language of the Commission’s rules provided adequate notice</w:t>
      </w:r>
      <w:r w:rsidRPr="009C4EE7">
        <w:t xml:space="preserve">, courts have found fair notice </w:t>
      </w:r>
      <w:r>
        <w:t xml:space="preserve">in a variety of agency documents regardless of the level of authority within the agency, as </w:t>
      </w:r>
      <w:r w:rsidRPr="009C4EE7">
        <w:t xml:space="preserve">where an agency </w:t>
      </w:r>
      <w:r>
        <w:t xml:space="preserve">takes a </w:t>
      </w:r>
      <w:r w:rsidRPr="009C4EE7">
        <w:t xml:space="preserve">consistent </w:t>
      </w:r>
      <w:r>
        <w:t xml:space="preserve">position </w:t>
      </w:r>
      <w:r w:rsidRPr="009C4EE7">
        <w:t xml:space="preserve">regarding </w:t>
      </w:r>
      <w:r>
        <w:t>an issue</w:t>
      </w:r>
      <w:r w:rsidRPr="009C4EE7">
        <w:t xml:space="preserve"> in documents like guidance memorand</w:t>
      </w:r>
      <w:r>
        <w:t>a</w:t>
      </w:r>
      <w:r w:rsidRPr="009C4EE7">
        <w:t>, a “question-and-answer booklet,” and opinion letters.</w:t>
      </w:r>
      <w:r>
        <w:rPr>
          <w:rStyle w:val="FootnoteReference"/>
        </w:rPr>
        <w:footnoteReference w:id="68"/>
      </w:r>
      <w:r>
        <w:t xml:space="preserve">  Here, the </w:t>
      </w:r>
      <w:r>
        <w:t>Bureau-level enforcement actions have been consistent with the Commission</w:t>
      </w:r>
      <w:r w:rsidR="00E56046">
        <w:t>’s</w:t>
      </w:r>
      <w:r>
        <w:t xml:space="preserve"> rules, all of which provided fair notice to </w:t>
      </w:r>
      <w:r>
        <w:t>HobbyKing</w:t>
      </w:r>
      <w:r>
        <w:t>.</w:t>
      </w:r>
      <w:r w:rsidRPr="009C4EE7">
        <w:t xml:space="preserve"> </w:t>
      </w:r>
      <w:r>
        <w:t xml:space="preserve">    </w:t>
      </w:r>
    </w:p>
    <w:p w:rsidR="006E0693" w:rsidP="00FB17D9" w14:paraId="640831FF" w14:textId="4E1089D6">
      <w:pPr>
        <w:pStyle w:val="ParaNum"/>
      </w:pPr>
      <w:r>
        <w:t>Finally, we note that t</w:t>
      </w:r>
      <w:r w:rsidRPr="009C4EE7">
        <w:t>he princip</w:t>
      </w:r>
      <w:r>
        <w:t>a</w:t>
      </w:r>
      <w:r w:rsidRPr="009C4EE7">
        <w:t xml:space="preserve">l case cited by </w:t>
      </w:r>
      <w:r w:rsidRPr="009C4EE7">
        <w:t>HobbyKing</w:t>
      </w:r>
      <w:r w:rsidRPr="009C4EE7">
        <w:t xml:space="preserve"> regarding fair notice, </w:t>
      </w:r>
      <w:r w:rsidRPr="009C4EE7">
        <w:rPr>
          <w:i/>
        </w:rPr>
        <w:t>Fox Television,</w:t>
      </w:r>
      <w:r w:rsidRPr="009C4EE7">
        <w:t xml:space="preserve"> </w:t>
      </w:r>
      <w:r>
        <w:t xml:space="preserve">is inapposite.  In that case, the court concluded that the Commission had provided </w:t>
      </w:r>
      <w:r w:rsidRPr="009C4EE7">
        <w:t>conflicting or changing interpretations of the statute and regulation at issue.</w:t>
      </w:r>
      <w:r>
        <w:rPr>
          <w:rStyle w:val="FootnoteReference"/>
        </w:rPr>
        <w:footnoteReference w:id="69"/>
      </w:r>
      <w:r>
        <w:t xml:space="preserve">  Not so here.</w:t>
      </w:r>
    </w:p>
    <w:p w:rsidR="00086824" w:rsidRPr="0007571D" w:rsidP="004C6A2A" w14:paraId="4C494847" w14:textId="39CF4527">
      <w:pPr>
        <w:pStyle w:val="Heading2"/>
      </w:pPr>
      <w:bookmarkStart w:id="68" w:name="FN[FN51]"/>
      <w:bookmarkStart w:id="69" w:name="FN[FN52]"/>
      <w:bookmarkStart w:id="70" w:name="FN[FN53]"/>
      <w:bookmarkStart w:id="71" w:name="FN[FN55]"/>
      <w:bookmarkStart w:id="72" w:name="_Toc7603263"/>
      <w:bookmarkStart w:id="73" w:name="_Toc13488319"/>
      <w:bookmarkStart w:id="74" w:name="_Toc30682630"/>
      <w:bookmarkStart w:id="75" w:name="_Toc30682691"/>
      <w:bookmarkStart w:id="76" w:name="_Toc40101070"/>
      <w:bookmarkStart w:id="77" w:name="_Toc40101718"/>
      <w:bookmarkStart w:id="78" w:name="_Toc19605235"/>
      <w:bookmarkStart w:id="79" w:name="_Toc19628690"/>
      <w:bookmarkStart w:id="80" w:name="_Toc19628717"/>
      <w:bookmarkStart w:id="81" w:name="_Toc22904518"/>
      <w:bookmarkStart w:id="82" w:name="_Toc23239879"/>
      <w:bookmarkEnd w:id="68"/>
      <w:bookmarkEnd w:id="69"/>
      <w:bookmarkEnd w:id="70"/>
      <w:bookmarkEnd w:id="71"/>
      <w:r>
        <w:t>The</w:t>
      </w:r>
      <w:r w:rsidR="00D97AD6">
        <w:t xml:space="preserve"> F</w:t>
      </w:r>
      <w:r w:rsidR="005A4F5E">
        <w:t>ifth</w:t>
      </w:r>
      <w:r w:rsidR="00D97AD6">
        <w:t xml:space="preserve"> A</w:t>
      </w:r>
      <w:r w:rsidR="005A4F5E">
        <w:t>mendment</w:t>
      </w:r>
      <w:r w:rsidR="00D97AD6">
        <w:t xml:space="preserve"> </w:t>
      </w:r>
      <w:bookmarkEnd w:id="72"/>
      <w:bookmarkEnd w:id="73"/>
      <w:r>
        <w:t>D</w:t>
      </w:r>
      <w:r w:rsidR="00646A2F">
        <w:t>id</w:t>
      </w:r>
      <w:r>
        <w:t xml:space="preserve"> Not </w:t>
      </w:r>
      <w:r w:rsidR="000205F7">
        <w:t xml:space="preserve">Relieve </w:t>
      </w:r>
      <w:r w:rsidR="000205F7">
        <w:t>HobbyKing</w:t>
      </w:r>
      <w:r w:rsidR="000205F7">
        <w:t xml:space="preserve"> of </w:t>
      </w:r>
      <w:r w:rsidR="00F92B8E">
        <w:t xml:space="preserve">its </w:t>
      </w:r>
      <w:r w:rsidR="00A470DF">
        <w:t xml:space="preserve">Duty to </w:t>
      </w:r>
      <w:r w:rsidR="00246524">
        <w:t>Respond</w:t>
      </w:r>
      <w:r w:rsidR="00646A2F">
        <w:t xml:space="preserve"> to the LOI</w:t>
      </w:r>
      <w:bookmarkEnd w:id="74"/>
      <w:bookmarkEnd w:id="75"/>
      <w:bookmarkEnd w:id="76"/>
      <w:bookmarkEnd w:id="77"/>
      <w:r w:rsidR="00646A2F">
        <w:t xml:space="preserve"> </w:t>
      </w:r>
      <w:bookmarkEnd w:id="78"/>
      <w:bookmarkEnd w:id="79"/>
      <w:bookmarkEnd w:id="80"/>
      <w:bookmarkEnd w:id="81"/>
      <w:bookmarkEnd w:id="82"/>
    </w:p>
    <w:p w:rsidR="00CF6419" w:rsidP="00330072" w14:paraId="637F93B4" w14:textId="370763DE">
      <w:pPr>
        <w:pStyle w:val="ParaNum"/>
      </w:pPr>
      <w:r>
        <w:t xml:space="preserve">We </w:t>
      </w:r>
      <w:r w:rsidR="00DE45E5">
        <w:t>reject</w:t>
      </w:r>
      <w:r>
        <w:t xml:space="preserve"> HobbyKing</w:t>
      </w:r>
      <w:r w:rsidR="0098443C">
        <w:t>’</w:t>
      </w:r>
      <w:r>
        <w:t xml:space="preserve">s assertion that requiring it to respond fully to the </w:t>
      </w:r>
      <w:r w:rsidR="00490C5F">
        <w:t xml:space="preserve">Letter of Inquiry </w:t>
      </w:r>
      <w:r w:rsidR="00820BC8">
        <w:t>violate</w:t>
      </w:r>
      <w:r w:rsidR="00490C5F">
        <w:t>d</w:t>
      </w:r>
      <w:r w:rsidR="00820BC8">
        <w:t xml:space="preserve"> its constitutional right against self-incrimination.</w:t>
      </w:r>
      <w:r>
        <w:rPr>
          <w:rStyle w:val="FootnoteReference"/>
        </w:rPr>
        <w:footnoteReference w:id="70"/>
      </w:r>
      <w:r w:rsidR="00820BC8">
        <w:t xml:space="preserve">  </w:t>
      </w:r>
      <w:r>
        <w:t>Th</w:t>
      </w:r>
      <w:r w:rsidRPr="007043A4">
        <w:t>e Commission’s authority to conduct investigations</w:t>
      </w:r>
      <w:r>
        <w:t xml:space="preserve"> and to compel entities to provide information and documents sought during investigations</w:t>
      </w:r>
      <w:r w:rsidRPr="007043A4">
        <w:t xml:space="preserve"> is well-</w:t>
      </w:r>
      <w:r w:rsidR="00AF1B64">
        <w:t>settled</w:t>
      </w:r>
      <w:r w:rsidRPr="007043A4">
        <w:t>.</w:t>
      </w:r>
      <w:bookmarkStart w:id="83" w:name="_Ref498698570"/>
      <w:r>
        <w:rPr>
          <w:rStyle w:val="FootnoteReference"/>
        </w:rPr>
        <w:footnoteReference w:id="71"/>
      </w:r>
      <w:bookmarkEnd w:id="83"/>
      <w:r w:rsidRPr="007043A4">
        <w:t xml:space="preserve">  </w:t>
      </w:r>
      <w:r w:rsidRPr="00D606D8">
        <w:t xml:space="preserve">The </w:t>
      </w:r>
      <w:r w:rsidR="002E73BA">
        <w:t xml:space="preserve">Commission </w:t>
      </w:r>
      <w:r>
        <w:t xml:space="preserve">has </w:t>
      </w:r>
      <w:r w:rsidRPr="00D606D8">
        <w:t xml:space="preserve">delegated </w:t>
      </w:r>
      <w:r w:rsidR="002E73BA">
        <w:t xml:space="preserve">to </w:t>
      </w:r>
      <w:r>
        <w:t xml:space="preserve">the </w:t>
      </w:r>
      <w:r w:rsidR="002E73BA">
        <w:t xml:space="preserve">Bureau </w:t>
      </w:r>
      <w:r w:rsidRPr="00D606D8">
        <w:t>authority to “conduct investigations . . . on its own initiative” of potential violations of the Act or the Commission’s rules.</w:t>
      </w:r>
      <w:r>
        <w:rPr>
          <w:rStyle w:val="FootnoteReference"/>
        </w:rPr>
        <w:footnoteReference w:id="72"/>
      </w:r>
      <w:r w:rsidRPr="00D606D8">
        <w:t xml:space="preserve">  </w:t>
      </w:r>
      <w:r>
        <w:t>HobbyKing</w:t>
      </w:r>
      <w:r>
        <w:t xml:space="preserve"> refused to provide a full response to the LOI</w:t>
      </w:r>
      <w:r w:rsidR="00AF72A4">
        <w:t xml:space="preserve">.  Although </w:t>
      </w:r>
      <w:r w:rsidR="00AF72A4">
        <w:t>HobbyKing</w:t>
      </w:r>
      <w:r w:rsidR="00AF72A4">
        <w:t xml:space="preserve"> supplied</w:t>
      </w:r>
      <w:r>
        <w:t xml:space="preserve"> </w:t>
      </w:r>
      <w:r w:rsidRPr="00246A02">
        <w:t xml:space="preserve">information on the four </w:t>
      </w:r>
      <w:r>
        <w:t>AV transmitters</w:t>
      </w:r>
      <w:r w:rsidRPr="00246A02">
        <w:t xml:space="preserve"> specifically identified in the</w:t>
      </w:r>
      <w:r>
        <w:t xml:space="preserve"> </w:t>
      </w:r>
      <w:r w:rsidRPr="00246A02">
        <w:t xml:space="preserve">LOI, </w:t>
      </w:r>
      <w:r w:rsidR="00AF72A4">
        <w:t>it provided nothing regarding</w:t>
      </w:r>
      <w:r>
        <w:t xml:space="preserve"> any of the </w:t>
      </w:r>
      <w:r w:rsidRPr="00246A02">
        <w:t xml:space="preserve">other AV transmitters listed on </w:t>
      </w:r>
      <w:r>
        <w:t>HobbyKing’s</w:t>
      </w:r>
      <w:r w:rsidRPr="00246A02">
        <w:t xml:space="preserve"> website</w:t>
      </w:r>
      <w:r w:rsidR="00D10A9D">
        <w:t>, despite being directed to do so in the LOI</w:t>
      </w:r>
      <w:r>
        <w:t>.</w:t>
      </w:r>
      <w:r>
        <w:rPr>
          <w:rStyle w:val="FootnoteReference"/>
        </w:rPr>
        <w:footnoteReference w:id="73"/>
      </w:r>
      <w:r>
        <w:t xml:space="preserve">  </w:t>
      </w:r>
    </w:p>
    <w:p w:rsidR="00472435" w:rsidP="00E45334" w14:paraId="0D2F24FF" w14:textId="06B7A330">
      <w:pPr>
        <w:pStyle w:val="ParaNum"/>
        <w:widowControl/>
      </w:pPr>
      <w:r>
        <w:t xml:space="preserve">The Fifth Amendment of the Constitution </w:t>
      </w:r>
      <w:r w:rsidR="005A4F5E">
        <w:t>provides</w:t>
      </w:r>
      <w:r>
        <w:t xml:space="preserve"> that “[n]o </w:t>
      </w:r>
      <w:r>
        <w:t xml:space="preserve">person </w:t>
      </w:r>
      <w:r w:rsidR="00AF72A4">
        <w:t>.</w:t>
      </w:r>
      <w:r w:rsidR="00AF72A4">
        <w:t xml:space="preserve"> . . </w:t>
      </w:r>
      <w:r>
        <w:t>shall be compelled in any criminal case to be a witness against himself.”</w:t>
      </w:r>
      <w:r>
        <w:rPr>
          <w:rStyle w:val="FootnoteReference"/>
        </w:rPr>
        <w:footnoteReference w:id="74"/>
      </w:r>
      <w:r>
        <w:t xml:space="preserve">  </w:t>
      </w:r>
      <w:r w:rsidR="002E73BA">
        <w:t>I</w:t>
      </w:r>
      <w:r w:rsidR="00F94402">
        <w:t>t is well</w:t>
      </w:r>
      <w:r w:rsidR="003C0025">
        <w:t xml:space="preserve"> </w:t>
      </w:r>
      <w:r w:rsidR="00F94402">
        <w:t xml:space="preserve">established that </w:t>
      </w:r>
      <w:r w:rsidR="00F511B6">
        <w:t xml:space="preserve">corporations and other collective entities </w:t>
      </w:r>
      <w:r w:rsidR="00CD76C0">
        <w:t>are not protected by the Fifth Amendment privilege against self-incrimination.</w:t>
      </w:r>
      <w:r>
        <w:rPr>
          <w:rStyle w:val="FootnoteReference"/>
        </w:rPr>
        <w:footnoteReference w:id="75"/>
      </w:r>
      <w:r w:rsidR="00C51770">
        <w:t xml:space="preserve">  </w:t>
      </w:r>
      <w:r w:rsidR="00C51770">
        <w:t>HobbyKing</w:t>
      </w:r>
      <w:r w:rsidR="00C51770">
        <w:t xml:space="preserve"> admits that “Fifth Amendment rights are held by individuals, not corporations.”</w:t>
      </w:r>
      <w:r>
        <w:rPr>
          <w:rStyle w:val="FootnoteReference"/>
        </w:rPr>
        <w:footnoteReference w:id="76"/>
      </w:r>
      <w:r w:rsidR="00C51770">
        <w:t xml:space="preserve">    </w:t>
      </w:r>
    </w:p>
    <w:p w:rsidR="00C51770" w:rsidP="00330072" w14:paraId="3B3CCB02" w14:textId="7F2F70AF">
      <w:pPr>
        <w:pStyle w:val="ParaNum"/>
      </w:pPr>
      <w:r>
        <w:t xml:space="preserve">No </w:t>
      </w:r>
      <w:r>
        <w:t>HobbyKing</w:t>
      </w:r>
      <w:r>
        <w:t xml:space="preserve"> principal has ever asserted a Fifth Amendment right against self-incrimination in this investigation at any time.  Even if they had, </w:t>
      </w:r>
      <w:r w:rsidR="00A648E2">
        <w:t xml:space="preserve">an individual in possession of </w:t>
      </w:r>
      <w:r w:rsidR="00417D87">
        <w:t xml:space="preserve">the </w:t>
      </w:r>
      <w:r w:rsidR="00A648E2">
        <w:t xml:space="preserve">records </w:t>
      </w:r>
      <w:r w:rsidR="00417D87">
        <w:t xml:space="preserve">of a collective entity </w:t>
      </w:r>
      <w:r w:rsidR="00A648E2">
        <w:t>cannot assert a Fifth Amendment privilege against producing them, even if production might tend to incriminate the individual personally.</w:t>
      </w:r>
      <w:r>
        <w:rPr>
          <w:rStyle w:val="FootnoteReference"/>
        </w:rPr>
        <w:footnoteReference w:id="77"/>
      </w:r>
      <w:r>
        <w:t xml:space="preserve">  </w:t>
      </w:r>
      <w:r w:rsidRPr="00756944" w:rsidR="00756944">
        <w:t xml:space="preserve"> </w:t>
      </w:r>
      <w:r w:rsidR="00756944">
        <w:t xml:space="preserve"> </w:t>
      </w:r>
    </w:p>
    <w:p w:rsidR="003343CA" w:rsidRPr="0007571D" w:rsidP="004C6A2A" w14:paraId="18716531" w14:textId="0B4FE401">
      <w:pPr>
        <w:pStyle w:val="Heading2"/>
      </w:pPr>
      <w:bookmarkStart w:id="85" w:name="_Toc7603264"/>
      <w:bookmarkStart w:id="86" w:name="_Toc13488320"/>
      <w:bookmarkStart w:id="87" w:name="_Toc19605236"/>
      <w:bookmarkStart w:id="88" w:name="_Toc19628691"/>
      <w:bookmarkStart w:id="89" w:name="_Toc19628718"/>
      <w:bookmarkStart w:id="90" w:name="_Toc22904519"/>
      <w:bookmarkStart w:id="91" w:name="_Toc23239880"/>
      <w:bookmarkStart w:id="92" w:name="_Toc30682631"/>
      <w:bookmarkStart w:id="93" w:name="_Toc30682692"/>
      <w:bookmarkStart w:id="94" w:name="_Toc40101071"/>
      <w:bookmarkStart w:id="95" w:name="_Toc40101719"/>
      <w:r>
        <w:t>T</w:t>
      </w:r>
      <w:r w:rsidR="005A4F5E">
        <w:t>he</w:t>
      </w:r>
      <w:r>
        <w:t xml:space="preserve"> </w:t>
      </w:r>
      <w:r w:rsidR="001658BA">
        <w:t>P</w:t>
      </w:r>
      <w:r w:rsidR="005A4F5E">
        <w:t>roposed</w:t>
      </w:r>
      <w:r w:rsidR="001658BA">
        <w:t xml:space="preserve"> </w:t>
      </w:r>
      <w:r w:rsidR="00D97AD6">
        <w:t>F</w:t>
      </w:r>
      <w:r w:rsidR="005A4F5E">
        <w:t>orfeiture</w:t>
      </w:r>
      <w:r w:rsidR="00D97AD6">
        <w:t xml:space="preserve"> A</w:t>
      </w:r>
      <w:r w:rsidR="005A4F5E">
        <w:t>mount</w:t>
      </w:r>
      <w:r w:rsidR="00D97AD6">
        <w:t xml:space="preserve"> I</w:t>
      </w:r>
      <w:r w:rsidR="005A4F5E">
        <w:t>s</w:t>
      </w:r>
      <w:r w:rsidR="00D97AD6">
        <w:t xml:space="preserve"> A</w:t>
      </w:r>
      <w:r w:rsidR="005A4F5E">
        <w:t>ppropriate</w:t>
      </w:r>
      <w:bookmarkEnd w:id="85"/>
      <w:bookmarkEnd w:id="86"/>
      <w:bookmarkEnd w:id="87"/>
      <w:bookmarkEnd w:id="88"/>
      <w:bookmarkEnd w:id="89"/>
      <w:bookmarkEnd w:id="90"/>
      <w:bookmarkEnd w:id="91"/>
      <w:bookmarkEnd w:id="92"/>
      <w:bookmarkEnd w:id="93"/>
      <w:bookmarkEnd w:id="94"/>
      <w:bookmarkEnd w:id="95"/>
    </w:p>
    <w:p w:rsidR="003343CA" w:rsidRPr="00630D55" w:rsidP="00F35757" w14:paraId="5143B801" w14:textId="51AF086C">
      <w:pPr>
        <w:pStyle w:val="ParaNum"/>
      </w:pPr>
      <w:r>
        <w:t>After considering the relevant statutory factors and the Commission</w:t>
      </w:r>
      <w:r w:rsidR="0098443C">
        <w:t>’</w:t>
      </w:r>
      <w:r>
        <w:t xml:space="preserve">s </w:t>
      </w:r>
      <w:r w:rsidRPr="00367FBB">
        <w:rPr>
          <w:i/>
          <w:iCs/>
        </w:rPr>
        <w:t>Forfeiture Policy Statement</w:t>
      </w:r>
      <w:r>
        <w:t xml:space="preserve">, we find that </w:t>
      </w:r>
      <w:r w:rsidR="00401002">
        <w:t>HobbyKing</w:t>
      </w:r>
      <w:r>
        <w:t xml:space="preserve"> is liable for a total forfeiture of $</w:t>
      </w:r>
      <w:r w:rsidR="006000AB">
        <w:t>2,861,128</w:t>
      </w:r>
      <w:r w:rsidR="008A10E1">
        <w:t xml:space="preserve">.  </w:t>
      </w:r>
      <w:r w:rsidR="001658BA">
        <w:t xml:space="preserve">As explained in the </w:t>
      </w:r>
      <w:r w:rsidRPr="00955ED6" w:rsidR="0067355C">
        <w:rPr>
          <w:i/>
          <w:iCs/>
        </w:rPr>
        <w:t>NAL</w:t>
      </w:r>
      <w:r w:rsidR="001658BA">
        <w:t>, this total results from</w:t>
      </w:r>
      <w:r w:rsidR="00FA0DAA">
        <w:t xml:space="preserve"> applying a $7,000 base forfeiture for the 65 models of noncompliant equipment marketed by </w:t>
      </w:r>
      <w:r w:rsidR="00FA0DAA">
        <w:t>Hobby</w:t>
      </w:r>
      <w:r w:rsidR="00170B4A">
        <w:t>K</w:t>
      </w:r>
      <w:r w:rsidR="00FA0DAA">
        <w:t>ing</w:t>
      </w:r>
      <w:r w:rsidR="00FA0DAA">
        <w:t xml:space="preserve">.  </w:t>
      </w:r>
      <w:r w:rsidR="00A94FD7">
        <w:t>For 50 of these models, w</w:t>
      </w:r>
      <w:r w:rsidR="005A4F5E">
        <w:t>e upwardly adjusted t</w:t>
      </w:r>
      <w:r w:rsidR="00FA0DAA">
        <w:t xml:space="preserve">hat base forfeiture </w:t>
      </w:r>
      <w:r w:rsidR="00FA0DAA">
        <w:rPr>
          <w:color w:val="000000"/>
        </w:rPr>
        <w:t>for the marketing violations</w:t>
      </w:r>
      <w:r w:rsidR="00E92B90">
        <w:rPr>
          <w:color w:val="000000"/>
        </w:rPr>
        <w:t xml:space="preserve"> </w:t>
      </w:r>
      <w:r w:rsidR="00FA0DAA">
        <w:rPr>
          <w:color w:val="000000"/>
        </w:rPr>
        <w:t xml:space="preserve">because </w:t>
      </w:r>
      <w:r w:rsidR="00FA0DAA">
        <w:rPr>
          <w:color w:val="000000"/>
        </w:rPr>
        <w:t>HobbyKing</w:t>
      </w:r>
      <w:r w:rsidR="00FA0DAA">
        <w:rPr>
          <w:color w:val="000000"/>
        </w:rPr>
        <w:t xml:space="preserve"> apparently had long marketed noncompliant devices</w:t>
      </w:r>
      <w:r w:rsidR="002975F0">
        <w:rPr>
          <w:color w:val="000000"/>
        </w:rPr>
        <w:t xml:space="preserve"> and</w:t>
      </w:r>
      <w:r w:rsidR="00FA0DAA">
        <w:rPr>
          <w:color w:val="000000"/>
        </w:rPr>
        <w:t xml:space="preserve"> intentionally marketed devices </w:t>
      </w:r>
      <w:r w:rsidR="00AF1B64">
        <w:rPr>
          <w:color w:val="000000"/>
        </w:rPr>
        <w:t xml:space="preserve">that </w:t>
      </w:r>
      <w:r w:rsidR="00FA0DAA">
        <w:rPr>
          <w:color w:val="000000"/>
        </w:rPr>
        <w:t>could not be certified because of their operating frequencies</w:t>
      </w:r>
      <w:r w:rsidR="005A4F5E">
        <w:rPr>
          <w:color w:val="000000"/>
        </w:rPr>
        <w:t>.  F</w:t>
      </w:r>
      <w:r w:rsidR="00FA0DAA">
        <w:rPr>
          <w:color w:val="000000"/>
        </w:rPr>
        <w:t xml:space="preserve">or fifteen of the models, </w:t>
      </w:r>
      <w:r w:rsidR="005A4F5E">
        <w:rPr>
          <w:color w:val="000000"/>
        </w:rPr>
        <w:t xml:space="preserve">we </w:t>
      </w:r>
      <w:r w:rsidR="00FA0DAA">
        <w:rPr>
          <w:color w:val="000000"/>
        </w:rPr>
        <w:t xml:space="preserve">further upwardly adjusted </w:t>
      </w:r>
      <w:r w:rsidR="00167655">
        <w:rPr>
          <w:color w:val="000000"/>
        </w:rPr>
        <w:t>the forfeiture to the statutory maximum</w:t>
      </w:r>
      <w:r w:rsidR="00FA0DAA">
        <w:rPr>
          <w:color w:val="000000"/>
        </w:rPr>
        <w:t xml:space="preserve"> because those models presented an egregious threat to public safety.</w:t>
      </w:r>
      <w:r>
        <w:rPr>
          <w:rStyle w:val="FootnoteReference"/>
        </w:rPr>
        <w:footnoteReference w:id="78"/>
      </w:r>
      <w:r w:rsidR="00FA0DAA">
        <w:rPr>
          <w:color w:val="000000"/>
        </w:rPr>
        <w:t xml:space="preserve">  The base forfeiture for HobbyKing</w:t>
      </w:r>
      <w:r w:rsidR="0098443C">
        <w:rPr>
          <w:color w:val="000000"/>
        </w:rPr>
        <w:t>’</w:t>
      </w:r>
      <w:r w:rsidR="00FA0DAA">
        <w:rPr>
          <w:color w:val="000000"/>
        </w:rPr>
        <w:t xml:space="preserve">s apparent violations related to its failure to fully respond to the </w:t>
      </w:r>
      <w:r w:rsidR="00FA0DAA">
        <w:t>Letter of Inquiry</w:t>
      </w:r>
      <w:r w:rsidR="008561ED">
        <w:t xml:space="preserve"> and the </w:t>
      </w:r>
      <w:r w:rsidR="008561ED">
        <w:rPr>
          <w:i/>
        </w:rPr>
        <w:t>LOI Citations</w:t>
      </w:r>
      <w:r w:rsidR="00FA0DAA">
        <w:rPr>
          <w:color w:val="000000"/>
        </w:rPr>
        <w:t xml:space="preserve"> </w:t>
      </w:r>
      <w:r w:rsidR="008561ED">
        <w:rPr>
          <w:color w:val="000000"/>
        </w:rPr>
        <w:t>is</w:t>
      </w:r>
      <w:r w:rsidR="00FA0DAA">
        <w:rPr>
          <w:color w:val="000000"/>
        </w:rPr>
        <w:t xml:space="preserve"> $4,000 for each violation</w:t>
      </w:r>
      <w:r w:rsidR="008561ED">
        <w:rPr>
          <w:color w:val="000000"/>
        </w:rPr>
        <w:t>,</w:t>
      </w:r>
      <w:r w:rsidR="00FA0DAA">
        <w:rPr>
          <w:color w:val="000000"/>
        </w:rPr>
        <w:t xml:space="preserve"> and </w:t>
      </w:r>
      <w:r w:rsidR="00461AC0">
        <w:rPr>
          <w:color w:val="000000"/>
        </w:rPr>
        <w:t xml:space="preserve">we upwardly adjusted the </w:t>
      </w:r>
      <w:r w:rsidR="00FA0DAA">
        <w:rPr>
          <w:color w:val="000000"/>
        </w:rPr>
        <w:t xml:space="preserve">base forfeiture </w:t>
      </w:r>
      <w:r w:rsidR="002975F0">
        <w:rPr>
          <w:color w:val="000000"/>
        </w:rPr>
        <w:t xml:space="preserve">to the statutory maximum </w:t>
      </w:r>
      <w:r w:rsidR="00FA0DAA">
        <w:rPr>
          <w:color w:val="000000"/>
        </w:rPr>
        <w:t>based on HobbyKing</w:t>
      </w:r>
      <w:r w:rsidR="0098443C">
        <w:rPr>
          <w:color w:val="000000"/>
        </w:rPr>
        <w:t>’</w:t>
      </w:r>
      <w:r w:rsidR="00FA0DAA">
        <w:rPr>
          <w:color w:val="000000"/>
        </w:rPr>
        <w:t>s egregious behavior in refusing to cooperate in the investigation after being given numerous opportunities to cure its failure to respond.</w:t>
      </w:r>
      <w:r>
        <w:rPr>
          <w:rStyle w:val="FootnoteReference"/>
        </w:rPr>
        <w:footnoteReference w:id="79"/>
      </w:r>
      <w:r w:rsidR="00FA0DAA">
        <w:rPr>
          <w:color w:val="000000"/>
        </w:rPr>
        <w:t xml:space="preserve">  </w:t>
      </w:r>
    </w:p>
    <w:p w:rsidR="001658BA" w:rsidRPr="0007571D" w:rsidP="00F35757" w14:paraId="2DF6E8D6" w14:textId="0526609D">
      <w:pPr>
        <w:pStyle w:val="ParaNum"/>
      </w:pPr>
      <w:r>
        <w:t>We reject HobbyKing</w:t>
      </w:r>
      <w:r w:rsidR="0098443C">
        <w:t>’</w:t>
      </w:r>
      <w:r>
        <w:t>s arguments that the proposed forfeiture should be reduced due to its alleged inability to pay, its alleged history of compliance with the Commission</w:t>
      </w:r>
      <w:r w:rsidR="0098443C">
        <w:t>’</w:t>
      </w:r>
      <w:r>
        <w:t xml:space="preserve">s rules, or because the proposed fine treats </w:t>
      </w:r>
      <w:r>
        <w:t>HobbyKing</w:t>
      </w:r>
      <w:r>
        <w:t xml:space="preserve"> differently from similarly situated entities.</w:t>
      </w:r>
      <w:r>
        <w:rPr>
          <w:rStyle w:val="FootnoteReference"/>
        </w:rPr>
        <w:footnoteReference w:id="80"/>
      </w:r>
      <w:r>
        <w:t xml:space="preserve">  None of these arguments has merit.  We therefore find no basis to reduce or cancel the forfeiture.</w:t>
      </w:r>
      <w:r w:rsidR="002B1C69">
        <w:t xml:space="preserve">  </w:t>
      </w:r>
    </w:p>
    <w:p w:rsidR="003343CA" w:rsidRPr="009A2403" w:rsidP="00AC79A7" w14:paraId="744F37D9" w14:textId="1CA6C63B">
      <w:pPr>
        <w:pStyle w:val="Heading3"/>
      </w:pPr>
      <w:bookmarkStart w:id="96" w:name="_Toc13488321"/>
      <w:bookmarkStart w:id="97" w:name="_Toc19605237"/>
      <w:bookmarkStart w:id="98" w:name="_Toc19628692"/>
      <w:bookmarkStart w:id="99" w:name="_Toc19628719"/>
      <w:bookmarkStart w:id="100" w:name="_Toc22904520"/>
      <w:bookmarkStart w:id="101" w:name="_Toc23239881"/>
      <w:bookmarkStart w:id="102" w:name="_Toc30682632"/>
      <w:bookmarkStart w:id="103" w:name="_Toc30682693"/>
      <w:bookmarkStart w:id="104" w:name="_Toc40101072"/>
      <w:bookmarkStart w:id="105" w:name="_Toc40101720"/>
      <w:bookmarkStart w:id="106" w:name="_Toc7603265"/>
      <w:r>
        <w:t>Inability to Pay</w:t>
      </w:r>
      <w:bookmarkEnd w:id="96"/>
      <w:bookmarkEnd w:id="97"/>
      <w:bookmarkEnd w:id="98"/>
      <w:bookmarkEnd w:id="99"/>
      <w:bookmarkEnd w:id="100"/>
      <w:bookmarkEnd w:id="101"/>
      <w:bookmarkEnd w:id="102"/>
      <w:bookmarkEnd w:id="103"/>
      <w:bookmarkEnd w:id="104"/>
      <w:bookmarkEnd w:id="105"/>
      <w:r w:rsidRPr="009A2403">
        <w:t xml:space="preserve"> </w:t>
      </w:r>
      <w:bookmarkEnd w:id="106"/>
    </w:p>
    <w:p w:rsidR="00AF72A4" w:rsidP="0051030F" w14:paraId="343E9792" w14:textId="005F4F3D">
      <w:pPr>
        <w:pStyle w:val="ParaNum"/>
      </w:pPr>
      <w:r>
        <w:t>HobbyKing</w:t>
      </w:r>
      <w:r w:rsidR="004D77F5">
        <w:t xml:space="preserve"> has</w:t>
      </w:r>
      <w:r w:rsidR="00DE45E5">
        <w:t xml:space="preserve"> failed to meet </w:t>
      </w:r>
      <w:r w:rsidR="00C22308">
        <w:t xml:space="preserve">the </w:t>
      </w:r>
      <w:r w:rsidR="00DE45E5">
        <w:t xml:space="preserve">burden of showing </w:t>
      </w:r>
      <w:r w:rsidR="00C22308">
        <w:t xml:space="preserve">an </w:t>
      </w:r>
      <w:r w:rsidR="00DE45E5">
        <w:t>inability to pay</w:t>
      </w:r>
      <w:r w:rsidR="00350597">
        <w:t xml:space="preserve"> the proposed forfeiture</w:t>
      </w:r>
      <w:r w:rsidR="00DE45E5">
        <w:t>.</w:t>
      </w:r>
      <w:r>
        <w:rPr>
          <w:rStyle w:val="FootnoteReference"/>
        </w:rPr>
        <w:footnoteReference w:id="81"/>
      </w:r>
      <w:r>
        <w:t xml:space="preserve"> </w:t>
      </w:r>
      <w:r w:rsidR="0026161C">
        <w:t xml:space="preserve"> </w:t>
      </w:r>
      <w:r w:rsidR="00DE45E5">
        <w:t>E</w:t>
      </w:r>
      <w:r w:rsidR="007F1B4E">
        <w:t xml:space="preserve">ven if </w:t>
      </w:r>
      <w:r w:rsidR="00D80E13">
        <w:t>it</w:t>
      </w:r>
      <w:r w:rsidR="00BF273F">
        <w:t xml:space="preserve"> </w:t>
      </w:r>
      <w:r w:rsidR="007F1B4E">
        <w:t>had,</w:t>
      </w:r>
      <w:r>
        <w:t xml:space="preserve"> </w:t>
      </w:r>
      <w:r w:rsidR="007F1B4E">
        <w:t xml:space="preserve">we </w:t>
      </w:r>
      <w:r w:rsidR="00DE45E5">
        <w:t xml:space="preserve">would </w:t>
      </w:r>
      <w:r w:rsidR="007F1B4E">
        <w:t xml:space="preserve">decline to reduce </w:t>
      </w:r>
      <w:r w:rsidR="00DE45E5">
        <w:t xml:space="preserve">the forfeiture </w:t>
      </w:r>
      <w:r w:rsidR="007F1B4E">
        <w:t xml:space="preserve">due to the egregious, intentional, and repeated and continuous nature of the violations.  </w:t>
      </w:r>
    </w:p>
    <w:p w:rsidR="007F1B4E" w:rsidP="00E45334" w14:paraId="13F1A1B5" w14:textId="2D98AA43">
      <w:pPr>
        <w:pStyle w:val="ParaNum"/>
        <w:widowControl/>
      </w:pPr>
      <w:r w:rsidRPr="00397D62">
        <w:rPr>
          <w:i/>
          <w:iCs/>
        </w:rPr>
        <w:t>First</w:t>
      </w:r>
      <w:r>
        <w:t xml:space="preserve">, </w:t>
      </w:r>
      <w:r>
        <w:t>HobbyKing</w:t>
      </w:r>
      <w:r>
        <w:t xml:space="preserve"> did not provide complete financial information to support </w:t>
      </w:r>
      <w:r w:rsidR="00D80E13">
        <w:t>its</w:t>
      </w:r>
      <w:r w:rsidR="00BF273F">
        <w:t xml:space="preserve"> </w:t>
      </w:r>
      <w:r>
        <w:t>inability to pay</w:t>
      </w:r>
      <w:r w:rsidR="00D80E13">
        <w:t xml:space="preserve"> claim</w:t>
      </w:r>
      <w:r>
        <w:t>.</w:t>
      </w:r>
      <w:r w:rsidR="00213288">
        <w:t xml:space="preserve">  The </w:t>
      </w:r>
      <w:r w:rsidRPr="00397D62" w:rsidR="0067355C">
        <w:rPr>
          <w:i/>
          <w:iCs/>
        </w:rPr>
        <w:t>NAL</w:t>
      </w:r>
      <w:r w:rsidR="00213288">
        <w:t xml:space="preserve"> </w:t>
      </w:r>
      <w:r w:rsidR="0078400F">
        <w:t xml:space="preserve">stated that the Commission would not consider reducing the forfeiture </w:t>
      </w:r>
      <w:r w:rsidR="001D618D">
        <w:t xml:space="preserve">in response to a claim of </w:t>
      </w:r>
      <w:r w:rsidR="00213288">
        <w:t xml:space="preserve">inability to pay </w:t>
      </w:r>
      <w:r w:rsidR="00700454">
        <w:t xml:space="preserve">unless </w:t>
      </w:r>
      <w:r w:rsidR="00700454">
        <w:t>HobbyKing</w:t>
      </w:r>
      <w:r w:rsidR="00700454">
        <w:t xml:space="preserve"> submit</w:t>
      </w:r>
      <w:r w:rsidR="005F5EFB">
        <w:t>t</w:t>
      </w:r>
      <w:r w:rsidR="00665F05">
        <w:t>ed</w:t>
      </w:r>
      <w:r w:rsidR="00700454">
        <w:t xml:space="preserve"> </w:t>
      </w:r>
      <w:r w:rsidR="00472435">
        <w:t xml:space="preserve">supporting </w:t>
      </w:r>
      <w:r w:rsidR="00700454">
        <w:t>financial information</w:t>
      </w:r>
      <w:r w:rsidR="00472435">
        <w:t>,</w:t>
      </w:r>
      <w:r w:rsidR="00700454">
        <w:t xml:space="preserve"> </w:t>
      </w:r>
      <w:r w:rsidR="00F32287">
        <w:t>including</w:t>
      </w:r>
      <w:r w:rsidR="00213288">
        <w:t xml:space="preserve"> “(</w:t>
      </w:r>
      <w:r w:rsidRPr="00213288" w:rsidR="00213288">
        <w:t>1) federal tax returns for the most recent three-year period; (2) financial statements prepared according to generally accepted accounting practices; or (3) some other reliable and objective documentation that accurately reflects the petitioner</w:t>
      </w:r>
      <w:r w:rsidR="0098443C">
        <w:t>’</w:t>
      </w:r>
      <w:r w:rsidRPr="00213288" w:rsidR="00213288">
        <w:t>s current financial status.</w:t>
      </w:r>
      <w:r w:rsidR="00213288">
        <w:t>”</w:t>
      </w:r>
      <w:r>
        <w:rPr>
          <w:rStyle w:val="FootnoteReference"/>
        </w:rPr>
        <w:footnoteReference w:id="82"/>
      </w:r>
      <w:r w:rsidR="00213288">
        <w:t xml:space="preserve">  </w:t>
      </w:r>
      <w:r w:rsidR="003D6BAD">
        <w:t xml:space="preserve">The </w:t>
      </w:r>
      <w:r w:rsidRPr="00397D62" w:rsidR="003D6BAD">
        <w:rPr>
          <w:i/>
          <w:iCs/>
        </w:rPr>
        <w:t>NAL</w:t>
      </w:r>
      <w:r w:rsidR="003D6BAD">
        <w:t xml:space="preserve"> found </w:t>
      </w:r>
      <w:r w:rsidR="00E04779">
        <w:t>two related</w:t>
      </w:r>
      <w:r w:rsidR="003D6BAD">
        <w:t xml:space="preserve"> companies</w:t>
      </w:r>
      <w:r w:rsidRPr="00E04779" w:rsidR="00E04779">
        <w:t xml:space="preserve"> </w:t>
      </w:r>
      <w:r w:rsidR="00E04779">
        <w:t xml:space="preserve">doing business as </w:t>
      </w:r>
      <w:r w:rsidR="00E04779">
        <w:t>HobbyKing</w:t>
      </w:r>
      <w:r w:rsidR="00E04779">
        <w:t>, ABC Fulfillment Services LLC and Indubitably, Inc.,</w:t>
      </w:r>
      <w:r w:rsidR="003D6BAD">
        <w:t xml:space="preserve"> apparently liable for the violations, yet </w:t>
      </w:r>
      <w:r w:rsidR="0051030F">
        <w:t>HobbyKing</w:t>
      </w:r>
      <w:r w:rsidR="0051030F">
        <w:t xml:space="preserve"> provided three years of tax returns for only one, </w:t>
      </w:r>
      <w:r w:rsidRPr="007043A4" w:rsidR="0051030F">
        <w:t>Indubitably, Inc</w:t>
      </w:r>
      <w:r w:rsidR="0051030F">
        <w:t>.</w:t>
      </w:r>
      <w:r>
        <w:rPr>
          <w:rStyle w:val="FootnoteReference"/>
        </w:rPr>
        <w:footnoteReference w:id="83"/>
      </w:r>
      <w:r w:rsidR="0051030F">
        <w:t xml:space="preserve">  </w:t>
      </w:r>
      <w:r w:rsidR="00213288">
        <w:t>HobbyKing</w:t>
      </w:r>
      <w:r w:rsidR="00213288">
        <w:t xml:space="preserve"> did not provide </w:t>
      </w:r>
      <w:r w:rsidR="0051030F">
        <w:t xml:space="preserve">tax returns, financial statements, or, indeed, </w:t>
      </w:r>
      <w:r w:rsidR="00213288">
        <w:t xml:space="preserve">any </w:t>
      </w:r>
      <w:r w:rsidR="0051030F">
        <w:t xml:space="preserve">financial </w:t>
      </w:r>
      <w:r w:rsidR="00213288">
        <w:t>information</w:t>
      </w:r>
      <w:r w:rsidR="0051030F">
        <w:t>,</w:t>
      </w:r>
      <w:r w:rsidR="00213288">
        <w:t xml:space="preserve"> </w:t>
      </w:r>
      <w:r w:rsidR="0051030F">
        <w:t>for</w:t>
      </w:r>
      <w:r w:rsidR="00213288">
        <w:t xml:space="preserve"> </w:t>
      </w:r>
      <w:r w:rsidRPr="007043A4" w:rsidR="00213288">
        <w:t>ABC Fulfillment Services LLC</w:t>
      </w:r>
      <w:r w:rsidR="00087E0B">
        <w:t xml:space="preserve">, and we therefore have no basis to reduce </w:t>
      </w:r>
      <w:r w:rsidR="00845398">
        <w:t>its forfeiture amount</w:t>
      </w:r>
      <w:r w:rsidR="00213288">
        <w:t xml:space="preserve">.  </w:t>
      </w:r>
      <w:r w:rsidR="00E04779">
        <w:t>We find that</w:t>
      </w:r>
      <w:r w:rsidR="008801B8">
        <w:t xml:space="preserve"> </w:t>
      </w:r>
      <w:r w:rsidR="00213288">
        <w:t>HobbyKing</w:t>
      </w:r>
      <w:r w:rsidR="0098443C">
        <w:t>’</w:t>
      </w:r>
      <w:r w:rsidR="0051030F">
        <w:t>s</w:t>
      </w:r>
      <w:r w:rsidR="00213288">
        <w:t xml:space="preserve"> claim that </w:t>
      </w:r>
      <w:r w:rsidRPr="007043A4" w:rsidR="00213288">
        <w:t>ABC Fulfillment Services LLC</w:t>
      </w:r>
      <w:r w:rsidR="00213288">
        <w:t xml:space="preserve"> was involved in fulfillment services </w:t>
      </w:r>
      <w:r w:rsidR="0051030F">
        <w:t xml:space="preserve">only </w:t>
      </w:r>
      <w:r w:rsidR="00213288">
        <w:t>until the end of 2015</w:t>
      </w:r>
      <w:r w:rsidR="00E04779">
        <w:t xml:space="preserve"> too vague to rule the company out as a source of payment</w:t>
      </w:r>
      <w:r w:rsidR="00E56046">
        <w:t>.</w:t>
      </w:r>
      <w:r>
        <w:rPr>
          <w:rStyle w:val="FootnoteReference"/>
        </w:rPr>
        <w:footnoteReference w:id="84"/>
      </w:r>
      <w:r w:rsidR="00213288">
        <w:t xml:space="preserve"> </w:t>
      </w:r>
      <w:r w:rsidR="00E56046">
        <w:t xml:space="preserve"> E</w:t>
      </w:r>
      <w:r w:rsidR="0051030F">
        <w:t xml:space="preserve">ven if true, </w:t>
      </w:r>
      <w:r w:rsidR="00E56046">
        <w:t xml:space="preserve">that would </w:t>
      </w:r>
      <w:r w:rsidR="0051030F">
        <w:t xml:space="preserve">not absolve </w:t>
      </w:r>
      <w:r w:rsidR="00B5274E">
        <w:t>that company</w:t>
      </w:r>
      <w:r w:rsidR="00AE4876">
        <w:t xml:space="preserve"> </w:t>
      </w:r>
      <w:r w:rsidR="0051030F">
        <w:t xml:space="preserve">from failing to provide financial information </w:t>
      </w:r>
      <w:r w:rsidR="00E04779">
        <w:t>for</w:t>
      </w:r>
      <w:r w:rsidR="0051030F">
        <w:t xml:space="preserve"> at least 2015, the first year of the relevant three-year period</w:t>
      </w:r>
      <w:r w:rsidR="00213288">
        <w:t>.</w:t>
      </w:r>
      <w:r>
        <w:rPr>
          <w:rStyle w:val="FootnoteReference"/>
        </w:rPr>
        <w:footnoteReference w:id="85"/>
      </w:r>
      <w:r w:rsidR="00213288">
        <w:t xml:space="preserve">  </w:t>
      </w:r>
      <w:r w:rsidR="0051030F">
        <w:t xml:space="preserve">In addition, </w:t>
      </w:r>
      <w:r w:rsidR="008801B8">
        <w:t>HobbyKing</w:t>
      </w:r>
      <w:r w:rsidR="0098443C">
        <w:t>’</w:t>
      </w:r>
      <w:r w:rsidR="008801B8">
        <w:t xml:space="preserve">s financial </w:t>
      </w:r>
      <w:r w:rsidR="0051030F">
        <w:t>information</w:t>
      </w:r>
      <w:r w:rsidR="008801B8">
        <w:t xml:space="preserve"> is incomplete </w:t>
      </w:r>
      <w:r w:rsidR="0051030F">
        <w:t>because it did not provide</w:t>
      </w:r>
      <w:r w:rsidR="008801B8">
        <w:t xml:space="preserve"> </w:t>
      </w:r>
      <w:r>
        <w:t xml:space="preserve">any financial information involving its related Hong Kong company, </w:t>
      </w:r>
      <w:r>
        <w:t>Hextronik</w:t>
      </w:r>
      <w:r>
        <w:t xml:space="preserve"> LTD</w:t>
      </w:r>
      <w:r w:rsidR="007D44C0">
        <w:t>, without which we are unable to judge HobbyKing’s ability to pay</w:t>
      </w:r>
      <w:r>
        <w:t>.</w:t>
      </w:r>
      <w:r>
        <w:rPr>
          <w:rStyle w:val="FootnoteReference"/>
        </w:rPr>
        <w:footnoteReference w:id="86"/>
      </w:r>
      <w:r w:rsidR="002A028B">
        <w:t xml:space="preserve">  </w:t>
      </w:r>
      <w:r w:rsidR="009B5E9A">
        <w:t>In sum, a</w:t>
      </w:r>
      <w:r>
        <w:t xml:space="preserve">lthough </w:t>
      </w:r>
      <w:r>
        <w:t>HobbyKing</w:t>
      </w:r>
      <w:r>
        <w:t xml:space="preserve"> provided tax returns for one affiliated company</w:t>
      </w:r>
      <w:r w:rsidRPr="009B5E9A" w:rsidR="009B5E9A">
        <w:t xml:space="preserve"> </w:t>
      </w:r>
      <w:r w:rsidR="009B5E9A">
        <w:t>in support of its inability to pay request</w:t>
      </w:r>
      <w:r>
        <w:t xml:space="preserve">, </w:t>
      </w:r>
      <w:r w:rsidR="004D05E1">
        <w:t xml:space="preserve">it failed to </w:t>
      </w:r>
      <w:r w:rsidR="004D05E1">
        <w:t xml:space="preserve">provide the complete financial information required by the </w:t>
      </w:r>
      <w:r w:rsidRPr="00397D62" w:rsidR="0067355C">
        <w:rPr>
          <w:i/>
          <w:iCs/>
        </w:rPr>
        <w:t>NAL</w:t>
      </w:r>
      <w:r w:rsidR="004A543A">
        <w:t xml:space="preserve"> that would allow us to </w:t>
      </w:r>
      <w:r w:rsidR="00407D03">
        <w:t>find an inability to pay</w:t>
      </w:r>
      <w:r>
        <w:t>.</w:t>
      </w:r>
      <w:r>
        <w:rPr>
          <w:rStyle w:val="FootnoteReference"/>
        </w:rPr>
        <w:footnoteReference w:id="87"/>
      </w:r>
      <w:r>
        <w:t xml:space="preserve">  </w:t>
      </w:r>
    </w:p>
    <w:p w:rsidR="00412C2E" w:rsidP="000B3B27" w14:paraId="37D560F1" w14:textId="43303637">
      <w:pPr>
        <w:pStyle w:val="ParaNum"/>
      </w:pPr>
      <w:r w:rsidRPr="00397D62">
        <w:rPr>
          <w:i/>
          <w:iCs/>
        </w:rPr>
        <w:t>Second</w:t>
      </w:r>
      <w:r>
        <w:t xml:space="preserve">, even had </w:t>
      </w:r>
      <w:r>
        <w:t>HobbyKing</w:t>
      </w:r>
      <w:r>
        <w:t xml:space="preserve"> provided </w:t>
      </w:r>
      <w:r>
        <w:t>sufficient</w:t>
      </w:r>
      <w:r>
        <w:t xml:space="preserve"> </w:t>
      </w:r>
      <w:r w:rsidR="00275742">
        <w:t xml:space="preserve">documentation to </w:t>
      </w:r>
      <w:r>
        <w:t>support</w:t>
      </w:r>
      <w:r w:rsidR="00275742">
        <w:t xml:space="preserve"> a claim of inability to pay</w:t>
      </w:r>
      <w:r>
        <w:t xml:space="preserve">, we </w:t>
      </w:r>
      <w:r w:rsidR="004D05E1">
        <w:t xml:space="preserve">would </w:t>
      </w:r>
      <w:r>
        <w:t xml:space="preserve">decline </w:t>
      </w:r>
      <w:r w:rsidR="00EC5FEF">
        <w:t xml:space="preserve">to reduce the forfeiture </w:t>
      </w:r>
      <w:r w:rsidR="002A028B">
        <w:t>because of the nature of HobbyKing</w:t>
      </w:r>
      <w:r w:rsidR="0098443C">
        <w:t>’</w:t>
      </w:r>
      <w:r w:rsidR="002A028B">
        <w:t xml:space="preserve">s violations.  </w:t>
      </w:r>
      <w:r w:rsidR="00475393">
        <w:t xml:space="preserve">A claimed inability to pay a forfeiture amount is </w:t>
      </w:r>
      <w:r w:rsidRPr="009A2403" w:rsidR="00475393">
        <w:t xml:space="preserve">one of several factors the Commission must consider when determining an appropriate forfeiture under </w:t>
      </w:r>
      <w:r w:rsidR="00475393">
        <w:t>s</w:t>
      </w:r>
      <w:r w:rsidRPr="009A2403" w:rsidR="00475393">
        <w:t xml:space="preserve">ection 503 of the Act and our forfeiture guidelines.  </w:t>
      </w:r>
      <w:r w:rsidR="00475393">
        <w:t>We</w:t>
      </w:r>
      <w:r w:rsidRPr="009A2403" w:rsidR="00475393">
        <w:t xml:space="preserve"> must also consider “the nature, circumstances, extent, and gravity of the violation and, with respect to the violator, the degree of culpability, any history of prior offenses, . . . and such other matters as justice may require.”</w:t>
      </w:r>
      <w:r>
        <w:rPr>
          <w:rStyle w:val="FootnoteReference"/>
        </w:rPr>
        <w:footnoteReference w:id="88"/>
      </w:r>
      <w:r w:rsidRPr="00475393" w:rsidR="00475393">
        <w:t xml:space="preserve"> </w:t>
      </w:r>
      <w:r w:rsidR="00475393">
        <w:t xml:space="preserve"> As noted in the </w:t>
      </w:r>
      <w:r w:rsidRPr="00397D62" w:rsidR="0067355C">
        <w:rPr>
          <w:i/>
          <w:iCs/>
        </w:rPr>
        <w:t>NAL</w:t>
      </w:r>
      <w:r w:rsidR="00475393">
        <w:t xml:space="preserve"> and undisputed in </w:t>
      </w:r>
      <w:r w:rsidR="00475393">
        <w:t>HobbyKing</w:t>
      </w:r>
      <w:r w:rsidR="0098443C">
        <w:t>’</w:t>
      </w:r>
      <w:r w:rsidR="00475393">
        <w:t>s</w:t>
      </w:r>
      <w:r w:rsidR="00475393">
        <w:t xml:space="preserve"> NAL Response, </w:t>
      </w:r>
      <w:r w:rsidR="00475393">
        <w:t>HobbyKing</w:t>
      </w:r>
      <w:r w:rsidR="00475393">
        <w:t xml:space="preserve"> has a long history of marketing noncompliant radio frequency devices, some of which threaten public safety, even after </w:t>
      </w:r>
      <w:r w:rsidR="004D05E1">
        <w:t xml:space="preserve">receiving </w:t>
      </w:r>
      <w:r w:rsidR="00475393">
        <w:t>warnings from the Commission to stop</w:t>
      </w:r>
      <w:r w:rsidR="004D05E1">
        <w:t xml:space="preserve"> its illegal behavior</w:t>
      </w:r>
      <w:r w:rsidR="00475393">
        <w:t>.</w:t>
      </w:r>
      <w:r>
        <w:rPr>
          <w:rStyle w:val="FootnoteReference"/>
        </w:rPr>
        <w:footnoteReference w:id="89"/>
      </w:r>
      <w:r w:rsidR="00475393">
        <w:t xml:space="preserve">  Given these actions by </w:t>
      </w:r>
      <w:r w:rsidR="00475393">
        <w:t>HobbyKing</w:t>
      </w:r>
      <w:r w:rsidR="00475393">
        <w:t xml:space="preserve">, a reduction for inability to pay </w:t>
      </w:r>
      <w:r w:rsidR="00CB4ECC">
        <w:t xml:space="preserve">would be </w:t>
      </w:r>
      <w:r w:rsidR="00475393">
        <w:t>inappropriate when compared to the other circumstances of the case.</w:t>
      </w:r>
      <w:r>
        <w:rPr>
          <w:rStyle w:val="FootnoteReference"/>
        </w:rPr>
        <w:footnoteReference w:id="90"/>
      </w:r>
      <w:r w:rsidR="00475393">
        <w:t xml:space="preserve">  Accordingly, w</w:t>
      </w:r>
      <w:r w:rsidRPr="00475393" w:rsidR="00475393">
        <w:t>e</w:t>
      </w:r>
      <w:r w:rsidR="0008443E">
        <w:t xml:space="preserve"> </w:t>
      </w:r>
      <w:r w:rsidRPr="00475393" w:rsidR="00475393">
        <w:t xml:space="preserve">decline to downwardly adjust the monetary forfeiture, notwithstanding </w:t>
      </w:r>
      <w:r w:rsidR="00475393">
        <w:t>HobbyKing</w:t>
      </w:r>
      <w:r w:rsidR="0098443C">
        <w:t>’</w:t>
      </w:r>
      <w:r w:rsidR="00475393">
        <w:t xml:space="preserve">s </w:t>
      </w:r>
      <w:r w:rsidR="00451F6B">
        <w:t>claime</w:t>
      </w:r>
      <w:r w:rsidR="00BC7BC8">
        <w:t>d</w:t>
      </w:r>
      <w:r w:rsidRPr="00475393" w:rsidR="00475393">
        <w:t xml:space="preserve"> inability to pay. </w:t>
      </w:r>
      <w:r w:rsidR="00475393">
        <w:t xml:space="preserve"> </w:t>
      </w:r>
      <w:r w:rsidRPr="00475393" w:rsidR="00475393">
        <w:t>Rather, we find that factor to be greatly outweighed by the other balancing factors that militate in favor of a large forfeiture.</w:t>
      </w:r>
      <w:r w:rsidR="00475393">
        <w:t xml:space="preserve">  </w:t>
      </w:r>
      <w:r w:rsidRPr="0007571D" w:rsidR="003343CA">
        <w:t xml:space="preserve"> </w:t>
      </w:r>
    </w:p>
    <w:p w:rsidR="004729BE" w:rsidP="004729BE" w14:paraId="0FF4BC45" w14:textId="090D7E19">
      <w:pPr>
        <w:pStyle w:val="Heading3"/>
      </w:pPr>
      <w:bookmarkStart w:id="107" w:name="_Toc19605238"/>
      <w:bookmarkStart w:id="108" w:name="_Toc19628693"/>
      <w:bookmarkStart w:id="109" w:name="_Toc19628720"/>
      <w:bookmarkStart w:id="110" w:name="_Toc22904521"/>
      <w:bookmarkStart w:id="111" w:name="_Toc23239882"/>
      <w:bookmarkStart w:id="112" w:name="_Toc30682633"/>
      <w:bookmarkStart w:id="113" w:name="_Toc30682694"/>
      <w:bookmarkStart w:id="114" w:name="_Toc40101073"/>
      <w:bookmarkStart w:id="115" w:name="_Toc40101721"/>
      <w:bookmarkStart w:id="116" w:name="_Toc7603266"/>
      <w:bookmarkStart w:id="117" w:name="_Toc13488322"/>
      <w:r>
        <w:t>Other Downward Adjustment Factor</w:t>
      </w:r>
      <w:r w:rsidR="00DD1B21">
        <w:t>s</w:t>
      </w:r>
      <w:bookmarkEnd w:id="107"/>
      <w:bookmarkEnd w:id="108"/>
      <w:bookmarkEnd w:id="109"/>
      <w:bookmarkEnd w:id="110"/>
      <w:bookmarkEnd w:id="111"/>
      <w:bookmarkEnd w:id="112"/>
      <w:bookmarkEnd w:id="113"/>
      <w:bookmarkEnd w:id="114"/>
      <w:bookmarkEnd w:id="115"/>
      <w:r>
        <w:t xml:space="preserve"> </w:t>
      </w:r>
      <w:bookmarkEnd w:id="116"/>
      <w:bookmarkEnd w:id="117"/>
    </w:p>
    <w:p w:rsidR="004729BE" w:rsidP="00C138D9" w14:paraId="3AE757D1" w14:textId="46181F6A">
      <w:pPr>
        <w:pStyle w:val="ParaNum"/>
      </w:pPr>
      <w:r>
        <w:t xml:space="preserve">We reject </w:t>
      </w:r>
      <w:r>
        <w:t>HobbyKing</w:t>
      </w:r>
      <w:r w:rsidR="0098443C">
        <w:t>’</w:t>
      </w:r>
      <w:r>
        <w:t>s argument that</w:t>
      </w:r>
      <w:r>
        <w:t xml:space="preserve"> </w:t>
      </w:r>
      <w:r w:rsidR="001658BA">
        <w:t>the forfeiture should be reduced due to an alleged history of compliance with the Commission</w:t>
      </w:r>
      <w:r w:rsidR="0098443C">
        <w:t>’</w:t>
      </w:r>
      <w:r w:rsidR="001658BA">
        <w:t xml:space="preserve">s rules and several other </w:t>
      </w:r>
      <w:r>
        <w:t>downward adjustment factors.</w:t>
      </w:r>
      <w:r>
        <w:rPr>
          <w:rStyle w:val="FootnoteReference"/>
        </w:rPr>
        <w:footnoteReference w:id="91"/>
      </w:r>
      <w:r>
        <w:t xml:space="preserve">  </w:t>
      </w:r>
      <w:r w:rsidR="00DD1B21">
        <w:t>T</w:t>
      </w:r>
      <w:r w:rsidR="001658BA">
        <w:t xml:space="preserve">he </w:t>
      </w:r>
      <w:r w:rsidR="001658BA">
        <w:t xml:space="preserve">record—including the </w:t>
      </w:r>
      <w:r w:rsidRPr="00275742" w:rsidR="001658BA">
        <w:rPr>
          <w:i/>
        </w:rPr>
        <w:t>Marketing Citation</w:t>
      </w:r>
      <w:r w:rsidR="001658BA">
        <w:t xml:space="preserve"> in which the Bureau found earlier equipment marketing violations—shows </w:t>
      </w:r>
      <w:r w:rsidR="001658BA">
        <w:t>HobbyKing</w:t>
      </w:r>
      <w:r w:rsidR="001658BA">
        <w:t xml:space="preserve"> has a</w:t>
      </w:r>
      <w:r w:rsidR="005F0454">
        <w:t xml:space="preserve"> long </w:t>
      </w:r>
      <w:r w:rsidR="00275742">
        <w:t>history</w:t>
      </w:r>
      <w:r w:rsidR="005F0454">
        <w:t xml:space="preserve"> of </w:t>
      </w:r>
      <w:r w:rsidR="003D01A6">
        <w:t xml:space="preserve">prior </w:t>
      </w:r>
      <w:r w:rsidR="005F0454">
        <w:t>noncompliance.</w:t>
      </w:r>
      <w:r>
        <w:rPr>
          <w:rStyle w:val="FootnoteReference"/>
        </w:rPr>
        <w:footnoteReference w:id="92"/>
      </w:r>
      <w:r w:rsidR="005F0454">
        <w:t xml:space="preserve">  </w:t>
      </w:r>
    </w:p>
    <w:p w:rsidR="00CE52F7" w:rsidP="00C138D9" w14:paraId="7BBE2726" w14:textId="31093F78">
      <w:pPr>
        <w:pStyle w:val="ParaNum"/>
      </w:pPr>
      <w:r>
        <w:t>W</w:t>
      </w:r>
      <w:r w:rsidR="004D05E1">
        <w:t xml:space="preserve">e </w:t>
      </w:r>
      <w:r>
        <w:t xml:space="preserve">also </w:t>
      </w:r>
      <w:r w:rsidR="004D05E1">
        <w:t>reject HobbyKing</w:t>
      </w:r>
      <w:r w:rsidR="0098443C">
        <w:t>’</w:t>
      </w:r>
      <w:r w:rsidR="004D05E1">
        <w:t xml:space="preserve">s argument that the forfeiture should be reduced because any harm from noncompliant marketing is </w:t>
      </w:r>
      <w:r w:rsidRPr="00673C77" w:rsidR="004D05E1">
        <w:rPr>
          <w:i/>
        </w:rPr>
        <w:t>de minimis</w:t>
      </w:r>
      <w:r w:rsidR="004D05E1">
        <w:t xml:space="preserve"> </w:t>
      </w:r>
      <w:r w:rsidR="00BC7BC8">
        <w:t>because the Company</w:t>
      </w:r>
      <w:r w:rsidR="004D05E1">
        <w:t xml:space="preserve"> claims its sales were low.</w:t>
      </w:r>
      <w:r>
        <w:rPr>
          <w:rStyle w:val="FootnoteReference"/>
        </w:rPr>
        <w:footnoteReference w:id="93"/>
      </w:r>
      <w:r w:rsidRPr="001C5886" w:rsidR="004D05E1">
        <w:t xml:space="preserve"> </w:t>
      </w:r>
      <w:r w:rsidR="004D05E1">
        <w:t xml:space="preserve"> </w:t>
      </w:r>
      <w:r w:rsidR="00FA603A">
        <w:t>T</w:t>
      </w:r>
      <w:r w:rsidRPr="005D395B" w:rsidR="00C70B14">
        <w:t>he</w:t>
      </w:r>
      <w:r w:rsidR="00C70B14">
        <w:t xml:space="preserve"> Commission is not required to calculate a forfeiture based on </w:t>
      </w:r>
      <w:r w:rsidR="008B1AEC">
        <w:t xml:space="preserve">the </w:t>
      </w:r>
      <w:r w:rsidR="00C70B14">
        <w:t>revenue earned</w:t>
      </w:r>
      <w:r w:rsidR="00EA3C6B">
        <w:t xml:space="preserve"> (or lack thereo</w:t>
      </w:r>
      <w:r w:rsidR="00B3303F">
        <w:t>f</w:t>
      </w:r>
      <w:r w:rsidR="00EA3C6B">
        <w:t>)</w:t>
      </w:r>
      <w:r w:rsidR="00DB3C15">
        <w:t xml:space="preserve"> </w:t>
      </w:r>
      <w:r w:rsidR="00C70B14">
        <w:t>by the violations in question.</w:t>
      </w:r>
      <w:r>
        <w:rPr>
          <w:rStyle w:val="FootnoteReference"/>
        </w:rPr>
        <w:footnoteReference w:id="94"/>
      </w:r>
      <w:r w:rsidR="00C70B14">
        <w:t xml:space="preserve"> </w:t>
      </w:r>
      <w:r w:rsidRPr="00DE332C" w:rsidR="00C70B14">
        <w:t xml:space="preserve"> </w:t>
      </w:r>
      <w:r w:rsidRPr="0008443E" w:rsidR="008B1AEC">
        <w:t xml:space="preserve">The Commission </w:t>
      </w:r>
      <w:r w:rsidRPr="0008443E" w:rsidR="00E56046">
        <w:t xml:space="preserve">generally </w:t>
      </w:r>
      <w:r w:rsidRPr="0008443E" w:rsidR="008B1AEC">
        <w:t>will not</w:t>
      </w:r>
      <w:r w:rsidRPr="0008443E" w:rsidR="0096732A">
        <w:t xml:space="preserve"> </w:t>
      </w:r>
      <w:r w:rsidRPr="0008443E" w:rsidR="008B1AEC">
        <w:t xml:space="preserve">reduce a forfeiture based on the lack of sales </w:t>
      </w:r>
      <w:r w:rsidRPr="0008443E" w:rsidR="0096732A">
        <w:t>in an equipment marketing case</w:t>
      </w:r>
      <w:r w:rsidRPr="0008443E" w:rsidR="00C70B14">
        <w:t>.</w:t>
      </w:r>
      <w:r>
        <w:rPr>
          <w:rStyle w:val="FootnoteReference"/>
        </w:rPr>
        <w:footnoteReference w:id="95"/>
      </w:r>
      <w:r w:rsidR="00C70B14">
        <w:t xml:space="preserve">  </w:t>
      </w:r>
    </w:p>
    <w:p w:rsidR="00FF55A7" w:rsidP="00F35757" w14:paraId="48F0D7C3" w14:textId="636F87A3">
      <w:pPr>
        <w:pStyle w:val="ParaNum"/>
      </w:pPr>
      <w:r>
        <w:t>HobbyKing</w:t>
      </w:r>
      <w:r w:rsidR="0098443C">
        <w:t>’</w:t>
      </w:r>
      <w:r>
        <w:t xml:space="preserve">s claim that the </w:t>
      </w:r>
      <w:r w:rsidR="004D77F5">
        <w:t xml:space="preserve">equipment at issue has not caused </w:t>
      </w:r>
      <w:r w:rsidR="001658BA">
        <w:t xml:space="preserve">actual </w:t>
      </w:r>
      <w:r w:rsidR="00EA3C6B">
        <w:t xml:space="preserve">interference </w:t>
      </w:r>
      <w:r w:rsidR="001658BA">
        <w:t>(</w:t>
      </w:r>
      <w:r w:rsidR="00EA3C6B">
        <w:t xml:space="preserve">or complaints </w:t>
      </w:r>
      <w:r w:rsidR="001658BA">
        <w:t xml:space="preserve">thereof) </w:t>
      </w:r>
      <w:r w:rsidR="004D77F5">
        <w:t xml:space="preserve">similarly </w:t>
      </w:r>
      <w:r w:rsidR="00EA3C6B">
        <w:t>does not warrant a downward adjustment.</w:t>
      </w:r>
      <w:r>
        <w:rPr>
          <w:rStyle w:val="FootnoteReference"/>
        </w:rPr>
        <w:footnoteReference w:id="96"/>
      </w:r>
      <w:r w:rsidR="00EA3C6B">
        <w:t xml:space="preserve">  The Commission long ago rejected any notion of “no harm, no foul,” where a violation did not lead to a documented case of interference.</w:t>
      </w:r>
      <w:r>
        <w:rPr>
          <w:rStyle w:val="FootnoteReference"/>
        </w:rPr>
        <w:footnoteReference w:id="97"/>
      </w:r>
      <w:r w:rsidR="00EA3C6B">
        <w:t xml:space="preserve">  </w:t>
      </w:r>
      <w:r w:rsidR="00863A8F">
        <w:t xml:space="preserve">The potential for </w:t>
      </w:r>
      <w:r w:rsidR="001658BA">
        <w:t xml:space="preserve">harmful </w:t>
      </w:r>
      <w:r w:rsidR="00863A8F">
        <w:t xml:space="preserve">interference to </w:t>
      </w:r>
      <w:r w:rsidRPr="00863A8F" w:rsidR="00863A8F">
        <w:t>critical Federal Aviation Administration systems and other federal operations</w:t>
      </w:r>
      <w:r w:rsidR="00863A8F">
        <w:t xml:space="preserve"> </w:t>
      </w:r>
      <w:r w:rsidR="001658BA">
        <w:t xml:space="preserve">by the products at issue here </w:t>
      </w:r>
      <w:r w:rsidR="00863A8F">
        <w:t xml:space="preserve">is, in fact, sufficiently egregious to </w:t>
      </w:r>
      <w:r w:rsidR="001658BA">
        <w:t xml:space="preserve">cause us to </w:t>
      </w:r>
      <w:r w:rsidR="00863A8F">
        <w:t>upwardly adjust the forfeiture</w:t>
      </w:r>
      <w:r w:rsidRPr="00863A8F" w:rsidR="00863A8F">
        <w:t>.</w:t>
      </w:r>
      <w:r>
        <w:rPr>
          <w:rStyle w:val="FootnoteReference"/>
        </w:rPr>
        <w:footnoteReference w:id="98"/>
      </w:r>
      <w:r w:rsidR="00685723">
        <w:t xml:space="preserve">  </w:t>
      </w:r>
    </w:p>
    <w:p w:rsidR="00863A8F" w:rsidRPr="00A83738" w:rsidP="00FF55A7" w14:paraId="5A923086" w14:textId="3E368921">
      <w:pPr>
        <w:pStyle w:val="ParaNum"/>
      </w:pPr>
      <w:r>
        <w:t>W</w:t>
      </w:r>
      <w:r>
        <w:t xml:space="preserve">e reject </w:t>
      </w:r>
      <w:r w:rsidR="003050C8">
        <w:t>HobbyKing</w:t>
      </w:r>
      <w:r w:rsidR="0098443C">
        <w:t>’</w:t>
      </w:r>
      <w:r w:rsidR="003050C8">
        <w:t>s argument</w:t>
      </w:r>
      <w:r>
        <w:t xml:space="preserve"> that</w:t>
      </w:r>
      <w:r w:rsidR="003050C8">
        <w:t>,</w:t>
      </w:r>
      <w:r>
        <w:t xml:space="preserve"> because the AV transmitters might have been used by amateur license holders</w:t>
      </w:r>
      <w:r w:rsidR="00685723">
        <w:t xml:space="preserve"> that were responsible for their own </w:t>
      </w:r>
      <w:r w:rsidR="003050C8">
        <w:t xml:space="preserve">FCC rule </w:t>
      </w:r>
      <w:r w:rsidR="00685723">
        <w:t>compliance</w:t>
      </w:r>
      <w:r>
        <w:t xml:space="preserve">, </w:t>
      </w:r>
      <w:r w:rsidR="00685723">
        <w:t>HobbyKing</w:t>
      </w:r>
      <w:r w:rsidR="0098443C">
        <w:t>’</w:t>
      </w:r>
      <w:r w:rsidR="00685723">
        <w:t>s marketing</w:t>
      </w:r>
      <w:r>
        <w:t xml:space="preserve"> violations were somehow less </w:t>
      </w:r>
      <w:r w:rsidR="0045548F">
        <w:t>serious</w:t>
      </w:r>
      <w:r>
        <w:t>.</w:t>
      </w:r>
      <w:r>
        <w:rPr>
          <w:rStyle w:val="FootnoteReference"/>
        </w:rPr>
        <w:footnoteReference w:id="99"/>
      </w:r>
      <w:r>
        <w:t xml:space="preserve">  </w:t>
      </w:r>
      <w:r w:rsidR="003050C8">
        <w:t xml:space="preserve">While amateur license holders must comply with the rules for operating in the Amateur Radio Service, </w:t>
      </w:r>
      <w:r w:rsidR="003050C8">
        <w:t>HobbyKing</w:t>
      </w:r>
      <w:r w:rsidR="003050C8">
        <w:t xml:space="preserve">, not </w:t>
      </w:r>
      <w:r w:rsidR="00605C62">
        <w:t xml:space="preserve">the </w:t>
      </w:r>
      <w:r w:rsidR="003050C8">
        <w:t>amateur operators</w:t>
      </w:r>
      <w:r w:rsidR="00605C62">
        <w:t xml:space="preserve"> that </w:t>
      </w:r>
      <w:r w:rsidR="00F24056">
        <w:t xml:space="preserve">may </w:t>
      </w:r>
      <w:r w:rsidR="00605C62">
        <w:t>have purchased the equipment</w:t>
      </w:r>
      <w:r w:rsidR="003050C8">
        <w:t>, is responsible for complying with the equipment marketing</w:t>
      </w:r>
      <w:r w:rsidR="00DF3EFE">
        <w:t xml:space="preserve"> </w:t>
      </w:r>
      <w:r w:rsidR="003050C8">
        <w:t>rules</w:t>
      </w:r>
      <w:r w:rsidR="00EF5DE6">
        <w:t>.</w:t>
      </w:r>
      <w:r>
        <w:rPr>
          <w:rStyle w:val="FootnoteReference"/>
        </w:rPr>
        <w:footnoteReference w:id="100"/>
      </w:r>
      <w:r w:rsidR="003050C8">
        <w:t xml:space="preserve">  Further, a</w:t>
      </w:r>
      <w:r>
        <w:t xml:space="preserve">s </w:t>
      </w:r>
      <w:r w:rsidR="001658BA">
        <w:t xml:space="preserve">stated </w:t>
      </w:r>
      <w:r>
        <w:t xml:space="preserve">in the </w:t>
      </w:r>
      <w:r w:rsidRPr="0081375C" w:rsidR="0067355C">
        <w:rPr>
          <w:i/>
          <w:iCs/>
        </w:rPr>
        <w:t>NAL</w:t>
      </w:r>
      <w:r>
        <w:t xml:space="preserve">, </w:t>
      </w:r>
      <w:r w:rsidR="00950058">
        <w:t xml:space="preserve">the </w:t>
      </w:r>
      <w:r w:rsidR="003050C8">
        <w:t>C</w:t>
      </w:r>
      <w:r w:rsidR="00950058">
        <w:t>ompany</w:t>
      </w:r>
      <w:r w:rsidR="0098443C">
        <w:t>’</w:t>
      </w:r>
      <w:r w:rsidR="00950058">
        <w:t xml:space="preserve">s marketing </w:t>
      </w:r>
      <w:r w:rsidR="00B3303F">
        <w:t>was</w:t>
      </w:r>
      <w:r w:rsidR="00950058">
        <w:t xml:space="preserve"> not limited to amateur license holders</w:t>
      </w:r>
      <w:r w:rsidR="00FA096F">
        <w:t>;</w:t>
      </w:r>
      <w:r w:rsidR="00950058">
        <w:t xml:space="preserve"> anyone could purchase the AV transmitters at issue.</w:t>
      </w:r>
      <w:r>
        <w:rPr>
          <w:rStyle w:val="FootnoteReference"/>
        </w:rPr>
        <w:footnoteReference w:id="101"/>
      </w:r>
      <w:r w:rsidR="00223D6A">
        <w:t xml:space="preserve">  </w:t>
      </w:r>
      <w:r w:rsidR="00685723">
        <w:t>Overall, t</w:t>
      </w:r>
      <w:r w:rsidR="00950058">
        <w:t xml:space="preserve">he fact that a buyer might use a noncompliant device in a compliant manner does not </w:t>
      </w:r>
      <w:r w:rsidR="00FB411D">
        <w:t xml:space="preserve">nullify </w:t>
      </w:r>
      <w:r w:rsidR="00950058">
        <w:t>HobbyKing</w:t>
      </w:r>
      <w:r w:rsidR="0098443C">
        <w:t>’</w:t>
      </w:r>
      <w:r w:rsidR="001D3F4D">
        <w:t xml:space="preserve">s </w:t>
      </w:r>
      <w:r w:rsidR="00950058">
        <w:t xml:space="preserve">marketing </w:t>
      </w:r>
      <w:r w:rsidRPr="00A83738" w:rsidR="00950058">
        <w:t>violations</w:t>
      </w:r>
      <w:r w:rsidR="00FB411D">
        <w:t xml:space="preserve"> or lessen their impact</w:t>
      </w:r>
      <w:r w:rsidRPr="00A83738" w:rsidR="00950058">
        <w:t>.</w:t>
      </w:r>
      <w:r w:rsidRPr="00A83738" w:rsidR="00A83738">
        <w:rPr>
          <w:rStyle w:val="CommentReference"/>
          <w:sz w:val="22"/>
        </w:rPr>
        <w:t xml:space="preserve"> </w:t>
      </w:r>
      <w:r w:rsidRPr="00A83738" w:rsidR="00A83738">
        <w:t xml:space="preserve"> </w:t>
      </w:r>
      <w:r w:rsidR="00E56046">
        <w:t>Nonetheless</w:t>
      </w:r>
      <w:r w:rsidRPr="00A83738" w:rsidR="00A83738">
        <w:t xml:space="preserve">, we again warn consumers who own </w:t>
      </w:r>
      <w:r w:rsidR="00A66249">
        <w:t>unauthorized</w:t>
      </w:r>
      <w:r w:rsidRPr="00A83738" w:rsidR="00A66249">
        <w:t xml:space="preserve"> </w:t>
      </w:r>
      <w:r w:rsidRPr="00A83738" w:rsidR="00A83738">
        <w:t>HobbyKing</w:t>
      </w:r>
      <w:r w:rsidRPr="00A83738" w:rsidR="00A83738">
        <w:t xml:space="preserve"> devices that they should cease using them immediately or risk enforcement action for operating equipment in violation of the Commission’s rules.</w:t>
      </w:r>
      <w:r>
        <w:rPr>
          <w:rStyle w:val="FootnoteReference"/>
        </w:rPr>
        <w:footnoteReference w:id="102"/>
      </w:r>
      <w:r w:rsidRPr="00A83738" w:rsidR="00A83738">
        <w:t xml:space="preserve">  </w:t>
      </w:r>
    </w:p>
    <w:p w:rsidR="00FF55A7" w:rsidP="00FF55A7" w14:paraId="355C78F8" w14:textId="4D379D57">
      <w:pPr>
        <w:pStyle w:val="ParaNum"/>
      </w:pPr>
      <w:r>
        <w:t>HobbyKing</w:t>
      </w:r>
      <w:r>
        <w:t xml:space="preserve"> </w:t>
      </w:r>
      <w:r w:rsidR="007307B4">
        <w:t xml:space="preserve">also </w:t>
      </w:r>
      <w:r>
        <w:t>argues that it should receive a reduced penalty because it complies with FAA regulations on drones.</w:t>
      </w:r>
      <w:r>
        <w:rPr>
          <w:rStyle w:val="FootnoteReference"/>
        </w:rPr>
        <w:footnoteReference w:id="103"/>
      </w:r>
      <w:r>
        <w:t xml:space="preserve">  </w:t>
      </w:r>
      <w:r w:rsidR="00DD1B21">
        <w:t xml:space="preserve">FAA regulations are not germane here and bear no weight in whether </w:t>
      </w:r>
      <w:r w:rsidR="00DD1B21">
        <w:t>HobbyKing</w:t>
      </w:r>
      <w:r w:rsidR="00DD1B21">
        <w:t xml:space="preserve"> violated FCC regulations.  </w:t>
      </w:r>
      <w:r w:rsidR="00EF5DE6">
        <w:t>Similarly</w:t>
      </w:r>
      <w:r w:rsidR="00DD1B21">
        <w:t>, compliance with</w:t>
      </w:r>
      <w:r>
        <w:t xml:space="preserve"> FAA regulations </w:t>
      </w:r>
      <w:r w:rsidR="0022075B">
        <w:t>is irrelevant</w:t>
      </w:r>
      <w:r>
        <w:t xml:space="preserve"> in </w:t>
      </w:r>
      <w:r w:rsidR="00DD1B21">
        <w:t xml:space="preserve">deciding </w:t>
      </w:r>
      <w:r>
        <w:t xml:space="preserve">whether </w:t>
      </w:r>
      <w:r w:rsidR="00DD1B21">
        <w:t xml:space="preserve">the proposed </w:t>
      </w:r>
      <w:r>
        <w:t xml:space="preserve">forfeiture </w:t>
      </w:r>
      <w:r w:rsidR="00DD1B21">
        <w:t xml:space="preserve">penalty </w:t>
      </w:r>
      <w:r>
        <w:t xml:space="preserve">should be reduced.  </w:t>
      </w:r>
    </w:p>
    <w:p w:rsidR="00903DAE" w:rsidRPr="0007571D" w:rsidP="00AA242F" w14:paraId="1A75F7B5" w14:textId="0E393AE5">
      <w:pPr>
        <w:pStyle w:val="ParaNum"/>
      </w:pPr>
      <w:r>
        <w:t xml:space="preserve">Finally, </w:t>
      </w:r>
      <w:r w:rsidR="00FF55A7">
        <w:t xml:space="preserve">we find </w:t>
      </w:r>
      <w:r w:rsidR="00627F1F">
        <w:t xml:space="preserve">that </w:t>
      </w:r>
      <w:r w:rsidR="00FF55A7">
        <w:t>HobbyKing</w:t>
      </w:r>
      <w:r w:rsidR="00FF55A7">
        <w:t xml:space="preserve"> is the marketer of the devices and </w:t>
      </w:r>
      <w:r w:rsidR="00432C30">
        <w:t xml:space="preserve">is </w:t>
      </w:r>
      <w:r w:rsidR="00FF55A7">
        <w:t>liable as such</w:t>
      </w:r>
      <w:r w:rsidR="0022075B">
        <w:t>.  A</w:t>
      </w:r>
      <w:r w:rsidR="00432C30">
        <w:t xml:space="preserve">ccordingly, </w:t>
      </w:r>
      <w:r w:rsidR="00865D95">
        <w:t xml:space="preserve">we </w:t>
      </w:r>
      <w:r w:rsidR="00432C30">
        <w:t>reject HobbyKing</w:t>
      </w:r>
      <w:r w:rsidR="0098443C">
        <w:t>’</w:t>
      </w:r>
      <w:r w:rsidR="00432C30">
        <w:t>s argument that only the parties responsible for obtaining the equipment authorizations would be responsible for complying with the equipment marketing rules</w:t>
      </w:r>
      <w:r w:rsidR="00784C4E">
        <w:t>.</w:t>
      </w:r>
      <w:r>
        <w:rPr>
          <w:rStyle w:val="FootnoteReference"/>
        </w:rPr>
        <w:footnoteReference w:id="104"/>
      </w:r>
      <w:r w:rsidR="003343A8">
        <w:t xml:space="preserve">  </w:t>
      </w:r>
      <w:r w:rsidR="00184077">
        <w:t>The</w:t>
      </w:r>
      <w:r w:rsidR="00EC079E">
        <w:t xml:space="preserve"> </w:t>
      </w:r>
      <w:r w:rsidR="00860228">
        <w:t>Act and Commission</w:t>
      </w:r>
      <w:r w:rsidR="0098443C">
        <w:t>’</w:t>
      </w:r>
      <w:r w:rsidR="00860228">
        <w:t xml:space="preserve">s rules prohibit anyone from marketing noncompliant devices, including </w:t>
      </w:r>
      <w:r w:rsidR="001D3F4D">
        <w:t xml:space="preserve">companies like </w:t>
      </w:r>
      <w:r w:rsidR="001D3F4D">
        <w:t>HobbyKing</w:t>
      </w:r>
      <w:r w:rsidR="003343A8">
        <w:t xml:space="preserve"> who may or may not be responsible for the authorization of the device</w:t>
      </w:r>
      <w:r w:rsidR="001D3F4D">
        <w:t>.</w:t>
      </w:r>
      <w:r>
        <w:rPr>
          <w:rStyle w:val="FootnoteReference"/>
        </w:rPr>
        <w:footnoteReference w:id="105"/>
      </w:r>
      <w:r w:rsidR="002C066E">
        <w:t xml:space="preserve">  </w:t>
      </w:r>
      <w:r w:rsidR="004D782C">
        <w:t xml:space="preserve">Even </w:t>
      </w:r>
      <w:r w:rsidR="00627F1F">
        <w:t>if</w:t>
      </w:r>
      <w:r w:rsidR="004D782C">
        <w:t xml:space="preserve"> </w:t>
      </w:r>
      <w:r w:rsidR="004D782C">
        <w:t>HobbyKing</w:t>
      </w:r>
      <w:r w:rsidR="004D782C">
        <w:t xml:space="preserve"> had any doubt about this, </w:t>
      </w:r>
      <w:r w:rsidR="002C066E">
        <w:t xml:space="preserve">the </w:t>
      </w:r>
      <w:r w:rsidR="002C066E">
        <w:rPr>
          <w:i/>
        </w:rPr>
        <w:t>Marketing Citation</w:t>
      </w:r>
      <w:r w:rsidR="002C066E">
        <w:t xml:space="preserve"> provided </w:t>
      </w:r>
      <w:r w:rsidR="002C066E">
        <w:t>HobbyKing</w:t>
      </w:r>
      <w:r w:rsidR="002C066E">
        <w:t xml:space="preserve"> notice of the rules and warned the </w:t>
      </w:r>
      <w:r w:rsidR="00CE04B6">
        <w:t>C</w:t>
      </w:r>
      <w:r w:rsidR="002C066E">
        <w:t xml:space="preserve">ompany to market </w:t>
      </w:r>
      <w:r w:rsidR="00AA242F">
        <w:t xml:space="preserve">only </w:t>
      </w:r>
      <w:r w:rsidR="002C066E">
        <w:t>compliant devices</w:t>
      </w:r>
      <w:r w:rsidR="00AA242F">
        <w:t>.</w:t>
      </w:r>
      <w:r>
        <w:rPr>
          <w:rStyle w:val="FootnoteReference"/>
        </w:rPr>
        <w:footnoteReference w:id="106"/>
      </w:r>
      <w:r w:rsidR="00AA242F">
        <w:t xml:space="preserve"> </w:t>
      </w:r>
      <w:r w:rsidR="001D3F4D">
        <w:t xml:space="preserve"> </w:t>
      </w:r>
    </w:p>
    <w:p w:rsidR="00B866E9" w:rsidRPr="00C06FA3" w:rsidP="00B866E9" w14:paraId="3AAC93C6" w14:textId="43BC7B09">
      <w:pPr>
        <w:pStyle w:val="Heading3"/>
      </w:pPr>
      <w:bookmarkStart w:id="118" w:name="SR;716"/>
      <w:bookmarkStart w:id="119" w:name="SR;717"/>
      <w:bookmarkStart w:id="120" w:name="_Toc7603267"/>
      <w:bookmarkStart w:id="121" w:name="_Toc13488323"/>
      <w:bookmarkStart w:id="122" w:name="_Toc19605239"/>
      <w:bookmarkStart w:id="123" w:name="_Toc19628694"/>
      <w:bookmarkStart w:id="124" w:name="_Toc19628721"/>
      <w:bookmarkStart w:id="125" w:name="_Toc22904522"/>
      <w:bookmarkStart w:id="126" w:name="_Toc23239883"/>
      <w:bookmarkStart w:id="127" w:name="_Toc30682634"/>
      <w:bookmarkStart w:id="128" w:name="_Toc30682695"/>
      <w:bookmarkStart w:id="129" w:name="_Toc40101074"/>
      <w:bookmarkStart w:id="130" w:name="_Toc40101722"/>
      <w:bookmarkEnd w:id="118"/>
      <w:bookmarkEnd w:id="119"/>
      <w:r>
        <w:t xml:space="preserve">Comparison to </w:t>
      </w:r>
      <w:r w:rsidRPr="00C06FA3" w:rsidR="007B39F3">
        <w:t>Other Forfeitures</w:t>
      </w:r>
      <w:bookmarkEnd w:id="120"/>
      <w:bookmarkEnd w:id="121"/>
      <w:bookmarkEnd w:id="122"/>
      <w:bookmarkEnd w:id="123"/>
      <w:bookmarkEnd w:id="124"/>
      <w:bookmarkEnd w:id="125"/>
      <w:bookmarkEnd w:id="126"/>
      <w:bookmarkEnd w:id="127"/>
      <w:bookmarkEnd w:id="128"/>
      <w:bookmarkEnd w:id="129"/>
      <w:bookmarkEnd w:id="130"/>
    </w:p>
    <w:p w:rsidR="003343A8" w:rsidP="005F0835" w14:paraId="09ADF58A" w14:textId="291080FB">
      <w:pPr>
        <w:pStyle w:val="ParaNum"/>
      </w:pPr>
      <w:r>
        <w:t>T</w:t>
      </w:r>
      <w:r w:rsidR="001658BA">
        <w:t xml:space="preserve">he forfeiture amount </w:t>
      </w:r>
      <w:r>
        <w:t xml:space="preserve">in this case </w:t>
      </w:r>
      <w:r w:rsidR="001658BA">
        <w:t>is consistent with other prior actions.</w:t>
      </w:r>
      <w:r>
        <w:rPr>
          <w:rStyle w:val="FootnoteReference"/>
        </w:rPr>
        <w:footnoteReference w:id="107"/>
      </w:r>
      <w:r w:rsidR="00F721BE">
        <w:t xml:space="preserve">  </w:t>
      </w:r>
      <w:r>
        <w:t>T</w:t>
      </w:r>
      <w:r w:rsidR="00BC79E2">
        <w:t>he Bureau has</w:t>
      </w:r>
      <w:r w:rsidR="004D782C">
        <w:t>, in fact,</w:t>
      </w:r>
      <w:r w:rsidR="00BC79E2">
        <w:t xml:space="preserve"> </w:t>
      </w:r>
      <w:r w:rsidR="004D782C">
        <w:t xml:space="preserve">pursued and </w:t>
      </w:r>
      <w:r w:rsidR="00BC79E2">
        <w:t>settled several recent investigations related to drone accessories.</w:t>
      </w:r>
      <w:r>
        <w:rPr>
          <w:rStyle w:val="FootnoteReference"/>
        </w:rPr>
        <w:footnoteReference w:id="108"/>
      </w:r>
      <w:r w:rsidR="00BC79E2">
        <w:t xml:space="preserve">  </w:t>
      </w:r>
      <w:r w:rsidR="00F45BFA">
        <w:t>Prior to that, the Bureau ha</w:t>
      </w:r>
      <w:r w:rsidR="00AA242F">
        <w:t>d</w:t>
      </w:r>
      <w:r w:rsidR="00F45BFA">
        <w:t xml:space="preserve"> engaged in several investigations involving similar equipment</w:t>
      </w:r>
      <w:r>
        <w:t xml:space="preserve"> going back 10 years</w:t>
      </w:r>
      <w:r w:rsidR="00F45BFA">
        <w:t>.</w:t>
      </w:r>
      <w:r>
        <w:rPr>
          <w:rStyle w:val="FootnoteReference"/>
        </w:rPr>
        <w:footnoteReference w:id="109"/>
      </w:r>
      <w:r w:rsidR="00F45BFA">
        <w:t xml:space="preserve">  </w:t>
      </w:r>
    </w:p>
    <w:p w:rsidR="006E0693" w:rsidRPr="009A2403" w:rsidP="00F35757" w14:paraId="71B1641B" w14:textId="226B518B">
      <w:pPr>
        <w:pStyle w:val="ParaNum"/>
      </w:pPr>
      <w:r>
        <w:t>T</w:t>
      </w:r>
      <w:r w:rsidR="009760B6">
        <w:t xml:space="preserve">he Commission has treated </w:t>
      </w:r>
      <w:r w:rsidR="009760B6">
        <w:t>HobbyKing</w:t>
      </w:r>
      <w:r w:rsidR="009760B6">
        <w:t xml:space="preserve"> similarly to other targets of enforcement for equipment marketing violations</w:t>
      </w:r>
      <w:r w:rsidR="003343A8">
        <w:t xml:space="preserve"> when it calculated the proposed forfeiture</w:t>
      </w:r>
      <w:r w:rsidRPr="003343A8" w:rsidR="003343A8">
        <w:t xml:space="preserve"> </w:t>
      </w:r>
      <w:r w:rsidR="003343A8">
        <w:t xml:space="preserve">in the </w:t>
      </w:r>
      <w:r w:rsidRPr="0081375C" w:rsidR="0067355C">
        <w:rPr>
          <w:i/>
          <w:iCs/>
        </w:rPr>
        <w:t>NAL</w:t>
      </w:r>
      <w:r w:rsidR="009760B6">
        <w:t>.  The Commission</w:t>
      </w:r>
      <w:r w:rsidR="003343A8">
        <w:t xml:space="preserve"> calculated the proposed forfeiture by first assessing a $7,000 base forfeiture for each model</w:t>
      </w:r>
      <w:r w:rsidR="0023348B">
        <w:t xml:space="preserve"> (65 models </w:t>
      </w:r>
      <w:r w:rsidR="0023348B">
        <w:t>total)</w:t>
      </w:r>
      <w:r w:rsidR="003343A8">
        <w:t>,</w:t>
      </w:r>
      <w:r>
        <w:rPr>
          <w:rStyle w:val="FootnoteReference"/>
        </w:rPr>
        <w:footnoteReference w:id="110"/>
      </w:r>
      <w:r w:rsidR="003343A8">
        <w:t xml:space="preserve"> which it has long done in many equipment marketing cases.</w:t>
      </w:r>
      <w:r>
        <w:rPr>
          <w:rStyle w:val="FootnoteReference"/>
        </w:rPr>
        <w:footnoteReference w:id="111"/>
      </w:r>
      <w:r w:rsidR="003343A8">
        <w:t xml:space="preserve">  Next, the Commission evaluated whether any upward or downward adjustment factors were applicable, as it is obligated to do by the Act and the Commission</w:t>
      </w:r>
      <w:r w:rsidR="0098443C">
        <w:t>’</w:t>
      </w:r>
      <w:r w:rsidR="003343A8">
        <w:t>s rules,</w:t>
      </w:r>
      <w:r>
        <w:rPr>
          <w:rStyle w:val="FootnoteReference"/>
        </w:rPr>
        <w:footnoteReference w:id="112"/>
      </w:r>
      <w:r w:rsidR="003343A8">
        <w:t xml:space="preserve"> and found that certain upward adjustment factors were present.</w:t>
      </w:r>
      <w:r>
        <w:rPr>
          <w:rStyle w:val="FootnoteReference"/>
        </w:rPr>
        <w:footnoteReference w:id="113"/>
      </w:r>
      <w:r w:rsidR="003343A8">
        <w:t xml:space="preserve">  In its NAL Response, </w:t>
      </w:r>
      <w:r w:rsidR="003343A8">
        <w:t>HobbyKing</w:t>
      </w:r>
      <w:r w:rsidR="003343A8">
        <w:t xml:space="preserve"> offered no </w:t>
      </w:r>
      <w:r w:rsidR="00D1573B">
        <w:t xml:space="preserve">legitimate </w:t>
      </w:r>
      <w:r w:rsidR="003343A8">
        <w:t>reason why those upward adjustment factors should not be assessed, nor why any down</w:t>
      </w:r>
      <w:r w:rsidR="0023348B">
        <w:t>ward</w:t>
      </w:r>
      <w:r w:rsidR="003343A8">
        <w:t xml:space="preserve"> adjustment factors should have been considered.</w:t>
      </w:r>
      <w:r>
        <w:rPr>
          <w:rStyle w:val="FootnoteReference"/>
        </w:rPr>
        <w:footnoteReference w:id="114"/>
      </w:r>
      <w:r w:rsidR="009760B6">
        <w:t xml:space="preserve"> </w:t>
      </w:r>
      <w:r w:rsidR="003343A8">
        <w:t xml:space="preserve"> Although the forfeiture amount </w:t>
      </w:r>
      <w:r w:rsidR="004C4500">
        <w:t xml:space="preserve">is </w:t>
      </w:r>
      <w:r w:rsidR="003343A8">
        <w:t>significant, the Commission has previously assessed large fines for equipment marketing violations based on the specific facts of the investigation where upward adjustments were appropriate.</w:t>
      </w:r>
      <w:r>
        <w:rPr>
          <w:rStyle w:val="FootnoteReference"/>
        </w:rPr>
        <w:footnoteReference w:id="115"/>
      </w:r>
      <w:r w:rsidR="003343A8">
        <w:t xml:space="preserve">  </w:t>
      </w:r>
    </w:p>
    <w:p w:rsidR="003343CA" w:rsidRPr="00344C0B" w:rsidP="003343CA" w14:paraId="3D5A49C2" w14:textId="77777777">
      <w:pPr>
        <w:pStyle w:val="Heading1"/>
      </w:pPr>
      <w:bookmarkStart w:id="131" w:name="_Toc7603268"/>
      <w:bookmarkStart w:id="132" w:name="_Toc13488324"/>
      <w:bookmarkStart w:id="133" w:name="_Toc19605240"/>
      <w:bookmarkStart w:id="134" w:name="_Toc19628695"/>
      <w:bookmarkStart w:id="135" w:name="_Toc19628722"/>
      <w:bookmarkStart w:id="136" w:name="_Toc22904523"/>
      <w:bookmarkStart w:id="137" w:name="_Toc23239884"/>
      <w:bookmarkStart w:id="138" w:name="_Toc30682635"/>
      <w:bookmarkStart w:id="139" w:name="_Toc30682696"/>
      <w:bookmarkStart w:id="140" w:name="_Toc40101075"/>
      <w:bookmarkStart w:id="141" w:name="_Toc40101723"/>
      <w:r w:rsidRPr="00344C0B">
        <w:t>CONCLUSION</w:t>
      </w:r>
      <w:bookmarkEnd w:id="131"/>
      <w:bookmarkEnd w:id="132"/>
      <w:bookmarkEnd w:id="133"/>
      <w:bookmarkEnd w:id="134"/>
      <w:bookmarkEnd w:id="135"/>
      <w:bookmarkEnd w:id="136"/>
      <w:bookmarkEnd w:id="137"/>
      <w:bookmarkEnd w:id="138"/>
      <w:bookmarkEnd w:id="139"/>
      <w:bookmarkEnd w:id="140"/>
      <w:bookmarkEnd w:id="141"/>
    </w:p>
    <w:p w:rsidR="005B4CEA" w:rsidRPr="00A020A9" w:rsidP="00F35757" w14:paraId="4BCC6B52" w14:textId="26F65EA6">
      <w:pPr>
        <w:pStyle w:val="ParaNum"/>
      </w:pPr>
      <w:r w:rsidRPr="00344C0B">
        <w:t xml:space="preserve">Based on the record before us and in light of the applicable statutory factors, we </w:t>
      </w:r>
      <w:r w:rsidR="000145C6">
        <w:t>conclude</w:t>
      </w:r>
      <w:r w:rsidRPr="00344C0B">
        <w:t xml:space="preserve"> that </w:t>
      </w:r>
      <w:r w:rsidR="00343017">
        <w:t>HobbyKing</w:t>
      </w:r>
      <w:r w:rsidRPr="0007571D">
        <w:t xml:space="preserve"> willfully and repeatedly violated </w:t>
      </w:r>
      <w:r w:rsidR="00F14A6D">
        <w:t>s</w:t>
      </w:r>
      <w:r w:rsidRPr="002B280B" w:rsidR="002B280B">
        <w:t>ection 302 of the Act;</w:t>
      </w:r>
      <w:r>
        <w:rPr>
          <w:vertAlign w:val="superscript"/>
        </w:rPr>
        <w:footnoteReference w:id="116"/>
      </w:r>
      <w:r w:rsidRPr="002B280B" w:rsidR="002B280B">
        <w:t xml:space="preserve"> </w:t>
      </w:r>
      <w:r w:rsidR="00F14A6D">
        <w:t>s</w:t>
      </w:r>
      <w:r w:rsidRPr="002B280B" w:rsidR="002B280B">
        <w:t>ection 2.803 of the Commission</w:t>
      </w:r>
      <w:r w:rsidR="0098443C">
        <w:t>’</w:t>
      </w:r>
      <w:r w:rsidRPr="002B280B" w:rsidR="002B280B">
        <w:t>s rules;</w:t>
      </w:r>
      <w:r>
        <w:rPr>
          <w:vertAlign w:val="superscript"/>
        </w:rPr>
        <w:footnoteReference w:id="117"/>
      </w:r>
      <w:r w:rsidRPr="002B280B" w:rsidR="002B280B">
        <w:t xml:space="preserve"> and Commission orders</w:t>
      </w:r>
      <w:r>
        <w:rPr>
          <w:vertAlign w:val="superscript"/>
        </w:rPr>
        <w:footnoteReference w:id="118"/>
      </w:r>
      <w:r w:rsidRPr="002B280B" w:rsidR="002B280B">
        <w:t xml:space="preserve"> </w:t>
      </w:r>
      <w:r w:rsidRPr="0007571D">
        <w:t xml:space="preserve">by </w:t>
      </w:r>
      <w:r w:rsidR="002B280B">
        <w:t xml:space="preserve">marketing noncompliant radio frequency devices and refusing to fully respond </w:t>
      </w:r>
      <w:r w:rsidR="00F909E2">
        <w:t xml:space="preserve">to </w:t>
      </w:r>
      <w:r w:rsidR="002B280B">
        <w:t xml:space="preserve">the </w:t>
      </w:r>
      <w:r w:rsidR="00EF5DE6">
        <w:t>LOI</w:t>
      </w:r>
      <w:r w:rsidRPr="0007571D">
        <w:t xml:space="preserve">.  We </w:t>
      </w:r>
      <w:r w:rsidR="00A66249">
        <w:t>adopt</w:t>
      </w:r>
      <w:r w:rsidRPr="0007571D">
        <w:t xml:space="preserve"> the</w:t>
      </w:r>
      <w:r w:rsidR="00932FF9">
        <w:t xml:space="preserve"> </w:t>
      </w:r>
      <w:r w:rsidRPr="0007571D">
        <w:t>$</w:t>
      </w:r>
      <w:r w:rsidRPr="002B280B" w:rsidR="00343017">
        <w:t>2,861,128</w:t>
      </w:r>
      <w:r w:rsidRPr="00A020A9">
        <w:t xml:space="preserve"> </w:t>
      </w:r>
      <w:r w:rsidR="00932FF9">
        <w:t xml:space="preserve">forfeiture </w:t>
      </w:r>
      <w:r w:rsidRPr="00A020A9">
        <w:t xml:space="preserve">proposed in the </w:t>
      </w:r>
      <w:r w:rsidRPr="0081375C">
        <w:rPr>
          <w:i/>
        </w:rPr>
        <w:t>NAL</w:t>
      </w:r>
      <w:r w:rsidRPr="00A020A9">
        <w:t xml:space="preserve">.  </w:t>
      </w:r>
      <w:r w:rsidRPr="00A020A9" w:rsidR="003343CA">
        <w:t xml:space="preserve"> </w:t>
      </w:r>
    </w:p>
    <w:p w:rsidR="003343CA" w:rsidRPr="00344C0B" w:rsidP="003343CA" w14:paraId="7C3E0C71" w14:textId="77777777">
      <w:pPr>
        <w:pStyle w:val="Heading1"/>
      </w:pPr>
      <w:bookmarkStart w:id="142" w:name="_Toc7603269"/>
      <w:bookmarkStart w:id="143" w:name="_Toc13488325"/>
      <w:bookmarkStart w:id="144" w:name="_Toc19605241"/>
      <w:bookmarkStart w:id="145" w:name="_Toc19628696"/>
      <w:bookmarkStart w:id="146" w:name="_Toc19628723"/>
      <w:bookmarkStart w:id="147" w:name="_Toc22904524"/>
      <w:bookmarkStart w:id="148" w:name="_Toc23239885"/>
      <w:bookmarkStart w:id="149" w:name="_Toc30682636"/>
      <w:bookmarkStart w:id="150" w:name="_Toc30682697"/>
      <w:bookmarkStart w:id="151" w:name="_Toc40101076"/>
      <w:bookmarkStart w:id="152" w:name="_Toc40101724"/>
      <w:r w:rsidRPr="00344C0B">
        <w:t>ORDERING CLAUSES</w:t>
      </w:r>
      <w:bookmarkEnd w:id="142"/>
      <w:bookmarkEnd w:id="143"/>
      <w:bookmarkEnd w:id="144"/>
      <w:bookmarkEnd w:id="145"/>
      <w:bookmarkEnd w:id="146"/>
      <w:bookmarkEnd w:id="147"/>
      <w:bookmarkEnd w:id="148"/>
      <w:bookmarkEnd w:id="149"/>
      <w:bookmarkEnd w:id="150"/>
      <w:bookmarkEnd w:id="151"/>
      <w:bookmarkEnd w:id="152"/>
    </w:p>
    <w:p w:rsidR="003343CA" w:rsidRPr="009A2403" w:rsidP="00F23F1E" w14:paraId="73703B37" w14:textId="7EB29581">
      <w:pPr>
        <w:pStyle w:val="ParaNum"/>
      </w:pPr>
      <w:r w:rsidRPr="00344C0B">
        <w:t xml:space="preserve">Accordingly, </w:t>
      </w:r>
      <w:r w:rsidRPr="00344C0B">
        <w:rPr>
          <w:b/>
        </w:rPr>
        <w:t>IT IS ORDERED</w:t>
      </w:r>
      <w:r w:rsidR="00F23F1E">
        <w:rPr>
          <w:b/>
        </w:rPr>
        <w:t xml:space="preserve"> </w:t>
      </w:r>
      <w:r w:rsidR="00F23F1E">
        <w:t>that</w:t>
      </w:r>
      <w:r w:rsidRPr="00344C0B">
        <w:t xml:space="preserve">, pursuant to </w:t>
      </w:r>
      <w:r w:rsidR="00293291">
        <w:t>s</w:t>
      </w:r>
      <w:r w:rsidRPr="00344C0B">
        <w:t>ection 503(b) of the</w:t>
      </w:r>
      <w:r w:rsidR="00F23F1E">
        <w:t xml:space="preserve"> Act</w:t>
      </w:r>
      <w:r w:rsidRPr="00344C0B">
        <w:t>,</w:t>
      </w:r>
      <w:r>
        <w:rPr>
          <w:rStyle w:val="FootnoteReference"/>
        </w:rPr>
        <w:footnoteReference w:id="119"/>
      </w:r>
      <w:r w:rsidRPr="0007571D">
        <w:t xml:space="preserve"> and </w:t>
      </w:r>
      <w:r w:rsidR="00293291">
        <w:t>s</w:t>
      </w:r>
      <w:r w:rsidRPr="0007571D">
        <w:t>ection</w:t>
      </w:r>
      <w:r w:rsidR="00343017">
        <w:t> </w:t>
      </w:r>
      <w:r w:rsidRPr="0007571D">
        <w:t xml:space="preserve">1.80 of the </w:t>
      </w:r>
      <w:r w:rsidR="00F909E2">
        <w:t>Commission</w:t>
      </w:r>
      <w:r w:rsidR="0098443C">
        <w:t>’</w:t>
      </w:r>
      <w:r w:rsidR="00F909E2">
        <w:t>s r</w:t>
      </w:r>
      <w:r w:rsidRPr="0007571D">
        <w:t>ules,</w:t>
      </w:r>
      <w:r>
        <w:rPr>
          <w:rStyle w:val="FootnoteReference"/>
        </w:rPr>
        <w:footnoteReference w:id="120"/>
      </w:r>
      <w:r w:rsidRPr="0007571D">
        <w:t xml:space="preserve"> </w:t>
      </w:r>
      <w:r w:rsidRPr="007043A4" w:rsidR="00343017">
        <w:t>ABC Fulfillment Services LLC and Indubitably, Inc.</w:t>
      </w:r>
      <w:r w:rsidR="00343017">
        <w:t xml:space="preserve"> d/b/a </w:t>
      </w:r>
      <w:r w:rsidR="00343017">
        <w:t>HobbyKing</w:t>
      </w:r>
      <w:r w:rsidRPr="0007571D" w:rsidR="00343017">
        <w:rPr>
          <w:b/>
        </w:rPr>
        <w:t xml:space="preserve"> </w:t>
      </w:r>
      <w:r w:rsidRPr="0007571D">
        <w:rPr>
          <w:b/>
        </w:rPr>
        <w:t>IS LIABLE FOR A MONETARY FORFEITURE</w:t>
      </w:r>
      <w:r w:rsidRPr="009A2403">
        <w:t xml:space="preserve"> in the amount of </w:t>
      </w:r>
      <w:r w:rsidR="002B280B">
        <w:t>two million eight hundred sixty-one thousand one hundred and twenty-eight</w:t>
      </w:r>
      <w:r w:rsidRPr="0007571D">
        <w:t xml:space="preserve"> dollars ($</w:t>
      </w:r>
      <w:r w:rsidR="00343017">
        <w:t>2,861,128</w:t>
      </w:r>
      <w:r w:rsidRPr="0007571D">
        <w:t xml:space="preserve">) for willfully </w:t>
      </w:r>
      <w:r w:rsidR="00F23F1E">
        <w:t xml:space="preserve">and </w:t>
      </w:r>
      <w:r w:rsidR="00F23F1E">
        <w:t xml:space="preserve">repeatedly </w:t>
      </w:r>
      <w:r w:rsidRPr="0007571D">
        <w:t xml:space="preserve">violating </w:t>
      </w:r>
      <w:r w:rsidR="00332E0D">
        <w:t>s</w:t>
      </w:r>
      <w:r w:rsidRPr="002B280B" w:rsidR="002B280B">
        <w:t>ection</w:t>
      </w:r>
      <w:r w:rsidR="0077027B">
        <w:t> </w:t>
      </w:r>
      <w:r w:rsidRPr="002B280B" w:rsidR="002B280B">
        <w:t>302 of the Act</w:t>
      </w:r>
      <w:r w:rsidR="00F14A6D">
        <w:t>,</w:t>
      </w:r>
      <w:r>
        <w:rPr>
          <w:rStyle w:val="FootnoteReference"/>
        </w:rPr>
        <w:footnoteReference w:id="121"/>
      </w:r>
      <w:r w:rsidRPr="002B280B" w:rsidR="002B280B">
        <w:t xml:space="preserve"> </w:t>
      </w:r>
      <w:r w:rsidR="00332E0D">
        <w:t>s</w:t>
      </w:r>
      <w:r w:rsidRPr="002B280B" w:rsidR="002B280B">
        <w:t>ection 2.803 of the Commission</w:t>
      </w:r>
      <w:r w:rsidR="0098443C">
        <w:t>’</w:t>
      </w:r>
      <w:r w:rsidRPr="002B280B" w:rsidR="002B280B">
        <w:t>s rules</w:t>
      </w:r>
      <w:r w:rsidR="00F14A6D">
        <w:t>,</w:t>
      </w:r>
      <w:r>
        <w:rPr>
          <w:rStyle w:val="FootnoteReference"/>
        </w:rPr>
        <w:footnoteReference w:id="122"/>
      </w:r>
      <w:r w:rsidRPr="002B280B" w:rsidR="002B280B">
        <w:t xml:space="preserve"> and Commission orders</w:t>
      </w:r>
      <w:r w:rsidRPr="009A2403">
        <w:t>.</w:t>
      </w:r>
    </w:p>
    <w:p w:rsidR="0077027B" w:rsidRPr="00344C0B" w:rsidP="00EC5240" w14:paraId="339CAA09" w14:textId="758E7B99">
      <w:pPr>
        <w:pStyle w:val="ParaNum"/>
      </w:pPr>
      <w:r w:rsidRPr="00344C0B">
        <w:t xml:space="preserve">Payment of the forfeiture shall be made in the manner provided for in </w:t>
      </w:r>
      <w:r w:rsidR="00332E0D">
        <w:t>s</w:t>
      </w:r>
      <w:r w:rsidRPr="00344C0B">
        <w:t xml:space="preserve">ection 1.80 of the </w:t>
      </w:r>
      <w:r w:rsidR="00F909E2">
        <w:t>Commission</w:t>
      </w:r>
      <w:r w:rsidR="0098443C">
        <w:t>’</w:t>
      </w:r>
      <w:r w:rsidR="00F909E2">
        <w:t>s r</w:t>
      </w:r>
      <w:r w:rsidRPr="00344C0B">
        <w:t xml:space="preserve">ules within </w:t>
      </w:r>
      <w:r>
        <w:t>thirty (30</w:t>
      </w:r>
      <w:r w:rsidRPr="00344C0B">
        <w:t>) calendar days after the release of this Forfeiture Order.</w:t>
      </w:r>
      <w:r>
        <w:rPr>
          <w:rStyle w:val="FootnoteReference"/>
        </w:rPr>
        <w:footnoteReference w:id="123"/>
      </w:r>
      <w:r w:rsidRPr="0007571D">
        <w:t xml:space="preserve">  </w:t>
      </w:r>
      <w:r w:rsidRPr="007043A4" w:rsidR="00332E0D">
        <w:t>ABC Fulfillment Services LLC and Indubitably, Inc.</w:t>
      </w:r>
      <w:r w:rsidR="00332E0D">
        <w:t xml:space="preserve"> d/b/a </w:t>
      </w:r>
      <w:r w:rsidR="00332E0D">
        <w:t>HobbyKing</w:t>
      </w:r>
      <w:r w:rsidRPr="00EC5240" w:rsidR="00332E0D">
        <w:t xml:space="preserve"> shall send electronic notification of payment to </w:t>
      </w:r>
      <w:r w:rsidR="00332E0D">
        <w:t xml:space="preserve">Chief, Spectrum Enforcement Division, Enforcement Bureau, Federal Communications Commission, at EB-SED-Response@fcc.gov </w:t>
      </w:r>
      <w:r w:rsidRPr="00EC5240" w:rsidR="00332E0D">
        <w:t xml:space="preserve">on the date said payment is made.  </w:t>
      </w:r>
      <w:r w:rsidRPr="0007571D">
        <w:t xml:space="preserve">If the forfeiture is not paid within the period specified, the case may be referred to the U.S. Department of Justice for enforcement of the forfeiture pursuant to </w:t>
      </w:r>
      <w:r w:rsidR="00332E0D">
        <w:t>s</w:t>
      </w:r>
      <w:r w:rsidRPr="0007571D">
        <w:t>ection 504(a) of the Act.</w:t>
      </w:r>
      <w:r>
        <w:rPr>
          <w:rStyle w:val="FootnoteReference"/>
        </w:rPr>
        <w:footnoteReference w:id="124"/>
      </w:r>
      <w:r w:rsidRPr="00EC5240">
        <w:t xml:space="preserve">  </w:t>
      </w:r>
    </w:p>
    <w:p w:rsidR="004F3264" w:rsidRPr="00344C0B" w:rsidP="004F3264" w14:paraId="1C33FB41" w14:textId="1851476E">
      <w:pPr>
        <w:pStyle w:val="ParaNum"/>
      </w:pPr>
      <w:r w:rsidRPr="00AD0726">
        <w:t xml:space="preserve">Payment of the </w:t>
      </w:r>
      <w:r>
        <w:t>forfeiture</w:t>
      </w:r>
      <w:r w:rsidRPr="00AD0726">
        <w:t xml:space="preserve"> must be made by credit card, ACH (Automated Clearing House) debit from a bank account using </w:t>
      </w:r>
      <w:r>
        <w:t>the Commission</w:t>
      </w:r>
      <w:r w:rsidR="0098443C">
        <w:t>’</w:t>
      </w:r>
      <w:r>
        <w:t xml:space="preserve">s </w:t>
      </w:r>
      <w:r w:rsidRPr="00AD0726">
        <w:t>Fee Filer (</w:t>
      </w:r>
      <w:r>
        <w:t>the Commission</w:t>
      </w:r>
      <w:r w:rsidR="0098443C">
        <w:t>’</w:t>
      </w:r>
      <w:r>
        <w:t>s</w:t>
      </w:r>
      <w:r w:rsidRPr="00AD0726">
        <w:t xml:space="preserve"> online payment system),</w:t>
      </w:r>
      <w:r>
        <w:rPr>
          <w:rStyle w:val="FootnoteReference"/>
        </w:rPr>
        <w:footnoteReference w:id="125"/>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0077027B">
        <w:t>:</w:t>
      </w:r>
      <w:r>
        <w:rPr>
          <w:vertAlign w:val="superscript"/>
        </w:rPr>
        <w:footnoteReference w:id="126"/>
      </w:r>
    </w:p>
    <w:p w:rsidR="004F3264" w:rsidRPr="004636A0" w:rsidP="0077027B" w14:paraId="113ABA3E" w14:textId="77777777">
      <w:pPr>
        <w:pStyle w:val="par1"/>
        <w:numPr>
          <w:ilvl w:val="0"/>
          <w:numId w:val="39"/>
        </w:numPr>
        <w:tabs>
          <w:tab w:val="clear" w:pos="1440"/>
        </w:tabs>
        <w:spacing w:after="120"/>
        <w:rPr>
          <w:sz w:val="22"/>
        </w:rPr>
      </w:pPr>
      <w:r w:rsidRPr="004636A0">
        <w:rPr>
          <w:sz w:val="22"/>
        </w:rPr>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https://www.fcc.gov/licensing-databases/fees/wire-transfer.  </w:t>
      </w:r>
    </w:p>
    <w:p w:rsidR="004F3264" w:rsidRPr="004636A0" w:rsidP="0077027B" w14:paraId="150796E5" w14:textId="5B9CEFFB">
      <w:pPr>
        <w:pStyle w:val="par1"/>
        <w:numPr>
          <w:ilvl w:val="0"/>
          <w:numId w:val="39"/>
        </w:numPr>
        <w:tabs>
          <w:tab w:val="clear" w:pos="1440"/>
        </w:tabs>
        <w:spacing w:after="120"/>
        <w:rPr>
          <w:sz w:val="22"/>
        </w:rPr>
      </w:pPr>
      <w:r w:rsidRPr="004636A0">
        <w:rPr>
          <w:sz w:val="22"/>
        </w:rPr>
        <w:t>Payment by credit card must be made by using the Commission</w:t>
      </w:r>
      <w:r w:rsidR="0098443C">
        <w:rPr>
          <w:sz w:val="22"/>
        </w:rPr>
        <w:t>’</w:t>
      </w:r>
      <w:r w:rsidRPr="004636A0">
        <w:rPr>
          <w:sz w:val="22"/>
        </w:rPr>
        <w:t>s Fee Filer website at https://apps.fcc.gov/FeeFiler/login.cfm.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4F3264" w:rsidRPr="00344C0B" w:rsidP="00E45334" w14:paraId="5F3495C6" w14:textId="15B1E594">
      <w:pPr>
        <w:pStyle w:val="par1"/>
        <w:widowControl/>
        <w:numPr>
          <w:ilvl w:val="0"/>
          <w:numId w:val="39"/>
        </w:numPr>
        <w:tabs>
          <w:tab w:val="clear" w:pos="1440"/>
        </w:tabs>
        <w:spacing w:after="120"/>
        <w:ind w:left="1267"/>
        <w:rPr>
          <w:sz w:val="22"/>
        </w:rPr>
      </w:pPr>
      <w:r w:rsidRPr="004636A0">
        <w:rPr>
          <w:sz w:val="22"/>
        </w:rPr>
        <w:t>Payment by ACH must be made by using the Commission</w:t>
      </w:r>
      <w:r w:rsidR="0098443C">
        <w:rPr>
          <w:sz w:val="22"/>
        </w:rPr>
        <w:t>’</w:t>
      </w:r>
      <w:r w:rsidRPr="004636A0">
        <w:rPr>
          <w:sz w:val="22"/>
        </w:rPr>
        <w:t xml:space="preserve">s Fee Filer website at https://apps.fcc.gov/FeeFiler/login.cfm.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w:t>
      </w:r>
      <w:r w:rsidRPr="004636A0">
        <w:rPr>
          <w:sz w:val="22"/>
        </w:rPr>
        <w:t>account number from which payment will be made and verify with that financial institution that the designated account has authorization to accept ACH transactions.</w:t>
      </w:r>
    </w:p>
    <w:p w:rsidR="004F3264" w:rsidRPr="00816F70" w:rsidP="004F3264" w14:paraId="7F62AAD0" w14:textId="77777777">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Pr>
          <w:rStyle w:val="FootnoteReference"/>
          <w:sz w:val="22"/>
        </w:rPr>
        <w:footnoteReference w:id="127"/>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rsidR="003343CA" w:rsidRPr="0007571D" w:rsidP="00330072" w14:paraId="073FDE42" w14:textId="77777777">
      <w:pPr>
        <w:pStyle w:val="ParaNum"/>
        <w:keepNext/>
        <w:keepLines/>
      </w:pPr>
      <w:r w:rsidRPr="00344C0B">
        <w:rPr>
          <w:b/>
        </w:rPr>
        <w:t>IT IS FURTHER ORDERED</w:t>
      </w:r>
      <w:r w:rsidRPr="00344C0B">
        <w:t xml:space="preserve"> that a copy of this Forfeiture Order </w:t>
      </w:r>
      <w:r w:rsidRPr="004749BE" w:rsidR="00F23F1E">
        <w:t>shall be sent by first class mail and certified mail, return receipt requested, to</w:t>
      </w:r>
      <w:r w:rsidR="00EC1507">
        <w:t xml:space="preserve"> Mr. Anthony Hand, Owner and Director, </w:t>
      </w:r>
      <w:r w:rsidRPr="007332B4" w:rsidR="00EC1507">
        <w:t>ABC Fulfillment Services LLC</w:t>
      </w:r>
      <w:r w:rsidR="00EC1507">
        <w:t xml:space="preserve">, via registered agent </w:t>
      </w:r>
      <w:r w:rsidRPr="00F00E60" w:rsidR="00EC1507">
        <w:t>Davies Pearson, P.C.,</w:t>
      </w:r>
      <w:r w:rsidR="00EC1507">
        <w:t xml:space="preserve"> 920 Fawcett Ave, Tacoma, WA </w:t>
      </w:r>
      <w:r w:rsidRPr="003B0CC6" w:rsidR="00EC1507">
        <w:t>98401-1657</w:t>
      </w:r>
      <w:r w:rsidR="00EC1507">
        <w:t>; and to Mr. Anthony Hand, Owner and Director, Indubitably, Inc. via Corporation Service Company, Registered Agent, 2711 Centerville Rd., Suite 400, Wilmington, DE 19808-1645; and</w:t>
      </w:r>
      <w:r w:rsidR="00305D52">
        <w:t xml:space="preserve"> </w:t>
      </w:r>
      <w:r w:rsidR="00EC1507">
        <w:t xml:space="preserve">to Dennis P. Corbett, Esq., Telecommunications Law Professionals PLLC, Counsel </w:t>
      </w:r>
      <w:r w:rsidRPr="00EC1507" w:rsidR="00EC1507">
        <w:t>to</w:t>
      </w:r>
      <w:r w:rsidRPr="00EC1507" w:rsidR="00F23F1E">
        <w:t xml:space="preserve"> </w:t>
      </w:r>
      <w:r w:rsidRPr="00EC1507" w:rsidR="00343017">
        <w:t>HobbyKing</w:t>
      </w:r>
      <w:r w:rsidRPr="00EC1507" w:rsidR="00F23F1E">
        <w:t xml:space="preserve">, </w:t>
      </w:r>
      <w:r w:rsidR="00EC1507">
        <w:t>1025 Connecticut Avenue, NW, Suite 1011, Washington, DC 20036</w:t>
      </w:r>
      <w:r w:rsidRPr="004749BE" w:rsidR="00F23F1E">
        <w:t>.</w:t>
      </w:r>
    </w:p>
    <w:p w:rsidR="003343CA" w:rsidRPr="00344C0B" w:rsidP="00330072" w14:paraId="383E44A5" w14:textId="77777777">
      <w:pPr>
        <w:keepNext/>
        <w:keepLines/>
      </w:pPr>
    </w:p>
    <w:p w:rsidR="003343CA" w:rsidRPr="00344C0B" w:rsidP="00330072" w14:paraId="47DC5066" w14:textId="77777777">
      <w:pPr>
        <w:keepNext/>
        <w:keepLines/>
      </w:pPr>
    </w:p>
    <w:p w:rsidR="003343CA" w:rsidRPr="00344C0B" w:rsidP="00330072" w14:paraId="6A052674" w14:textId="77777777">
      <w:pPr>
        <w:keepNext/>
        <w:keepLines/>
        <w:ind w:left="4410"/>
      </w:pPr>
      <w:r w:rsidRPr="00344C0B">
        <w:t>FEDERAL COMMUNICATIONS COMMISSION</w:t>
      </w:r>
    </w:p>
    <w:p w:rsidR="003343CA" w:rsidRPr="00344C0B" w:rsidP="00330072" w14:paraId="62A12254" w14:textId="77777777">
      <w:pPr>
        <w:keepNext/>
        <w:keepLines/>
        <w:ind w:left="4410"/>
      </w:pPr>
    </w:p>
    <w:p w:rsidR="003343CA" w:rsidRPr="00344C0B" w:rsidP="00330072" w14:paraId="5AAEE9D3" w14:textId="77777777">
      <w:pPr>
        <w:keepNext/>
        <w:keepLines/>
        <w:ind w:left="4410"/>
      </w:pPr>
    </w:p>
    <w:p w:rsidR="003343CA" w:rsidRPr="00344C0B" w:rsidP="00330072" w14:paraId="034D206B" w14:textId="77777777">
      <w:pPr>
        <w:keepNext/>
        <w:keepLines/>
        <w:ind w:left="4410"/>
      </w:pPr>
    </w:p>
    <w:p w:rsidR="003343CA" w:rsidRPr="00344C0B" w:rsidP="00330072" w14:paraId="40E15767" w14:textId="77777777">
      <w:pPr>
        <w:keepNext/>
        <w:keepLines/>
        <w:ind w:left="4410"/>
      </w:pPr>
    </w:p>
    <w:p w:rsidR="009B0223" w:rsidRPr="006D73F2" w:rsidP="00330072" w14:paraId="1FE2DC8B" w14:textId="77777777">
      <w:pPr>
        <w:keepNext/>
        <w:keepLines/>
        <w:ind w:left="4410"/>
      </w:pPr>
      <w:r w:rsidRPr="006D73F2">
        <w:t>Marlene H. Dortch</w:t>
      </w:r>
    </w:p>
    <w:p w:rsidR="0060067A" w:rsidP="0060067A" w14:paraId="35110EB6" w14:textId="77777777">
      <w:pPr>
        <w:keepNext/>
        <w:keepLines/>
        <w:ind w:left="4410"/>
        <w:sectPr w:rsidSect="00D417DA">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pPr>
      <w:r w:rsidRPr="006D73F2">
        <w:t>Secretary</w:t>
      </w:r>
    </w:p>
    <w:p w:rsidR="0060067A" w:rsidRPr="00B04A1A" w:rsidP="0060067A" w14:paraId="09049ECD" w14:textId="77777777">
      <w:pPr>
        <w:spacing w:after="120"/>
        <w:jc w:val="center"/>
        <w:rPr>
          <w:rFonts w:eastAsia="Calibri"/>
          <w:b/>
        </w:rPr>
      </w:pPr>
      <w:bookmarkStart w:id="153" w:name="_Hlk44489405"/>
      <w:r w:rsidRPr="00B04A1A">
        <w:rPr>
          <w:rFonts w:eastAsia="Calibri"/>
          <w:b/>
        </w:rPr>
        <w:t xml:space="preserve">STATEMENT OF </w:t>
      </w:r>
    </w:p>
    <w:p w:rsidR="0060067A" w:rsidRPr="00B04A1A" w:rsidP="0060067A" w14:paraId="114CD313" w14:textId="77777777">
      <w:pPr>
        <w:spacing w:after="120"/>
        <w:jc w:val="center"/>
        <w:rPr>
          <w:rFonts w:eastAsia="Calibri"/>
          <w:b/>
        </w:rPr>
      </w:pPr>
      <w:r w:rsidRPr="00B04A1A">
        <w:rPr>
          <w:rFonts w:eastAsia="Calibri"/>
          <w:b/>
        </w:rPr>
        <w:t>COMMISSIONER MICHAEL O’RIELLY</w:t>
      </w:r>
    </w:p>
    <w:p w:rsidR="0060067A" w:rsidRPr="00B04A1A" w:rsidP="0060067A" w14:paraId="4B4A4702" w14:textId="77777777">
      <w:pPr>
        <w:spacing w:after="120"/>
        <w:jc w:val="center"/>
        <w:rPr>
          <w:rFonts w:eastAsia="Calibri"/>
          <w:b/>
        </w:rPr>
      </w:pPr>
    </w:p>
    <w:p w:rsidR="0060067A" w:rsidRPr="00795480" w:rsidP="0060067A" w14:paraId="7B930006" w14:textId="77777777">
      <w:pPr>
        <w:widowControl/>
        <w:spacing w:line="259" w:lineRule="auto"/>
        <w:ind w:left="720" w:hanging="720"/>
        <w:rPr>
          <w:rFonts w:eastAsiaTheme="minorHAnsi"/>
          <w:snapToGrid/>
          <w:kern w:val="0"/>
          <w:szCs w:val="22"/>
        </w:rPr>
      </w:pPr>
      <w:r w:rsidRPr="00795480">
        <w:rPr>
          <w:rFonts w:eastAsiaTheme="minorHAnsi"/>
          <w:i/>
          <w:iCs/>
          <w:snapToGrid/>
          <w:kern w:val="0"/>
          <w:szCs w:val="22"/>
        </w:rPr>
        <w:t>Re:</w:t>
      </w:r>
      <w:r w:rsidRPr="00795480">
        <w:rPr>
          <w:rFonts w:eastAsiaTheme="minorHAnsi"/>
          <w:i/>
          <w:iCs/>
          <w:snapToGrid/>
          <w:kern w:val="0"/>
          <w:szCs w:val="22"/>
        </w:rPr>
        <w:tab/>
      </w:r>
      <w:r>
        <w:rPr>
          <w:rFonts w:eastAsiaTheme="minorHAnsi"/>
          <w:i/>
        </w:rPr>
        <w:t xml:space="preserve">ABC Fulfillment Services LLC d/b/a </w:t>
      </w:r>
      <w:r>
        <w:rPr>
          <w:rFonts w:eastAsiaTheme="minorHAnsi"/>
          <w:i/>
        </w:rPr>
        <w:t>HobbyKing</w:t>
      </w:r>
      <w:r>
        <w:rPr>
          <w:rFonts w:eastAsiaTheme="minorHAnsi"/>
          <w:i/>
        </w:rPr>
        <w:t xml:space="preserve"> USA LLC and HobbyKing.com; and Indubitably, Inc. d/b/a </w:t>
      </w:r>
      <w:r>
        <w:rPr>
          <w:rFonts w:eastAsiaTheme="minorHAnsi"/>
          <w:i/>
        </w:rPr>
        <w:t>HobbyKing</w:t>
      </w:r>
      <w:r>
        <w:rPr>
          <w:rFonts w:eastAsiaTheme="minorHAnsi"/>
          <w:i/>
        </w:rPr>
        <w:t xml:space="preserve"> Corp., </w:t>
      </w:r>
      <w:r>
        <w:rPr>
          <w:rFonts w:eastAsiaTheme="minorHAnsi"/>
          <w:i/>
        </w:rPr>
        <w:t>HobbyKing</w:t>
      </w:r>
      <w:r>
        <w:rPr>
          <w:rFonts w:eastAsiaTheme="minorHAnsi"/>
          <w:i/>
        </w:rPr>
        <w:t xml:space="preserve"> USA LLC, </w:t>
      </w:r>
      <w:r>
        <w:rPr>
          <w:rFonts w:eastAsiaTheme="minorHAnsi"/>
          <w:i/>
        </w:rPr>
        <w:t>HobbyKing</w:t>
      </w:r>
      <w:r>
        <w:rPr>
          <w:rFonts w:eastAsiaTheme="minorHAnsi"/>
          <w:i/>
        </w:rPr>
        <w:t>, and HobbyKing.com,</w:t>
      </w:r>
      <w:r w:rsidRPr="00A3033D">
        <w:rPr>
          <w:rFonts w:eastAsiaTheme="minorHAnsi"/>
        </w:rPr>
        <w:t xml:space="preserve"> </w:t>
      </w:r>
      <w:r>
        <w:rPr>
          <w:rFonts w:eastAsiaTheme="minorHAnsi"/>
        </w:rPr>
        <w:t>File No.: EB-SED-17-00023762, NAL/Acct. No.: 201832100015, FRN: 0027528975</w:t>
      </w:r>
      <w:r w:rsidRPr="00795480">
        <w:rPr>
          <w:rFonts w:eastAsiaTheme="minorHAnsi"/>
          <w:i/>
          <w:iCs/>
          <w:snapToGrid/>
          <w:kern w:val="0"/>
          <w:szCs w:val="22"/>
        </w:rPr>
        <w:t xml:space="preserve"> </w:t>
      </w:r>
    </w:p>
    <w:p w:rsidR="0060067A" w:rsidRPr="00795480" w:rsidP="0060067A" w14:paraId="5174E063" w14:textId="77777777">
      <w:pPr>
        <w:widowControl/>
        <w:spacing w:line="259" w:lineRule="auto"/>
        <w:ind w:firstLine="720"/>
        <w:rPr>
          <w:rFonts w:eastAsiaTheme="minorHAnsi"/>
          <w:snapToGrid/>
          <w:kern w:val="0"/>
          <w:szCs w:val="22"/>
        </w:rPr>
      </w:pPr>
    </w:p>
    <w:bookmarkEnd w:id="153"/>
    <w:p w:rsidR="0060067A" w:rsidRPr="00690695" w:rsidP="0060067A" w14:paraId="0BD119B3" w14:textId="77777777">
      <w:pPr>
        <w:widowControl/>
        <w:spacing w:line="259" w:lineRule="auto"/>
        <w:ind w:firstLine="720"/>
        <w:rPr>
          <w:rFonts w:eastAsiaTheme="minorHAnsi"/>
          <w:snapToGrid/>
          <w:kern w:val="0"/>
          <w:szCs w:val="22"/>
        </w:rPr>
      </w:pPr>
      <w:r w:rsidRPr="00690695">
        <w:rPr>
          <w:rFonts w:eastAsiaTheme="minorHAnsi"/>
          <w:snapToGrid/>
          <w:kern w:val="0"/>
          <w:szCs w:val="22"/>
        </w:rPr>
        <w:t xml:space="preserve">The Commission’s equipment authorization rules and processes provide a necessary safeguard to help ensure that the Commission’s rules are </w:t>
      </w:r>
      <w:r w:rsidRPr="00690695">
        <w:rPr>
          <w:rFonts w:eastAsiaTheme="minorHAnsi"/>
          <w:snapToGrid/>
          <w:kern w:val="0"/>
          <w:szCs w:val="22"/>
        </w:rPr>
        <w:t>followed</w:t>
      </w:r>
      <w:r w:rsidRPr="00690695">
        <w:rPr>
          <w:rFonts w:eastAsiaTheme="minorHAnsi"/>
          <w:snapToGrid/>
          <w:kern w:val="0"/>
          <w:szCs w:val="22"/>
        </w:rPr>
        <w:t xml:space="preserve"> and that harmful interference does not occur because of faulty equipment.  In this instance, </w:t>
      </w:r>
      <w:r w:rsidRPr="00690695">
        <w:rPr>
          <w:rFonts w:eastAsiaTheme="minorHAnsi"/>
          <w:snapToGrid/>
          <w:kern w:val="0"/>
          <w:szCs w:val="22"/>
        </w:rPr>
        <w:t>HobbyKing</w:t>
      </w:r>
      <w:r w:rsidRPr="00690695">
        <w:rPr>
          <w:rFonts w:eastAsiaTheme="minorHAnsi"/>
          <w:snapToGrid/>
          <w:kern w:val="0"/>
          <w:szCs w:val="22"/>
        </w:rPr>
        <w:t xml:space="preserve"> marketed and sold drone equipment to consumers that did not go through the required process and receive the necessary approvals, in violation of FCC rules.  I am, therefore, fully supportive of today’s forfeiture order.  </w:t>
      </w:r>
    </w:p>
    <w:p w:rsidR="0060067A" w:rsidRPr="00690695" w:rsidP="0060067A" w14:paraId="6FD3926F" w14:textId="77777777">
      <w:pPr>
        <w:widowControl/>
        <w:spacing w:line="259" w:lineRule="auto"/>
        <w:ind w:firstLine="720"/>
        <w:rPr>
          <w:rFonts w:eastAsiaTheme="minorHAnsi"/>
          <w:snapToGrid/>
          <w:kern w:val="0"/>
          <w:szCs w:val="22"/>
        </w:rPr>
      </w:pPr>
    </w:p>
    <w:p w:rsidR="0060067A" w:rsidRPr="00690695" w:rsidP="0060067A" w14:paraId="22A5A530" w14:textId="77777777">
      <w:pPr>
        <w:widowControl/>
        <w:spacing w:line="259" w:lineRule="auto"/>
        <w:ind w:firstLine="720"/>
        <w:rPr>
          <w:rFonts w:eastAsiaTheme="minorHAnsi"/>
          <w:snapToGrid/>
          <w:kern w:val="0"/>
          <w:szCs w:val="22"/>
        </w:rPr>
      </w:pPr>
      <w:r w:rsidRPr="00690695">
        <w:rPr>
          <w:rFonts w:eastAsiaTheme="minorHAnsi"/>
          <w:snapToGrid/>
          <w:kern w:val="0"/>
          <w:szCs w:val="22"/>
        </w:rPr>
        <w:t xml:space="preserve">Further, </w:t>
      </w:r>
      <w:r w:rsidRPr="00690695">
        <w:rPr>
          <w:rFonts w:eastAsiaTheme="minorHAnsi"/>
          <w:snapToGrid/>
          <w:kern w:val="0"/>
          <w:szCs w:val="22"/>
        </w:rPr>
        <w:t>HobbyKing’s</w:t>
      </w:r>
      <w:r w:rsidRPr="00690695">
        <w:rPr>
          <w:rFonts w:eastAsiaTheme="minorHAnsi"/>
          <w:snapToGrid/>
          <w:kern w:val="0"/>
          <w:szCs w:val="22"/>
        </w:rPr>
        <w:t xml:space="preserve"> actions are in no way analogous to the equipment authorization rule changes I have proposed.  In today’s world where people are used to Kickstarter campaigns and ordering handsets weeks before they are delivered into consumers’ eager hands, I have suggested commonsense updates to permit the pre-sale of devices and the importation of products for advertising and retail display purposes prior to their receiving FCC sign off.  In both instances, the equipment would not get into the hands of consumers without the manufacturer receiving the requisite FCC approvals.  While these rule changes can be effectively implemented without causing any harm to consumers or risk to our nation’s communications networks, the same cannot be said of </w:t>
      </w:r>
      <w:r w:rsidRPr="00690695">
        <w:rPr>
          <w:rFonts w:eastAsiaTheme="minorHAnsi"/>
          <w:snapToGrid/>
          <w:kern w:val="0"/>
          <w:szCs w:val="22"/>
        </w:rPr>
        <w:t>HobbyKing’s</w:t>
      </w:r>
      <w:r w:rsidRPr="00690695">
        <w:rPr>
          <w:rFonts w:eastAsiaTheme="minorHAnsi"/>
          <w:snapToGrid/>
          <w:kern w:val="0"/>
          <w:szCs w:val="22"/>
        </w:rPr>
        <w:t xml:space="preserve"> actions.</w:t>
      </w:r>
    </w:p>
    <w:p w:rsidR="0060067A" w:rsidRPr="00C5450F" w:rsidP="0060067A" w14:paraId="47BED577" w14:textId="77777777">
      <w:pPr>
        <w:widowControl/>
        <w:spacing w:line="259" w:lineRule="auto"/>
        <w:ind w:firstLine="720"/>
      </w:pPr>
      <w:bookmarkStart w:id="154" w:name="_GoBack"/>
      <w:bookmarkEnd w:id="154"/>
    </w:p>
    <w:p w:rsidR="00E273E3" w:rsidP="0060067A" w14:paraId="1574BDD4" w14:textId="115CED87">
      <w:pPr>
        <w:keepNext/>
        <w:keepLines/>
        <w:ind w:left="4410"/>
      </w:pPr>
    </w:p>
    <w:sectPr w:rsidSect="00BC4782">
      <w:headerReference w:type="default" r:id="rId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566" w14:paraId="638C5B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F73566" w14:paraId="1A902D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566" w14:paraId="548B5071" w14:textId="77777777">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F73566" w14:paraId="7F99DC55"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673" w14:paraId="5DB8ED05" w14:textId="77777777">
      <w:r>
        <w:separator/>
      </w:r>
    </w:p>
  </w:footnote>
  <w:footnote w:type="continuationSeparator" w:id="1">
    <w:p w:rsidR="007E1673" w14:paraId="66E8C6D1" w14:textId="77777777">
      <w:pPr>
        <w:rPr>
          <w:sz w:val="20"/>
        </w:rPr>
      </w:pPr>
      <w:r>
        <w:rPr>
          <w:sz w:val="20"/>
        </w:rPr>
        <w:t xml:space="preserve">(Continued from previous page)  </w:t>
      </w:r>
      <w:r>
        <w:rPr>
          <w:sz w:val="20"/>
        </w:rPr>
        <w:separator/>
      </w:r>
    </w:p>
  </w:footnote>
  <w:footnote w:type="continuationNotice" w:id="2">
    <w:p w:rsidR="007E1673" w:rsidP="001561D8" w14:paraId="6E630E01" w14:textId="72887D32">
      <w:pPr>
        <w:jc w:val="right"/>
        <w:rPr>
          <w:sz w:val="20"/>
        </w:rPr>
      </w:pPr>
    </w:p>
  </w:footnote>
  <w:footnote w:id="3">
    <w:p w:rsidR="00F73566" w:rsidRPr="009C4EE7" w:rsidP="00371EA2" w14:paraId="074F59E0" w14:textId="77777777">
      <w:pPr>
        <w:pStyle w:val="FootnoteText"/>
      </w:pPr>
      <w:r w:rsidRPr="009C4EE7">
        <w:rPr>
          <w:rStyle w:val="FootnoteReference"/>
        </w:rPr>
        <w:footnoteRef/>
      </w:r>
      <w:r w:rsidRPr="009C4EE7">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E6472D" w:rsidRPr="009C4EE7" w:rsidP="00E6472D" w14:paraId="0C41AB07" w14:textId="19446718">
      <w:pPr>
        <w:pStyle w:val="FootnoteText"/>
      </w:pPr>
      <w:r w:rsidRPr="009C4EE7">
        <w:rPr>
          <w:rStyle w:val="FootnoteReference"/>
        </w:rPr>
        <w:footnoteRef/>
      </w:r>
      <w:r w:rsidRPr="009C4EE7">
        <w:t xml:space="preserve"> </w:t>
      </w:r>
      <w:r w:rsidRPr="009C4EE7">
        <w:rPr>
          <w:iCs/>
          <w:color w:val="000000"/>
        </w:rPr>
        <w:t xml:space="preserve">The </w:t>
      </w:r>
      <w:r w:rsidRPr="0081375C">
        <w:rPr>
          <w:i/>
          <w:color w:val="000000"/>
        </w:rPr>
        <w:t>NAL</w:t>
      </w:r>
      <w:r w:rsidRPr="009C4EE7">
        <w:rPr>
          <w:iCs/>
          <w:color w:val="000000"/>
        </w:rPr>
        <w:t xml:space="preserve"> includes a more complete discussion of the facts and history of this case and is incorporated herein by reference.</w:t>
      </w:r>
      <w:r w:rsidRPr="009C4EE7">
        <w:t xml:space="preserve">  </w:t>
      </w:r>
      <w:r w:rsidRPr="009C4EE7">
        <w:rPr>
          <w:i/>
        </w:rPr>
        <w:t>See ABC Fulf</w:t>
      </w:r>
      <w:r>
        <w:rPr>
          <w:i/>
        </w:rPr>
        <w:t>i</w:t>
      </w:r>
      <w:r w:rsidRPr="009C4EE7">
        <w:rPr>
          <w:i/>
        </w:rPr>
        <w:t xml:space="preserve">llment Services LLC d/b/a </w:t>
      </w:r>
      <w:r w:rsidRPr="009C4EE7">
        <w:rPr>
          <w:i/>
        </w:rPr>
        <w:t>HobbyKing</w:t>
      </w:r>
      <w:r w:rsidRPr="009C4EE7">
        <w:rPr>
          <w:i/>
        </w:rPr>
        <w:t xml:space="preserve"> USA LLC and HobbyKing.com, and Indubitably, Inc. d/b/a/ </w:t>
      </w:r>
      <w:r w:rsidRPr="009C4EE7">
        <w:rPr>
          <w:i/>
        </w:rPr>
        <w:t>HobbyKing</w:t>
      </w:r>
      <w:r w:rsidRPr="009C4EE7">
        <w:rPr>
          <w:i/>
        </w:rPr>
        <w:t xml:space="preserve"> Corp., </w:t>
      </w:r>
      <w:r w:rsidRPr="009C4EE7">
        <w:rPr>
          <w:i/>
        </w:rPr>
        <w:t>HobbyKing</w:t>
      </w:r>
      <w:r w:rsidRPr="009C4EE7">
        <w:rPr>
          <w:i/>
        </w:rPr>
        <w:t xml:space="preserve"> USA LLC, </w:t>
      </w:r>
      <w:r w:rsidRPr="009C4EE7">
        <w:rPr>
          <w:i/>
        </w:rPr>
        <w:t>HobbyKing</w:t>
      </w:r>
      <w:r w:rsidRPr="009C4EE7">
        <w:rPr>
          <w:i/>
        </w:rPr>
        <w:t xml:space="preserve"> and HobbyKing.com</w:t>
      </w:r>
      <w:r w:rsidRPr="009C4EE7">
        <w:t xml:space="preserve">, Notice of Apparent Liability for Forfeiture, 33 FCC </w:t>
      </w:r>
      <w:r w:rsidRPr="009C4EE7">
        <w:t>Rcd</w:t>
      </w:r>
      <w:r w:rsidRPr="009C4EE7">
        <w:t xml:space="preserve"> 5530 (2018)</w:t>
      </w:r>
      <w:r w:rsidR="00955ED6">
        <w:t xml:space="preserve"> (</w:t>
      </w:r>
      <w:r w:rsidRPr="00955ED6" w:rsidR="00955ED6">
        <w:rPr>
          <w:i/>
          <w:iCs/>
        </w:rPr>
        <w:t>NAL</w:t>
      </w:r>
      <w:r w:rsidR="00955ED6">
        <w:t>)</w:t>
      </w:r>
      <w:r w:rsidRPr="009C4EE7">
        <w:t xml:space="preserve">.  </w:t>
      </w:r>
    </w:p>
  </w:footnote>
  <w:footnote w:id="5">
    <w:p w:rsidR="00F73566" w:rsidRPr="009C4EE7" w:rsidP="00371EA2" w14:paraId="0A37AAA3" w14:textId="54E33391">
      <w:pPr>
        <w:pStyle w:val="FootnoteText"/>
      </w:pPr>
      <w:r w:rsidRPr="009C4EE7">
        <w:rPr>
          <w:rStyle w:val="FootnoteReference"/>
        </w:rPr>
        <w:footnoteRef/>
      </w:r>
      <w:r w:rsidRPr="009C4EE7">
        <w:t xml:space="preserve"> 47 U.S.C. § 302a(b); 47 CFR § 2.803(b)-(c).  </w:t>
      </w:r>
    </w:p>
  </w:footnote>
  <w:footnote w:id="6">
    <w:p w:rsidR="00F73566" w:rsidRPr="009C4EE7" w:rsidP="00371EA2" w14:paraId="1499F4E7" w14:textId="2894FFB4">
      <w:pPr>
        <w:pStyle w:val="FootnoteText"/>
      </w:pPr>
      <w:r w:rsidRPr="009C4EE7">
        <w:rPr>
          <w:rStyle w:val="FootnoteReference"/>
        </w:rPr>
        <w:footnoteRef/>
      </w:r>
      <w:r w:rsidRPr="009C4EE7">
        <w:t xml:space="preserve"> 47 U.S.C. § 302a(b).</w:t>
      </w:r>
    </w:p>
  </w:footnote>
  <w:footnote w:id="7">
    <w:p w:rsidR="00F73566" w:rsidRPr="009C4EE7" w:rsidP="00371EA2" w14:paraId="7154F28B" w14:textId="09508184">
      <w:pPr>
        <w:pStyle w:val="FootnoteText"/>
      </w:pPr>
      <w:r w:rsidRPr="009C4EE7">
        <w:rPr>
          <w:rStyle w:val="FootnoteReference"/>
        </w:rPr>
        <w:footnoteRef/>
      </w:r>
      <w:r w:rsidRPr="009C4EE7">
        <w:t xml:space="preserve"> </w:t>
      </w:r>
      <w:r w:rsidRPr="009C4EE7">
        <w:rPr>
          <w:i/>
        </w:rPr>
        <w:t xml:space="preserve">See </w:t>
      </w:r>
      <w:r w:rsidRPr="009C4EE7">
        <w:t>47 CFR</w:t>
      </w:r>
      <w:r w:rsidRPr="009C4EE7">
        <w:rPr>
          <w:i/>
        </w:rPr>
        <w:t xml:space="preserve"> </w:t>
      </w:r>
      <w:r w:rsidRPr="009C4EE7">
        <w:t>§ 2.803(b).</w:t>
      </w:r>
    </w:p>
  </w:footnote>
  <w:footnote w:id="8">
    <w:p w:rsidR="00F73566" w:rsidRPr="009C4EE7" w:rsidP="00371EA2" w14:paraId="62E9BA47" w14:textId="4615D92F">
      <w:pPr>
        <w:pStyle w:val="FootnoteText"/>
      </w:pPr>
      <w:r w:rsidRPr="009C4EE7">
        <w:rPr>
          <w:rStyle w:val="FootnoteReference"/>
        </w:rPr>
        <w:footnoteRef/>
      </w:r>
      <w:r w:rsidRPr="009C4EE7">
        <w:t xml:space="preserve"> </w:t>
      </w:r>
      <w:r w:rsidRPr="005F4D29">
        <w:rPr>
          <w:i/>
        </w:rPr>
        <w:t>Id</w:t>
      </w:r>
      <w:r>
        <w:t>.</w:t>
      </w:r>
      <w:r w:rsidRPr="009C4EE7">
        <w:t xml:space="preserve"> § 15.201</w:t>
      </w:r>
      <w:r w:rsidR="00510237">
        <w:t>(b)</w:t>
      </w:r>
      <w:r w:rsidRPr="009C4EE7">
        <w:t xml:space="preserve">.  </w:t>
      </w:r>
    </w:p>
  </w:footnote>
  <w:footnote w:id="9">
    <w:p w:rsidR="00F73566" w:rsidRPr="009C4EE7" w:rsidP="00371EA2" w14:paraId="3B9C1254" w14:textId="740B1BBA">
      <w:pPr>
        <w:pStyle w:val="FootnoteText"/>
      </w:pPr>
      <w:r w:rsidRPr="009C4EE7">
        <w:rPr>
          <w:rStyle w:val="FootnoteReference"/>
        </w:rPr>
        <w:footnoteRef/>
      </w:r>
      <w:r>
        <w:t xml:space="preserve"> </w:t>
      </w:r>
      <w:r w:rsidRPr="00955ED6">
        <w:rPr>
          <w:i/>
          <w:iCs/>
        </w:rPr>
        <w:t>NAL</w:t>
      </w:r>
      <w:r w:rsidRPr="009C4EE7">
        <w:t xml:space="preserve">, 33 FCC </w:t>
      </w:r>
      <w:r w:rsidRPr="009C4EE7">
        <w:t>Rcd</w:t>
      </w:r>
      <w:r w:rsidRPr="009C4EE7">
        <w:t xml:space="preserve"> </w:t>
      </w:r>
      <w:r>
        <w:t>at</w:t>
      </w:r>
      <w:r w:rsidRPr="009C4EE7">
        <w:t xml:space="preserve"> 5530-31, paras. 2-3.  </w:t>
      </w:r>
    </w:p>
  </w:footnote>
  <w:footnote w:id="10">
    <w:p w:rsidR="00F73566" w:rsidRPr="009C4EE7" w:rsidP="00371EA2" w14:paraId="6D7806DD" w14:textId="2FB44477">
      <w:pPr>
        <w:pStyle w:val="FootnoteText"/>
      </w:pPr>
      <w:r w:rsidRPr="009C4EE7">
        <w:rPr>
          <w:rStyle w:val="FootnoteReference"/>
        </w:rPr>
        <w:footnoteRef/>
      </w:r>
      <w:r w:rsidRPr="009C4EE7">
        <w:t xml:space="preserve"> </w:t>
      </w:r>
      <w:r w:rsidRPr="006F7BBB">
        <w:rPr>
          <w:i/>
        </w:rPr>
        <w:t>Id</w:t>
      </w:r>
      <w:r>
        <w:t>.</w:t>
      </w:r>
      <w:r w:rsidRPr="009C4EE7">
        <w:t xml:space="preserve"> at 5530, para. 2 (citing HobbyKing’s career website).</w:t>
      </w:r>
    </w:p>
  </w:footnote>
  <w:footnote w:id="11">
    <w:p w:rsidR="00F73566" w:rsidRPr="009C4EE7" w:rsidP="00371EA2" w14:paraId="30AC5122" w14:textId="15257C31">
      <w:pPr>
        <w:pStyle w:val="FootnoteText"/>
      </w:pPr>
      <w:r w:rsidRPr="009C4EE7">
        <w:rPr>
          <w:rStyle w:val="FootnoteReference"/>
        </w:rPr>
        <w:footnoteRef/>
      </w:r>
      <w:r w:rsidRPr="009C4EE7">
        <w:t xml:space="preserve"> </w:t>
      </w:r>
      <w:r w:rsidRPr="009C4EE7">
        <w:rPr>
          <w:i/>
        </w:rPr>
        <w:t>See</w:t>
      </w:r>
      <w:r w:rsidRPr="009C4EE7">
        <w:t xml:space="preserve"> </w:t>
      </w:r>
      <w:r w:rsidRPr="009C4EE7">
        <w:rPr>
          <w:i/>
        </w:rPr>
        <w:t>HobbyKing</w:t>
      </w:r>
      <w:r w:rsidRPr="009C4EE7">
        <w:rPr>
          <w:i/>
        </w:rPr>
        <w:t xml:space="preserve"> USA LLC</w:t>
      </w:r>
      <w:r w:rsidRPr="009C4EE7">
        <w:t xml:space="preserve">, Citation and Order, 31 FCC </w:t>
      </w:r>
      <w:r w:rsidRPr="009C4EE7">
        <w:t>Rcd</w:t>
      </w:r>
      <w:r w:rsidRPr="009C4EE7">
        <w:t xml:space="preserve"> 12581 (EB 2016); </w:t>
      </w:r>
      <w:r w:rsidRPr="009C4EE7">
        <w:rPr>
          <w:i/>
        </w:rPr>
        <w:t xml:space="preserve">see also </w:t>
      </w:r>
      <w:r w:rsidRPr="00955ED6">
        <w:rPr>
          <w:i/>
          <w:iCs/>
        </w:rPr>
        <w:t>NAL</w:t>
      </w:r>
      <w:r w:rsidRPr="009C4EE7">
        <w:t xml:space="preserve">, 33 FCC </w:t>
      </w:r>
      <w:r w:rsidRPr="009C4EE7">
        <w:t>Rcd</w:t>
      </w:r>
      <w:r w:rsidRPr="009C4EE7">
        <w:t xml:space="preserve"> at 5531, para. 4.  </w:t>
      </w:r>
      <w:r w:rsidR="006A6759">
        <w:t xml:space="preserve">The Act </w:t>
      </w:r>
      <w:r w:rsidR="0057030C">
        <w:t xml:space="preserve">generally </w:t>
      </w:r>
      <w:r w:rsidR="006A6759">
        <w:t xml:space="preserve">requires that the Commission </w:t>
      </w:r>
      <w:r w:rsidR="00DE3CC2">
        <w:t xml:space="preserve">first </w:t>
      </w:r>
      <w:r w:rsidR="0057030C">
        <w:t xml:space="preserve">issue non-monetary </w:t>
      </w:r>
      <w:r w:rsidR="00D26833">
        <w:t xml:space="preserve">citations </w:t>
      </w:r>
      <w:r w:rsidR="007F7E1D">
        <w:t xml:space="preserve">to entities </w:t>
      </w:r>
      <w:r w:rsidR="00C44DE1">
        <w:t xml:space="preserve">that </w:t>
      </w:r>
      <w:r w:rsidR="00004A7C">
        <w:t xml:space="preserve">have violated </w:t>
      </w:r>
      <w:r w:rsidR="00E93C85">
        <w:t xml:space="preserve">a statutory provision or rule </w:t>
      </w:r>
      <w:r w:rsidR="00004A7C">
        <w:t xml:space="preserve">but </w:t>
      </w:r>
      <w:r w:rsidRPr="00004A7C" w:rsidR="00004A7C">
        <w:t>do not hold FCC licenses or authorizations</w:t>
      </w:r>
      <w:r w:rsidR="00220A1D">
        <w:t xml:space="preserve">.  Only after the entity has received </w:t>
      </w:r>
      <w:r w:rsidR="002D56D5">
        <w:t xml:space="preserve">this form of a warning </w:t>
      </w:r>
      <w:r w:rsidR="004C19D2">
        <w:t xml:space="preserve">and yet persists </w:t>
      </w:r>
      <w:r w:rsidR="007A1F80">
        <w:t xml:space="preserve">in the conduct </w:t>
      </w:r>
      <w:r w:rsidR="004C19D2">
        <w:t>may the Commission</w:t>
      </w:r>
      <w:r w:rsidR="007A1F80">
        <w:t xml:space="preserve"> pursue a monetary penalty.</w:t>
      </w:r>
      <w:r w:rsidR="00D1560F">
        <w:t xml:space="preserve">  </w:t>
      </w:r>
      <w:r w:rsidRPr="00EB0724" w:rsidR="00D1560F">
        <w:rPr>
          <w:i/>
          <w:iCs/>
        </w:rPr>
        <w:t>See</w:t>
      </w:r>
      <w:r w:rsidR="00D1560F">
        <w:t xml:space="preserve"> 47 U.S.C. </w:t>
      </w:r>
      <w:r w:rsidR="00BD6378">
        <w:t>§ 503(b)(5).</w:t>
      </w:r>
    </w:p>
  </w:footnote>
  <w:footnote w:id="12">
    <w:p w:rsidR="00F73566" w:rsidRPr="009C4EE7" w:rsidP="00371EA2" w14:paraId="5DB16123" w14:textId="2C6A2951">
      <w:pPr>
        <w:pStyle w:val="FootnoteText"/>
      </w:pPr>
      <w:r w:rsidRPr="009C4EE7">
        <w:rPr>
          <w:rStyle w:val="FootnoteReference"/>
        </w:rPr>
        <w:footnoteRef/>
      </w:r>
      <w:r w:rsidRPr="009C4EE7">
        <w:t xml:space="preserve"> </w:t>
      </w:r>
      <w:r w:rsidRPr="009C4EE7">
        <w:rPr>
          <w:i/>
        </w:rPr>
        <w:t>See Marketing Citation</w:t>
      </w:r>
      <w:r w:rsidRPr="009C4EE7">
        <w:t xml:space="preserve">, 31 FCC </w:t>
      </w:r>
      <w:r w:rsidRPr="009C4EE7">
        <w:t>Rcd</w:t>
      </w:r>
      <w:r w:rsidRPr="009C4EE7">
        <w:t xml:space="preserve"> at 12581, para. 1 (“This CITATION AND ORDER (Citation) notifies </w:t>
      </w:r>
      <w:r w:rsidRPr="009C4EE7">
        <w:t>HobbyKing</w:t>
      </w:r>
      <w:r w:rsidRPr="009C4EE7">
        <w:t xml:space="preserve"> USA LLC (</w:t>
      </w:r>
      <w:r w:rsidRPr="009C4EE7">
        <w:t>HobbyKing</w:t>
      </w:r>
      <w:r w:rsidRPr="009C4EE7">
        <w:t xml:space="preserve">) that it marketed radio frequency (RF) devices in the United States in violation of the Commission’s equipment authorization and labeling requirements.”); </w:t>
      </w:r>
      <w:r w:rsidRPr="009C4EE7">
        <w:rPr>
          <w:i/>
        </w:rPr>
        <w:t>id</w:t>
      </w:r>
      <w:r w:rsidRPr="009C4EE7">
        <w:t xml:space="preserve">. at 12581, para. 2 (“If </w:t>
      </w:r>
      <w:r w:rsidRPr="009C4EE7">
        <w:t>HobbyKing</w:t>
      </w:r>
      <w:r w:rsidRPr="009C4EE7">
        <w:t xml:space="preserve"> subsequently engages in any conduct of the type this Citation describes — and specifically any violation of Section 302(b) of the Act and Sections 2.803 and 2.925 of the Rules — it may be subject to civil penalties, including but not limited to, substantial monetary forfeitures and/or seizures of equipment.”).</w:t>
      </w:r>
    </w:p>
  </w:footnote>
  <w:footnote w:id="13">
    <w:p w:rsidR="00F73566" w:rsidRPr="009C4EE7" w:rsidP="00371EA2" w14:paraId="78E8691B" w14:textId="78C6E659">
      <w:pPr>
        <w:pStyle w:val="FootnoteText"/>
      </w:pPr>
      <w:r w:rsidRPr="009C4EE7">
        <w:rPr>
          <w:rStyle w:val="FootnoteReference"/>
        </w:rPr>
        <w:footnoteRef/>
      </w:r>
      <w:r w:rsidRPr="009C4EE7">
        <w:t xml:space="preserve"> </w:t>
      </w:r>
      <w:r w:rsidRPr="00955ED6">
        <w:rPr>
          <w:i/>
          <w:iCs/>
        </w:rPr>
        <w:t>NAL</w:t>
      </w:r>
      <w:r w:rsidRPr="009C4EE7">
        <w:t xml:space="preserve">, 33 FCC </w:t>
      </w:r>
      <w:r w:rsidRPr="009C4EE7">
        <w:t>Rcd</w:t>
      </w:r>
      <w:r w:rsidRPr="009C4EE7">
        <w:t xml:space="preserve"> at 5532, para. 5 &amp; n</w:t>
      </w:r>
      <w:r w:rsidR="00BE1247">
        <w:t>.</w:t>
      </w:r>
      <w:r>
        <w:t>13</w:t>
      </w:r>
      <w:r w:rsidR="00BE1247">
        <w:t>-</w:t>
      </w:r>
      <w:r w:rsidRPr="009C4EE7">
        <w:t>14.</w:t>
      </w:r>
    </w:p>
  </w:footnote>
  <w:footnote w:id="14">
    <w:p w:rsidR="00F73566" w:rsidRPr="009C4EE7" w:rsidP="00371EA2" w14:paraId="07153882" w14:textId="7CE47902">
      <w:pPr>
        <w:pStyle w:val="FootnoteText"/>
      </w:pPr>
      <w:r w:rsidRPr="009C4EE7">
        <w:rPr>
          <w:rStyle w:val="FootnoteReference"/>
        </w:rPr>
        <w:footnoteRef/>
      </w:r>
      <w:r w:rsidRPr="009C4EE7">
        <w:t xml:space="preserve"> </w:t>
      </w:r>
      <w:r w:rsidRPr="009C4EE7">
        <w:rPr>
          <w:i/>
        </w:rPr>
        <w:t>See</w:t>
      </w:r>
      <w:r w:rsidRPr="009C4EE7">
        <w:t xml:space="preserve"> </w:t>
      </w:r>
      <w:r w:rsidRPr="009C4EE7">
        <w:rPr>
          <w:i/>
        </w:rPr>
        <w:t xml:space="preserve">ABC Fulfillment Services LLC d/b/a </w:t>
      </w:r>
      <w:r w:rsidRPr="009C4EE7">
        <w:rPr>
          <w:i/>
        </w:rPr>
        <w:t>HobbyKing</w:t>
      </w:r>
      <w:r w:rsidRPr="009C4EE7">
        <w:rPr>
          <w:i/>
        </w:rPr>
        <w:t xml:space="preserve"> USA LLC and HobbyKing.com; and Indubitably, Inc. d/b/a </w:t>
      </w:r>
      <w:r w:rsidRPr="009C4EE7">
        <w:rPr>
          <w:i/>
        </w:rPr>
        <w:t>HobbyKing</w:t>
      </w:r>
      <w:r w:rsidRPr="009C4EE7">
        <w:rPr>
          <w:i/>
        </w:rPr>
        <w:t xml:space="preserve"> Corp., </w:t>
      </w:r>
      <w:r w:rsidRPr="009C4EE7">
        <w:rPr>
          <w:i/>
        </w:rPr>
        <w:t>HobbyKing</w:t>
      </w:r>
      <w:r w:rsidRPr="009C4EE7">
        <w:rPr>
          <w:i/>
        </w:rPr>
        <w:t xml:space="preserve"> USA LLC, </w:t>
      </w:r>
      <w:r w:rsidRPr="009C4EE7">
        <w:rPr>
          <w:i/>
        </w:rPr>
        <w:t>HobbyKing</w:t>
      </w:r>
      <w:r w:rsidRPr="009C4EE7">
        <w:rPr>
          <w:i/>
        </w:rPr>
        <w:t>, and HobbyKing.com</w:t>
      </w:r>
      <w:r w:rsidRPr="009C4EE7">
        <w:t xml:space="preserve">, Citation and Order, 32 FCC </w:t>
      </w:r>
      <w:r w:rsidRPr="009C4EE7">
        <w:t>Rcd</w:t>
      </w:r>
      <w:r w:rsidRPr="009C4EE7">
        <w:t xml:space="preserve"> 7300 (EB 2017); </w:t>
      </w:r>
      <w:r w:rsidRPr="00955ED6">
        <w:rPr>
          <w:i/>
          <w:iCs/>
        </w:rPr>
        <w:t>NAL</w:t>
      </w:r>
      <w:r w:rsidRPr="009C4EE7">
        <w:t xml:space="preserve">, 33 FCC </w:t>
      </w:r>
      <w:r w:rsidRPr="009C4EE7">
        <w:t>Rcd</w:t>
      </w:r>
      <w:r w:rsidRPr="009C4EE7">
        <w:t xml:space="preserve"> at 5531-33, paras. 4-6.  </w:t>
      </w:r>
    </w:p>
  </w:footnote>
  <w:footnote w:id="15">
    <w:p w:rsidR="00F73566" w:rsidRPr="009C4EE7" w:rsidP="00F071C4" w14:paraId="497046D3" w14:textId="257D1C92">
      <w:pPr>
        <w:pStyle w:val="FootnoteText"/>
      </w:pPr>
      <w:r w:rsidRPr="009C4EE7">
        <w:rPr>
          <w:rStyle w:val="FootnoteReference"/>
        </w:rPr>
        <w:footnoteRef/>
      </w:r>
      <w:r w:rsidRPr="009C4EE7">
        <w:t xml:space="preserve"> 47 U.S.C. § 302a.</w:t>
      </w:r>
    </w:p>
  </w:footnote>
  <w:footnote w:id="16">
    <w:p w:rsidR="00F73566" w:rsidRPr="009C4EE7" w:rsidP="00371EA2" w14:paraId="7359F83F" w14:textId="7EBCE35B">
      <w:pPr>
        <w:pStyle w:val="FootnoteText"/>
      </w:pPr>
      <w:r w:rsidRPr="009C4EE7">
        <w:rPr>
          <w:rStyle w:val="FootnoteReference"/>
        </w:rPr>
        <w:footnoteRef/>
      </w:r>
      <w:r w:rsidRPr="009C4EE7">
        <w:t xml:space="preserve"> 47 CFR § 2.803.</w:t>
      </w:r>
    </w:p>
  </w:footnote>
  <w:footnote w:id="17">
    <w:p w:rsidR="00F73566" w:rsidRPr="003F38A6" w14:paraId="5D9582CB" w14:textId="72BFC4A0">
      <w:pPr>
        <w:pStyle w:val="FootnoteText"/>
      </w:pPr>
      <w:r w:rsidRPr="009C4EE7">
        <w:rPr>
          <w:rStyle w:val="FootnoteReference"/>
        </w:rPr>
        <w:footnoteRef/>
      </w:r>
      <w:r w:rsidRPr="009C4EE7">
        <w:t xml:space="preserve"> </w:t>
      </w:r>
      <w:r w:rsidRPr="009C4EE7">
        <w:rPr>
          <w:i/>
        </w:rPr>
        <w:t>See generally Marketing Citation; Letter of Inquiry Citation.</w:t>
      </w:r>
      <w:r>
        <w:t xml:space="preserve">  </w:t>
      </w:r>
      <w:r w:rsidRPr="009C4EE7">
        <w:rPr>
          <w:snapToGrid w:val="0"/>
        </w:rPr>
        <w:t>Section 4(</w:t>
      </w:r>
      <w:r w:rsidRPr="009C4EE7">
        <w:rPr>
          <w:snapToGrid w:val="0"/>
        </w:rPr>
        <w:t>i</w:t>
      </w:r>
      <w:r w:rsidRPr="009C4EE7">
        <w:rPr>
          <w:snapToGrid w:val="0"/>
        </w:rPr>
        <w:t>) authorizes the Commission to “issue such orders, not inconsistent with this Act as may be necessary in the execution of its functions.”  47 U.S.C. §</w:t>
      </w:r>
      <w:r w:rsidR="00736349">
        <w:rPr>
          <w:snapToGrid w:val="0"/>
        </w:rPr>
        <w:t> </w:t>
      </w:r>
      <w:r w:rsidRPr="009C4EE7">
        <w:rPr>
          <w:snapToGrid w:val="0"/>
        </w:rPr>
        <w:t>154(</w:t>
      </w:r>
      <w:r w:rsidRPr="009C4EE7">
        <w:rPr>
          <w:snapToGrid w:val="0"/>
        </w:rPr>
        <w:t>i</w:t>
      </w:r>
      <w:r w:rsidRPr="009C4EE7">
        <w:rPr>
          <w:snapToGrid w:val="0"/>
        </w:rPr>
        <w:t>).  Section 4(j) states that “[t]he Commission may conduct its proceedings in such manner as will best conduce to the proper dispatch of business and to the ends of justice.”  47 U.S.C. § 154(j).  Section 403 grants the Commission both the authority to institute inquiries and “the power to make and enforce any order or orders” relating to its inquiries into compliance with the Act.  47 U.S.C. § 403.  Section 0.111(a)(17) of the Commission’s rules delegates this authority to the Bureau.  47 CFR § 0.111(a)(17) (granting the Enforcement Bureau the authority to “[</w:t>
      </w:r>
      <w:r w:rsidRPr="009C4EE7">
        <w:rPr>
          <w:snapToGrid w:val="0"/>
        </w:rPr>
        <w:t>i</w:t>
      </w:r>
      <w:r w:rsidRPr="009C4EE7">
        <w:rPr>
          <w:snapToGrid w:val="0"/>
        </w:rPr>
        <w:t>]</w:t>
      </w:r>
      <w:r w:rsidRPr="009C4EE7">
        <w:rPr>
          <w:snapToGrid w:val="0"/>
        </w:rPr>
        <w:t>dentify</w:t>
      </w:r>
      <w:r w:rsidRPr="009C4EE7">
        <w:rPr>
          <w:snapToGrid w:val="0"/>
        </w:rPr>
        <w:t xml:space="preserve"> and analyze complaint information, conduct investigations, conduct external audits and collect information, including pursuant to sections 218, 220, 308(b), 403 and 409(e) through (k) of the Communications Act, in connection with complaints, on its own initiative or upon request of another Bureau or Office.”).</w:t>
      </w:r>
      <w:r w:rsidRPr="009C4EE7">
        <w:t xml:space="preserve">  </w:t>
      </w:r>
    </w:p>
  </w:footnote>
  <w:footnote w:id="18">
    <w:p w:rsidR="00F73566" w:rsidRPr="009C4EE7" w:rsidP="00371EA2" w14:paraId="4BC793F7" w14:textId="383F2715">
      <w:pPr>
        <w:pStyle w:val="FootnoteText"/>
      </w:pPr>
      <w:r w:rsidRPr="009C4EE7">
        <w:rPr>
          <w:rStyle w:val="FootnoteReference"/>
        </w:rPr>
        <w:footnoteRef/>
      </w:r>
      <w:r w:rsidRPr="009C4EE7">
        <w:t xml:space="preserve"> </w:t>
      </w:r>
      <w:r w:rsidRPr="00955ED6">
        <w:rPr>
          <w:i/>
          <w:iCs/>
        </w:rPr>
        <w:t>NAL</w:t>
      </w:r>
      <w:r w:rsidRPr="009C4EE7">
        <w:t xml:space="preserve">, 33 FCC </w:t>
      </w:r>
      <w:r w:rsidRPr="009C4EE7">
        <w:t>Rcd</w:t>
      </w:r>
      <w:r w:rsidRPr="009C4EE7">
        <w:t xml:space="preserve"> at 5537-38, para. 15 &amp; n.54-55.  </w:t>
      </w:r>
    </w:p>
  </w:footnote>
  <w:footnote w:id="19">
    <w:p w:rsidR="00F73566" w:rsidRPr="009C4EE7" w:rsidP="00537E68" w14:paraId="42844BFD" w14:textId="6662AFD9">
      <w:pPr>
        <w:pStyle w:val="FootnoteText"/>
      </w:pPr>
      <w:r w:rsidRPr="009C4EE7">
        <w:rPr>
          <w:rStyle w:val="FootnoteReference"/>
        </w:rPr>
        <w:footnoteRef/>
      </w:r>
      <w:r w:rsidRPr="009C4EE7">
        <w:t xml:space="preserve"> </w:t>
      </w:r>
      <w:r w:rsidRPr="006F7BBB">
        <w:rPr>
          <w:i/>
        </w:rPr>
        <w:t>Id</w:t>
      </w:r>
      <w:r>
        <w:t xml:space="preserve">. </w:t>
      </w:r>
      <w:r w:rsidRPr="009C4EE7">
        <w:t>at 5532, para. 6.</w:t>
      </w:r>
    </w:p>
  </w:footnote>
  <w:footnote w:id="20">
    <w:p w:rsidR="00F73566" w:rsidRPr="009C4EE7" w:rsidP="00537E68" w14:paraId="6863F9E8" w14:textId="7DE2BDB0">
      <w:pPr>
        <w:pStyle w:val="FootnoteText"/>
      </w:pPr>
      <w:r w:rsidRPr="009C4EE7">
        <w:rPr>
          <w:rStyle w:val="FootnoteReference"/>
        </w:rPr>
        <w:footnoteRef/>
      </w:r>
      <w:r w:rsidRPr="009C4EE7">
        <w:t xml:space="preserve"> </w:t>
      </w:r>
      <w:r w:rsidRPr="009C4EE7">
        <w:rPr>
          <w:i/>
        </w:rPr>
        <w:t>Id</w:t>
      </w:r>
      <w:r w:rsidRPr="009C4EE7">
        <w:t xml:space="preserve">.; </w:t>
      </w:r>
      <w:r w:rsidRPr="009C4EE7">
        <w:rPr>
          <w:i/>
        </w:rPr>
        <w:t>see also id</w:t>
      </w:r>
      <w:r w:rsidRPr="009C4EE7">
        <w:t>. at 5541-42, para. 23.</w:t>
      </w:r>
    </w:p>
  </w:footnote>
  <w:footnote w:id="21">
    <w:p w:rsidR="0007090A" w14:paraId="4D6C5D17" w14:textId="4B85A204">
      <w:pPr>
        <w:pStyle w:val="FootnoteText"/>
      </w:pPr>
      <w:r>
        <w:rPr>
          <w:rStyle w:val="FootnoteReference"/>
        </w:rPr>
        <w:footnoteRef/>
      </w:r>
      <w:r>
        <w:t xml:space="preserve"> </w:t>
      </w:r>
      <w:r w:rsidRPr="006F7BBB">
        <w:rPr>
          <w:i/>
        </w:rPr>
        <w:t>Id</w:t>
      </w:r>
      <w:r>
        <w:t>.</w:t>
      </w:r>
    </w:p>
  </w:footnote>
  <w:footnote w:id="22">
    <w:p w:rsidR="0007090A" w14:paraId="05037F1A" w14:textId="57B191A7">
      <w:pPr>
        <w:pStyle w:val="FootnoteText"/>
      </w:pPr>
      <w:r>
        <w:rPr>
          <w:rStyle w:val="FootnoteReference"/>
        </w:rPr>
        <w:footnoteRef/>
      </w:r>
      <w:r>
        <w:t xml:space="preserve"> </w:t>
      </w:r>
      <w:r w:rsidRPr="006F7BBB">
        <w:rPr>
          <w:i/>
        </w:rPr>
        <w:t>Id</w:t>
      </w:r>
      <w:r>
        <w:t>.</w:t>
      </w:r>
    </w:p>
  </w:footnote>
  <w:footnote w:id="23">
    <w:p w:rsidR="00F73566" w:rsidRPr="009C4EE7" w:rsidP="00371EA2" w14:paraId="5E7720AE" w14:textId="6D5A78AC">
      <w:pPr>
        <w:pStyle w:val="FootnoteText"/>
      </w:pPr>
      <w:r w:rsidRPr="009C4EE7">
        <w:rPr>
          <w:rStyle w:val="FootnoteReference"/>
        </w:rPr>
        <w:footnoteRef/>
      </w:r>
      <w:r w:rsidRPr="009C4EE7">
        <w:t xml:space="preserve"> </w:t>
      </w:r>
      <w:r w:rsidRPr="006F7BBB">
        <w:rPr>
          <w:i/>
        </w:rPr>
        <w:t>Id</w:t>
      </w:r>
      <w:r>
        <w:t xml:space="preserve">. </w:t>
      </w:r>
      <w:r w:rsidRPr="009C4EE7">
        <w:t>at 5540-42, paras. 22-24.</w:t>
      </w:r>
    </w:p>
  </w:footnote>
  <w:footnote w:id="24">
    <w:p w:rsidR="00F73566" w:rsidRPr="009C4EE7" w:rsidP="00371EA2" w14:paraId="1B2DA687" w14:textId="053E8E30">
      <w:pPr>
        <w:pStyle w:val="FootnoteText"/>
      </w:pPr>
      <w:r w:rsidRPr="009C4EE7">
        <w:rPr>
          <w:rStyle w:val="FootnoteReference"/>
        </w:rPr>
        <w:footnoteRef/>
      </w:r>
      <w:r w:rsidRPr="009C4EE7">
        <w:t xml:space="preserve"> </w:t>
      </w:r>
      <w:r w:rsidRPr="006F7BBB">
        <w:rPr>
          <w:i/>
        </w:rPr>
        <w:t>Id</w:t>
      </w:r>
      <w:r>
        <w:t xml:space="preserve">. </w:t>
      </w:r>
      <w:r w:rsidRPr="009C4EE7">
        <w:t>at 5542, para. 25.</w:t>
      </w:r>
    </w:p>
  </w:footnote>
  <w:footnote w:id="25">
    <w:p w:rsidR="00F73566" w:rsidRPr="009C4EE7" w:rsidP="00ED352C" w14:paraId="40F287E8" w14:textId="77777777">
      <w:pPr>
        <w:pStyle w:val="FootnoteText"/>
      </w:pPr>
      <w:r w:rsidRPr="009C4EE7">
        <w:rPr>
          <w:rStyle w:val="FootnoteReference"/>
        </w:rPr>
        <w:footnoteRef/>
      </w:r>
      <w:r w:rsidRPr="009C4EE7">
        <w:t xml:space="preserve"> ABC Fulfillment Services LLC and Indubitably, Inc., Response to Notice of Apparent Liability (July 5, 2018) (on file in EB-SED-17-00023762) (NAL Response).  </w:t>
      </w:r>
    </w:p>
  </w:footnote>
  <w:footnote w:id="26">
    <w:p w:rsidR="00F73566" w:rsidRPr="009C4EE7" w:rsidP="00371EA2" w14:paraId="3354A9CC" w14:textId="77777777">
      <w:pPr>
        <w:pStyle w:val="FootnoteText"/>
      </w:pPr>
      <w:r w:rsidRPr="009C4EE7">
        <w:rPr>
          <w:rStyle w:val="FootnoteReference"/>
        </w:rPr>
        <w:footnoteRef/>
      </w:r>
      <w:r w:rsidRPr="009C4EE7">
        <w:t xml:space="preserve"> NAL Response at 6-7.</w:t>
      </w:r>
    </w:p>
  </w:footnote>
  <w:footnote w:id="27">
    <w:p w:rsidR="00F73566" w:rsidRPr="009C4EE7" w:rsidP="00371EA2" w14:paraId="5202BAC5" w14:textId="2F6B122C">
      <w:pPr>
        <w:pStyle w:val="FootnoteText"/>
      </w:pPr>
      <w:r w:rsidRPr="009C4EE7">
        <w:rPr>
          <w:rStyle w:val="FootnoteReference"/>
        </w:rPr>
        <w:footnoteRef/>
      </w:r>
      <w:r w:rsidRPr="009C4EE7">
        <w:t xml:space="preserve"> </w:t>
      </w:r>
      <w:r w:rsidRPr="009C4EE7">
        <w:rPr>
          <w:i/>
        </w:rPr>
        <w:t>See id.</w:t>
      </w:r>
      <w:r w:rsidRPr="009C4EE7">
        <w:t xml:space="preserve"> at 9.</w:t>
      </w:r>
    </w:p>
  </w:footnote>
  <w:footnote w:id="28">
    <w:p w:rsidR="00F73566" w:rsidRPr="009C4EE7" w:rsidP="00371EA2" w14:paraId="4DC3F23B" w14:textId="39A4DC0E">
      <w:pPr>
        <w:pStyle w:val="FootnoteText"/>
      </w:pPr>
      <w:r w:rsidRPr="009C4EE7">
        <w:rPr>
          <w:rStyle w:val="FootnoteReference"/>
        </w:rPr>
        <w:footnoteRef/>
      </w:r>
      <w:r w:rsidRPr="009C4EE7">
        <w:t xml:space="preserve"> </w:t>
      </w:r>
      <w:r w:rsidRPr="009C4EE7">
        <w:rPr>
          <w:i/>
        </w:rPr>
        <w:t>See id.</w:t>
      </w:r>
      <w:r w:rsidRPr="009C4EE7">
        <w:t xml:space="preserve"> at 13.</w:t>
      </w:r>
    </w:p>
  </w:footnote>
  <w:footnote w:id="29">
    <w:p w:rsidR="00F73566" w:rsidRPr="009C4EE7" w:rsidP="00371EA2" w14:paraId="71309307" w14:textId="4316AAE7">
      <w:pPr>
        <w:pStyle w:val="FootnoteText"/>
      </w:pPr>
      <w:r w:rsidRPr="009C4EE7">
        <w:rPr>
          <w:rStyle w:val="FootnoteReference"/>
        </w:rPr>
        <w:footnoteRef/>
      </w:r>
      <w:r w:rsidRPr="009C4EE7">
        <w:t xml:space="preserve"> </w:t>
      </w:r>
      <w:r w:rsidRPr="009C4EE7">
        <w:rPr>
          <w:i/>
        </w:rPr>
        <w:t>See id.</w:t>
      </w:r>
      <w:r w:rsidRPr="009C4EE7">
        <w:t xml:space="preserve"> at 18.  </w:t>
      </w:r>
    </w:p>
  </w:footnote>
  <w:footnote w:id="30">
    <w:p w:rsidR="00F73566" w:rsidRPr="009C4EE7" w:rsidP="00371EA2" w14:paraId="6F856C53" w14:textId="44475641">
      <w:pPr>
        <w:pStyle w:val="FootnoteText"/>
        <w:rPr>
          <w:b/>
        </w:rPr>
      </w:pPr>
      <w:r w:rsidRPr="009C4EE7">
        <w:rPr>
          <w:rStyle w:val="FootnoteReference"/>
        </w:rPr>
        <w:footnoteRef/>
      </w:r>
      <w:r w:rsidRPr="009C4EE7">
        <w:t xml:space="preserve"> </w:t>
      </w:r>
      <w:r w:rsidRPr="009C4EE7">
        <w:rPr>
          <w:i/>
        </w:rPr>
        <w:t>Id.</w:t>
      </w:r>
      <w:r w:rsidRPr="009C4EE7">
        <w:t xml:space="preserve"> at 23; </w:t>
      </w:r>
      <w:r w:rsidRPr="009C4EE7">
        <w:rPr>
          <w:i/>
        </w:rPr>
        <w:t>see also Drone Audio/Video Transmitter Accessories Must Comply with the Commission’s Rules to be Marketed to U.S. Customers</w:t>
      </w:r>
      <w:r w:rsidRPr="009C4EE7">
        <w:t xml:space="preserve">, Enforcement Advisory, 33 FCC </w:t>
      </w:r>
      <w:r w:rsidRPr="009C4EE7">
        <w:t>Rcd</w:t>
      </w:r>
      <w:r w:rsidRPr="009C4EE7">
        <w:t xml:space="preserve"> 5321 (EB 2018) (</w:t>
      </w:r>
      <w:r w:rsidRPr="009C4EE7">
        <w:rPr>
          <w:i/>
        </w:rPr>
        <w:t>AV Transmitter Enforcement Advisory</w:t>
      </w:r>
      <w:r w:rsidRPr="009C4EE7">
        <w:t xml:space="preserve">).  </w:t>
      </w:r>
    </w:p>
  </w:footnote>
  <w:footnote w:id="31">
    <w:p w:rsidR="00F73566" w:rsidRPr="009C4EE7" w:rsidP="00371EA2" w14:paraId="6C99A4DC" w14:textId="77777777">
      <w:pPr>
        <w:pStyle w:val="FootnoteText"/>
      </w:pPr>
      <w:r w:rsidRPr="009C4EE7">
        <w:rPr>
          <w:rStyle w:val="FootnoteReference"/>
        </w:rPr>
        <w:footnoteRef/>
      </w:r>
      <w:r w:rsidRPr="009C4EE7">
        <w:t xml:space="preserve"> </w:t>
      </w:r>
      <w:r w:rsidRPr="009C4EE7">
        <w:rPr>
          <w:color w:val="000000"/>
        </w:rPr>
        <w:t>47 U.S.C. § 503(b).</w:t>
      </w:r>
    </w:p>
  </w:footnote>
  <w:footnote w:id="32">
    <w:p w:rsidR="00F73566" w:rsidRPr="009C4EE7" w:rsidP="00371EA2" w14:paraId="5D567DBD" w14:textId="6F39B269">
      <w:pPr>
        <w:pStyle w:val="FootnoteText"/>
      </w:pPr>
      <w:r w:rsidRPr="009C4EE7">
        <w:rPr>
          <w:rStyle w:val="FootnoteReference"/>
        </w:rPr>
        <w:footnoteRef/>
      </w:r>
      <w:r w:rsidRPr="009C4EE7">
        <w:t xml:space="preserve"> 47 CFR § 1.80.</w:t>
      </w:r>
    </w:p>
  </w:footnote>
  <w:footnote w:id="33">
    <w:p w:rsidR="00F73566" w:rsidRPr="009C4EE7" w:rsidP="00371EA2" w14:paraId="5A229233" w14:textId="3EAB11CC">
      <w:pPr>
        <w:pStyle w:val="FootnoteText"/>
      </w:pPr>
      <w:r w:rsidRPr="009C4EE7">
        <w:rPr>
          <w:rStyle w:val="FootnoteReference"/>
        </w:rPr>
        <w:footnoteRef/>
      </w:r>
      <w:r w:rsidRPr="009C4EE7">
        <w:rPr>
          <w:i/>
        </w:rPr>
        <w:t xml:space="preserve"> The Commission’s Forfeiture Policy Statement and Amendment of Section 1.80 of the Rules to Incorporate the Forfeiture Guidelines</w:t>
      </w:r>
      <w:r w:rsidRPr="009C4EE7">
        <w:t xml:space="preserve">, Report and Order, 12 FCC </w:t>
      </w:r>
      <w:r w:rsidRPr="009C4EE7">
        <w:t>Rcd</w:t>
      </w:r>
      <w:r w:rsidRPr="009C4EE7">
        <w:t xml:space="preserve"> 17087 (1997) (</w:t>
      </w:r>
      <w:r w:rsidRPr="009C4EE7">
        <w:rPr>
          <w:i/>
        </w:rPr>
        <w:t>Forfeiture Policy Statement</w:t>
      </w:r>
      <w:r w:rsidRPr="009C4EE7">
        <w:t xml:space="preserve">), </w:t>
      </w:r>
      <w:r w:rsidRPr="009C4EE7">
        <w:rPr>
          <w:i/>
        </w:rPr>
        <w:t>recons. denied</w:t>
      </w:r>
      <w:r w:rsidRPr="009C4EE7">
        <w:t xml:space="preserve">, Memorandum Opinion and Order, 15 FCC </w:t>
      </w:r>
      <w:r w:rsidRPr="009C4EE7">
        <w:t>Rcd</w:t>
      </w:r>
      <w:r w:rsidRPr="009C4EE7">
        <w:t xml:space="preserve"> 303 (1999). </w:t>
      </w:r>
    </w:p>
  </w:footnote>
  <w:footnote w:id="34">
    <w:p w:rsidR="00F73566" w:rsidRPr="009C4EE7" w:rsidP="00371EA2" w14:paraId="7B4FA6DC" w14:textId="534E9A4A">
      <w:pPr>
        <w:pStyle w:val="FootnoteText"/>
      </w:pPr>
      <w:r w:rsidRPr="009C4EE7">
        <w:rPr>
          <w:rStyle w:val="FootnoteReference"/>
        </w:rPr>
        <w:footnoteRef/>
      </w:r>
      <w:r w:rsidRPr="009C4EE7">
        <w:t xml:space="preserve"> 47 U.S.C. § 503(b)(2)(E).</w:t>
      </w:r>
    </w:p>
  </w:footnote>
  <w:footnote w:id="35">
    <w:p w:rsidR="00F73566" w:rsidRPr="009C4EE7" w:rsidP="00371EA2" w14:paraId="39C13B2F" w14:textId="77777777">
      <w:pPr>
        <w:pStyle w:val="FootnoteText"/>
      </w:pPr>
      <w:r w:rsidRPr="009C4EE7">
        <w:rPr>
          <w:rStyle w:val="FootnoteReference"/>
        </w:rPr>
        <w:footnoteRef/>
      </w:r>
      <w:r w:rsidRPr="009C4EE7">
        <w:t xml:space="preserve"> 47 CFR § 2.801.</w:t>
      </w:r>
    </w:p>
  </w:footnote>
  <w:footnote w:id="36">
    <w:p w:rsidR="00F73566" w:rsidRPr="009C4EE7" w:rsidP="00371EA2" w14:paraId="45085E41" w14:textId="58F63944">
      <w:pPr>
        <w:pStyle w:val="FootnoteText"/>
      </w:pPr>
      <w:r w:rsidRPr="009C4EE7">
        <w:rPr>
          <w:rStyle w:val="FootnoteReference"/>
        </w:rPr>
        <w:footnoteRef/>
      </w:r>
      <w:r w:rsidRPr="009C4EE7">
        <w:t xml:space="preserve"> </w:t>
      </w:r>
      <w:r w:rsidRPr="006F7BBB">
        <w:rPr>
          <w:i/>
        </w:rPr>
        <w:t>Id</w:t>
      </w:r>
      <w:r>
        <w:t xml:space="preserve">. </w:t>
      </w:r>
      <w:r w:rsidRPr="009C4EE7">
        <w:t>§ 15.3(o).</w:t>
      </w:r>
    </w:p>
  </w:footnote>
  <w:footnote w:id="37">
    <w:p w:rsidR="00F73566" w:rsidRPr="009C4EE7" w:rsidP="00371EA2" w14:paraId="6D14B7D5" w14:textId="07301FFD">
      <w:pPr>
        <w:pStyle w:val="FootnoteText"/>
      </w:pPr>
      <w:r w:rsidRPr="009C4EE7">
        <w:rPr>
          <w:rStyle w:val="FootnoteReference"/>
        </w:rPr>
        <w:footnoteRef/>
      </w:r>
      <w:r w:rsidRPr="009C4EE7">
        <w:t xml:space="preserve"> </w:t>
      </w:r>
      <w:r w:rsidRPr="006F7BBB">
        <w:rPr>
          <w:i/>
        </w:rPr>
        <w:t>Id</w:t>
      </w:r>
      <w:r>
        <w:t>.</w:t>
      </w:r>
      <w:r w:rsidRPr="009C4EE7">
        <w:t xml:space="preserve"> § 15.201.  </w:t>
      </w:r>
    </w:p>
  </w:footnote>
  <w:footnote w:id="38">
    <w:p w:rsidR="00F73566" w14:paraId="26FCAB59" w14:textId="1F274924">
      <w:pPr>
        <w:pStyle w:val="FootnoteText"/>
      </w:pPr>
      <w:r>
        <w:rPr>
          <w:rStyle w:val="FootnoteReference"/>
        </w:rPr>
        <w:footnoteRef/>
      </w:r>
      <w:r>
        <w:t xml:space="preserve"> </w:t>
      </w:r>
      <w:r w:rsidRPr="009C4EE7">
        <w:rPr>
          <w:i/>
        </w:rPr>
        <w:t xml:space="preserve">See </w:t>
      </w:r>
      <w:r w:rsidRPr="00955ED6">
        <w:rPr>
          <w:i/>
          <w:iCs/>
        </w:rPr>
        <w:t>NAL</w:t>
      </w:r>
      <w:r w:rsidRPr="009C4EE7">
        <w:t xml:space="preserve">, 33 FCC </w:t>
      </w:r>
      <w:r w:rsidRPr="009C4EE7">
        <w:t>Rcd</w:t>
      </w:r>
      <w:r w:rsidRPr="009C4EE7">
        <w:t xml:space="preserve"> at 5536, para. 12.</w:t>
      </w:r>
      <w:r>
        <w:t xml:space="preserve">  </w:t>
      </w:r>
      <w:r w:rsidR="00B8695B">
        <w:t xml:space="preserve">Notably, </w:t>
      </w:r>
      <w:r w:rsidR="00B8695B">
        <w:rPr>
          <w:color w:val="000000"/>
        </w:rPr>
        <w:t>HobbyKing</w:t>
      </w:r>
      <w:r w:rsidR="00B8695B">
        <w:rPr>
          <w:color w:val="000000"/>
        </w:rPr>
        <w:t xml:space="preserve"> did not claim in its NAL Response, as it previously had, that it was not marketing AV transmitters in the United States.</w:t>
      </w:r>
    </w:p>
  </w:footnote>
  <w:footnote w:id="39">
    <w:p w:rsidR="00F73566" w:rsidRPr="009C4EE7" w:rsidP="00371EA2" w14:paraId="4EDD4683" w14:textId="3BB05FD3">
      <w:pPr>
        <w:pStyle w:val="FootnoteText"/>
      </w:pPr>
      <w:r w:rsidRPr="009C4EE7">
        <w:rPr>
          <w:rStyle w:val="FootnoteReference"/>
        </w:rPr>
        <w:footnoteRef/>
      </w:r>
      <w:r w:rsidRPr="009C4EE7">
        <w:t xml:space="preserve"> To the extent that the manufacturer, not </w:t>
      </w:r>
      <w:r w:rsidRPr="009C4EE7">
        <w:t>HobbyKing</w:t>
      </w:r>
      <w:r w:rsidRPr="009C4EE7">
        <w:t xml:space="preserve">, may be the party responsible for obtaining the equipment certification, the Commission provided notice to </w:t>
      </w:r>
      <w:r w:rsidRPr="009C4EE7">
        <w:t>HobbyKing</w:t>
      </w:r>
      <w:r w:rsidRPr="009C4EE7">
        <w:t xml:space="preserve"> of its responsibilities to comply with the equipment marketing laws when the Bureau issued the </w:t>
      </w:r>
      <w:r w:rsidRPr="009C4EE7">
        <w:rPr>
          <w:i/>
        </w:rPr>
        <w:t>Marketing Citation</w:t>
      </w:r>
      <w:r w:rsidRPr="009C4EE7">
        <w:t xml:space="preserve"> to </w:t>
      </w:r>
      <w:r w:rsidRPr="009C4EE7">
        <w:t>HobbyKing</w:t>
      </w:r>
      <w:r w:rsidRPr="009C4EE7">
        <w:t xml:space="preserve">.  We address HobbyKing’s lack of notice arguments below.  </w:t>
      </w:r>
      <w:r w:rsidRPr="009C4EE7">
        <w:rPr>
          <w:i/>
        </w:rPr>
        <w:t>See</w:t>
      </w:r>
      <w:r w:rsidRPr="009C4EE7">
        <w:t xml:space="preserve"> Section </w:t>
      </w:r>
      <w:r w:rsidRPr="009C4EE7">
        <w:fldChar w:fldCharType="begin"/>
      </w:r>
      <w:r w:rsidRPr="009C4EE7">
        <w:instrText xml:space="preserve"> REF _Ref13473502 \r \h  \* MERGEFORMAT </w:instrText>
      </w:r>
      <w:r w:rsidRPr="009C4EE7">
        <w:fldChar w:fldCharType="separate"/>
      </w:r>
      <w:r w:rsidR="009317B5">
        <w:t>III.B</w:t>
      </w:r>
      <w:r w:rsidRPr="009C4EE7">
        <w:fldChar w:fldCharType="end"/>
      </w:r>
      <w:r w:rsidRPr="009C4EE7">
        <w:t>.</w:t>
      </w:r>
    </w:p>
  </w:footnote>
  <w:footnote w:id="40">
    <w:p w:rsidR="00F73566" w:rsidRPr="00CE406C" w14:paraId="62EBA189" w14:textId="7FEEBF28">
      <w:pPr>
        <w:pStyle w:val="FootnoteText"/>
      </w:pPr>
      <w:r>
        <w:rPr>
          <w:rStyle w:val="FootnoteReference"/>
        </w:rPr>
        <w:footnoteRef/>
      </w:r>
      <w:r>
        <w:t xml:space="preserve"> </w:t>
      </w:r>
      <w:r w:rsidRPr="009C4EE7">
        <w:rPr>
          <w:i/>
        </w:rPr>
        <w:t>Pilot Travel Centers, LLC</w:t>
      </w:r>
      <w:r w:rsidRPr="009C4EE7">
        <w:t xml:space="preserve">, Notice of Apparent Liability, 19 FCC </w:t>
      </w:r>
      <w:r w:rsidRPr="009C4EE7">
        <w:t>Rcd</w:t>
      </w:r>
      <w:r w:rsidRPr="009C4EE7">
        <w:t xml:space="preserve"> 23113, 23114</w:t>
      </w:r>
      <w:r>
        <w:t>, paras. 3-4</w:t>
      </w:r>
      <w:r w:rsidRPr="009C4EE7">
        <w:t xml:space="preserve"> (2004) (</w:t>
      </w:r>
      <w:r w:rsidRPr="009C4EE7">
        <w:rPr>
          <w:i/>
        </w:rPr>
        <w:t>Pilot Travel NAL</w:t>
      </w:r>
      <w:r w:rsidRPr="00C42159">
        <w:t>)</w:t>
      </w:r>
      <w:r>
        <w:t xml:space="preserve">, Order and Consent Decree, </w:t>
      </w:r>
      <w:r w:rsidRPr="00C42159">
        <w:t xml:space="preserve">21 FCC </w:t>
      </w:r>
      <w:r w:rsidRPr="00C42159">
        <w:t>Rcd</w:t>
      </w:r>
      <w:r w:rsidRPr="00C42159">
        <w:t xml:space="preserve"> 5308</w:t>
      </w:r>
      <w:r>
        <w:t xml:space="preserve"> (2006); </w:t>
      </w:r>
      <w:r>
        <w:rPr>
          <w:i/>
        </w:rPr>
        <w:t>see also</w:t>
      </w:r>
      <w:r w:rsidRPr="00955ED6">
        <w:rPr>
          <w:i/>
          <w:iCs/>
        </w:rPr>
        <w:t xml:space="preserve"> NAL</w:t>
      </w:r>
      <w:r w:rsidRPr="009C4EE7">
        <w:t xml:space="preserve">, 33 FCC </w:t>
      </w:r>
      <w:r w:rsidRPr="009C4EE7">
        <w:t>Rcd</w:t>
      </w:r>
      <w:r w:rsidRPr="009C4EE7">
        <w:t xml:space="preserve"> at 5534-35, paras. 8-9 (collecting cases that state devices operating both on and off amateur frequencies require authorization).</w:t>
      </w:r>
    </w:p>
  </w:footnote>
  <w:footnote w:id="41">
    <w:p w:rsidR="00F73566" w:rsidRPr="00C42159" w14:paraId="7EE5593A" w14:textId="5971C9E4">
      <w:pPr>
        <w:pStyle w:val="FootnoteText"/>
      </w:pPr>
      <w:r>
        <w:rPr>
          <w:rStyle w:val="FootnoteReference"/>
        </w:rPr>
        <w:footnoteRef/>
      </w:r>
      <w:r>
        <w:t xml:space="preserve"> </w:t>
      </w:r>
      <w:r w:rsidRPr="009C4EE7">
        <w:rPr>
          <w:i/>
        </w:rPr>
        <w:t>Pilot Travel NAL</w:t>
      </w:r>
      <w:r>
        <w:t xml:space="preserve">, </w:t>
      </w:r>
      <w:r w:rsidRPr="009C4EE7">
        <w:t xml:space="preserve">19 FCC </w:t>
      </w:r>
      <w:r w:rsidRPr="009C4EE7">
        <w:t>Rcd</w:t>
      </w:r>
      <w:r w:rsidRPr="009C4EE7">
        <w:t xml:space="preserve"> </w:t>
      </w:r>
      <w:r>
        <w:t>at</w:t>
      </w:r>
      <w:r w:rsidRPr="009C4EE7">
        <w:t xml:space="preserve"> 2311</w:t>
      </w:r>
      <w:r>
        <w:t xml:space="preserve">6, para. 11.  </w:t>
      </w:r>
    </w:p>
  </w:footnote>
  <w:footnote w:id="42">
    <w:p w:rsidR="00F73566" w:rsidRPr="009C4EE7" w:rsidP="009F258B" w14:paraId="25AE06B2" w14:textId="4E9236B0">
      <w:pPr>
        <w:pStyle w:val="FootnoteText"/>
      </w:pPr>
      <w:r w:rsidRPr="009C4EE7">
        <w:rPr>
          <w:rStyle w:val="FootnoteReference"/>
        </w:rPr>
        <w:footnoteRef/>
      </w:r>
      <w:r w:rsidRPr="009C4EE7">
        <w:t xml:space="preserve"> Letter from Christopher Wright, General Counsel, FCC to John Atwood, Chief</w:t>
      </w:r>
      <w:r>
        <w:t>,</w:t>
      </w:r>
      <w:r w:rsidRPr="009C4EE7">
        <w:t xml:space="preserve"> Intellectual Property Rights, U</w:t>
      </w:r>
      <w:r>
        <w:t>.</w:t>
      </w:r>
      <w:r w:rsidRPr="009C4EE7">
        <w:t>S</w:t>
      </w:r>
      <w:r>
        <w:t>.</w:t>
      </w:r>
      <w:r w:rsidRPr="009C4EE7">
        <w:t xml:space="preserve"> Customs Service, 14 FCC </w:t>
      </w:r>
      <w:r w:rsidRPr="009C4EE7">
        <w:t>Rcd</w:t>
      </w:r>
      <w:r w:rsidRPr="009C4EE7">
        <w:t xml:space="preserve"> 7797 (OGC 1999) (emphasis added)</w:t>
      </w:r>
      <w:r>
        <w:t xml:space="preserve">.  </w:t>
      </w:r>
    </w:p>
  </w:footnote>
  <w:footnote w:id="43">
    <w:p w:rsidR="00F73566" w:rsidRPr="009C4EE7" w:rsidP="009F258B" w14:paraId="20439C87" w14:textId="744E402F">
      <w:pPr>
        <w:pStyle w:val="FootnoteText"/>
      </w:pPr>
      <w:r w:rsidRPr="009C4EE7">
        <w:rPr>
          <w:rStyle w:val="FootnoteReference"/>
        </w:rPr>
        <w:footnoteRef/>
      </w:r>
      <w:r w:rsidRPr="009C4EE7">
        <w:t xml:space="preserve"> NAL Response at 11. </w:t>
      </w:r>
      <w:r>
        <w:t xml:space="preserve"> </w:t>
      </w:r>
      <w:r w:rsidRPr="009C4EE7">
        <w:t xml:space="preserve">The 1999 letter is focused on CB radios, but also states generally applicable principles regarding radio frequency devices that require Commission approval.  </w:t>
      </w:r>
    </w:p>
  </w:footnote>
  <w:footnote w:id="44">
    <w:p w:rsidR="00F73566" w:rsidRPr="009C4EE7" w:rsidP="00371EA2" w14:paraId="19E6EB3B" w14:textId="6C954408">
      <w:pPr>
        <w:pStyle w:val="FootnoteText"/>
      </w:pPr>
      <w:r w:rsidRPr="009C4EE7">
        <w:rPr>
          <w:rStyle w:val="FootnoteReference"/>
        </w:rPr>
        <w:footnoteRef/>
      </w:r>
      <w:r w:rsidRPr="009C4EE7">
        <w:t xml:space="preserve"> NAL Response at 6-7.</w:t>
      </w:r>
      <w:r>
        <w:t xml:space="preserve">  </w:t>
      </w:r>
    </w:p>
  </w:footnote>
  <w:footnote w:id="45">
    <w:p w:rsidR="00F73566" w:rsidP="00371EA2" w14:paraId="4ADAEF87" w14:textId="4EE5E7FC">
      <w:pPr>
        <w:pStyle w:val="FootnoteText"/>
      </w:pPr>
      <w:r w:rsidRPr="009C4EE7">
        <w:rPr>
          <w:rStyle w:val="FootnoteReference"/>
        </w:rPr>
        <w:footnoteRef/>
      </w:r>
      <w:r w:rsidRPr="009C4EE7">
        <w:t xml:space="preserve"> 47 CFR § 15.1(c).  Section 2.803 of the Commission’s rules is in subpart I of part 2 of chapter I of Title 47 of the Code of Federal Regulations.  </w:t>
      </w:r>
      <w:r w:rsidRPr="009C4EE7">
        <w:rPr>
          <w:i/>
        </w:rPr>
        <w:t>See also</w:t>
      </w:r>
      <w:r w:rsidRPr="009C4EE7">
        <w:t xml:space="preserve"> 47 CFR § 2.901(a) (“The technical standards applicable to individual types of equipment are found in that part of the rules governing the service wherein the equipment is to be operated.  In addition to the technical standards provided, the rules governing the service may require that such equipment … receive a grant of certification from a Telecommunication Certification Body.”).</w:t>
      </w:r>
    </w:p>
    <w:p w:rsidR="00F73566" w:rsidRPr="009C4EE7" w:rsidP="00371EA2" w14:paraId="6501896F" w14:textId="1E46008B">
      <w:pPr>
        <w:pStyle w:val="FootnoteText"/>
      </w:pPr>
      <w:r w:rsidRPr="009C4EE7">
        <w:t>HobbyKing</w:t>
      </w:r>
      <w:r>
        <w:t xml:space="preserve"> also</w:t>
      </w:r>
      <w:r w:rsidRPr="009C4EE7">
        <w:t xml:space="preserve"> argues that a rulemaking on small drone operation by the Federal Aviation Administration (FAA) shows that the Commission should similarly initiate a rulemaking on drone equipment authorization, and by implication, the failure of the Commission to do so means that drone equipment is unregulated.  NAL Response at 6.  Congress directed the Secretary of Transportation to initiate a rulemaking on small drone operation in the FAA Modernization and Reform Act of 2012.  Pub. L. 112-95, § 332(b), 126 Stat. 11, 74 (codified at 49 U.S.C. § 40101 note).  In contrast, Congress has not directed the Commission to initiate a rulemaking on the authorization of drone equipment.  Such argument also ignores the Commission’s long-standing existing general rules on radio frequency equipment authorization that </w:t>
      </w:r>
      <w:r>
        <w:t xml:space="preserve">already </w:t>
      </w:r>
      <w:r w:rsidRPr="009C4EE7">
        <w:t xml:space="preserve">cover devices intentionally emitting radio frequency energy like the AV transmitters.  </w:t>
      </w:r>
    </w:p>
  </w:footnote>
  <w:footnote w:id="46">
    <w:p w:rsidR="00F73566" w:rsidRPr="009C4EE7" w:rsidP="00371EA2" w14:paraId="4C23F79E" w14:textId="0D0BE907">
      <w:pPr>
        <w:pStyle w:val="FootnoteText"/>
      </w:pPr>
      <w:r w:rsidRPr="009C4EE7">
        <w:rPr>
          <w:rStyle w:val="FootnoteReference"/>
        </w:rPr>
        <w:footnoteRef/>
      </w:r>
      <w:r w:rsidRPr="009C4EE7">
        <w:t xml:space="preserve"> </w:t>
      </w:r>
      <w:r w:rsidRPr="009C4EE7">
        <w:rPr>
          <w:i/>
        </w:rPr>
        <w:t>See</w:t>
      </w:r>
      <w:r w:rsidRPr="009C4EE7">
        <w:t xml:space="preserve"> </w:t>
      </w:r>
      <w:r w:rsidRPr="009C4EE7">
        <w:rPr>
          <w:snapToGrid w:val="0"/>
        </w:rPr>
        <w:t xml:space="preserve">47 CFR § 97.301(a) (listing amateur frequency bands).  </w:t>
      </w:r>
      <w:r w:rsidRPr="009C4EE7">
        <w:rPr>
          <w:i/>
        </w:rPr>
        <w:t xml:space="preserve">WTB, PSHSB, &amp; OET Provide Reminder of Jan. 1, 2013 Deadline for Transition to Narrowband Operations in the 150-174 </w:t>
      </w:r>
      <w:r w:rsidRPr="009C4EE7">
        <w:rPr>
          <w:i/>
        </w:rPr>
        <w:t>Mhz</w:t>
      </w:r>
      <w:r w:rsidRPr="009C4EE7">
        <w:rPr>
          <w:i/>
        </w:rPr>
        <w:t xml:space="preserve"> &amp; 421-470 </w:t>
      </w:r>
      <w:r w:rsidRPr="009C4EE7">
        <w:rPr>
          <w:i/>
        </w:rPr>
        <w:t>Mhz</w:t>
      </w:r>
      <w:r w:rsidRPr="009C4EE7">
        <w:rPr>
          <w:i/>
        </w:rPr>
        <w:t xml:space="preserve"> Bands</w:t>
      </w:r>
      <w:r w:rsidRPr="009C4EE7">
        <w:t xml:space="preserve">, Public Notice, 27 FCC </w:t>
      </w:r>
      <w:r w:rsidRPr="009C4EE7">
        <w:t>Rcd</w:t>
      </w:r>
      <w:r w:rsidRPr="009C4EE7">
        <w:t xml:space="preserve"> 14896, 14900 n.18 (2012) (“Equipment approval generally is not required for Part 97 equipment.”); </w:t>
      </w:r>
      <w:r w:rsidRPr="009C4EE7">
        <w:rPr>
          <w:i/>
          <w:iCs/>
        </w:rPr>
        <w:t>Facilitating Opportunities for Flexible, Efficient, and Reliable Spectrum Use Employing Cognitive Radio Technologies</w:t>
      </w:r>
      <w:r w:rsidRPr="009C4EE7">
        <w:t xml:space="preserve">, Memorandum Opinion and Order, 22 FCC </w:t>
      </w:r>
      <w:r w:rsidRPr="009C4EE7">
        <w:t>Rcd</w:t>
      </w:r>
      <w:r w:rsidRPr="009C4EE7">
        <w:t xml:space="preserve"> 8053, 8058 para. 16 (2007) (amateur equipment is exempt from certification); </w:t>
      </w:r>
      <w:r w:rsidRPr="009C4EE7">
        <w:rPr>
          <w:i/>
        </w:rPr>
        <w:t xml:space="preserve">Pilot Travel </w:t>
      </w:r>
      <w:r w:rsidR="004D77F5">
        <w:rPr>
          <w:i/>
        </w:rPr>
        <w:t>NAL</w:t>
      </w:r>
      <w:r w:rsidRPr="009C4EE7">
        <w:t xml:space="preserve">, 19 FCC </w:t>
      </w:r>
      <w:r w:rsidRPr="009C4EE7">
        <w:t>Rcd</w:t>
      </w:r>
      <w:r w:rsidRPr="009C4EE7">
        <w:t xml:space="preserve"> </w:t>
      </w:r>
      <w:r w:rsidR="004D77F5">
        <w:t>at</w:t>
      </w:r>
      <w:r w:rsidRPr="009C4EE7">
        <w:t xml:space="preserve"> 23114</w:t>
      </w:r>
      <w:r w:rsidR="004D77F5">
        <w:t>, para</w:t>
      </w:r>
      <w:r w:rsidR="00742549">
        <w:t>s</w:t>
      </w:r>
      <w:r w:rsidR="004D77F5">
        <w:t xml:space="preserve">. </w:t>
      </w:r>
      <w:r w:rsidR="00742549">
        <w:t>3-4</w:t>
      </w:r>
      <w:r w:rsidRPr="009C4EE7">
        <w:t xml:space="preserve"> (“[R]</w:t>
      </w:r>
      <w:r w:rsidRPr="009C4EE7">
        <w:t>adio</w:t>
      </w:r>
      <w:r w:rsidRPr="009C4EE7">
        <w:t xml:space="preserve"> transmitting equipment that transmits </w:t>
      </w:r>
      <w:r w:rsidRPr="009C4EE7">
        <w:rPr>
          <w:i/>
        </w:rPr>
        <w:t>solely</w:t>
      </w:r>
      <w:r w:rsidRPr="009C4EE7">
        <w:t xml:space="preserve"> on Amateur Radio Service (‘ARS’) frequencies is not subject to equipment authorization requirements prior to manufacture or marketing.”) (emphasis added).  </w:t>
      </w:r>
    </w:p>
  </w:footnote>
  <w:footnote w:id="47">
    <w:p w:rsidR="00F73566" w:rsidRPr="009C4EE7" w:rsidP="001D2729" w14:paraId="1A62870D" w14:textId="7618CABF">
      <w:pPr>
        <w:pStyle w:val="FootnoteText"/>
        <w:rPr>
          <w:i/>
        </w:rPr>
      </w:pPr>
      <w:r w:rsidRPr="009C4EE7">
        <w:rPr>
          <w:rStyle w:val="FootnoteReference"/>
        </w:rPr>
        <w:footnoteRef/>
      </w:r>
      <w:r w:rsidRPr="009C4EE7">
        <w:t xml:space="preserve"> NAL Response at 23-24, Attach. A, para. 2; </w:t>
      </w:r>
      <w:r w:rsidRPr="009C4EE7">
        <w:rPr>
          <w:i/>
        </w:rPr>
        <w:t>see also AV Transmitter Enforcement Advisory</w:t>
      </w:r>
      <w:r w:rsidRPr="009C4EE7">
        <w:t xml:space="preserve">.  </w:t>
      </w:r>
    </w:p>
  </w:footnote>
  <w:footnote w:id="48">
    <w:p w:rsidR="00F73566" w:rsidRPr="009C4EE7" w:rsidP="000F61A4" w14:paraId="3E8D2914" w14:textId="77777777">
      <w:pPr>
        <w:pStyle w:val="FootnoteText"/>
      </w:pPr>
      <w:r w:rsidRPr="009C4EE7">
        <w:rPr>
          <w:rStyle w:val="FootnoteReference"/>
        </w:rPr>
        <w:footnoteRef/>
      </w:r>
      <w:r w:rsidRPr="009C4EE7">
        <w:t xml:space="preserve"> </w:t>
      </w:r>
      <w:r w:rsidRPr="009C4EE7">
        <w:rPr>
          <w:i/>
        </w:rPr>
        <w:t xml:space="preserve">See </w:t>
      </w:r>
      <w:r w:rsidRPr="009C4EE7">
        <w:t xml:space="preserve">NAL Response at 9 (claiming the forfeiture should be canceled because the Company did not have fair notice that it was prohibited from marketing noncompliant AV transmitters).  </w:t>
      </w:r>
    </w:p>
  </w:footnote>
  <w:footnote w:id="49">
    <w:p w:rsidR="006A2167" w:rsidRPr="009C4EE7" w:rsidP="006A2167" w14:paraId="74EC43C7" w14:textId="77777777">
      <w:pPr>
        <w:pStyle w:val="FootnoteText"/>
      </w:pPr>
      <w:r w:rsidRPr="009C4EE7">
        <w:rPr>
          <w:rStyle w:val="FootnoteReference"/>
        </w:rPr>
        <w:footnoteRef/>
      </w:r>
      <w:r w:rsidRPr="009C4EE7">
        <w:t xml:space="preserve"> </w:t>
      </w:r>
      <w:r w:rsidRPr="009C4EE7">
        <w:rPr>
          <w:i/>
        </w:rPr>
        <w:t>See FCC v. Fox Tel. Stations, Inc.</w:t>
      </w:r>
      <w:r w:rsidRPr="009C4EE7">
        <w:t>, 567 U.S. 239, 253 (2012) (identifying two due process concerns: “first, that regulated parties should know what is required of them so they may act accordingly; second, precision and guidance are necessary so that those enforcing the law do not act in an arbitrary or discriminatory way”) (</w:t>
      </w:r>
      <w:r w:rsidRPr="00FF0BA4">
        <w:t>citing</w:t>
      </w:r>
      <w:r w:rsidRPr="009C4EE7">
        <w:rPr>
          <w:i/>
        </w:rPr>
        <w:t xml:space="preserve"> </w:t>
      </w:r>
      <w:r w:rsidRPr="009C4EE7">
        <w:rPr>
          <w:i/>
        </w:rPr>
        <w:t>Grayned</w:t>
      </w:r>
      <w:r w:rsidRPr="009C4EE7">
        <w:rPr>
          <w:i/>
        </w:rPr>
        <w:t xml:space="preserve"> </w:t>
      </w:r>
      <w:r w:rsidRPr="009C4EE7">
        <w:rPr>
          <w:i/>
          <w:iCs/>
        </w:rPr>
        <w:t>v. City of Rockford</w:t>
      </w:r>
      <w:r w:rsidRPr="009C4EE7">
        <w:rPr>
          <w:iCs/>
        </w:rPr>
        <w:t>,</w:t>
      </w:r>
      <w:r w:rsidRPr="009C4EE7">
        <w:t xml:space="preserve"> 408 U.S. 104, 108-09 (1972));</w:t>
      </w:r>
      <w:r w:rsidRPr="009C4EE7">
        <w:rPr>
          <w:i/>
        </w:rPr>
        <w:t xml:space="preserve"> see also </w:t>
      </w:r>
      <w:r w:rsidRPr="009C4EE7">
        <w:rPr>
          <w:i/>
        </w:rPr>
        <w:t>Keeffe</w:t>
      </w:r>
      <w:r w:rsidRPr="009C4EE7">
        <w:rPr>
          <w:i/>
        </w:rPr>
        <w:t xml:space="preserve"> v. Library of Congress</w:t>
      </w:r>
      <w:r w:rsidRPr="009C4EE7">
        <w:t>,</w:t>
      </w:r>
      <w:r w:rsidRPr="009C4EE7">
        <w:rPr>
          <w:i/>
        </w:rPr>
        <w:t xml:space="preserve"> </w:t>
      </w:r>
      <w:r w:rsidRPr="009C4EE7">
        <w:t xml:space="preserve">777 F.2d 1573, 1581 (D.C. Cir. 1985); </w:t>
      </w:r>
      <w:r w:rsidRPr="009C4EE7">
        <w:rPr>
          <w:i/>
        </w:rPr>
        <w:t>United States v. Lachman</w:t>
      </w:r>
      <w:r w:rsidRPr="009C4EE7">
        <w:t>, 387 F.3d 42, 58 (1st Cir. 2004) (“These [</w:t>
      </w:r>
      <w:r>
        <w:t>‘</w:t>
      </w:r>
      <w:r w:rsidRPr="009C4EE7">
        <w:t>ascertainable certainty</w:t>
      </w:r>
      <w:r>
        <w:t>’</w:t>
      </w:r>
      <w:r w:rsidRPr="009C4EE7">
        <w:t xml:space="preserve">] cases, however, do not stand for the proposition that any ambiguity in a regulation bars punishment.”); </w:t>
      </w:r>
      <w:r w:rsidRPr="009C4EE7">
        <w:rPr>
          <w:i/>
        </w:rPr>
        <w:t>see also Suburban Air Freight, Inc. v. Transp. Sec. Admin.</w:t>
      </w:r>
      <w:r w:rsidRPr="009C4EE7">
        <w:t>, 716 F.3d 679, 684 (D.C. Cir. 2013) (fair warning cases are a “very limited set of cases”).</w:t>
      </w:r>
    </w:p>
  </w:footnote>
  <w:footnote w:id="50">
    <w:p w:rsidR="00F73566" w:rsidRPr="009C4EE7" w:rsidP="00371EA2" w14:paraId="0CA8BA21" w14:textId="457D4F09">
      <w:pPr>
        <w:pStyle w:val="FootnoteText"/>
      </w:pPr>
      <w:r w:rsidRPr="009C4EE7">
        <w:rPr>
          <w:rStyle w:val="FootnoteReference"/>
        </w:rPr>
        <w:footnoteRef/>
      </w:r>
      <w:r w:rsidRPr="009C4EE7">
        <w:t xml:space="preserve"> </w:t>
      </w:r>
      <w:r w:rsidRPr="009C4EE7">
        <w:rPr>
          <w:i/>
        </w:rPr>
        <w:t>Gen. Elec. Co. v. EPA</w:t>
      </w:r>
      <w:r w:rsidRPr="009C4EE7">
        <w:t>, 53 F.3d 1324, 1329 (D.C. Cir. 1995) (</w:t>
      </w:r>
      <w:r>
        <w:t>“</w:t>
      </w:r>
      <w:r w:rsidRPr="00550DE3">
        <w:t xml:space="preserve">If, by reviewing the regulations and other public statements issued by the agency, a regulated party acting in good faith would be able to identify, with </w:t>
      </w:r>
      <w:r>
        <w:t>‘</w:t>
      </w:r>
      <w:r w:rsidRPr="00550DE3">
        <w:t>ascertainable certainty,</w:t>
      </w:r>
      <w:r>
        <w:t>’</w:t>
      </w:r>
      <w:r w:rsidRPr="00550DE3">
        <w:t xml:space="preserve"> the standards with which the agency expects parties to conform, then the agency has fairly notified a petitioner of the agency's interpretation.</w:t>
      </w:r>
      <w:r>
        <w:t>”</w:t>
      </w:r>
      <w:r w:rsidRPr="009C4EE7">
        <w:t xml:space="preserve">); </w:t>
      </w:r>
      <w:r>
        <w:rPr>
          <w:i/>
        </w:rPr>
        <w:t>see, e.g.</w:t>
      </w:r>
      <w:r>
        <w:t xml:space="preserve">, </w:t>
      </w:r>
      <w:r w:rsidRPr="009C4EE7">
        <w:rPr>
          <w:i/>
        </w:rPr>
        <w:t>Keeffe</w:t>
      </w:r>
      <w:r w:rsidRPr="009C4EE7">
        <w:rPr>
          <w:i/>
        </w:rPr>
        <w:t xml:space="preserve"> v. Library of Cong.</w:t>
      </w:r>
      <w:r w:rsidRPr="009C4EE7">
        <w:t xml:space="preserve">, 777 F.2d 1573, 1581 (D.C. Cir. 1985).  </w:t>
      </w:r>
    </w:p>
  </w:footnote>
  <w:footnote w:id="51">
    <w:p w:rsidR="00F73566" w:rsidRPr="009C4EE7" w:rsidP="00371EA2" w14:paraId="3FF93152" w14:textId="0967636F">
      <w:pPr>
        <w:pStyle w:val="FootnoteText"/>
      </w:pPr>
      <w:r w:rsidRPr="009C4EE7">
        <w:rPr>
          <w:rStyle w:val="FootnoteReference"/>
        </w:rPr>
        <w:footnoteRef/>
      </w:r>
      <w:r w:rsidRPr="009C4EE7">
        <w:t xml:space="preserve"> 47 U.S.C. §§ 302a(a)-(b).  </w:t>
      </w:r>
    </w:p>
  </w:footnote>
  <w:footnote w:id="52">
    <w:p w:rsidR="00F73566" w:rsidRPr="009C4EE7" w:rsidP="00371EA2" w14:paraId="55E5EC82" w14:textId="77777777">
      <w:pPr>
        <w:pStyle w:val="FootnoteText"/>
      </w:pPr>
      <w:r w:rsidRPr="009C4EE7">
        <w:rPr>
          <w:rStyle w:val="FootnoteReference"/>
        </w:rPr>
        <w:footnoteRef/>
      </w:r>
      <w:r w:rsidRPr="009C4EE7">
        <w:t xml:space="preserve"> 47 CFR §§ 2.803, 15.201.  </w:t>
      </w:r>
    </w:p>
  </w:footnote>
  <w:footnote w:id="53">
    <w:p w:rsidR="00F73566" w:rsidRPr="009C4EE7" w:rsidP="00371EA2" w14:paraId="70AF0945" w14:textId="6675FCFA">
      <w:pPr>
        <w:pStyle w:val="FootnoteText"/>
      </w:pPr>
      <w:r w:rsidRPr="009C4EE7">
        <w:rPr>
          <w:rStyle w:val="FootnoteReference"/>
        </w:rPr>
        <w:footnoteRef/>
      </w:r>
      <w:r w:rsidRPr="009C4EE7">
        <w:t xml:space="preserve"> </w:t>
      </w:r>
      <w:r w:rsidRPr="009C4EE7">
        <w:rPr>
          <w:i/>
        </w:rPr>
        <w:t>See supra</w:t>
      </w:r>
      <w:r w:rsidRPr="009C4EE7">
        <w:t xml:space="preserve"> para. </w:t>
      </w:r>
      <w:r w:rsidRPr="009C4EE7">
        <w:fldChar w:fldCharType="begin"/>
      </w:r>
      <w:r w:rsidRPr="009C4EE7">
        <w:instrText xml:space="preserve"> REF _Ref13226474 \r \h  \* MERGEFORMAT </w:instrText>
      </w:r>
      <w:r w:rsidRPr="009C4EE7">
        <w:fldChar w:fldCharType="separate"/>
      </w:r>
      <w:r w:rsidR="009317B5">
        <w:t>12</w:t>
      </w:r>
      <w:r w:rsidRPr="009C4EE7">
        <w:fldChar w:fldCharType="end"/>
      </w:r>
      <w:r w:rsidRPr="009C4EE7">
        <w:t xml:space="preserve"> (describing a 1999 Commission letter that stated that a device that could operate both on and off amateur frequencies required certification).  </w:t>
      </w:r>
    </w:p>
  </w:footnote>
  <w:footnote w:id="54">
    <w:p w:rsidR="00F73566" w:rsidRPr="009C4EE7" w14:paraId="0603984D" w14:textId="77777777">
      <w:pPr>
        <w:pStyle w:val="FootnoteText"/>
      </w:pPr>
      <w:r w:rsidRPr="009C4EE7">
        <w:rPr>
          <w:rStyle w:val="FootnoteReference"/>
        </w:rPr>
        <w:footnoteRef/>
      </w:r>
      <w:r w:rsidRPr="009C4EE7">
        <w:t xml:space="preserve"> NAL Response at 10.  </w:t>
      </w:r>
    </w:p>
  </w:footnote>
  <w:footnote w:id="55">
    <w:p w:rsidR="00F73566" w:rsidRPr="009C4EE7" w14:paraId="54F60396" w14:textId="1CF757E9">
      <w:pPr>
        <w:pStyle w:val="FootnoteText"/>
      </w:pPr>
      <w:r w:rsidRPr="009C4EE7">
        <w:rPr>
          <w:rStyle w:val="FootnoteReference"/>
        </w:rPr>
        <w:footnoteRef/>
      </w:r>
      <w:r w:rsidRPr="009C4EE7">
        <w:t xml:space="preserve"> </w:t>
      </w:r>
      <w:r w:rsidRPr="009C4EE7">
        <w:rPr>
          <w:i/>
        </w:rPr>
        <w:t xml:space="preserve">See </w:t>
      </w:r>
      <w:r w:rsidRPr="009C4EE7">
        <w:t xml:space="preserve">47 CFR § 2.947(f); </w:t>
      </w:r>
      <w:r w:rsidRPr="009C4EE7">
        <w:rPr>
          <w:i/>
        </w:rPr>
        <w:t xml:space="preserve">see also </w:t>
      </w:r>
      <w:r w:rsidRPr="009C4EE7">
        <w:t xml:space="preserve">OET Knowledge Database Publication Number 149672, </w:t>
      </w:r>
      <w:r w:rsidRPr="009C4EE7">
        <w:rPr>
          <w:i/>
        </w:rPr>
        <w:t>Transmitter Devices Certified Under Multiple Rule Parts</w:t>
      </w:r>
      <w:r w:rsidRPr="009C4EE7">
        <w:t xml:space="preserve"> (Dec. 8, 2017), </w:t>
      </w:r>
      <w:hyperlink r:id="rId1" w:history="1">
        <w:r w:rsidRPr="009C4EE7">
          <w:rPr>
            <w:rStyle w:val="Hyperlink"/>
          </w:rPr>
          <w:t>https://apps.fcc.gov/oetcf/kdb/forms/FTSSearchResultPage.cfm?switch=P&amp;id=20643</w:t>
        </w:r>
      </w:hyperlink>
      <w:r w:rsidRPr="009C4EE7">
        <w:t xml:space="preserve">.  </w:t>
      </w:r>
    </w:p>
  </w:footnote>
  <w:footnote w:id="56">
    <w:p w:rsidR="00F73566" w:rsidRPr="009C4EE7" w:rsidP="00371EA2" w14:paraId="7CF469FB" w14:textId="03FFEF83">
      <w:pPr>
        <w:pStyle w:val="FootnoteText"/>
      </w:pPr>
      <w:r w:rsidRPr="009C4EE7">
        <w:rPr>
          <w:rStyle w:val="FootnoteReference"/>
        </w:rPr>
        <w:footnoteRef/>
      </w:r>
      <w:r w:rsidRPr="009C4EE7">
        <w:t xml:space="preserve"> </w:t>
      </w:r>
      <w:r w:rsidRPr="009C4EE7">
        <w:rPr>
          <w:i/>
          <w:snapToGrid w:val="0"/>
        </w:rPr>
        <w:t>See</w:t>
      </w:r>
      <w:r w:rsidRPr="009C4EE7">
        <w:rPr>
          <w:snapToGrid w:val="0"/>
        </w:rPr>
        <w:t xml:space="preserve"> </w:t>
      </w:r>
      <w:r w:rsidRPr="009C4EE7">
        <w:rPr>
          <w:i/>
          <w:snapToGrid w:val="0"/>
        </w:rPr>
        <w:t>Iftron</w:t>
      </w:r>
      <w:r w:rsidRPr="009C4EE7">
        <w:rPr>
          <w:i/>
          <w:snapToGrid w:val="0"/>
        </w:rPr>
        <w:t xml:space="preserve"> Techs., Inc.</w:t>
      </w:r>
      <w:r w:rsidRPr="009C4EE7">
        <w:rPr>
          <w:snapToGrid w:val="0"/>
        </w:rPr>
        <w:t xml:space="preserve">, Notice of Apparent Liability for Forfeiture, 24 FCC </w:t>
      </w:r>
      <w:r w:rsidRPr="009C4EE7">
        <w:rPr>
          <w:snapToGrid w:val="0"/>
        </w:rPr>
        <w:t>Rcd</w:t>
      </w:r>
      <w:r w:rsidRPr="009C4EE7">
        <w:rPr>
          <w:snapToGrid w:val="0"/>
        </w:rPr>
        <w:t xml:space="preserve"> 8802, 8804, para. 5 (EB 2009) (</w:t>
      </w:r>
      <w:r w:rsidRPr="009C4EE7">
        <w:rPr>
          <w:i/>
          <w:snapToGrid w:val="0"/>
        </w:rPr>
        <w:t>Iftron</w:t>
      </w:r>
      <w:r w:rsidRPr="009C4EE7">
        <w:rPr>
          <w:snapToGrid w:val="0"/>
        </w:rPr>
        <w:t xml:space="preserve">) (paid); </w:t>
      </w:r>
      <w:r w:rsidRPr="009C4EE7">
        <w:rPr>
          <w:i/>
        </w:rPr>
        <w:t>New Generation Hobbies</w:t>
      </w:r>
      <w:r w:rsidRPr="009C4EE7">
        <w:t xml:space="preserve">, Citation, 26 FCC </w:t>
      </w:r>
      <w:r w:rsidRPr="009C4EE7">
        <w:t>Rcd</w:t>
      </w:r>
      <w:r w:rsidRPr="009C4EE7">
        <w:t xml:space="preserve"> 9468, 9471 n.23 (EB 2011) (</w:t>
      </w:r>
      <w:r w:rsidRPr="009C4EE7">
        <w:rPr>
          <w:i/>
        </w:rPr>
        <w:t>New Generation Hobbies</w:t>
      </w:r>
      <w:r w:rsidRPr="009C4EE7">
        <w:t>)</w:t>
      </w:r>
      <w:r w:rsidR="00531FAD">
        <w:t xml:space="preserve">; </w:t>
      </w:r>
      <w:r w:rsidRPr="009C4EE7">
        <w:rPr>
          <w:i/>
          <w:snapToGrid w:val="0"/>
        </w:rPr>
        <w:t>Pilot Travel NAL</w:t>
      </w:r>
      <w:r w:rsidRPr="009C4EE7">
        <w:rPr>
          <w:snapToGrid w:val="0"/>
        </w:rPr>
        <w:t xml:space="preserve">, 19 FCC </w:t>
      </w:r>
      <w:r w:rsidRPr="009C4EE7">
        <w:rPr>
          <w:snapToGrid w:val="0"/>
        </w:rPr>
        <w:t>Rcd</w:t>
      </w:r>
      <w:r w:rsidRPr="009C4EE7">
        <w:rPr>
          <w:snapToGrid w:val="0"/>
        </w:rPr>
        <w:t xml:space="preserve"> at 23114, para. 2.  </w:t>
      </w:r>
    </w:p>
  </w:footnote>
  <w:footnote w:id="57">
    <w:p w:rsidR="00B631A7" w:rsidRPr="009C4EE7" w:rsidP="00B631A7" w14:paraId="7BE25F77" w14:textId="0C942D9D">
      <w:pPr>
        <w:pStyle w:val="FootnoteText"/>
      </w:pPr>
      <w:r w:rsidRPr="009C4EE7">
        <w:rPr>
          <w:rStyle w:val="FootnoteReference"/>
        </w:rPr>
        <w:footnoteRef/>
      </w:r>
      <w:r w:rsidRPr="009C4EE7">
        <w:t xml:space="preserve"> </w:t>
      </w:r>
      <w:r w:rsidRPr="009C4EE7">
        <w:rPr>
          <w:i/>
        </w:rPr>
        <w:t>See</w:t>
      </w:r>
      <w:r w:rsidRPr="009C4EE7">
        <w:t xml:space="preserve"> </w:t>
      </w:r>
      <w:r w:rsidRPr="009C4EE7">
        <w:rPr>
          <w:i/>
        </w:rPr>
        <w:t>Marketing Citation</w:t>
      </w:r>
      <w:r w:rsidRPr="009C4EE7">
        <w:t xml:space="preserve">.  </w:t>
      </w:r>
      <w:r w:rsidRPr="009C4EE7">
        <w:t>HobbyKing</w:t>
      </w:r>
      <w:r w:rsidRPr="009C4EE7">
        <w:t xml:space="preserve"> claims the </w:t>
      </w:r>
      <w:r w:rsidR="00A51044">
        <w:t xml:space="preserve">Marketing </w:t>
      </w:r>
      <w:r w:rsidRPr="009C4EE7">
        <w:t xml:space="preserve">Citation has the same notice issues as the </w:t>
      </w:r>
      <w:r w:rsidRPr="00955ED6">
        <w:rPr>
          <w:i/>
          <w:iCs/>
        </w:rPr>
        <w:t>NAL</w:t>
      </w:r>
      <w:r w:rsidRPr="009C4EE7">
        <w:t xml:space="preserve"> because it did not identify a regulation.  NAL Response at 13.  We reject that argument again because section 302 of the Act and the related Commission rules provide appropriate notice.  </w:t>
      </w:r>
      <w:r w:rsidR="00A51044">
        <w:t xml:space="preserve">Moreover, </w:t>
      </w:r>
      <w:r w:rsidR="00A51044">
        <w:t>HobbyKing</w:t>
      </w:r>
      <w:r w:rsidR="00A51044">
        <w:t xml:space="preserve"> did not raise that issue at the time</w:t>
      </w:r>
      <w:r w:rsidR="008B639D">
        <w:t xml:space="preserve"> in</w:t>
      </w:r>
      <w:r w:rsidR="00E8215C">
        <w:t xml:space="preserve"> </w:t>
      </w:r>
      <w:r w:rsidR="008B639D">
        <w:t xml:space="preserve">its </w:t>
      </w:r>
      <w:r w:rsidR="00A51044">
        <w:t>response to the Marketing Citation.</w:t>
      </w:r>
    </w:p>
  </w:footnote>
  <w:footnote w:id="58">
    <w:p w:rsidR="00B631A7" w:rsidRPr="009C4EE7" w:rsidP="00B631A7" w14:paraId="3675586F" w14:textId="77777777">
      <w:pPr>
        <w:pStyle w:val="FootnoteText"/>
      </w:pPr>
      <w:r w:rsidRPr="009C4EE7">
        <w:rPr>
          <w:rStyle w:val="FootnoteReference"/>
        </w:rPr>
        <w:footnoteRef/>
      </w:r>
      <w:r w:rsidRPr="009C4EE7">
        <w:t xml:space="preserve"> 47 U.S.C. § 503(b)(5); </w:t>
      </w:r>
      <w:r w:rsidRPr="009C4EE7">
        <w:rPr>
          <w:i/>
        </w:rPr>
        <w:t>see also</w:t>
      </w:r>
      <w:r w:rsidRPr="009C4EE7">
        <w:t xml:space="preserve"> </w:t>
      </w:r>
      <w:r w:rsidRPr="009C4EE7">
        <w:rPr>
          <w:i/>
        </w:rPr>
        <w:t>Pilot Travel NAL</w:t>
      </w:r>
      <w:r w:rsidRPr="009C4EE7">
        <w:t xml:space="preserve">, 19 FCC </w:t>
      </w:r>
      <w:r w:rsidRPr="009C4EE7">
        <w:t>Rcd</w:t>
      </w:r>
      <w:r w:rsidRPr="009C4EE7">
        <w:t xml:space="preserve"> at 23117, para. 17 (“These Citations put Pilot on actual notice that marketing of this equipment is unlawful, yet Pilot intentionally continued to market the unlawful equipment.”).  </w:t>
      </w:r>
    </w:p>
  </w:footnote>
  <w:footnote w:id="59">
    <w:p w:rsidR="00B631A7" w:rsidRPr="009C4EE7" w:rsidP="00B631A7" w14:paraId="4ECE6C12" w14:textId="77777777">
      <w:pPr>
        <w:pStyle w:val="FootnoteText"/>
      </w:pPr>
      <w:r w:rsidRPr="009C4EE7">
        <w:rPr>
          <w:rStyle w:val="FootnoteReference"/>
        </w:rPr>
        <w:footnoteRef/>
      </w:r>
      <w:r w:rsidRPr="009C4EE7">
        <w:t xml:space="preserve"> </w:t>
      </w:r>
      <w:r w:rsidRPr="009C4EE7">
        <w:rPr>
          <w:i/>
        </w:rPr>
        <w:t>Marketing Citation</w:t>
      </w:r>
      <w:r w:rsidRPr="009C4EE7">
        <w:t xml:space="preserve">, 31 FCC </w:t>
      </w:r>
      <w:r w:rsidRPr="009C4EE7">
        <w:t>Rcd</w:t>
      </w:r>
      <w:r w:rsidRPr="009C4EE7">
        <w:t xml:space="preserve"> at 12582-83, paras. 6, 15.  </w:t>
      </w:r>
    </w:p>
  </w:footnote>
  <w:footnote w:id="60">
    <w:p w:rsidR="00B631A7" w:rsidP="00B631A7" w14:paraId="6014CEE5" w14:textId="77777777">
      <w:pPr>
        <w:pStyle w:val="FootnoteText"/>
      </w:pPr>
      <w:r>
        <w:rPr>
          <w:rStyle w:val="FootnoteReference"/>
        </w:rPr>
        <w:footnoteRef/>
      </w:r>
      <w:r>
        <w:t xml:space="preserve"> </w:t>
      </w:r>
      <w:r>
        <w:t>HobbyKing</w:t>
      </w:r>
      <w:r>
        <w:t xml:space="preserve"> continued to market the AV transmitter listed as the </w:t>
      </w:r>
      <w:r w:rsidRPr="006873F7">
        <w:t>OrangeRX</w:t>
      </w:r>
      <w:r w:rsidRPr="006873F7">
        <w:t xml:space="preserve"> DSMX DSM2 Compatible 2.4Ghz Transmitter Module V1.2 (JR/</w:t>
      </w:r>
      <w:r w:rsidRPr="006873F7">
        <w:t>Turnigy</w:t>
      </w:r>
      <w:r w:rsidRPr="006873F7">
        <w:t>/Taranis compatible)</w:t>
      </w:r>
      <w:r>
        <w:t xml:space="preserve">.  </w:t>
      </w:r>
      <w:r>
        <w:rPr>
          <w:i/>
        </w:rPr>
        <w:t>See</w:t>
      </w:r>
      <w:r>
        <w:t xml:space="preserve"> </w:t>
      </w:r>
      <w:r w:rsidRPr="009C4EE7">
        <w:rPr>
          <w:i/>
        </w:rPr>
        <w:t>Marketing Citation</w:t>
      </w:r>
      <w:r w:rsidRPr="009C4EE7">
        <w:t xml:space="preserve">, 31 FCC </w:t>
      </w:r>
      <w:r w:rsidRPr="009C4EE7">
        <w:t>Rcd</w:t>
      </w:r>
      <w:r w:rsidRPr="009C4EE7">
        <w:t xml:space="preserve"> at 12581, para. 2</w:t>
      </w:r>
      <w:r>
        <w:t xml:space="preserve">; </w:t>
      </w:r>
      <w:r w:rsidRPr="00955ED6">
        <w:rPr>
          <w:i/>
          <w:iCs/>
        </w:rPr>
        <w:t>NAL</w:t>
      </w:r>
      <w:r>
        <w:t xml:space="preserve">, Appendix A.  </w:t>
      </w:r>
    </w:p>
  </w:footnote>
  <w:footnote w:id="61">
    <w:p w:rsidR="00B631A7" w:rsidRPr="009C4EE7" w:rsidP="00B631A7" w14:paraId="195217A9" w14:textId="05BBDE98">
      <w:pPr>
        <w:pStyle w:val="FootnoteText"/>
      </w:pPr>
      <w:r w:rsidRPr="009C4EE7">
        <w:rPr>
          <w:rStyle w:val="FootnoteReference"/>
        </w:rPr>
        <w:footnoteRef/>
      </w:r>
      <w:r w:rsidRPr="009C4EE7">
        <w:t xml:space="preserve"> </w:t>
      </w:r>
      <w:r w:rsidRPr="009C4EE7">
        <w:rPr>
          <w:i/>
        </w:rPr>
        <w:t>Marketing Citation</w:t>
      </w:r>
      <w:r w:rsidRPr="009C4EE7">
        <w:t xml:space="preserve">, 31 FCC </w:t>
      </w:r>
      <w:r w:rsidRPr="009C4EE7">
        <w:t>Rcd</w:t>
      </w:r>
      <w:r w:rsidRPr="009C4EE7">
        <w:t xml:space="preserve"> at 12581, para. 2 (citing 47 U.S.C. § 302a(b); 47 CFR §§ 2.803, 2.925</w:t>
      </w:r>
      <w:r w:rsidR="00984D72">
        <w:t>)</w:t>
      </w:r>
      <w:r w:rsidRPr="009C4EE7">
        <w:t xml:space="preserve">.  </w:t>
      </w:r>
    </w:p>
  </w:footnote>
  <w:footnote w:id="62">
    <w:p w:rsidR="00B631A7" w:rsidRPr="009C4EE7" w:rsidP="00B631A7" w14:paraId="7D627A85" w14:textId="77777777">
      <w:pPr>
        <w:pStyle w:val="FootnoteText"/>
      </w:pPr>
      <w:r w:rsidRPr="009C4EE7">
        <w:rPr>
          <w:rStyle w:val="FootnoteReference"/>
        </w:rPr>
        <w:footnoteRef/>
      </w:r>
      <w:r w:rsidRPr="009C4EE7">
        <w:t xml:space="preserve"> </w:t>
      </w:r>
      <w:r w:rsidRPr="009C4EE7">
        <w:rPr>
          <w:i/>
        </w:rPr>
        <w:t>Id</w:t>
      </w:r>
      <w:r w:rsidRPr="009C4EE7">
        <w:t xml:space="preserve">.  </w:t>
      </w:r>
    </w:p>
  </w:footnote>
  <w:footnote w:id="63">
    <w:p w:rsidR="00B631A7" w:rsidRPr="006873F7" w:rsidP="00B631A7" w14:paraId="46032F23" w14:textId="77777777">
      <w:pPr>
        <w:pStyle w:val="FootnoteText"/>
      </w:pPr>
      <w:r w:rsidRPr="009C4EE7">
        <w:rPr>
          <w:rStyle w:val="FootnoteReference"/>
        </w:rPr>
        <w:footnoteRef/>
      </w:r>
      <w:r w:rsidRPr="009C4EE7">
        <w:t xml:space="preserve"> 47 U.S.C. § 503(b)(5) (“Whenever the requirements of this paragraph are satisfied with respect to a particular person, such person shall not be entitled to receive any additional citation of the violation charged, with respect to any conduct of the type described in the citation sent under this paragraph.”).</w:t>
      </w:r>
      <w:r>
        <w:t xml:space="preserve">  </w:t>
      </w:r>
    </w:p>
  </w:footnote>
  <w:footnote w:id="64">
    <w:p w:rsidR="00AF1B64" w:rsidRPr="009C4EE7" w:rsidP="00AF1B64" w14:paraId="4F6BCEE9" w14:textId="11B5753F">
      <w:pPr>
        <w:pStyle w:val="FootnoteText"/>
      </w:pPr>
      <w:r w:rsidRPr="009C4EE7">
        <w:rPr>
          <w:rStyle w:val="FootnoteReference"/>
        </w:rPr>
        <w:footnoteRef/>
      </w:r>
      <w:r w:rsidRPr="009C4EE7">
        <w:t xml:space="preserve"> </w:t>
      </w:r>
      <w:r w:rsidRPr="009C4EE7">
        <w:t>HobbyKing</w:t>
      </w:r>
      <w:r w:rsidRPr="009C4EE7">
        <w:t xml:space="preserve"> argues that section 302 of the Act requires a regulation to provide notice to a company about whether a </w:t>
      </w:r>
      <w:r w:rsidRPr="009C4EE7">
        <w:t>particular device</w:t>
      </w:r>
      <w:r w:rsidRPr="009C4EE7">
        <w:t xml:space="preserve"> is compliant or noncompliant, NAL Response at 10</w:t>
      </w:r>
      <w:r>
        <w:t xml:space="preserve">.  As noted above, the Commission’s rules expressly apply to </w:t>
      </w:r>
      <w:r>
        <w:rPr>
          <w:i/>
        </w:rPr>
        <w:t xml:space="preserve">all </w:t>
      </w:r>
      <w:r>
        <w:t xml:space="preserve">devices that constitute intentional radiators, except where expressly excepted.  HobbyKing’s argument is tantamount to a claim that agencies have no authority to issue rules of “general . . . applicability,” which is flatly at odds with the Administrative Procedure Act.  </w:t>
      </w:r>
      <w:r>
        <w:rPr>
          <w:i/>
        </w:rPr>
        <w:t xml:space="preserve">See </w:t>
      </w:r>
      <w:r>
        <w:t>5 U.S.C. §§ 551(4), 553.  In any event,</w:t>
      </w:r>
      <w:r w:rsidRPr="009C4EE7">
        <w:t xml:space="preserve"> however, absolute </w:t>
      </w:r>
      <w:r>
        <w:t>specificity</w:t>
      </w:r>
      <w:r w:rsidRPr="009C4EE7">
        <w:t xml:space="preserve"> is not a prerequisite for enforcing a statute or regulation.  </w:t>
      </w:r>
      <w:r w:rsidRPr="009C4EE7">
        <w:rPr>
          <w:i/>
        </w:rPr>
        <w:t>See, e.g.</w:t>
      </w:r>
      <w:r w:rsidRPr="009C4EE7">
        <w:t xml:space="preserve">, </w:t>
      </w:r>
      <w:r w:rsidRPr="009C4EE7">
        <w:rPr>
          <w:i/>
        </w:rPr>
        <w:t>Lachman</w:t>
      </w:r>
      <w:r w:rsidRPr="009C4EE7">
        <w:t xml:space="preserve">, 387 F.3d at 56-57 (stating the “mere fact that a statute or regulation requires interpretation does not render it unconstitutionally vague,” and that case law “do[es] not stand for the proposition that any ambiguity in a regulation bars punishment”).  </w:t>
      </w:r>
    </w:p>
  </w:footnote>
  <w:footnote w:id="65">
    <w:p w:rsidR="00AF1B64" w:rsidRPr="009C4EE7" w:rsidP="00AF1B64" w14:paraId="75ED93F6" w14:textId="77777777">
      <w:pPr>
        <w:pStyle w:val="FootnoteText"/>
      </w:pPr>
      <w:r w:rsidRPr="009C4EE7">
        <w:rPr>
          <w:rStyle w:val="FootnoteReference"/>
        </w:rPr>
        <w:footnoteRef/>
      </w:r>
      <w:r w:rsidRPr="009C4EE7">
        <w:t xml:space="preserve"> </w:t>
      </w:r>
      <w:r w:rsidRPr="009C4EE7">
        <w:rPr>
          <w:i/>
        </w:rPr>
        <w:t xml:space="preserve">Mississippi Comm’n on </w:t>
      </w:r>
      <w:r w:rsidRPr="009C4EE7">
        <w:rPr>
          <w:i/>
        </w:rPr>
        <w:t>Envtl</w:t>
      </w:r>
      <w:r w:rsidRPr="009C4EE7">
        <w:rPr>
          <w:i/>
        </w:rPr>
        <w:t>. Quality v. EPA</w:t>
      </w:r>
      <w:r w:rsidRPr="009C4EE7">
        <w:t xml:space="preserve">, 790 F.3d 138, 186 (D.C. Cir. 2015) (quoting </w:t>
      </w:r>
      <w:r w:rsidRPr="009C4EE7">
        <w:rPr>
          <w:i/>
        </w:rPr>
        <w:t>United States v. Chrysler Corp.</w:t>
      </w:r>
      <w:r w:rsidRPr="009C4EE7">
        <w:t>, 158 F.3d 1350, 1354 (D.C. Cir. 1998));</w:t>
      </w:r>
      <w:r w:rsidRPr="009C4EE7">
        <w:rPr>
          <w:i/>
        </w:rPr>
        <w:t xml:space="preserve"> see also United States v. Thomas</w:t>
      </w:r>
      <w:r w:rsidRPr="009C4EE7">
        <w:t>, 864 F.2d 188, 195 (D.C. Cir. 1988) (“statutes cannot, in reason, define proscribed behavior exhaustively or with consummate precision”).</w:t>
      </w:r>
    </w:p>
  </w:footnote>
  <w:footnote w:id="66">
    <w:p w:rsidR="00AF1B64" w:rsidRPr="009C4EE7" w:rsidP="00AF1B64" w14:paraId="365243F9" w14:textId="6557B274">
      <w:pPr>
        <w:pStyle w:val="FootnoteText"/>
      </w:pPr>
      <w:r w:rsidRPr="009C4EE7">
        <w:rPr>
          <w:rStyle w:val="FootnoteReference"/>
        </w:rPr>
        <w:footnoteRef/>
      </w:r>
      <w:r w:rsidRPr="009C4EE7">
        <w:t xml:space="preserve"> </w:t>
      </w:r>
      <w:r w:rsidRPr="00955ED6">
        <w:rPr>
          <w:i/>
          <w:iCs/>
        </w:rPr>
        <w:t>NAL</w:t>
      </w:r>
      <w:r w:rsidRPr="009C4EE7">
        <w:t xml:space="preserve">, 33 FCC </w:t>
      </w:r>
      <w:r w:rsidRPr="009C4EE7">
        <w:t>Rcd</w:t>
      </w:r>
      <w:r w:rsidRPr="009C4EE7">
        <w:t xml:space="preserve"> at 5534-35, paras. 8-9 (collecting cases that state devices operating both on and off amateur frequencies require authorization).  </w:t>
      </w:r>
      <w:r w:rsidRPr="009C4EE7">
        <w:t>HobbyKing</w:t>
      </w:r>
      <w:r w:rsidRPr="009C4EE7">
        <w:t xml:space="preserve"> claims that bureau-level cases cannot provide notice.  To the contrary, courts have found fair notice where an agency is publicly consistent regarding the disputed interpretation in documents like guidance memorandum, a “question-and-answer booklet,” and opinion letters.  </w:t>
      </w:r>
      <w:r w:rsidRPr="009C4EE7">
        <w:rPr>
          <w:i/>
        </w:rPr>
        <w:t>See e.g.</w:t>
      </w:r>
      <w:r w:rsidRPr="009C4EE7">
        <w:t xml:space="preserve">, </w:t>
      </w:r>
      <w:r w:rsidRPr="009C4EE7">
        <w:rPr>
          <w:i/>
        </w:rPr>
        <w:t xml:space="preserve">Nat’l Oilseed Processors </w:t>
      </w:r>
      <w:r w:rsidRPr="009C4EE7">
        <w:rPr>
          <w:i/>
        </w:rPr>
        <w:t>Ass’n</w:t>
      </w:r>
      <w:r w:rsidRPr="009C4EE7">
        <w:rPr>
          <w:i/>
        </w:rPr>
        <w:t xml:space="preserve"> v. Occupational Safety &amp; Health Admin.</w:t>
      </w:r>
      <w:r w:rsidRPr="009C4EE7">
        <w:t xml:space="preserve">, 769 F.3d 1173, 1183 (D.C. Cir. 2014) (plain language of regulation and guidance in the form of a Memorandum to Regional Administrators from Thomas </w:t>
      </w:r>
      <w:r w:rsidRPr="009C4EE7">
        <w:t>Galassi</w:t>
      </w:r>
      <w:r w:rsidRPr="009C4EE7">
        <w:t xml:space="preserve">, Director, Directorate of Enforcement Programs, OSHA provided sufficient notice); </w:t>
      </w:r>
      <w:r w:rsidRPr="009C4EE7">
        <w:rPr>
          <w:i/>
        </w:rPr>
        <w:t>Sekula</w:t>
      </w:r>
      <w:r w:rsidRPr="009C4EE7">
        <w:rPr>
          <w:i/>
        </w:rPr>
        <w:t xml:space="preserve"> v. FDIC</w:t>
      </w:r>
      <w:r w:rsidRPr="009C4EE7">
        <w:t>, 39 F.3d 448, 455</w:t>
      </w:r>
      <w:r w:rsidR="00984D72">
        <w:t>-</w:t>
      </w:r>
      <w:r w:rsidRPr="009C4EE7">
        <w:t xml:space="preserve">57 (3d Cir. 1994) (fact that interpretation of ambiguous regulation was disseminated to public in “question-and-answer booklet” was “particularly significant” in finding adequate notice); </w:t>
      </w:r>
      <w:r w:rsidRPr="009C4EE7">
        <w:rPr>
          <w:i/>
        </w:rPr>
        <w:t>Sec’y of Labor v. Beverly Healthcare–Hillview</w:t>
      </w:r>
      <w:r w:rsidRPr="009C4EE7">
        <w:t xml:space="preserve">, 541 F.3d 193, 202 (3d Cir. 2008) (opinion letter issued by OSHA’s Director of Compliance Programs was sufficient to satisfy fair notice); </w:t>
      </w:r>
      <w:r w:rsidRPr="009C4EE7">
        <w:rPr>
          <w:i/>
        </w:rPr>
        <w:t>Gen. Elec.</w:t>
      </w:r>
      <w:r w:rsidRPr="009C4EE7">
        <w:t xml:space="preserve">, 53 F.3d at 1329 (stating that notice can come from “regulations and </w:t>
      </w:r>
      <w:r w:rsidRPr="009C4EE7">
        <w:rPr>
          <w:i/>
        </w:rPr>
        <w:t>other public statements issued by the agency</w:t>
      </w:r>
      <w:r w:rsidRPr="009C4EE7">
        <w:t xml:space="preserve">”) (emphasis added).  Here, the Commission has been consistent that radio frequency devices that operate on both amateur and other frequencies require an authorization, and </w:t>
      </w:r>
      <w:r w:rsidRPr="009C4EE7">
        <w:t>HobbyKing</w:t>
      </w:r>
      <w:r w:rsidRPr="009C4EE7">
        <w:t xml:space="preserve"> was on notice.   </w:t>
      </w:r>
      <w:r>
        <w:rPr>
          <w:i/>
          <w:iCs/>
        </w:rPr>
        <w:t xml:space="preserve">See </w:t>
      </w:r>
      <w:r w:rsidRPr="00955ED6">
        <w:rPr>
          <w:i/>
          <w:iCs/>
        </w:rPr>
        <w:t>NAL</w:t>
      </w:r>
      <w:r w:rsidRPr="009C4EE7">
        <w:t xml:space="preserve">, 33 FCC </w:t>
      </w:r>
      <w:r w:rsidRPr="009C4EE7">
        <w:t>Rcd</w:t>
      </w:r>
      <w:r w:rsidRPr="009C4EE7">
        <w:t xml:space="preserve"> at 5534-35, paras. 8-9 (collecting cases that state devices operating both on and off amateur frequencies require authorization).    </w:t>
      </w:r>
    </w:p>
  </w:footnote>
  <w:footnote w:id="67">
    <w:p w:rsidR="002E73BA" w:rsidP="002E73BA" w14:paraId="4C6BA9F3" w14:textId="77777777">
      <w:pPr>
        <w:pStyle w:val="FootnoteText"/>
      </w:pPr>
      <w:r>
        <w:rPr>
          <w:rStyle w:val="FootnoteReference"/>
        </w:rPr>
        <w:footnoteRef/>
      </w:r>
      <w:r>
        <w:t xml:space="preserve"> </w:t>
      </w:r>
      <w:r w:rsidRPr="009C4EE7">
        <w:t>NAL Response at</w:t>
      </w:r>
      <w:r>
        <w:t xml:space="preserve"> 12.</w:t>
      </w:r>
    </w:p>
  </w:footnote>
  <w:footnote w:id="68">
    <w:p w:rsidR="002E73BA" w:rsidP="002E73BA" w14:paraId="5963A764" w14:textId="4B0EFFF4">
      <w:pPr>
        <w:pStyle w:val="FootnoteText"/>
      </w:pPr>
      <w:r>
        <w:rPr>
          <w:rStyle w:val="FootnoteReference"/>
        </w:rPr>
        <w:footnoteRef/>
      </w:r>
      <w:r>
        <w:t xml:space="preserve"> </w:t>
      </w:r>
      <w:r w:rsidRPr="009C4EE7">
        <w:rPr>
          <w:i/>
        </w:rPr>
        <w:t>See e.g.</w:t>
      </w:r>
      <w:r w:rsidRPr="009C4EE7">
        <w:t xml:space="preserve">, </w:t>
      </w:r>
      <w:r w:rsidRPr="009C4EE7">
        <w:rPr>
          <w:i/>
        </w:rPr>
        <w:t xml:space="preserve">Nat’l Oilseed Processors </w:t>
      </w:r>
      <w:r w:rsidRPr="009C4EE7">
        <w:rPr>
          <w:i/>
        </w:rPr>
        <w:t>Ass’n</w:t>
      </w:r>
      <w:r w:rsidRPr="009C4EE7">
        <w:rPr>
          <w:i/>
        </w:rPr>
        <w:t xml:space="preserve"> v. Occupational Safety &amp; Health Admin.</w:t>
      </w:r>
      <w:r w:rsidRPr="009C4EE7">
        <w:t xml:space="preserve">, 769 F.3d 1173, 1183 (D.C. Cir. 2014) (plain language of regulation and guidance in the form of a Memorandum to Regional Administrators from Thomas </w:t>
      </w:r>
      <w:r w:rsidRPr="009C4EE7">
        <w:t>Galassi</w:t>
      </w:r>
      <w:r w:rsidRPr="009C4EE7">
        <w:t xml:space="preserve">, Director, Directorate of Enforcement Programs, OSHA provided sufficient notice); </w:t>
      </w:r>
      <w:r w:rsidRPr="009C4EE7">
        <w:rPr>
          <w:i/>
        </w:rPr>
        <w:t>Sekula</w:t>
      </w:r>
      <w:r w:rsidRPr="009C4EE7">
        <w:rPr>
          <w:i/>
        </w:rPr>
        <w:t xml:space="preserve"> v. FDIC</w:t>
      </w:r>
      <w:r w:rsidRPr="009C4EE7">
        <w:t xml:space="preserve">, 39 F.3d 448, 455–57 (3d Cir. 1994) (fact that interpretation of ambiguous regulation was disseminated to public in “question-and-answer booklet” was “particularly significant” in finding adequate notice); </w:t>
      </w:r>
      <w:r w:rsidRPr="009C4EE7">
        <w:rPr>
          <w:i/>
        </w:rPr>
        <w:t>Sec’y of Labor v. Beverly Healthcare–Hillview</w:t>
      </w:r>
      <w:r w:rsidRPr="009C4EE7">
        <w:t xml:space="preserve">, 541 F.3d 193, 202 (3d Cir. 2008) (opinion letter issued by OSHA’s Director of Compliance Programs was sufficient to satisfy fair notice); </w:t>
      </w:r>
      <w:r w:rsidRPr="009C4EE7">
        <w:rPr>
          <w:i/>
        </w:rPr>
        <w:t>Gen. Elec.</w:t>
      </w:r>
      <w:r w:rsidRPr="009C4EE7">
        <w:t xml:space="preserve">, 53 F.3d at 1329 (stating that notice can come from “regulations and </w:t>
      </w:r>
      <w:r w:rsidRPr="009C2C5E">
        <w:rPr>
          <w:iCs/>
        </w:rPr>
        <w:t>other public statements issued by the agency</w:t>
      </w:r>
      <w:r w:rsidRPr="009C4EE7">
        <w:t>”).</w:t>
      </w:r>
    </w:p>
  </w:footnote>
  <w:footnote w:id="69">
    <w:p w:rsidR="002E73BA" w:rsidP="002E73BA" w14:paraId="79385589" w14:textId="77777777">
      <w:pPr>
        <w:pStyle w:val="FootnoteText"/>
      </w:pPr>
      <w:r>
        <w:rPr>
          <w:rStyle w:val="FootnoteReference"/>
        </w:rPr>
        <w:footnoteRef/>
      </w:r>
      <w:r>
        <w:t xml:space="preserve"> </w:t>
      </w:r>
      <w:r w:rsidRPr="009C4EE7">
        <w:rPr>
          <w:i/>
        </w:rPr>
        <w:t>Fox Tel.</w:t>
      </w:r>
      <w:r w:rsidRPr="009C4EE7">
        <w:t xml:space="preserve">, 567 U.S. at 254 (FCC “changed course and held that fleeting expletives could be a statutory violation”); </w:t>
      </w:r>
      <w:r w:rsidRPr="009C4EE7">
        <w:rPr>
          <w:i/>
        </w:rPr>
        <w:t>see also Gen. Elec.</w:t>
      </w:r>
      <w:r w:rsidRPr="009C4EE7">
        <w:t xml:space="preserve">, 53 F.3d at 1332 (different divisions of the EPA disagreed about the meaning of the regulation at issue); </w:t>
      </w:r>
      <w:r w:rsidRPr="009C4EE7">
        <w:rPr>
          <w:i/>
        </w:rPr>
        <w:t>see also Lachman</w:t>
      </w:r>
      <w:r w:rsidRPr="009C4EE7">
        <w:t xml:space="preserve">, 387 F.3d at 58 (“ascertainable certainty” line of cases applicable where “the agency had given conflicting public interpretations of the regulation”); </w:t>
      </w:r>
      <w:r w:rsidRPr="009C4EE7">
        <w:rPr>
          <w:i/>
        </w:rPr>
        <w:t>see also Suburban Air Freight, Inc. v. Transp. Sec. Admin.</w:t>
      </w:r>
      <w:r w:rsidRPr="009C4EE7">
        <w:t xml:space="preserve">, 716 F.3d 679, 684 (D.C. Cir. 2013) (rejecting “fair notice” argument against penalty, where “Suburban makes no argument that TSA previously interpreted those provisions differently, let alone that the company relied on any such interpretation.”); </w:t>
      </w:r>
      <w:r w:rsidRPr="009C4EE7">
        <w:rPr>
          <w:i/>
        </w:rPr>
        <w:t>Otis Elevator Co. v. Sec’y of Labor</w:t>
      </w:r>
      <w:r w:rsidRPr="009C4EE7">
        <w:t>, 762 F.3d 116, 125 (D.C. Cir. 2014) (rejecting “fair notice” argument where “Otis Elevator has not identified any pattern of contrary practice by the Secretary or contrary interpretations by the Commission.”).</w:t>
      </w:r>
    </w:p>
  </w:footnote>
  <w:footnote w:id="70">
    <w:p w:rsidR="00F73566" w:rsidRPr="009C4EE7" w:rsidP="00371EA2" w14:paraId="62AF2C9F" w14:textId="17FB98DC">
      <w:pPr>
        <w:pStyle w:val="FootnoteText"/>
      </w:pPr>
      <w:r w:rsidRPr="009C4EE7">
        <w:rPr>
          <w:rStyle w:val="FootnoteReference"/>
        </w:rPr>
        <w:footnoteRef/>
      </w:r>
      <w:r w:rsidRPr="009C4EE7">
        <w:t xml:space="preserve"> </w:t>
      </w:r>
      <w:r w:rsidRPr="009C4EE7">
        <w:t>HobbyKing</w:t>
      </w:r>
      <w:r w:rsidRPr="009C4EE7">
        <w:t xml:space="preserve"> claims the assessment of a forfeiture for its failure to fully respond to the Letter of Inquiry contravenes the Fifth Amendment’s protection against self-incrimination.  NAL Response at 13-14.  </w:t>
      </w:r>
      <w:r w:rsidRPr="009C4EE7">
        <w:t>HobbyKing</w:t>
      </w:r>
      <w:r w:rsidRPr="009C4EE7">
        <w:t xml:space="preserve"> argues that the threat of imprisonment in the Letter of Inquiry and the </w:t>
      </w:r>
      <w:r w:rsidRPr="009C4EE7">
        <w:rPr>
          <w:i/>
        </w:rPr>
        <w:t>Letter of Inquiry Citation</w:t>
      </w:r>
      <w:r w:rsidRPr="009C4EE7">
        <w:t xml:space="preserve"> means that the monetary penalty assessed in the </w:t>
      </w:r>
      <w:r w:rsidRPr="00955ED6">
        <w:rPr>
          <w:i/>
          <w:iCs/>
        </w:rPr>
        <w:t>NAL</w:t>
      </w:r>
      <w:r w:rsidRPr="009C4EE7">
        <w:t xml:space="preserve"> for </w:t>
      </w:r>
      <w:r w:rsidRPr="009C4EE7">
        <w:t>HobbyKing’s</w:t>
      </w:r>
      <w:r w:rsidRPr="009C4EE7">
        <w:t xml:space="preserve"> failure to fully respond to the Letter of Inquiry should be canceled.</w:t>
      </w:r>
      <w:r w:rsidRPr="009C4EE7">
        <w:rPr>
          <w:i/>
        </w:rPr>
        <w:t xml:space="preserve">  Id</w:t>
      </w:r>
      <w:r w:rsidRPr="009C4EE7">
        <w:t xml:space="preserve">. at 15, 18.  </w:t>
      </w:r>
    </w:p>
  </w:footnote>
  <w:footnote w:id="71">
    <w:p w:rsidR="00F73566" w:rsidRPr="00A87F03" w:rsidP="00CF6419" w14:paraId="4D7E84B5" w14:textId="77777777">
      <w:pPr>
        <w:pStyle w:val="FootnoteText"/>
      </w:pPr>
      <w:r w:rsidRPr="00A87F03">
        <w:rPr>
          <w:rStyle w:val="FootnoteReference"/>
        </w:rPr>
        <w:footnoteRef/>
      </w:r>
      <w:r w:rsidRPr="00A87F03">
        <w:t xml:space="preserve"> Section 4(</w:t>
      </w:r>
      <w:r w:rsidRPr="00A87F03">
        <w:t>i</w:t>
      </w:r>
      <w:r w:rsidRPr="00A87F03">
        <w:t>) authorizes the Commission to “issue such orders, not inconsistent with this Act as may be necessary in the execution of its functions.”  47 U.S.C. § 154(</w:t>
      </w:r>
      <w:r w:rsidRPr="00A87F03">
        <w:t>i</w:t>
      </w:r>
      <w:r w:rsidRPr="00A87F03">
        <w:t xml:space="preserve">).  Section 4(j) states that “[t]he Commission may conduct its proceedings in such manner as will best conduce to the proper dispatch of business and to the ends of justice.”  47 U.S.C. § 154(j).  Section 403 grants the Commission both the authority to institute inquiries and “the power to make and enforce any order or orders” relating to its inquiries into compliance with the Act.  47 U.S.C. § 403.  </w:t>
      </w:r>
      <w:r w:rsidRPr="00660678">
        <w:t xml:space="preserve">Section 0.111(a)(17) of the </w:t>
      </w:r>
      <w:r>
        <w:t xml:space="preserve">Commission’s rules </w:t>
      </w:r>
      <w:r w:rsidRPr="00660678">
        <w:t>delegate</w:t>
      </w:r>
      <w:r>
        <w:t>s</w:t>
      </w:r>
      <w:r w:rsidRPr="00660678">
        <w:t xml:space="preserve"> this authority to the Bureau.</w:t>
      </w:r>
      <w:r w:rsidRPr="00694D3D">
        <w:t xml:space="preserve"> </w:t>
      </w:r>
      <w:r>
        <w:t xml:space="preserve"> </w:t>
      </w:r>
      <w:r w:rsidRPr="00A87F03">
        <w:t>47 CFR § 0.111(a)(17) (granting the Enforcement Bureau the authority to “[</w:t>
      </w:r>
      <w:r w:rsidRPr="00A87F03">
        <w:t>i</w:t>
      </w:r>
      <w:r w:rsidRPr="00A87F03">
        <w:t>]</w:t>
      </w:r>
      <w:r w:rsidRPr="00A87F03">
        <w:t>dentify</w:t>
      </w:r>
      <w:r w:rsidRPr="00A87F03">
        <w:t xml:space="preserve"> and analyze complaint information, conduct investigations, conduct external audits and collect information, including pursuant to sections 218, 220, 308(b), 403 and 409(e) through (k) of the Communications Act, in connection with complaints, on its own initiative or upon request of another Bureau or Office</w:t>
      </w:r>
      <w:r>
        <w:t>.</w:t>
      </w:r>
      <w:r w:rsidRPr="00A87F03">
        <w:t>”).</w:t>
      </w:r>
    </w:p>
  </w:footnote>
  <w:footnote w:id="72">
    <w:p w:rsidR="00F73566" w:rsidRPr="009766F3" w:rsidP="00CF6419" w14:paraId="479BE2B3" w14:textId="77777777">
      <w:pPr>
        <w:pStyle w:val="FootnoteText"/>
      </w:pPr>
      <w:r w:rsidRPr="00826245">
        <w:rPr>
          <w:rStyle w:val="FootnoteReference"/>
        </w:rPr>
        <w:footnoteRef/>
      </w:r>
      <w:r w:rsidRPr="00826245">
        <w:t xml:space="preserve"> 47 CFR § 0.111(a)(17)</w:t>
      </w:r>
      <w:r>
        <w:t xml:space="preserve">; </w:t>
      </w:r>
      <w:r>
        <w:rPr>
          <w:i/>
        </w:rPr>
        <w:t xml:space="preserve">see </w:t>
      </w:r>
      <w:r w:rsidRPr="009766F3">
        <w:t>47 U.S.C. § 155(c)(3)</w:t>
      </w:r>
      <w:r>
        <w:t xml:space="preserve"> (</w:t>
      </w:r>
      <w:r w:rsidRPr="009766F3">
        <w:t xml:space="preserve">“Any order . . . or action made or taken pursuant to any </w:t>
      </w:r>
      <w:r w:rsidRPr="009766F3">
        <w:t>[ ]</w:t>
      </w:r>
      <w:r w:rsidRPr="009766F3">
        <w:t xml:space="preserve"> delegation . . .  shall have the same force and effect . . . and [be] enforced in the same manner, as or</w:t>
      </w:r>
      <w:r>
        <w:t>ders . . . of the Commission.”)</w:t>
      </w:r>
      <w:r w:rsidRPr="009766F3">
        <w:t>.</w:t>
      </w:r>
    </w:p>
  </w:footnote>
  <w:footnote w:id="73">
    <w:p w:rsidR="00F73566" w14:paraId="1122C3E2" w14:textId="3AB96178">
      <w:pPr>
        <w:pStyle w:val="FootnoteText"/>
      </w:pPr>
      <w:r>
        <w:rPr>
          <w:rStyle w:val="FootnoteReference"/>
        </w:rPr>
        <w:footnoteRef/>
      </w:r>
      <w:r>
        <w:t xml:space="preserve"> </w:t>
      </w:r>
      <w:r w:rsidRPr="00955ED6">
        <w:rPr>
          <w:i/>
          <w:iCs/>
        </w:rPr>
        <w:t>NAL</w:t>
      </w:r>
      <w:r w:rsidRPr="009C4EE7">
        <w:t xml:space="preserve">, 33 FCC </w:t>
      </w:r>
      <w:r w:rsidRPr="009C4EE7">
        <w:t>Rcd</w:t>
      </w:r>
      <w:r w:rsidRPr="009C4EE7">
        <w:t xml:space="preserve"> at 5532, para. 5 &amp; n</w:t>
      </w:r>
      <w:r w:rsidR="0081375C">
        <w:t>.</w:t>
      </w:r>
      <w:r>
        <w:t>13</w:t>
      </w:r>
      <w:r w:rsidR="0081375C">
        <w:t>-</w:t>
      </w:r>
      <w:r w:rsidRPr="009C4EE7">
        <w:t>14.</w:t>
      </w:r>
      <w:r>
        <w:t xml:space="preserve">  </w:t>
      </w:r>
    </w:p>
  </w:footnote>
  <w:footnote w:id="74">
    <w:p w:rsidR="00F73566" w:rsidRPr="009C4EE7" w:rsidP="00371EA2" w14:paraId="754FB895" w14:textId="77777777">
      <w:pPr>
        <w:pStyle w:val="FootnoteText"/>
      </w:pPr>
      <w:r w:rsidRPr="009C4EE7">
        <w:rPr>
          <w:rStyle w:val="FootnoteReference"/>
        </w:rPr>
        <w:footnoteRef/>
      </w:r>
      <w:r w:rsidRPr="009C4EE7">
        <w:t xml:space="preserve"> U.S. CONST. amend. V.  </w:t>
      </w:r>
    </w:p>
  </w:footnote>
  <w:footnote w:id="75">
    <w:p w:rsidR="00F73566" w:rsidRPr="009C4EE7" w:rsidP="00C51770" w14:paraId="77F9EEAA" w14:textId="2BA69C47">
      <w:pPr>
        <w:pStyle w:val="FootnoteText"/>
      </w:pPr>
      <w:r w:rsidRPr="009C4EE7">
        <w:rPr>
          <w:rStyle w:val="FootnoteReference"/>
        </w:rPr>
        <w:footnoteRef/>
      </w:r>
      <w:r w:rsidRPr="009C4EE7">
        <w:t xml:space="preserve"> </w:t>
      </w:r>
      <w:r>
        <w:rPr>
          <w:i/>
        </w:rPr>
        <w:t>Braswell v. United States</w:t>
      </w:r>
      <w:r>
        <w:t xml:space="preserve">, 487 U.S. 99, 104-10 (1988); </w:t>
      </w:r>
      <w:r>
        <w:rPr>
          <w:i/>
        </w:rPr>
        <w:t xml:space="preserve">see also </w:t>
      </w:r>
      <w:r w:rsidRPr="009C4EE7">
        <w:rPr>
          <w:i/>
        </w:rPr>
        <w:t>LPFM Mx Group 37</w:t>
      </w:r>
      <w:r w:rsidRPr="009C4EE7">
        <w:t xml:space="preserve">, Memorandum Opinion and Order, 31 FCC </w:t>
      </w:r>
      <w:r w:rsidRPr="009C4EE7">
        <w:t>Rcd</w:t>
      </w:r>
      <w:r w:rsidRPr="009C4EE7">
        <w:t xml:space="preserve"> 7512, 7516, para. 11 &amp; n.33 (2016) (“As a corporation, SFI generally cannot assert a Fifth Amendment right </w:t>
      </w:r>
      <w:bookmarkStart w:id="84" w:name="_Hlk37751607"/>
      <w:r w:rsidRPr="009C4EE7">
        <w:t>against self-incrimination</w:t>
      </w:r>
      <w:bookmarkEnd w:id="84"/>
      <w:r w:rsidRPr="009C4EE7">
        <w:t xml:space="preserve">.”) (citing </w:t>
      </w:r>
      <w:r w:rsidRPr="009C4EE7">
        <w:rPr>
          <w:i/>
        </w:rPr>
        <w:t>Hale v. Henkel</w:t>
      </w:r>
      <w:r w:rsidRPr="009C4EE7">
        <w:t>, 201 U.S. 43 (1906))</w:t>
      </w:r>
      <w:r w:rsidR="009C2C5E">
        <w:t xml:space="preserve">; </w:t>
      </w:r>
      <w:r w:rsidR="009C2C5E">
        <w:rPr>
          <w:i/>
          <w:iCs/>
        </w:rPr>
        <w:t xml:space="preserve">see also </w:t>
      </w:r>
      <w:r w:rsidRPr="0041748C" w:rsidR="009C2C5E">
        <w:rPr>
          <w:i/>
          <w:iCs/>
        </w:rPr>
        <w:t>United States v. White</w:t>
      </w:r>
      <w:r w:rsidRPr="0041748C" w:rsidR="009C2C5E">
        <w:t>, 322 U.S. 694, 699 (1944)</w:t>
      </w:r>
      <w:r w:rsidR="009C2C5E">
        <w:t xml:space="preserve"> (</w:t>
      </w:r>
      <w:r w:rsidRPr="0041748C" w:rsidR="009C2C5E">
        <w:t>“Since the privilege against self-incrimination is a purely personal one, it cannot be utilized by or on behalf of any organization, such as a corporation.”</w:t>
      </w:r>
      <w:r w:rsidR="009C2C5E">
        <w:t>)</w:t>
      </w:r>
      <w:r w:rsidRPr="009C4EE7" w:rsidR="009C2C5E">
        <w:t>.</w:t>
      </w:r>
    </w:p>
  </w:footnote>
  <w:footnote w:id="76">
    <w:p w:rsidR="00F73566" w:rsidRPr="009C4EE7" w:rsidP="00C51770" w14:paraId="4A45F9DA" w14:textId="77777777">
      <w:pPr>
        <w:pStyle w:val="FootnoteText"/>
      </w:pPr>
      <w:r w:rsidRPr="009C4EE7">
        <w:rPr>
          <w:rStyle w:val="FootnoteReference"/>
        </w:rPr>
        <w:footnoteRef/>
      </w:r>
      <w:r w:rsidRPr="009C4EE7">
        <w:t xml:space="preserve"> NAL Response at 15, n.26.  </w:t>
      </w:r>
    </w:p>
  </w:footnote>
  <w:footnote w:id="77">
    <w:p w:rsidR="00F73566" w:rsidRPr="009878E9" w:rsidP="00A648E2" w14:paraId="2FB7A63B" w14:textId="55010307">
      <w:pPr>
        <w:pStyle w:val="FootnoteText"/>
        <w:rPr>
          <w:i/>
        </w:rPr>
      </w:pPr>
      <w:r>
        <w:rPr>
          <w:rStyle w:val="FootnoteReference"/>
        </w:rPr>
        <w:footnoteRef/>
      </w:r>
      <w:r>
        <w:t xml:space="preserve"> </w:t>
      </w:r>
      <w:r>
        <w:rPr>
          <w:i/>
        </w:rPr>
        <w:t>Braswell</w:t>
      </w:r>
      <w:r>
        <w:t xml:space="preserve">, 487 U.S. at 106-07 (discussing </w:t>
      </w:r>
      <w:r>
        <w:rPr>
          <w:i/>
        </w:rPr>
        <w:t>Wilson v. United States</w:t>
      </w:r>
      <w:r>
        <w:t xml:space="preserve">, 221 U.S. 361 (1911), and </w:t>
      </w:r>
      <w:r w:rsidRPr="006D7CDB">
        <w:rPr>
          <w:i/>
        </w:rPr>
        <w:t>Dreier v. United States</w:t>
      </w:r>
      <w:r w:rsidRPr="00377BD8">
        <w:t>, 221 U.S. 394</w:t>
      </w:r>
      <w:r>
        <w:t xml:space="preserve"> (1911).</w:t>
      </w:r>
    </w:p>
  </w:footnote>
  <w:footnote w:id="78">
    <w:p w:rsidR="00F73566" w:rsidRPr="009C4EE7" w:rsidP="00371EA2" w14:paraId="7B11489C" w14:textId="6F3921DE">
      <w:pPr>
        <w:pStyle w:val="FootnoteText"/>
      </w:pPr>
      <w:r w:rsidRPr="009C4EE7">
        <w:rPr>
          <w:rStyle w:val="FootnoteReference"/>
        </w:rPr>
        <w:footnoteRef/>
      </w:r>
      <w:r w:rsidRPr="009C4EE7">
        <w:t xml:space="preserve"> </w:t>
      </w:r>
      <w:r w:rsidRPr="00955ED6">
        <w:rPr>
          <w:i/>
          <w:iCs/>
        </w:rPr>
        <w:t>NAL</w:t>
      </w:r>
      <w:r w:rsidRPr="009C4EE7">
        <w:t xml:space="preserve">, 33 FCC </w:t>
      </w:r>
      <w:r w:rsidRPr="009C4EE7">
        <w:t>Rcd</w:t>
      </w:r>
      <w:r w:rsidRPr="009C4EE7">
        <w:t xml:space="preserve"> at 5540-42, paras. 22-24.</w:t>
      </w:r>
      <w:r>
        <w:t xml:space="preserve">  At the time of the </w:t>
      </w:r>
      <w:r w:rsidRPr="00955ED6">
        <w:rPr>
          <w:i/>
          <w:iCs/>
        </w:rPr>
        <w:t>NAL</w:t>
      </w:r>
      <w:r>
        <w:t xml:space="preserve">, </w:t>
      </w:r>
      <w:r>
        <w:rPr>
          <w:snapToGrid w:val="0"/>
        </w:rPr>
        <w:t xml:space="preserve">the statutory maximum was </w:t>
      </w:r>
      <w:r w:rsidRPr="009C4EE7">
        <w:t xml:space="preserve">$19,639 </w:t>
      </w:r>
      <w:r>
        <w:rPr>
          <w:snapToGrid w:val="0"/>
        </w:rPr>
        <w:t xml:space="preserve">for each violation or each day of a continuing violation and </w:t>
      </w:r>
      <w:r w:rsidRPr="009C4EE7">
        <w:t xml:space="preserve">$147,290 </w:t>
      </w:r>
      <w:r>
        <w:rPr>
          <w:snapToGrid w:val="0"/>
          <w:color w:val="000000"/>
        </w:rPr>
        <w:t>for any single act or failure to act.</w:t>
      </w:r>
      <w:r>
        <w:rPr>
          <w:snapToGrid w:val="0"/>
        </w:rPr>
        <w:t xml:space="preserve">  </w:t>
      </w:r>
      <w:r>
        <w:rPr>
          <w:i/>
          <w:iCs/>
          <w:snapToGrid w:val="0"/>
        </w:rPr>
        <w:t xml:space="preserve">See </w:t>
      </w:r>
      <w:r>
        <w:rPr>
          <w:snapToGrid w:val="0"/>
          <w:color w:val="000000"/>
        </w:rPr>
        <w:t>47 U.S.C. § 503(b)(2)(D); 47 CFR § 1.80(b)(7), (</w:t>
      </w:r>
      <w:r>
        <w:rPr>
          <w:snapToGrid w:val="0"/>
        </w:rPr>
        <w:t xml:space="preserve">b)(9); </w:t>
      </w:r>
      <w:r>
        <w:rPr>
          <w:i/>
          <w:iCs/>
          <w:snapToGrid w:val="0"/>
        </w:rPr>
        <w:t>Amendment of Section 1.80(b) of the Commission’s Rules, Adjustment of Civil Monetary Penalties to Reflect Inflation</w:t>
      </w:r>
      <w:r>
        <w:rPr>
          <w:snapToGrid w:val="0"/>
        </w:rPr>
        <w:t xml:space="preserve">, Order, 33 FCC </w:t>
      </w:r>
      <w:r>
        <w:rPr>
          <w:snapToGrid w:val="0"/>
        </w:rPr>
        <w:t>Rcd</w:t>
      </w:r>
      <w:r>
        <w:rPr>
          <w:snapToGrid w:val="0"/>
        </w:rPr>
        <w:t xml:space="preserve"> 46 (EB 2018); </w:t>
      </w:r>
      <w:r>
        <w:rPr>
          <w:i/>
          <w:iCs/>
          <w:snapToGrid w:val="0"/>
        </w:rPr>
        <w:t>see also Adjustment of Civil Monetary Penalties to Reflect Inflation</w:t>
      </w:r>
      <w:r>
        <w:rPr>
          <w:snapToGrid w:val="0"/>
        </w:rPr>
        <w:t>, 83 Fed. Reg. 4600 (Feb. 1, 2018).</w:t>
      </w:r>
      <w:r w:rsidRPr="009C4EE7">
        <w:t xml:space="preserve">  The resulting calculation is 50 models x $12,250 ($7,000 base + $5,250 upward adjustment) = $612,500; and 15 models x $147,290 (statutory maximum) = $2,209,350; for a total forfeiture for the equipment marketing violations of $2,821,850.</w:t>
      </w:r>
    </w:p>
  </w:footnote>
  <w:footnote w:id="79">
    <w:p w:rsidR="00F73566" w:rsidRPr="009C4EE7" w:rsidP="00371EA2" w14:paraId="611B794A" w14:textId="30C9E3EC">
      <w:pPr>
        <w:pStyle w:val="FootnoteText"/>
      </w:pPr>
      <w:r w:rsidRPr="009C4EE7">
        <w:rPr>
          <w:rStyle w:val="FootnoteReference"/>
        </w:rPr>
        <w:footnoteRef/>
      </w:r>
      <w:r w:rsidRPr="009C4EE7">
        <w:t xml:space="preserve"> </w:t>
      </w:r>
      <w:r w:rsidRPr="00955ED6">
        <w:rPr>
          <w:i/>
          <w:iCs/>
        </w:rPr>
        <w:t>NAL</w:t>
      </w:r>
      <w:r w:rsidRPr="009C4EE7">
        <w:t xml:space="preserve">, 33 FCC </w:t>
      </w:r>
      <w:r w:rsidRPr="009C4EE7">
        <w:t>Rcd</w:t>
      </w:r>
      <w:r w:rsidRPr="009C4EE7">
        <w:t xml:space="preserve"> at 5542, para. 25.  The resulting calculation for the two failure to respond violations at $19,639 each </w:t>
      </w:r>
      <w:r w:rsidRPr="009C4EE7">
        <w:t>results</w:t>
      </w:r>
      <w:r w:rsidRPr="009C4EE7">
        <w:t xml:space="preserve"> in a total forfeiture of $39,278.  Thus, the overall forfeiture is $2,861,128 ($2,821,850 for equipment marketing violations + $39,278 for failure to respond violations).  </w:t>
      </w:r>
    </w:p>
  </w:footnote>
  <w:footnote w:id="80">
    <w:p w:rsidR="00F73566" w14:paraId="6514F62A" w14:textId="64AC892C">
      <w:pPr>
        <w:pStyle w:val="FootnoteText"/>
      </w:pPr>
      <w:r>
        <w:rPr>
          <w:rStyle w:val="FootnoteReference"/>
        </w:rPr>
        <w:footnoteRef/>
      </w:r>
      <w:r>
        <w:t xml:space="preserve"> </w:t>
      </w:r>
      <w:r w:rsidRPr="009C4EE7">
        <w:t>NAL Response at</w:t>
      </w:r>
      <w:r>
        <w:t xml:space="preserve"> 18-23.</w:t>
      </w:r>
    </w:p>
  </w:footnote>
  <w:footnote w:id="81">
    <w:p w:rsidR="00F73566" w:rsidRPr="009C4EE7" w:rsidP="0051030F" w14:paraId="4E6D3B5C" w14:textId="45ED3B40">
      <w:pPr>
        <w:pStyle w:val="FootnoteText"/>
      </w:pPr>
      <w:r w:rsidRPr="009C4EE7">
        <w:rPr>
          <w:rStyle w:val="FootnoteReference"/>
        </w:rPr>
        <w:footnoteRef/>
      </w:r>
      <w:r w:rsidRPr="009C4EE7">
        <w:t xml:space="preserve"> </w:t>
      </w:r>
      <w:r w:rsidRPr="006F7BBB">
        <w:rPr>
          <w:i/>
        </w:rPr>
        <w:t>Id</w:t>
      </w:r>
      <w:r>
        <w:t xml:space="preserve">. </w:t>
      </w:r>
      <w:r w:rsidRPr="009C4EE7">
        <w:t xml:space="preserve">at 18.  </w:t>
      </w:r>
    </w:p>
  </w:footnote>
  <w:footnote w:id="82">
    <w:p w:rsidR="00F73566" w:rsidRPr="009C4EE7" w:rsidP="00213288" w14:paraId="4F8B27D7" w14:textId="1B5293D4">
      <w:pPr>
        <w:pStyle w:val="FootnoteText"/>
      </w:pPr>
      <w:r w:rsidRPr="009C4EE7">
        <w:rPr>
          <w:rStyle w:val="FootnoteReference"/>
        </w:rPr>
        <w:footnoteRef/>
      </w:r>
      <w:r w:rsidRPr="009C4EE7">
        <w:t xml:space="preserve"> </w:t>
      </w:r>
      <w:r w:rsidRPr="009C4EE7">
        <w:rPr>
          <w:i/>
        </w:rPr>
        <w:t xml:space="preserve">See </w:t>
      </w:r>
      <w:r w:rsidRPr="00397D62">
        <w:rPr>
          <w:i/>
          <w:iCs/>
        </w:rPr>
        <w:t>NAL</w:t>
      </w:r>
      <w:r w:rsidRPr="009C4EE7">
        <w:t xml:space="preserve">, 33 FCC </w:t>
      </w:r>
      <w:r w:rsidRPr="009C4EE7">
        <w:t>Rcd</w:t>
      </w:r>
      <w:r w:rsidRPr="009C4EE7">
        <w:t xml:space="preserve"> at 5544, para. 34.</w:t>
      </w:r>
      <w:r>
        <w:t xml:space="preserve">  </w:t>
      </w:r>
    </w:p>
  </w:footnote>
  <w:footnote w:id="83">
    <w:p w:rsidR="00F73566" w:rsidRPr="0041630A" w:rsidP="00A16531" w14:paraId="288440C5" w14:textId="26B7BF79">
      <w:pPr>
        <w:pStyle w:val="FootnoteText"/>
      </w:pPr>
      <w:r w:rsidRPr="009C4EE7">
        <w:rPr>
          <w:rStyle w:val="FootnoteReference"/>
        </w:rPr>
        <w:footnoteRef/>
      </w:r>
      <w:r w:rsidRPr="009C4EE7">
        <w:t xml:space="preserve"> NAL Response at 18.  </w:t>
      </w:r>
      <w:r>
        <w:t>HobbyKing</w:t>
      </w:r>
      <w:r>
        <w:t xml:space="preserve"> also relied upon </w:t>
      </w:r>
      <w:r w:rsidRPr="007043A4">
        <w:t>Indubitably, Inc</w:t>
      </w:r>
      <w:r>
        <w:t xml:space="preserve">.’s taxable income to support its inability to pay request instead of gross revenue, which the Commission has determined, as a general matter, is the appropriate metric for analyzing inability to pay.  </w:t>
      </w:r>
      <w:r>
        <w:rPr>
          <w:i/>
        </w:rPr>
        <w:t>See</w:t>
      </w:r>
      <w:r>
        <w:t xml:space="preserve"> </w:t>
      </w:r>
      <w:r w:rsidRPr="00A16531">
        <w:rPr>
          <w:i/>
        </w:rPr>
        <w:t>Net One Int</w:t>
      </w:r>
      <w:r>
        <w:rPr>
          <w:i/>
        </w:rPr>
        <w:t>’</w:t>
      </w:r>
      <w:r w:rsidRPr="00A16531">
        <w:rPr>
          <w:i/>
        </w:rPr>
        <w:t>l, Inc.</w:t>
      </w:r>
      <w:r>
        <w:t xml:space="preserve">, </w:t>
      </w:r>
      <w:r w:rsidRPr="00A16531">
        <w:t>Forfeiture Order</w:t>
      </w:r>
      <w:r>
        <w:t xml:space="preserve">, 31 FCC </w:t>
      </w:r>
      <w:r>
        <w:t>Rcd</w:t>
      </w:r>
      <w:r>
        <w:t xml:space="preserve"> 2367, 2380, para. 38 (2016) (“With regard to an individual’s or entity’s inability to pay claim, the Commission has determined that, in general, gross income or revenues are the best indicator of an ability to pay a forfeiture.”) (footnote omitted).</w:t>
      </w:r>
    </w:p>
  </w:footnote>
  <w:footnote w:id="84">
    <w:p w:rsidR="00F73566" w:rsidRPr="009C4EE7" w:rsidP="00213288" w14:paraId="74B57AFD" w14:textId="7354A3A4">
      <w:pPr>
        <w:pStyle w:val="FootnoteText"/>
      </w:pPr>
      <w:r w:rsidRPr="009C4EE7">
        <w:rPr>
          <w:rStyle w:val="FootnoteReference"/>
        </w:rPr>
        <w:footnoteRef/>
      </w:r>
      <w:r w:rsidRPr="009C4EE7">
        <w:t xml:space="preserve"> </w:t>
      </w:r>
      <w:r w:rsidRPr="009C4EE7">
        <w:rPr>
          <w:snapToGrid w:val="0"/>
        </w:rPr>
        <w:t xml:space="preserve">Letter and attachments from Rebecca Larson, Esq., Davies Pearson, P.C., Attorney for </w:t>
      </w:r>
      <w:r w:rsidRPr="009C4EE7">
        <w:rPr>
          <w:snapToGrid w:val="0"/>
        </w:rPr>
        <w:t>HobbyKing</w:t>
      </w:r>
      <w:r w:rsidRPr="009C4EE7">
        <w:rPr>
          <w:snapToGrid w:val="0"/>
        </w:rPr>
        <w:t xml:space="preserve">, to Jason Koslofsky, Attorney Advisor, Spectrum Enforcement Division, FCC Enforcement Bureau at 1 (May 24, 2017) (LOI Response) (on file in EB-SED-17-000223762).  </w:t>
      </w:r>
    </w:p>
  </w:footnote>
  <w:footnote w:id="85">
    <w:p w:rsidR="00F73566" w:rsidRPr="009C4EE7" w:rsidP="00213288" w14:paraId="713C294E" w14:textId="50BC4F96">
      <w:pPr>
        <w:pStyle w:val="FootnoteText"/>
      </w:pPr>
      <w:r w:rsidRPr="009C4EE7">
        <w:rPr>
          <w:rStyle w:val="FootnoteReference"/>
        </w:rPr>
        <w:footnoteRef/>
      </w:r>
      <w:r w:rsidRPr="009C4EE7">
        <w:t xml:space="preserve"> </w:t>
      </w:r>
      <w:r w:rsidRPr="009C4EE7">
        <w:rPr>
          <w:i/>
        </w:rPr>
        <w:t xml:space="preserve">See </w:t>
      </w:r>
      <w:r w:rsidRPr="00397D62">
        <w:rPr>
          <w:i/>
          <w:iCs/>
        </w:rPr>
        <w:t>NAL</w:t>
      </w:r>
      <w:r w:rsidRPr="009C4EE7">
        <w:t xml:space="preserve">, 33 FCC </w:t>
      </w:r>
      <w:r w:rsidRPr="009C4EE7">
        <w:t>Rcd</w:t>
      </w:r>
      <w:r w:rsidRPr="009C4EE7">
        <w:t xml:space="preserve"> at 5544, para. 34.  Upon the release of the </w:t>
      </w:r>
      <w:r w:rsidRPr="00397D62">
        <w:rPr>
          <w:i/>
          <w:iCs/>
        </w:rPr>
        <w:t>NAL</w:t>
      </w:r>
      <w:r w:rsidRPr="009C4EE7">
        <w:rPr>
          <w:i/>
        </w:rPr>
        <w:t xml:space="preserve"> </w:t>
      </w:r>
      <w:r w:rsidRPr="009C4EE7">
        <w:t xml:space="preserve">in 2018, three years of tax returns would have covered 2015, 2016, and 2017.  Thus, </w:t>
      </w:r>
      <w:r w:rsidRPr="009C4EE7">
        <w:t>HobbyKing</w:t>
      </w:r>
      <w:r w:rsidRPr="009C4EE7">
        <w:t xml:space="preserve"> should have provided ABC Fulfillment Services LLC’s 2015 tax return to provide a complete picture of HobbyKing’s financial status.  </w:t>
      </w:r>
      <w:r w:rsidR="00EF5DE6">
        <w:t>Further</w:t>
      </w:r>
      <w:r w:rsidRPr="009C4EE7">
        <w:rPr>
          <w:snapToGrid w:val="0"/>
        </w:rPr>
        <w:t xml:space="preserve">, it appears that ABC Fulfillment Services LLC was active until 2017.  According to filings in the Washington corporate records database, ABC Fulfillment Services LLC was only administratively dissolved in 2018 after failing to file an annual report in 2018, but the </w:t>
      </w:r>
      <w:r>
        <w:rPr>
          <w:snapToGrid w:val="0"/>
        </w:rPr>
        <w:t>c</w:t>
      </w:r>
      <w:r w:rsidRPr="009C4EE7">
        <w:rPr>
          <w:snapToGrid w:val="0"/>
        </w:rPr>
        <w:t xml:space="preserve">ompany filed an annual report, signed by Anthony J. Hand, as recently as 2017.  </w:t>
      </w:r>
      <w:r w:rsidRPr="009C4EE7">
        <w:rPr>
          <w:i/>
          <w:snapToGrid w:val="0"/>
        </w:rPr>
        <w:t>See</w:t>
      </w:r>
      <w:r w:rsidRPr="009C4EE7">
        <w:rPr>
          <w:snapToGrid w:val="0"/>
        </w:rPr>
        <w:t xml:space="preserve"> Washington Corporations and Charities Filing System, </w:t>
      </w:r>
      <w:hyperlink r:id="rId2" w:anchor="/" w:history="1">
        <w:r w:rsidRPr="009C4EE7">
          <w:rPr>
            <w:rStyle w:val="Hyperlink"/>
          </w:rPr>
          <w:t>https://ccfs.sos.wa.gov/#/</w:t>
        </w:r>
      </w:hyperlink>
      <w:r w:rsidRPr="009C4EE7">
        <w:rPr>
          <w:snapToGrid w:val="0"/>
        </w:rPr>
        <w:t xml:space="preserve"> (last visited July 9, 2019) (searching Business Name:  ABC FULFILLMENT SERVICES LLC or UBI Number:  603 026 042).  Anthony J. Hand is associated with </w:t>
      </w:r>
      <w:r w:rsidRPr="009C4EE7">
        <w:t xml:space="preserve">Indubitably, Inc., </w:t>
      </w:r>
      <w:r w:rsidRPr="009C4EE7">
        <w:rPr>
          <w:snapToGrid w:val="0"/>
        </w:rPr>
        <w:t xml:space="preserve">ABC Fulfillment Services LLC, and </w:t>
      </w:r>
      <w:r w:rsidRPr="009C4EE7">
        <w:rPr>
          <w:snapToGrid w:val="0"/>
        </w:rPr>
        <w:t>Hextronik</w:t>
      </w:r>
      <w:r w:rsidRPr="009C4EE7">
        <w:rPr>
          <w:snapToGrid w:val="0"/>
        </w:rPr>
        <w:t xml:space="preserve"> LTD</w:t>
      </w:r>
      <w:r>
        <w:rPr>
          <w:snapToGrid w:val="0"/>
        </w:rPr>
        <w:t>.</w:t>
      </w:r>
      <w:r w:rsidRPr="009C4EE7">
        <w:rPr>
          <w:snapToGrid w:val="0"/>
        </w:rPr>
        <w:t xml:space="preserve">  LOI Response at 1.  Thus, tax returns for ABC Fulfillment Services LLC through 2017 would have been necessary to fully support an inability to pay claim.  To the extent </w:t>
      </w:r>
      <w:r w:rsidRPr="009C4EE7">
        <w:rPr>
          <w:snapToGrid w:val="0"/>
        </w:rPr>
        <w:t>HobbyKing</w:t>
      </w:r>
      <w:r w:rsidRPr="009C4EE7">
        <w:rPr>
          <w:snapToGrid w:val="0"/>
        </w:rPr>
        <w:t xml:space="preserve"> has other affiliated companies, subsidiaries, or parents not addressed in the </w:t>
      </w:r>
      <w:r w:rsidRPr="00397D62">
        <w:rPr>
          <w:i/>
          <w:iCs/>
          <w:snapToGrid w:val="0"/>
        </w:rPr>
        <w:t>NAL</w:t>
      </w:r>
      <w:r w:rsidRPr="009C4EE7">
        <w:rPr>
          <w:snapToGrid w:val="0"/>
        </w:rPr>
        <w:t xml:space="preserve">, complete financial information related to those companies should have been included as well.  </w:t>
      </w:r>
    </w:p>
  </w:footnote>
  <w:footnote w:id="86">
    <w:p w:rsidR="00F73566" w:rsidRPr="009C4EE7" w:rsidP="00371EA2" w14:paraId="2C0976AB" w14:textId="03E4FA7B">
      <w:pPr>
        <w:pStyle w:val="FootnoteText"/>
      </w:pPr>
      <w:r w:rsidRPr="009C4EE7">
        <w:rPr>
          <w:rStyle w:val="FootnoteReference"/>
        </w:rPr>
        <w:footnoteRef/>
      </w:r>
      <w:r w:rsidRPr="009C4EE7">
        <w:t xml:space="preserve"> </w:t>
      </w:r>
      <w:r w:rsidRPr="009C4EE7">
        <w:rPr>
          <w:snapToGrid w:val="0"/>
        </w:rPr>
        <w:t>LOI Response at 1 (</w:t>
      </w:r>
      <w:r w:rsidRPr="009C4EE7">
        <w:t>Hextronik</w:t>
      </w:r>
      <w:r w:rsidRPr="009C4EE7">
        <w:t xml:space="preserve"> LTD is part HobbyKing’s marketing</w:t>
      </w:r>
      <w:r w:rsidRPr="009C4EE7">
        <w:rPr>
          <w:snapToGrid w:val="0"/>
        </w:rPr>
        <w:t xml:space="preserve"> setup); </w:t>
      </w:r>
      <w:r w:rsidRPr="009C4EE7">
        <w:rPr>
          <w:i/>
        </w:rPr>
        <w:t>A-O Broad. Corp.</w:t>
      </w:r>
      <w:r w:rsidRPr="009C4EE7">
        <w:t xml:space="preserve">, Forfeiture Order, 2003 WL 23018131, 31 Communications Reg. (P&amp;F) 411, para. 24 (2003) (rejecting inability to pay claim where company did not provide information on lines of credit, liquid assets, or the assets and income of the company’s owner).  </w:t>
      </w:r>
    </w:p>
  </w:footnote>
  <w:footnote w:id="87">
    <w:p w:rsidR="00BC14B2" w:rsidP="006E7910" w14:paraId="64E2DC5B" w14:textId="0E861CE3">
      <w:pPr>
        <w:pStyle w:val="FootnoteText"/>
        <w:rPr>
          <w:iCs/>
        </w:rPr>
      </w:pPr>
      <w:r w:rsidRPr="009C4EE7">
        <w:rPr>
          <w:rStyle w:val="FootnoteReference"/>
        </w:rPr>
        <w:footnoteRef/>
      </w:r>
      <w:r w:rsidRPr="009C4EE7">
        <w:t xml:space="preserve"> </w:t>
      </w:r>
      <w:r>
        <w:rPr>
          <w:i/>
        </w:rPr>
        <w:t xml:space="preserve">See </w:t>
      </w:r>
      <w:r w:rsidRPr="00397D62">
        <w:rPr>
          <w:i/>
          <w:iCs/>
        </w:rPr>
        <w:t>NAL</w:t>
      </w:r>
      <w:r>
        <w:t xml:space="preserve">, 33 FCC </w:t>
      </w:r>
      <w:r>
        <w:t>Rcd</w:t>
      </w:r>
      <w:r>
        <w:t xml:space="preserve"> at 5544, para. 34 (stating that documentation of inability to pay must be supported by “reliable and objective documentation that accurately reflects the petitioner’s current financial status”).  </w:t>
      </w:r>
      <w:r>
        <w:rPr>
          <w:iCs/>
        </w:rPr>
        <w:t>As noted by the Commission:</w:t>
      </w:r>
    </w:p>
    <w:p w:rsidR="00BC14B2" w:rsidP="00BC14B2" w14:paraId="49366439" w14:textId="4394D7DA">
      <w:pPr>
        <w:pStyle w:val="FootnoteText"/>
        <w:ind w:left="720"/>
        <w:rPr>
          <w:iCs/>
        </w:rPr>
      </w:pPr>
      <w:r w:rsidRPr="003A40BE">
        <w:t>Although the Commission has looked at the prior three years of tax returns as one way to benchmark an ability to pay, we also recognize that income may represent only a small fraction of a wrongdoer’s wealth.  Thus, the tax returns in themselves may not fully address whether the wrongdoer is able to pay the proposed forfeiture. We note, too, that when the Department of Justice pursues collections on the Commission’s behalf, it looks at a wide range of resources, beyond tax returns, in evaluating a person or entity’s ability to pay a claim or judgment.  If we limit our analysis to tax returns, the Commission would be ignoring relevant assets that the Department of Justice would consider in its ability to pay determination, potentially reducing the pool of assets that could factor into the determination</w:t>
      </w:r>
      <w:r w:rsidRPr="00BC14B2">
        <w:t>.</w:t>
      </w:r>
    </w:p>
    <w:p w:rsidR="00F73566" w:rsidRPr="009C4EE7" w:rsidP="006E7910" w14:paraId="021A562A" w14:textId="4AE1F715">
      <w:pPr>
        <w:pStyle w:val="FootnoteText"/>
      </w:pPr>
      <w:r w:rsidRPr="009C4EE7">
        <w:rPr>
          <w:i/>
        </w:rPr>
        <w:t>Adrian Abramovich, Marketing Strategy Leaders, Inc., and Marketing Leaders, Inc.</w:t>
      </w:r>
      <w:r w:rsidRPr="009C4EE7">
        <w:t xml:space="preserve">, Forfeiture Order, 33 FCC </w:t>
      </w:r>
      <w:r w:rsidRPr="009C4EE7">
        <w:t>Rcd</w:t>
      </w:r>
      <w:r w:rsidRPr="009C4EE7">
        <w:t xml:space="preserve"> 4663, 4678-79, para. 44 (2018) (</w:t>
      </w:r>
      <w:r w:rsidRPr="009C4EE7">
        <w:rPr>
          <w:i/>
        </w:rPr>
        <w:t>Abramovich Forfeiture Order</w:t>
      </w:r>
      <w:r w:rsidRPr="009C4EE7">
        <w:t xml:space="preserve">) (footnotes omitted).  </w:t>
      </w:r>
    </w:p>
  </w:footnote>
  <w:footnote w:id="88">
    <w:p w:rsidR="00F73566" w:rsidRPr="009C4EE7" w:rsidP="00371EA2" w14:paraId="47684D25" w14:textId="77777777">
      <w:pPr>
        <w:pStyle w:val="FootnoteText"/>
      </w:pPr>
      <w:r w:rsidRPr="009C4EE7">
        <w:rPr>
          <w:rStyle w:val="FootnoteReference"/>
        </w:rPr>
        <w:footnoteRef/>
      </w:r>
      <w:r w:rsidRPr="009C4EE7">
        <w:t xml:space="preserve"> 47 U.S.C. § 503(b)(2)(E).  </w:t>
      </w:r>
    </w:p>
  </w:footnote>
  <w:footnote w:id="89">
    <w:p w:rsidR="00F73566" w:rsidRPr="009C4EE7" w:rsidP="00371EA2" w14:paraId="07644DA7" w14:textId="22C10645">
      <w:pPr>
        <w:pStyle w:val="FootnoteText"/>
      </w:pPr>
      <w:r w:rsidRPr="009C4EE7">
        <w:rPr>
          <w:rStyle w:val="FootnoteReference"/>
        </w:rPr>
        <w:footnoteRef/>
      </w:r>
      <w:r w:rsidRPr="009C4EE7">
        <w:t xml:space="preserve"> </w:t>
      </w:r>
      <w:r w:rsidRPr="009C4EE7">
        <w:rPr>
          <w:i/>
        </w:rPr>
        <w:t xml:space="preserve">See </w:t>
      </w:r>
      <w:r w:rsidRPr="00397D62">
        <w:rPr>
          <w:i/>
          <w:iCs/>
        </w:rPr>
        <w:t>NAL</w:t>
      </w:r>
      <w:r w:rsidRPr="009C4EE7">
        <w:t xml:space="preserve">, 33 FCC </w:t>
      </w:r>
      <w:r w:rsidRPr="009C4EE7">
        <w:t>Rcd</w:t>
      </w:r>
      <w:r w:rsidRPr="009C4EE7">
        <w:t xml:space="preserve"> at 5541, para. 23; </w:t>
      </w:r>
      <w:r w:rsidRPr="009C4EE7">
        <w:rPr>
          <w:i/>
        </w:rPr>
        <w:t xml:space="preserve">Fabrice </w:t>
      </w:r>
      <w:r w:rsidRPr="009C4EE7">
        <w:rPr>
          <w:i/>
        </w:rPr>
        <w:t>Polynice</w:t>
      </w:r>
      <w:r w:rsidRPr="009C4EE7">
        <w:rPr>
          <w:i/>
        </w:rPr>
        <w:t>, N. Miami, Fl</w:t>
      </w:r>
      <w:r w:rsidRPr="009C4EE7">
        <w:t xml:space="preserve">, Forfeiture Order, 33 FCC </w:t>
      </w:r>
      <w:r w:rsidRPr="009C4EE7">
        <w:t>Rcd</w:t>
      </w:r>
      <w:r w:rsidRPr="009C4EE7">
        <w:t xml:space="preserve"> 6852, para. 23 (2018) (declining an inability to pay request where the target’s “illegal actions were egregious and deliberate” and could “interfere with licensed communications, including authorized broadcasts and public safety transmissions”); </w:t>
      </w:r>
      <w:r w:rsidRPr="009C4EE7">
        <w:rPr>
          <w:i/>
        </w:rPr>
        <w:t>Abramovich Forfeiture Order</w:t>
      </w:r>
      <w:r w:rsidRPr="009C4EE7">
        <w:t xml:space="preserve">, 33 FCC </w:t>
      </w:r>
      <w:r w:rsidRPr="009C4EE7">
        <w:t>Rcd</w:t>
      </w:r>
      <w:r w:rsidRPr="009C4EE7">
        <w:t xml:space="preserve"> at 4679, para. 45 (ability to pay is one of several factors to be considered in determining the appropriate forfeiture and can be outweighed by other factors to result in a large forfeiture).</w:t>
      </w:r>
    </w:p>
  </w:footnote>
  <w:footnote w:id="90">
    <w:p w:rsidR="00F73566" w:rsidRPr="009C4EE7" w:rsidP="00371EA2" w14:paraId="2E03B58B" w14:textId="77777777">
      <w:pPr>
        <w:pStyle w:val="FootnoteText"/>
      </w:pPr>
      <w:r w:rsidRPr="009C4EE7">
        <w:rPr>
          <w:rStyle w:val="FootnoteReference"/>
        </w:rPr>
        <w:footnoteRef/>
      </w:r>
      <w:r w:rsidRPr="009C4EE7">
        <w:t xml:space="preserve"> </w:t>
      </w:r>
      <w:r w:rsidRPr="009C4EE7">
        <w:rPr>
          <w:i/>
          <w:iCs/>
        </w:rPr>
        <w:t>See, e.g.</w:t>
      </w:r>
      <w:r w:rsidRPr="009C4EE7">
        <w:t xml:space="preserve">, </w:t>
      </w:r>
      <w:r w:rsidRPr="009C4EE7">
        <w:rPr>
          <w:i/>
        </w:rPr>
        <w:t>Purple Communications, Inc.</w:t>
      </w:r>
      <w:r w:rsidRPr="009C4EE7">
        <w:t xml:space="preserve">, Forfeiture Order, 30 FCC </w:t>
      </w:r>
      <w:r w:rsidRPr="009C4EE7">
        <w:t>Rcd</w:t>
      </w:r>
      <w:r w:rsidRPr="009C4EE7">
        <w:t xml:space="preserve"> 14892, 14903-904, paras. 32-33 (2015) (acknowledging that “standing alone, Purple’s financial documents might support a reduction” but finding after applying the balancing factors no reduction was warranted); </w:t>
      </w:r>
      <w:r w:rsidRPr="009C4EE7">
        <w:rPr>
          <w:i/>
          <w:iCs/>
        </w:rPr>
        <w:t>TV Max, Inc., et al</w:t>
      </w:r>
      <w:r w:rsidRPr="009C4EE7">
        <w:t xml:space="preserve">., Forfeiture Order, 29 FCC </w:t>
      </w:r>
      <w:r w:rsidRPr="009C4EE7">
        <w:t>Rcd</w:t>
      </w:r>
      <w:r w:rsidRPr="009C4EE7">
        <w:t xml:space="preserve"> 8648, 8661, para. 25 (2014) (noting that the Commission “has previously rejected inability to pay claims in cases of repeated or otherwise egregious violations”); </w:t>
      </w:r>
      <w:r w:rsidRPr="009C4EE7">
        <w:rPr>
          <w:i/>
          <w:iCs/>
        </w:rPr>
        <w:t xml:space="preserve">Kevin W. </w:t>
      </w:r>
      <w:r w:rsidRPr="009C4EE7">
        <w:rPr>
          <w:i/>
          <w:iCs/>
        </w:rPr>
        <w:t>Bondy</w:t>
      </w:r>
      <w:r w:rsidRPr="009C4EE7">
        <w:t xml:space="preserve">, Forfeiture Order, 26 FCC </w:t>
      </w:r>
      <w:r w:rsidRPr="009C4EE7">
        <w:t>Rcd</w:t>
      </w:r>
      <w:r w:rsidRPr="009C4EE7">
        <w:t xml:space="preserve"> 7840, 7844–45, para. 16 (EB 2011) (violator’s repeated intentional and malicious violations outweighed evidence of inability to pay), </w:t>
      </w:r>
      <w:r w:rsidRPr="009C4EE7">
        <w:rPr>
          <w:i/>
          <w:iCs/>
        </w:rPr>
        <w:t>recon. dismissed</w:t>
      </w:r>
      <w:r w:rsidRPr="009C4EE7">
        <w:t xml:space="preserve">, Memorandum Opinion and Order, 28 FCC </w:t>
      </w:r>
      <w:r w:rsidRPr="009C4EE7">
        <w:t>Rcd</w:t>
      </w:r>
      <w:r w:rsidRPr="009C4EE7">
        <w:t xml:space="preserve"> 1170 (EB 2013); </w:t>
      </w:r>
      <w:r w:rsidRPr="009C4EE7">
        <w:rPr>
          <w:i/>
          <w:iCs/>
        </w:rPr>
        <w:t>Whisler</w:t>
      </w:r>
      <w:r w:rsidRPr="009C4EE7">
        <w:rPr>
          <w:i/>
          <w:iCs/>
        </w:rPr>
        <w:t xml:space="preserve"> </w:t>
      </w:r>
      <w:r w:rsidRPr="009C4EE7">
        <w:rPr>
          <w:i/>
          <w:iCs/>
        </w:rPr>
        <w:t>Fleurinor</w:t>
      </w:r>
      <w:r w:rsidRPr="009C4EE7">
        <w:t xml:space="preserve">, Forfeiture Order, 28 FCC </w:t>
      </w:r>
      <w:r w:rsidRPr="009C4EE7">
        <w:t>Rcd</w:t>
      </w:r>
      <w:r w:rsidRPr="009C4EE7">
        <w:t xml:space="preserve"> 1087, 1090, para. 9 (EB 2013) (violator’s demonstrated inability to pay outweighed by gravity of repeated violations).</w:t>
      </w:r>
    </w:p>
  </w:footnote>
  <w:footnote w:id="91">
    <w:p w:rsidR="00F73566" w:rsidRPr="009C4EE7" w:rsidP="00371EA2" w14:paraId="5F585FF9" w14:textId="3F15A06C">
      <w:pPr>
        <w:pStyle w:val="FootnoteText"/>
      </w:pPr>
      <w:r w:rsidRPr="009C4EE7">
        <w:rPr>
          <w:rStyle w:val="FootnoteReference"/>
        </w:rPr>
        <w:footnoteRef/>
      </w:r>
      <w:r w:rsidRPr="009C4EE7">
        <w:t xml:space="preserve"> NAL Response at 19-20.  In addition to the arguments addressed in this section, </w:t>
      </w:r>
      <w:r w:rsidRPr="009C4EE7">
        <w:t>HobbyKing</w:t>
      </w:r>
      <w:r w:rsidRPr="009C4EE7">
        <w:t xml:space="preserve"> argues the “overall mix of factors” warrants a reduction in the forfeiture</w:t>
      </w:r>
      <w:r w:rsidR="004D77F5">
        <w:t>,</w:t>
      </w:r>
      <w:r w:rsidRPr="009C4EE7">
        <w:t xml:space="preserve"> citing back to earlier arguments about lack of notice and its purported Fifth Amendment rights.  NAL Response at 19.  We rejected those arguments above</w:t>
      </w:r>
      <w:r>
        <w:t xml:space="preserve"> in Sections III.B. and III.C.</w:t>
      </w:r>
      <w:r w:rsidRPr="009C4EE7">
        <w:t xml:space="preserve"> and, thus, reject them as the basis of a downward adjustment here.  </w:t>
      </w:r>
    </w:p>
  </w:footnote>
  <w:footnote w:id="92">
    <w:p w:rsidR="00F73566" w:rsidRPr="009C4EE7" w:rsidP="00371EA2" w14:paraId="5C66C26D" w14:textId="252BB1D4">
      <w:pPr>
        <w:pStyle w:val="FootnoteText"/>
      </w:pPr>
      <w:r w:rsidRPr="009C4EE7">
        <w:rPr>
          <w:rStyle w:val="FootnoteReference"/>
        </w:rPr>
        <w:footnoteRef/>
      </w:r>
      <w:r w:rsidRPr="009C4EE7">
        <w:t xml:space="preserve"> </w:t>
      </w:r>
      <w:r w:rsidR="00BC14B2">
        <w:t xml:space="preserve">The history of noncompliant marketing going back to 2016 documented in the Marketing Citation precludes a downward adjustment for a history of compliance.  </w:t>
      </w:r>
      <w:r w:rsidRPr="00BC14B2" w:rsidR="00BC14B2">
        <w:rPr>
          <w:i/>
          <w:iCs/>
        </w:rPr>
        <w:t>See</w:t>
      </w:r>
      <w:r w:rsidR="00BC14B2">
        <w:t xml:space="preserve"> </w:t>
      </w:r>
      <w:r w:rsidRPr="009C4EE7">
        <w:rPr>
          <w:i/>
        </w:rPr>
        <w:t>Indigo Wireless, Inc.</w:t>
      </w:r>
      <w:r w:rsidRPr="009C4EE7">
        <w:t xml:space="preserve">, Forfeiture Order, 29 FCC </w:t>
      </w:r>
      <w:r w:rsidRPr="009C4EE7">
        <w:t>Rcd</w:t>
      </w:r>
      <w:r w:rsidRPr="009C4EE7">
        <w:t xml:space="preserve"> 7404, 7408, para. 8 (EB 2014) (“In light of the fact that Indigo Wireless failed to offer to consumers the requisite number of digital wireless hearing aid-compatible handset models for nine months of the reporting period, we do not believe that Indigo Wireless can be said to have a history of overall compliance with the Commission’s rules and, therefore, no reduction of the forfeiture based on this factor is warranted.”); </w:t>
      </w:r>
      <w:r w:rsidRPr="009C4EE7">
        <w:rPr>
          <w:i/>
        </w:rPr>
        <w:t>Lawmate</w:t>
      </w:r>
      <w:r w:rsidRPr="009C4EE7">
        <w:rPr>
          <w:i/>
        </w:rPr>
        <w:t xml:space="preserve"> Tech. Co., Ltd.</w:t>
      </w:r>
      <w:r w:rsidRPr="009C4EE7">
        <w:t xml:space="preserve">, Forfeiture Order, 27 FCC </w:t>
      </w:r>
      <w:r w:rsidRPr="009C4EE7">
        <w:t>Rcd</w:t>
      </w:r>
      <w:r w:rsidRPr="009C4EE7">
        <w:t xml:space="preserve"> 15159, 15162, para. 8 (EB 2012) (“When evaluating a petitioner’s compliance history, we take into account both concurrent and prior violations, including violations occurring outside the statute of limitations as well as the duration of each such violation.”).</w:t>
      </w:r>
    </w:p>
  </w:footnote>
  <w:footnote w:id="93">
    <w:p w:rsidR="00F73566" w14:paraId="38B12226" w14:textId="638A189D">
      <w:pPr>
        <w:pStyle w:val="FootnoteText"/>
      </w:pPr>
      <w:r>
        <w:rPr>
          <w:rStyle w:val="FootnoteReference"/>
        </w:rPr>
        <w:footnoteRef/>
      </w:r>
      <w:r>
        <w:t xml:space="preserve"> </w:t>
      </w:r>
      <w:r w:rsidRPr="009C4EE7">
        <w:t>NAL Response at</w:t>
      </w:r>
      <w:r>
        <w:t xml:space="preserve"> 19.</w:t>
      </w:r>
    </w:p>
  </w:footnote>
  <w:footnote w:id="94">
    <w:p w:rsidR="00F73566" w:rsidRPr="009C4EE7" w:rsidP="00371EA2" w14:paraId="71A85EB6" w14:textId="77777777">
      <w:pPr>
        <w:pStyle w:val="FootnoteText"/>
      </w:pPr>
      <w:r w:rsidRPr="009C4EE7">
        <w:rPr>
          <w:rStyle w:val="FootnoteReference"/>
        </w:rPr>
        <w:footnoteRef/>
      </w:r>
      <w:r w:rsidRPr="009C4EE7">
        <w:t xml:space="preserve"> </w:t>
      </w:r>
      <w:r w:rsidRPr="009C4EE7">
        <w:rPr>
          <w:i/>
        </w:rPr>
        <w:t xml:space="preserve">See </w:t>
      </w:r>
      <w:r w:rsidRPr="009C4EE7">
        <w:rPr>
          <w:i/>
        </w:rPr>
        <w:t>Liab</w:t>
      </w:r>
      <w:r w:rsidRPr="009C4EE7">
        <w:rPr>
          <w:i/>
        </w:rPr>
        <w:t xml:space="preserve">. of Altavista Broad. Corp., Licensee of Station </w:t>
      </w:r>
      <w:r w:rsidRPr="009C4EE7">
        <w:rPr>
          <w:i/>
        </w:rPr>
        <w:t>Wkde</w:t>
      </w:r>
      <w:r w:rsidRPr="009C4EE7">
        <w:rPr>
          <w:i/>
        </w:rPr>
        <w:t>, Altavista, Va., for Forfeiture</w:t>
      </w:r>
      <w:r w:rsidRPr="009C4EE7">
        <w:t>, Memorandum Opinion and Order, 2 FCC 2d 445, 446, para. 8 (1966) (“that the licensee allegedly did not benefit from the violations is irrelevant to this proceeding”).</w:t>
      </w:r>
    </w:p>
  </w:footnote>
  <w:footnote w:id="95">
    <w:p w:rsidR="00F73566" w:rsidP="00001C87" w14:paraId="30DE0807" w14:textId="5C121687">
      <w:pPr>
        <w:pStyle w:val="FootnoteText"/>
      </w:pPr>
      <w:r>
        <w:rPr>
          <w:rStyle w:val="FootnoteReference"/>
        </w:rPr>
        <w:footnoteRef/>
      </w:r>
      <w:r>
        <w:t xml:space="preserve"> </w:t>
      </w:r>
      <w:r w:rsidRPr="00A57311">
        <w:rPr>
          <w:i/>
        </w:rPr>
        <w:t>See e.g.</w:t>
      </w:r>
      <w:r>
        <w:t xml:space="preserve">, </w:t>
      </w:r>
      <w:r w:rsidRPr="00001C87">
        <w:rPr>
          <w:i/>
        </w:rPr>
        <w:t>Vitec Grp. Commc'ns Ltd. Cambridge, United Kingdom</w:t>
      </w:r>
      <w:r>
        <w:t xml:space="preserve">, Order on Review, 24 FCC </w:t>
      </w:r>
      <w:r>
        <w:t>Rcd</w:t>
      </w:r>
      <w:r>
        <w:t xml:space="preserve"> 14823, 14826, para. 9 (2009) (“</w:t>
      </w:r>
      <w:r w:rsidRPr="00001C87">
        <w:t>We also concur with the Bureau</w:t>
      </w:r>
      <w:r>
        <w:t>’</w:t>
      </w:r>
      <w:r w:rsidRPr="00001C87">
        <w:t xml:space="preserve">s finding that the lack of availability of the </w:t>
      </w:r>
      <w:r w:rsidRPr="00001C87">
        <w:t>CellCom</w:t>
      </w:r>
      <w:r w:rsidRPr="00001C87">
        <w:t xml:space="preserve"> 10 at the time of the pre-certification advertising is not material.</w:t>
      </w:r>
      <w:r>
        <w:t xml:space="preserve">”).  </w:t>
      </w:r>
    </w:p>
  </w:footnote>
  <w:footnote w:id="96">
    <w:p w:rsidR="00F73566" w14:paraId="63D7F7DE" w14:textId="12E8E674">
      <w:pPr>
        <w:pStyle w:val="FootnoteText"/>
      </w:pPr>
      <w:r>
        <w:rPr>
          <w:rStyle w:val="FootnoteReference"/>
        </w:rPr>
        <w:footnoteRef/>
      </w:r>
      <w:r>
        <w:t xml:space="preserve"> </w:t>
      </w:r>
      <w:r w:rsidRPr="009C4EE7">
        <w:t>NAL Response at</w:t>
      </w:r>
      <w:r>
        <w:t xml:space="preserve"> 19.  </w:t>
      </w:r>
    </w:p>
  </w:footnote>
  <w:footnote w:id="97">
    <w:p w:rsidR="00F73566" w:rsidRPr="009C4EE7" w:rsidP="00371EA2" w14:paraId="63465756" w14:textId="77777777">
      <w:pPr>
        <w:pStyle w:val="FootnoteText"/>
      </w:pPr>
      <w:r w:rsidRPr="009C4EE7">
        <w:rPr>
          <w:rStyle w:val="FootnoteReference"/>
        </w:rPr>
        <w:footnoteRef/>
      </w:r>
      <w:r w:rsidRPr="009C4EE7">
        <w:t xml:space="preserve"> </w:t>
      </w:r>
      <w:r w:rsidRPr="009C4EE7">
        <w:rPr>
          <w:i/>
        </w:rPr>
        <w:t>Pacific Western Broadcasters, Inc.</w:t>
      </w:r>
      <w:r w:rsidRPr="009C4EE7">
        <w:t xml:space="preserve">, Memorandum Opinion and Order, 50 FCC 2d 819, para. 4 (1975) (rejecting a broadcaster’s claim that the forfeiture should be downwardly adjusted because its operations at excessive power levels did not cause public harm or complaint, stating that “[t]he Commission not only is concerned with actual interference, but is concerned with the potential for interference”); </w:t>
      </w:r>
      <w:r w:rsidRPr="009C4EE7">
        <w:rPr>
          <w:i/>
        </w:rPr>
        <w:t xml:space="preserve">see also Bureau </w:t>
      </w:r>
      <w:r w:rsidRPr="009C4EE7">
        <w:rPr>
          <w:i/>
        </w:rPr>
        <w:t>Delectronique</w:t>
      </w:r>
      <w:r w:rsidRPr="009C4EE7">
        <w:rPr>
          <w:i/>
        </w:rPr>
        <w:t xml:space="preserve"> </w:t>
      </w:r>
      <w:r w:rsidRPr="009C4EE7">
        <w:rPr>
          <w:i/>
        </w:rPr>
        <w:t>Appliquee</w:t>
      </w:r>
      <w:r w:rsidRPr="009C4EE7">
        <w:rPr>
          <w:i/>
        </w:rPr>
        <w:t>, Inc.</w:t>
      </w:r>
      <w:r w:rsidRPr="009C4EE7">
        <w:t xml:space="preserve">, Forfeiture Order, 20 FCC </w:t>
      </w:r>
      <w:r w:rsidRPr="009C4EE7">
        <w:t>Rcd</w:t>
      </w:r>
      <w:r w:rsidRPr="009C4EE7">
        <w:t xml:space="preserve"> 17893, 17898, para. 16 (EB 2005) (“It is well established that the absence of public harm (i.e., the lack of interference caused by operation of Wizard and Falcon units) is not considered a mitigating factor and thus does not warrant a downward adjustment of an assessed forfeiture.”).</w:t>
      </w:r>
    </w:p>
  </w:footnote>
  <w:footnote w:id="98">
    <w:p w:rsidR="00F73566" w:rsidRPr="009C4EE7" w:rsidP="00371EA2" w14:paraId="1C917BC0" w14:textId="2373989C">
      <w:pPr>
        <w:pStyle w:val="FootnoteText"/>
      </w:pPr>
      <w:r w:rsidRPr="009C4EE7">
        <w:rPr>
          <w:rStyle w:val="FootnoteReference"/>
        </w:rPr>
        <w:footnoteRef/>
      </w:r>
      <w:r w:rsidRPr="009C4EE7">
        <w:t xml:space="preserve"> </w:t>
      </w:r>
      <w:r w:rsidRPr="0081375C">
        <w:rPr>
          <w:i/>
          <w:iCs/>
        </w:rPr>
        <w:t>NAL</w:t>
      </w:r>
      <w:r w:rsidRPr="009C4EE7">
        <w:t xml:space="preserve">, 33 FCC </w:t>
      </w:r>
      <w:r w:rsidRPr="009C4EE7">
        <w:t>Rcd</w:t>
      </w:r>
      <w:r w:rsidRPr="009C4EE7">
        <w:t xml:space="preserve"> at 5541-42, para. 23.</w:t>
      </w:r>
    </w:p>
  </w:footnote>
  <w:footnote w:id="99">
    <w:p w:rsidR="00F73566" w:rsidRPr="009C4EE7" w:rsidP="00371EA2" w14:paraId="3D921A51" w14:textId="77777777">
      <w:pPr>
        <w:pStyle w:val="FootnoteText"/>
      </w:pPr>
      <w:r w:rsidRPr="009C4EE7">
        <w:rPr>
          <w:rStyle w:val="FootnoteReference"/>
        </w:rPr>
        <w:footnoteRef/>
      </w:r>
      <w:r w:rsidRPr="009C4EE7">
        <w:t xml:space="preserve"> NAL Response at 19-20.</w:t>
      </w:r>
    </w:p>
  </w:footnote>
  <w:footnote w:id="100">
    <w:p w:rsidR="00F73566" w:rsidRPr="00A83738" w14:paraId="630E1BF9" w14:textId="05861EFD">
      <w:pPr>
        <w:pStyle w:val="FootnoteText"/>
      </w:pPr>
      <w:r>
        <w:rPr>
          <w:rStyle w:val="FootnoteReference"/>
        </w:rPr>
        <w:footnoteRef/>
      </w:r>
      <w:r>
        <w:t xml:space="preserve"> </w:t>
      </w:r>
      <w:r>
        <w:rPr>
          <w:i/>
        </w:rPr>
        <w:t>See supra</w:t>
      </w:r>
      <w:r>
        <w:t xml:space="preserve"> Section III.A.</w:t>
      </w:r>
    </w:p>
  </w:footnote>
  <w:footnote w:id="101">
    <w:p w:rsidR="00F73566" w:rsidRPr="009C4EE7" w:rsidP="00371EA2" w14:paraId="29087C87" w14:textId="693F6708">
      <w:pPr>
        <w:pStyle w:val="FootnoteText"/>
      </w:pPr>
      <w:r w:rsidRPr="009C4EE7">
        <w:rPr>
          <w:rStyle w:val="FootnoteReference"/>
        </w:rPr>
        <w:footnoteRef/>
      </w:r>
      <w:r w:rsidRPr="009C4EE7">
        <w:t xml:space="preserve"> </w:t>
      </w:r>
      <w:r w:rsidRPr="0081375C">
        <w:rPr>
          <w:i/>
          <w:iCs/>
        </w:rPr>
        <w:t>NAL</w:t>
      </w:r>
      <w:r w:rsidRPr="009C4EE7">
        <w:t xml:space="preserve">, 33 FCC </w:t>
      </w:r>
      <w:r w:rsidRPr="009C4EE7">
        <w:t>Rcd</w:t>
      </w:r>
      <w:r w:rsidRPr="009C4EE7">
        <w:t xml:space="preserve"> at 5536-37, paras. 12-13.</w:t>
      </w:r>
    </w:p>
  </w:footnote>
  <w:footnote w:id="102">
    <w:p w:rsidR="00F73566" w:rsidRPr="00A83738" w14:paraId="7DB96844" w14:textId="79AAFEA4">
      <w:pPr>
        <w:pStyle w:val="FootnoteText"/>
      </w:pPr>
      <w:r>
        <w:rPr>
          <w:rStyle w:val="FootnoteReference"/>
        </w:rPr>
        <w:footnoteRef/>
      </w:r>
      <w:r>
        <w:t xml:space="preserve"> </w:t>
      </w:r>
      <w:r w:rsidRPr="006F7BBB">
        <w:rPr>
          <w:i/>
        </w:rPr>
        <w:t>Id</w:t>
      </w:r>
      <w:r>
        <w:t xml:space="preserve">. </w:t>
      </w:r>
      <w:r w:rsidRPr="009C4EE7">
        <w:t>at 5537, para. 13</w:t>
      </w:r>
      <w:r>
        <w:t xml:space="preserve"> n.50; </w:t>
      </w:r>
      <w:r w:rsidRPr="00A83738">
        <w:rPr>
          <w:i/>
        </w:rPr>
        <w:t>see also</w:t>
      </w:r>
      <w:r>
        <w:t xml:space="preserve"> </w:t>
      </w:r>
      <w:r w:rsidRPr="009C4EE7">
        <w:rPr>
          <w:i/>
        </w:rPr>
        <w:t>AV Transmitter Enforcement Advisory</w:t>
      </w:r>
      <w:r>
        <w:t xml:space="preserve">.  </w:t>
      </w:r>
    </w:p>
  </w:footnote>
  <w:footnote w:id="103">
    <w:p w:rsidR="00F73566" w:rsidRPr="009C4EE7" w14:paraId="6713FBD1" w14:textId="54B1CB30">
      <w:pPr>
        <w:pStyle w:val="FootnoteText"/>
      </w:pPr>
      <w:r w:rsidRPr="009C4EE7">
        <w:rPr>
          <w:rStyle w:val="FootnoteReference"/>
        </w:rPr>
        <w:footnoteRef/>
      </w:r>
      <w:r w:rsidRPr="009C4EE7">
        <w:t xml:space="preserve"> NAL Response at 20.</w:t>
      </w:r>
    </w:p>
  </w:footnote>
  <w:footnote w:id="104">
    <w:p w:rsidR="00F73566" w:rsidRPr="009C4EE7" w:rsidP="00371EA2" w14:paraId="04B06988" w14:textId="53CF9EAA">
      <w:pPr>
        <w:pStyle w:val="FootnoteText"/>
      </w:pPr>
      <w:r w:rsidRPr="009C4EE7">
        <w:rPr>
          <w:rStyle w:val="FootnoteReference"/>
        </w:rPr>
        <w:footnoteRef/>
      </w:r>
      <w:r w:rsidRPr="009C4EE7">
        <w:t xml:space="preserve"> </w:t>
      </w:r>
      <w:r w:rsidRPr="0081375C">
        <w:rPr>
          <w:i/>
          <w:iCs/>
        </w:rPr>
        <w:t>NAL</w:t>
      </w:r>
      <w:r w:rsidRPr="009C4EE7">
        <w:t xml:space="preserve">, 33 FCC </w:t>
      </w:r>
      <w:r w:rsidRPr="009C4EE7">
        <w:t>Rcd</w:t>
      </w:r>
      <w:r w:rsidRPr="009C4EE7">
        <w:t xml:space="preserve"> at 5533, para. 7, n.26.  </w:t>
      </w:r>
      <w:r w:rsidRPr="009C4EE7">
        <w:t>HobbyKing</w:t>
      </w:r>
      <w:r w:rsidRPr="009C4EE7">
        <w:t xml:space="preserve"> claims it is not the responsible party and that we should therefore lower the forfeiture amount.  NAL Response at 20.</w:t>
      </w:r>
    </w:p>
  </w:footnote>
  <w:footnote w:id="105">
    <w:p w:rsidR="00F73566" w:rsidRPr="0005423D" w:rsidP="00371EA2" w14:paraId="7ECD2965" w14:textId="75A2D0FD">
      <w:pPr>
        <w:pStyle w:val="FootnoteText"/>
      </w:pPr>
      <w:r w:rsidRPr="0057042F">
        <w:rPr>
          <w:rStyle w:val="FootnoteReference"/>
        </w:rPr>
        <w:footnoteRef/>
      </w:r>
      <w:r w:rsidRPr="0057042F">
        <w:t xml:space="preserve"> </w:t>
      </w:r>
      <w:r w:rsidRPr="003B16F1">
        <w:rPr>
          <w:color w:val="000000"/>
        </w:rPr>
        <w:t xml:space="preserve">47 U.S.C. § </w:t>
      </w:r>
      <w:r w:rsidRPr="0057042F">
        <w:t xml:space="preserve">302a(b); </w:t>
      </w:r>
      <w:r w:rsidRPr="003B16F1">
        <w:rPr>
          <w:color w:val="000000"/>
        </w:rPr>
        <w:t xml:space="preserve">47 CFR § </w:t>
      </w:r>
      <w:r w:rsidRPr="0057042F">
        <w:t>2.803</w:t>
      </w:r>
      <w:r w:rsidRPr="003B16F1">
        <w:rPr>
          <w:color w:val="000000"/>
        </w:rPr>
        <w:t xml:space="preserve">.  As detailed in the </w:t>
      </w:r>
      <w:r w:rsidRPr="0081375C">
        <w:rPr>
          <w:i/>
          <w:iCs/>
          <w:color w:val="000000"/>
        </w:rPr>
        <w:t>NAL</w:t>
      </w:r>
      <w:r w:rsidRPr="003B16F1">
        <w:rPr>
          <w:color w:val="000000"/>
        </w:rPr>
        <w:t xml:space="preserve">, </w:t>
      </w:r>
      <w:r w:rsidRPr="003B16F1">
        <w:rPr>
          <w:color w:val="000000"/>
        </w:rPr>
        <w:t>HobbyKing</w:t>
      </w:r>
      <w:r w:rsidRPr="003B16F1">
        <w:rPr>
          <w:color w:val="000000"/>
        </w:rPr>
        <w:t xml:space="preserve"> received a Citation warning that continued marketing could subject the Company to </w:t>
      </w:r>
      <w:r w:rsidRPr="003B16F1">
        <w:rPr>
          <w:color w:val="000000"/>
        </w:rPr>
        <w:t>penalties</w:t>
      </w:r>
      <w:r w:rsidRPr="003B16F1">
        <w:rPr>
          <w:color w:val="000000"/>
        </w:rPr>
        <w:t xml:space="preserve"> and it continued to market noncompliant AV transmitters anyway.  </w:t>
      </w:r>
      <w:r w:rsidRPr="0081375C">
        <w:rPr>
          <w:i/>
          <w:iCs/>
        </w:rPr>
        <w:t>NAL</w:t>
      </w:r>
      <w:r w:rsidRPr="0057042F">
        <w:t xml:space="preserve">, 33 FCC </w:t>
      </w:r>
      <w:r w:rsidRPr="0057042F">
        <w:t>Rcd</w:t>
      </w:r>
      <w:r w:rsidRPr="0057042F">
        <w:t xml:space="preserve"> at 5531-32, paras. 4-5.  </w:t>
      </w:r>
    </w:p>
  </w:footnote>
  <w:footnote w:id="106">
    <w:p w:rsidR="00F73566" w:rsidRPr="009C4EE7" w:rsidP="00371EA2" w14:paraId="1FBA013A" w14:textId="58176064">
      <w:pPr>
        <w:pStyle w:val="FootnoteText"/>
      </w:pPr>
      <w:r w:rsidRPr="009C4EE7">
        <w:rPr>
          <w:rStyle w:val="FootnoteReference"/>
        </w:rPr>
        <w:footnoteRef/>
      </w:r>
      <w:r w:rsidRPr="009C4EE7">
        <w:t xml:space="preserve"> </w:t>
      </w:r>
      <w:r w:rsidRPr="0081375C">
        <w:rPr>
          <w:i/>
          <w:iCs/>
        </w:rPr>
        <w:t>NAL</w:t>
      </w:r>
      <w:r w:rsidRPr="009C4EE7">
        <w:t xml:space="preserve">, 33 FCC </w:t>
      </w:r>
      <w:r w:rsidRPr="009C4EE7">
        <w:t>Rcd</w:t>
      </w:r>
      <w:r w:rsidRPr="009C4EE7">
        <w:t xml:space="preserve"> at 5531-32, paras. 4-5.  </w:t>
      </w:r>
      <w:r w:rsidRPr="009C4EE7">
        <w:t>HobbyKing</w:t>
      </w:r>
      <w:r w:rsidRPr="009C4EE7">
        <w:t xml:space="preserve"> may also be the manufacturer of some of the devices in question and thus, also responsible for the device certification. </w:t>
      </w:r>
      <w:r w:rsidRPr="009C4EE7">
        <w:rPr>
          <w:i/>
        </w:rPr>
        <w:t xml:space="preserve"> See</w:t>
      </w:r>
      <w:r w:rsidRPr="009C4EE7">
        <w:t xml:space="preserve"> </w:t>
      </w:r>
      <w:r w:rsidRPr="0081375C">
        <w:rPr>
          <w:i/>
          <w:iCs/>
        </w:rPr>
        <w:t>NAL</w:t>
      </w:r>
      <w:r w:rsidRPr="009C4EE7">
        <w:t xml:space="preserve">, 33 FCC </w:t>
      </w:r>
      <w:r w:rsidRPr="009C4EE7">
        <w:t>Rcd</w:t>
      </w:r>
      <w:r w:rsidRPr="009C4EE7">
        <w:t xml:space="preserve"> at 5533, para. 7, n.26.</w:t>
      </w:r>
    </w:p>
  </w:footnote>
  <w:footnote w:id="107">
    <w:p w:rsidR="00F73566" w:rsidRPr="009C4EE7" w:rsidP="00371EA2" w14:paraId="1D1EC026" w14:textId="0B09A819">
      <w:pPr>
        <w:pStyle w:val="FootnoteText"/>
      </w:pPr>
      <w:r w:rsidRPr="009C4EE7">
        <w:rPr>
          <w:rStyle w:val="FootnoteReference"/>
        </w:rPr>
        <w:footnoteRef/>
      </w:r>
      <w:r w:rsidRPr="009C4EE7">
        <w:t xml:space="preserve"> </w:t>
      </w:r>
      <w:r>
        <w:t>HobbyKing</w:t>
      </w:r>
      <w:r>
        <w:t xml:space="preserve"> argues other cases show its forfeiture should be reduced.  </w:t>
      </w:r>
      <w:r w:rsidRPr="009C4EE7">
        <w:t>NAL Response at 20-21.</w:t>
      </w:r>
      <w:r>
        <w:t xml:space="preserve">  </w:t>
      </w:r>
    </w:p>
  </w:footnote>
  <w:footnote w:id="108">
    <w:p w:rsidR="00F73566" w:rsidRPr="009C4EE7" w:rsidP="00371EA2" w14:paraId="002FA439" w14:textId="09B97DC9">
      <w:pPr>
        <w:pStyle w:val="FootnoteText"/>
      </w:pPr>
      <w:r w:rsidRPr="009C4EE7">
        <w:rPr>
          <w:rStyle w:val="FootnoteReference"/>
        </w:rPr>
        <w:footnoteRef/>
      </w:r>
      <w:r w:rsidRPr="009C4EE7">
        <w:t xml:space="preserve"> </w:t>
      </w:r>
      <w:r w:rsidRPr="009C4EE7">
        <w:rPr>
          <w:i/>
        </w:rPr>
        <w:t>Lumenier</w:t>
      </w:r>
      <w:r w:rsidRPr="009C4EE7">
        <w:rPr>
          <w:i/>
        </w:rPr>
        <w:t xml:space="preserve"> Holdco LLC, formerly known as FPV Manuals LLC</w:t>
      </w:r>
      <w:r w:rsidRPr="009C4EE7">
        <w:t xml:space="preserve">, Order and Consent Decree, 32 FCC </w:t>
      </w:r>
      <w:r w:rsidRPr="009C4EE7">
        <w:t>Rcd</w:t>
      </w:r>
      <w:r w:rsidRPr="009C4EE7">
        <w:t xml:space="preserve"> 10291 (EB 2017) (settling investigation into noncompliant drone AV transmitters); </w:t>
      </w:r>
      <w:r w:rsidRPr="009C4EE7">
        <w:rPr>
          <w:i/>
        </w:rPr>
        <w:t>Horizon Hobby, LLC</w:t>
      </w:r>
      <w:r w:rsidRPr="009C4EE7">
        <w:t xml:space="preserve">, Order and Consent Decree, 33 FCC </w:t>
      </w:r>
      <w:r w:rsidRPr="009C4EE7">
        <w:t>Rcd</w:t>
      </w:r>
      <w:r w:rsidRPr="009C4EE7">
        <w:t xml:space="preserve"> 7982 (EB 2018)</w:t>
      </w:r>
      <w:r>
        <w:t xml:space="preserve"> (same)</w:t>
      </w:r>
      <w:r w:rsidRPr="009C4EE7">
        <w:t>.</w:t>
      </w:r>
    </w:p>
  </w:footnote>
  <w:footnote w:id="109">
    <w:p w:rsidR="00F73566" w:rsidRPr="009C4EE7" w:rsidP="00371EA2" w14:paraId="3EBBDC13" w14:textId="71BE69B7">
      <w:pPr>
        <w:pStyle w:val="FootnoteText"/>
      </w:pPr>
      <w:r w:rsidRPr="009C4EE7">
        <w:rPr>
          <w:rStyle w:val="FootnoteReference"/>
        </w:rPr>
        <w:footnoteRef/>
      </w:r>
      <w:r w:rsidRPr="009C4EE7">
        <w:t xml:space="preserve"> </w:t>
      </w:r>
      <w:r w:rsidRPr="009C4EE7">
        <w:rPr>
          <w:i/>
          <w:snapToGrid w:val="0"/>
        </w:rPr>
        <w:t>See</w:t>
      </w:r>
      <w:r w:rsidRPr="009C4EE7">
        <w:rPr>
          <w:snapToGrid w:val="0"/>
        </w:rPr>
        <w:t xml:space="preserve"> </w:t>
      </w:r>
      <w:r w:rsidRPr="009C4EE7">
        <w:rPr>
          <w:i/>
          <w:snapToGrid w:val="0"/>
        </w:rPr>
        <w:t>Iftron</w:t>
      </w:r>
      <w:r w:rsidRPr="009C4EE7">
        <w:rPr>
          <w:snapToGrid w:val="0"/>
        </w:rPr>
        <w:t xml:space="preserve">, 24 FCC </w:t>
      </w:r>
      <w:r w:rsidRPr="009C4EE7">
        <w:rPr>
          <w:snapToGrid w:val="0"/>
        </w:rPr>
        <w:t>Rcd</w:t>
      </w:r>
      <w:r w:rsidRPr="009C4EE7">
        <w:rPr>
          <w:snapToGrid w:val="0"/>
        </w:rPr>
        <w:t xml:space="preserve"> at 8804, para. 5</w:t>
      </w:r>
      <w:r>
        <w:rPr>
          <w:snapToGrid w:val="0"/>
        </w:rPr>
        <w:t xml:space="preserve"> (notice of apparent liability for </w:t>
      </w:r>
      <w:r>
        <w:t>marketing an audio/video transmitter that operates on a restricted frequency and therefore is not eligible for a grant of equipment certification</w:t>
      </w:r>
      <w:r>
        <w:rPr>
          <w:snapToGrid w:val="0"/>
        </w:rPr>
        <w:t>)</w:t>
      </w:r>
      <w:r w:rsidRPr="009C4EE7">
        <w:rPr>
          <w:snapToGrid w:val="0"/>
        </w:rPr>
        <w:t xml:space="preserve">; </w:t>
      </w:r>
      <w:r w:rsidRPr="009C4EE7">
        <w:rPr>
          <w:i/>
        </w:rPr>
        <w:t>New Generation Hobbies</w:t>
      </w:r>
      <w:r w:rsidRPr="009C4EE7">
        <w:t xml:space="preserve">, 26 FCC </w:t>
      </w:r>
      <w:r w:rsidRPr="009C4EE7">
        <w:t>Rcd</w:t>
      </w:r>
      <w:r w:rsidRPr="009C4EE7">
        <w:t xml:space="preserve"> at 9471, n.23</w:t>
      </w:r>
      <w:r>
        <w:t xml:space="preserve"> (citation for marketing unauthorized video transmitters that operate on restricted frequencies)</w:t>
      </w:r>
      <w:r w:rsidRPr="009C4EE7">
        <w:t>.</w:t>
      </w:r>
      <w:r>
        <w:t xml:space="preserve">  </w:t>
      </w:r>
    </w:p>
  </w:footnote>
  <w:footnote w:id="110">
    <w:p w:rsidR="00F73566" w:rsidRPr="009C4EE7" w:rsidP="00371EA2" w14:paraId="47F695AD" w14:textId="0A24A6D0">
      <w:pPr>
        <w:pStyle w:val="FootnoteText"/>
      </w:pPr>
      <w:r w:rsidRPr="009C4EE7">
        <w:rPr>
          <w:rStyle w:val="FootnoteReference"/>
        </w:rPr>
        <w:footnoteRef/>
      </w:r>
      <w:r w:rsidRPr="009C4EE7">
        <w:t xml:space="preserve"> </w:t>
      </w:r>
      <w:r w:rsidRPr="0081375C">
        <w:rPr>
          <w:i/>
          <w:iCs/>
        </w:rPr>
        <w:t>NAL</w:t>
      </w:r>
      <w:r w:rsidRPr="009C4EE7">
        <w:t xml:space="preserve">, 33 FCC </w:t>
      </w:r>
      <w:r w:rsidRPr="009C4EE7">
        <w:t>Rcd</w:t>
      </w:r>
      <w:r w:rsidRPr="009C4EE7">
        <w:t xml:space="preserve"> at 5540, para. 21.</w:t>
      </w:r>
    </w:p>
  </w:footnote>
  <w:footnote w:id="111">
    <w:p w:rsidR="00F73566" w:rsidRPr="009C4EE7" w:rsidP="00371EA2" w14:paraId="59D8EEBB" w14:textId="51400B8C">
      <w:pPr>
        <w:pStyle w:val="FootnoteText"/>
      </w:pPr>
      <w:r w:rsidRPr="009C4EE7">
        <w:rPr>
          <w:rStyle w:val="FootnoteReference"/>
        </w:rPr>
        <w:footnoteRef/>
      </w:r>
      <w:r w:rsidRPr="009C4EE7">
        <w:t xml:space="preserve"> 47 CFR § 1.80(b). </w:t>
      </w:r>
      <w:r w:rsidRPr="009C4EE7">
        <w:rPr>
          <w:i/>
        </w:rPr>
        <w:t>See e.g.</w:t>
      </w:r>
      <w:r w:rsidRPr="009C4EE7">
        <w:t xml:space="preserve">, </w:t>
      </w:r>
      <w:r w:rsidRPr="009C4EE7">
        <w:rPr>
          <w:i/>
        </w:rPr>
        <w:t>Behringer USA, Inc.</w:t>
      </w:r>
      <w:r w:rsidRPr="009C4EE7">
        <w:t xml:space="preserve">, Notice of Apparent Liability for Forfeiture and Order, 21 FCC </w:t>
      </w:r>
      <w:r w:rsidRPr="009C4EE7">
        <w:t>Rcd</w:t>
      </w:r>
      <w:r w:rsidRPr="009C4EE7">
        <w:t xml:space="preserve"> 1820 (2006), </w:t>
      </w:r>
      <w:r w:rsidRPr="009C4EE7">
        <w:rPr>
          <w:i/>
        </w:rPr>
        <w:t>forfeiture ordered</w:t>
      </w:r>
      <w:r w:rsidRPr="009C4EE7">
        <w:t xml:space="preserve">, 22 FCC </w:t>
      </w:r>
      <w:r w:rsidRPr="009C4EE7">
        <w:t>Rcd</w:t>
      </w:r>
      <w:r w:rsidRPr="009C4EE7">
        <w:t xml:space="preserve"> 10451 (2007) (forfeiture paid) (</w:t>
      </w:r>
      <w:r w:rsidRPr="009C4EE7">
        <w:rPr>
          <w:i/>
        </w:rPr>
        <w:t>Behringer</w:t>
      </w:r>
      <w:r w:rsidRPr="009C4EE7">
        <w:t>).</w:t>
      </w:r>
    </w:p>
  </w:footnote>
  <w:footnote w:id="112">
    <w:p w:rsidR="00F73566" w:rsidRPr="009C4EE7" w:rsidP="00371EA2" w14:paraId="724B5073" w14:textId="77777777">
      <w:pPr>
        <w:pStyle w:val="FootnoteText"/>
      </w:pPr>
      <w:r w:rsidRPr="009C4EE7">
        <w:rPr>
          <w:rStyle w:val="FootnoteReference"/>
        </w:rPr>
        <w:footnoteRef/>
      </w:r>
      <w:r w:rsidRPr="009C4EE7">
        <w:t xml:space="preserve"> </w:t>
      </w:r>
      <w:r w:rsidRPr="009C4EE7">
        <w:rPr>
          <w:color w:val="000000"/>
          <w:lang w:val="es-ES"/>
        </w:rPr>
        <w:t xml:space="preserve">47 U.S.C. § 503(b)(2)(E); </w:t>
      </w:r>
      <w:r w:rsidRPr="009C4EE7">
        <w:rPr>
          <w:color w:val="000000"/>
        </w:rPr>
        <w:t xml:space="preserve">47 CFR § 1.80(b)(8), Note to paragraph (b)(8); </w:t>
      </w:r>
      <w:r w:rsidRPr="009C4EE7">
        <w:rPr>
          <w:i/>
          <w:color w:val="000000"/>
        </w:rPr>
        <w:t>see also</w:t>
      </w:r>
      <w:r w:rsidRPr="009C4EE7">
        <w:rPr>
          <w:color w:val="000000"/>
        </w:rPr>
        <w:t xml:space="preserve"> </w:t>
      </w:r>
      <w:r w:rsidRPr="009C4EE7">
        <w:rPr>
          <w:i/>
          <w:color w:val="000000"/>
        </w:rPr>
        <w:t>Forfeiture Policy Statement</w:t>
      </w:r>
      <w:r w:rsidRPr="009C4EE7">
        <w:rPr>
          <w:color w:val="000000"/>
        </w:rPr>
        <w:t xml:space="preserve">.  </w:t>
      </w:r>
    </w:p>
  </w:footnote>
  <w:footnote w:id="113">
    <w:p w:rsidR="00F73566" w:rsidRPr="009C4EE7" w:rsidP="00371EA2" w14:paraId="4E5A47C8" w14:textId="5DDC99C0">
      <w:pPr>
        <w:pStyle w:val="FootnoteText"/>
      </w:pPr>
      <w:r w:rsidRPr="009C4EE7">
        <w:rPr>
          <w:rStyle w:val="FootnoteReference"/>
        </w:rPr>
        <w:footnoteRef/>
      </w:r>
      <w:r w:rsidRPr="009C4EE7">
        <w:t xml:space="preserve"> </w:t>
      </w:r>
      <w:r w:rsidRPr="0081375C">
        <w:rPr>
          <w:i/>
          <w:iCs/>
        </w:rPr>
        <w:t>NAL</w:t>
      </w:r>
      <w:r w:rsidRPr="009C4EE7">
        <w:t xml:space="preserve">, 33 FCC </w:t>
      </w:r>
      <w:r w:rsidRPr="009C4EE7">
        <w:t>Rcd</w:t>
      </w:r>
      <w:r w:rsidRPr="009C4EE7">
        <w:t xml:space="preserve"> at 5540-41, para. 22.  Although the forfeiture amount is significant, an assessment for each model at the statutory maximum at the time would have resulted in a forfeiture amount of $9,573,850 (65 models x $147,290).  </w:t>
      </w:r>
    </w:p>
  </w:footnote>
  <w:footnote w:id="114">
    <w:p w:rsidR="00F73566" w:rsidRPr="003F38A6" w:rsidP="00371EA2" w14:paraId="7880B52B" w14:textId="191C33E1">
      <w:pPr>
        <w:pStyle w:val="FootnoteText"/>
      </w:pPr>
      <w:r w:rsidRPr="009C4EE7">
        <w:rPr>
          <w:rStyle w:val="FootnoteReference"/>
        </w:rPr>
        <w:footnoteRef/>
      </w:r>
      <w:r w:rsidRPr="009C4EE7">
        <w:t xml:space="preserve"> </w:t>
      </w:r>
      <w:r w:rsidRPr="006F7BBB">
        <w:rPr>
          <w:i/>
        </w:rPr>
        <w:t>See</w:t>
      </w:r>
      <w:r>
        <w:rPr>
          <w:i/>
        </w:rPr>
        <w:t xml:space="preserve"> supra </w:t>
      </w:r>
      <w:r>
        <w:t>Sections III.D.1. and III.D.2.</w:t>
      </w:r>
    </w:p>
  </w:footnote>
  <w:footnote w:id="115">
    <w:p w:rsidR="00F73566" w:rsidRPr="009C4EE7" w:rsidP="00371EA2" w14:paraId="7CB339F0" w14:textId="475F7D4B">
      <w:pPr>
        <w:pStyle w:val="FootnoteText"/>
      </w:pPr>
      <w:r w:rsidRPr="009C4EE7">
        <w:rPr>
          <w:rStyle w:val="FootnoteReference"/>
        </w:rPr>
        <w:footnoteRef/>
      </w:r>
      <w:r w:rsidRPr="009C4EE7">
        <w:t xml:space="preserve"> </w:t>
      </w:r>
      <w:r w:rsidRPr="009C4EE7">
        <w:rPr>
          <w:i/>
        </w:rPr>
        <w:t>See e.g.</w:t>
      </w:r>
      <w:r w:rsidRPr="009C4EE7">
        <w:t xml:space="preserve">, </w:t>
      </w:r>
      <w:r w:rsidRPr="009C4EE7">
        <w:rPr>
          <w:i/>
        </w:rPr>
        <w:t>Bear Down Brands, LLC DBA Pure Enrichment</w:t>
      </w:r>
      <w:r w:rsidRPr="009C4EE7">
        <w:t xml:space="preserve">, Notice of Apparent Liability for Forfeiture, 33 FCC </w:t>
      </w:r>
      <w:r w:rsidRPr="009C4EE7">
        <w:t>Rcd</w:t>
      </w:r>
      <w:r w:rsidRPr="009C4EE7">
        <w:t xml:space="preserve"> 5449, 5457-59, paras. 23-26 (May 30, 2018) (proposing a total forfeiture of $590,380 for 14 models of noncompliant radio frequency device models) (forfeiture paid); </w:t>
      </w:r>
      <w:r w:rsidRPr="009C4EE7">
        <w:rPr>
          <w:i/>
        </w:rPr>
        <w:t>Behringer</w:t>
      </w:r>
      <w:r w:rsidRPr="009C4EE7">
        <w:t>, 2</w:t>
      </w:r>
      <w:r>
        <w:t>2</w:t>
      </w:r>
      <w:r w:rsidRPr="009C4EE7">
        <w:t xml:space="preserve"> FCC </w:t>
      </w:r>
      <w:r w:rsidRPr="009C4EE7">
        <w:t>Rcd</w:t>
      </w:r>
      <w:r w:rsidRPr="009C4EE7">
        <w:t xml:space="preserve"> at 10458, para. 17 (affirming $1,000,000 forfeiture for 50 noncompliant radio frequency device models).  Additionally, </w:t>
      </w:r>
      <w:r w:rsidRPr="009C4EE7">
        <w:t>HobbyKing</w:t>
      </w:r>
      <w:r w:rsidRPr="009C4EE7">
        <w:t xml:space="preserve"> mischaracterizes the nature of several cases in arguing that the Commission is assessing higher upward adjustments in this case than in prior cases involving actual interference to public safety.  NAL Response at 22, n.46.  To start, the </w:t>
      </w:r>
      <w:r w:rsidRPr="009C4EE7">
        <w:rPr>
          <w:i/>
        </w:rPr>
        <w:t>Ravi Import Warehouse</w:t>
      </w:r>
      <w:r w:rsidRPr="009C4EE7">
        <w:t xml:space="preserve"> case did not involve interference to public safety, yet still had a 30% upward adjustment based on the target’s behavior in the investigation.  </w:t>
      </w:r>
      <w:r w:rsidRPr="009C4EE7">
        <w:rPr>
          <w:i/>
        </w:rPr>
        <w:t>See e.g.</w:t>
      </w:r>
      <w:r w:rsidRPr="009C4EE7">
        <w:t xml:space="preserve">, </w:t>
      </w:r>
      <w:r w:rsidRPr="009C4EE7">
        <w:rPr>
          <w:i/>
        </w:rPr>
        <w:t>Ravi’s Import Warehouse Inc.</w:t>
      </w:r>
      <w:r w:rsidRPr="009C4EE7">
        <w:t xml:space="preserve">, Notice of Apparent Liability for Forfeiture, 32 FCC </w:t>
      </w:r>
      <w:r w:rsidRPr="009C4EE7">
        <w:t>Rcd</w:t>
      </w:r>
      <w:r w:rsidRPr="009C4EE7">
        <w:t xml:space="preserve"> 5606 (EB 2017) (interference to AT&amp;T’s base station).  The unique facts of the other cases cited by </w:t>
      </w:r>
      <w:r w:rsidRPr="009C4EE7">
        <w:t>HobbyKing</w:t>
      </w:r>
      <w:r w:rsidRPr="009C4EE7">
        <w:t xml:space="preserve"> involving interference to public safety do not warrant a reduction here, and </w:t>
      </w:r>
      <w:r w:rsidRPr="009C4EE7">
        <w:t>HobbyKing</w:t>
      </w:r>
      <w:r w:rsidRPr="009C4EE7">
        <w:t xml:space="preserve"> makes no attempt to compare the circumstances in those cases involving operation violations to its own equipment marketing violations.  </w:t>
      </w:r>
    </w:p>
  </w:footnote>
  <w:footnote w:id="116">
    <w:p w:rsidR="00F73566" w:rsidRPr="009C4EE7" w:rsidP="00371EA2" w14:paraId="02C2AE31" w14:textId="6B9F8183">
      <w:pPr>
        <w:pStyle w:val="FootnoteText"/>
        <w:rPr>
          <w:color w:val="000000"/>
        </w:rPr>
      </w:pPr>
      <w:r w:rsidRPr="009C4EE7">
        <w:rPr>
          <w:rStyle w:val="FootnoteReference"/>
          <w:color w:val="000000"/>
        </w:rPr>
        <w:footnoteRef/>
      </w:r>
      <w:r w:rsidRPr="009C4EE7">
        <w:rPr>
          <w:color w:val="000000"/>
          <w:lang w:val="es-ES"/>
        </w:rPr>
        <w:t xml:space="preserve"> 47 U.S.C. § </w:t>
      </w:r>
      <w:r w:rsidRPr="009C4EE7">
        <w:t>302a(b)</w:t>
      </w:r>
      <w:r w:rsidRPr="009C4EE7">
        <w:rPr>
          <w:color w:val="000000"/>
          <w:lang w:val="es-ES"/>
        </w:rPr>
        <w:t>.</w:t>
      </w:r>
      <w:r>
        <w:rPr>
          <w:color w:val="000000"/>
          <w:lang w:val="es-ES"/>
        </w:rPr>
        <w:t xml:space="preserve">  </w:t>
      </w:r>
    </w:p>
  </w:footnote>
  <w:footnote w:id="117">
    <w:p w:rsidR="00F73566" w:rsidRPr="009C4EE7" w:rsidP="00371EA2" w14:paraId="01A146FA" w14:textId="34642A07">
      <w:pPr>
        <w:pStyle w:val="FootnoteText"/>
        <w:rPr>
          <w:color w:val="000000"/>
        </w:rPr>
      </w:pPr>
      <w:r w:rsidRPr="009C4EE7">
        <w:rPr>
          <w:rStyle w:val="FootnoteReference"/>
          <w:color w:val="000000"/>
        </w:rPr>
        <w:footnoteRef/>
      </w:r>
      <w:r w:rsidRPr="009C4EE7">
        <w:rPr>
          <w:color w:val="000000"/>
          <w:lang w:val="es-ES"/>
        </w:rPr>
        <w:t xml:space="preserve"> 47 CFR § </w:t>
      </w:r>
      <w:r w:rsidRPr="009C4EE7">
        <w:t>2.803</w:t>
      </w:r>
      <w:r w:rsidRPr="009C4EE7">
        <w:rPr>
          <w:color w:val="000000"/>
          <w:lang w:val="es-ES"/>
        </w:rPr>
        <w:t>.</w:t>
      </w:r>
      <w:r>
        <w:rPr>
          <w:color w:val="000000"/>
          <w:lang w:val="es-ES"/>
        </w:rPr>
        <w:t xml:space="preserve">  </w:t>
      </w:r>
    </w:p>
  </w:footnote>
  <w:footnote w:id="118">
    <w:p w:rsidR="00F73566" w:rsidRPr="009C4EE7" w:rsidP="00371EA2" w14:paraId="232C88A4" w14:textId="7E0C4DE3">
      <w:pPr>
        <w:pStyle w:val="FootnoteText"/>
      </w:pPr>
      <w:r w:rsidRPr="009C4EE7">
        <w:rPr>
          <w:rStyle w:val="FootnoteReference"/>
        </w:rPr>
        <w:footnoteRef/>
      </w:r>
      <w:r w:rsidRPr="009C4EE7">
        <w:t xml:space="preserve"> </w:t>
      </w:r>
      <w:r w:rsidRPr="009C4EE7">
        <w:rPr>
          <w:i/>
        </w:rPr>
        <w:t xml:space="preserve">See </w:t>
      </w:r>
      <w:r w:rsidRPr="003F38A6">
        <w:rPr>
          <w:i/>
        </w:rPr>
        <w:t>supra</w:t>
      </w:r>
      <w:r>
        <w:t xml:space="preserve"> n</w:t>
      </w:r>
      <w:r w:rsidR="007051A8">
        <w:t xml:space="preserve">ote </w:t>
      </w:r>
      <w:r>
        <w:fldChar w:fldCharType="begin"/>
      </w:r>
      <w:r>
        <w:instrText xml:space="preserve"> NOTEREF _Ref19616712 \h </w:instrText>
      </w:r>
      <w:r>
        <w:fldChar w:fldCharType="separate"/>
      </w:r>
      <w:r w:rsidR="009317B5">
        <w:t>15</w:t>
      </w:r>
      <w:r>
        <w:fldChar w:fldCharType="end"/>
      </w:r>
      <w:r w:rsidRPr="009C4EE7">
        <w:rPr>
          <w:i/>
        </w:rPr>
        <w:t>.</w:t>
      </w:r>
      <w:r>
        <w:t xml:space="preserve">  </w:t>
      </w:r>
    </w:p>
  </w:footnote>
  <w:footnote w:id="119">
    <w:p w:rsidR="00F73566" w:rsidRPr="009C4EE7" w:rsidP="00371EA2" w14:paraId="7E82BF4E" w14:textId="77777777">
      <w:pPr>
        <w:pStyle w:val="FootnoteText"/>
      </w:pPr>
      <w:r w:rsidRPr="009C4EE7">
        <w:rPr>
          <w:rStyle w:val="FootnoteReference"/>
        </w:rPr>
        <w:footnoteRef/>
      </w:r>
      <w:r w:rsidRPr="009C4EE7">
        <w:t xml:space="preserve"> 47 U.S.C. § 503(b).</w:t>
      </w:r>
    </w:p>
  </w:footnote>
  <w:footnote w:id="120">
    <w:p w:rsidR="00F73566" w:rsidRPr="009C4EE7" w:rsidP="00371EA2" w14:paraId="78F2082F" w14:textId="77777777">
      <w:pPr>
        <w:pStyle w:val="FootnoteText"/>
      </w:pPr>
      <w:r w:rsidRPr="009C4EE7">
        <w:rPr>
          <w:rStyle w:val="FootnoteReference"/>
        </w:rPr>
        <w:footnoteRef/>
      </w:r>
      <w:r w:rsidRPr="009C4EE7">
        <w:t xml:space="preserve"> 47 CFR § 1.80.</w:t>
      </w:r>
    </w:p>
  </w:footnote>
  <w:footnote w:id="121">
    <w:p w:rsidR="00F73566" w14:paraId="5A29891D" w14:textId="06AF51F4">
      <w:pPr>
        <w:pStyle w:val="FootnoteText"/>
      </w:pPr>
      <w:r>
        <w:rPr>
          <w:rStyle w:val="FootnoteReference"/>
        </w:rPr>
        <w:footnoteRef/>
      </w:r>
      <w:r>
        <w:t xml:space="preserve"> </w:t>
      </w:r>
      <w:r w:rsidRPr="009C4EE7">
        <w:rPr>
          <w:color w:val="000000"/>
          <w:lang w:val="es-ES"/>
        </w:rPr>
        <w:t xml:space="preserve">47 U.S.C. § </w:t>
      </w:r>
      <w:r w:rsidRPr="009C4EE7">
        <w:t>302a(b)</w:t>
      </w:r>
      <w:r w:rsidRPr="009C4EE7">
        <w:rPr>
          <w:color w:val="000000"/>
          <w:lang w:val="es-ES"/>
        </w:rPr>
        <w:t>.</w:t>
      </w:r>
      <w:r>
        <w:rPr>
          <w:color w:val="000000"/>
          <w:lang w:val="es-ES"/>
        </w:rPr>
        <w:t xml:space="preserve">  </w:t>
      </w:r>
    </w:p>
  </w:footnote>
  <w:footnote w:id="122">
    <w:p w:rsidR="00F73566" w14:paraId="241E6522" w14:textId="592B8568">
      <w:pPr>
        <w:pStyle w:val="FootnoteText"/>
      </w:pPr>
      <w:r>
        <w:rPr>
          <w:rStyle w:val="FootnoteReference"/>
        </w:rPr>
        <w:footnoteRef/>
      </w:r>
      <w:r>
        <w:t xml:space="preserve"> </w:t>
      </w:r>
      <w:r w:rsidRPr="009C4EE7">
        <w:rPr>
          <w:color w:val="000000"/>
          <w:lang w:val="es-ES"/>
        </w:rPr>
        <w:t xml:space="preserve">47 CFR § </w:t>
      </w:r>
      <w:r w:rsidRPr="009C4EE7">
        <w:t>2.803</w:t>
      </w:r>
      <w:r w:rsidRPr="009C4EE7">
        <w:rPr>
          <w:color w:val="000000"/>
          <w:lang w:val="es-ES"/>
        </w:rPr>
        <w:t>.</w:t>
      </w:r>
      <w:r>
        <w:rPr>
          <w:color w:val="000000"/>
          <w:lang w:val="es-ES"/>
        </w:rPr>
        <w:t xml:space="preserve">  </w:t>
      </w:r>
    </w:p>
  </w:footnote>
  <w:footnote w:id="123">
    <w:p w:rsidR="00F73566" w:rsidRPr="009C4EE7" w:rsidP="00371EA2" w14:paraId="7830EA6F" w14:textId="25CA2A41">
      <w:pPr>
        <w:pStyle w:val="FootnoteText"/>
      </w:pPr>
      <w:r w:rsidRPr="009C4EE7">
        <w:rPr>
          <w:rStyle w:val="FootnoteReference"/>
        </w:rPr>
        <w:footnoteRef/>
      </w:r>
      <w:r w:rsidRPr="009C4EE7">
        <w:t xml:space="preserve"> </w:t>
      </w:r>
      <w:r w:rsidRPr="00ED7660" w:rsidR="00ED7660">
        <w:rPr>
          <w:i/>
          <w:iCs/>
        </w:rPr>
        <w:t>Id</w:t>
      </w:r>
      <w:r w:rsidR="00ED7660">
        <w:t>.</w:t>
      </w:r>
      <w:r w:rsidRPr="009C4EE7">
        <w:t xml:space="preserve"> § 1.80.</w:t>
      </w:r>
    </w:p>
  </w:footnote>
  <w:footnote w:id="124">
    <w:p w:rsidR="00F73566" w:rsidRPr="009C4EE7" w:rsidP="00371EA2" w14:paraId="079E8BCE" w14:textId="77777777">
      <w:pPr>
        <w:pStyle w:val="FootnoteText"/>
      </w:pPr>
      <w:r w:rsidRPr="009C4EE7">
        <w:rPr>
          <w:rStyle w:val="FootnoteReference"/>
        </w:rPr>
        <w:footnoteRef/>
      </w:r>
      <w:r w:rsidRPr="009C4EE7">
        <w:t xml:space="preserve"> 47 U.S.C. § 504(a).</w:t>
      </w:r>
    </w:p>
  </w:footnote>
  <w:footnote w:id="125">
    <w:p w:rsidR="00F73566" w:rsidRPr="009C4EE7" w:rsidP="00371EA2" w14:paraId="68660B77" w14:textId="77777777">
      <w:pPr>
        <w:pStyle w:val="FootnoteText"/>
      </w:pPr>
      <w:r w:rsidRPr="009C4EE7">
        <w:rPr>
          <w:rStyle w:val="FootnoteReference"/>
        </w:rPr>
        <w:footnoteRef/>
      </w:r>
      <w:r w:rsidRPr="009C4EE7">
        <w:t xml:space="preserve"> Payments made using the Commission’s Fee Filer system do not require the submission of an FCC Form 159.</w:t>
      </w:r>
    </w:p>
  </w:footnote>
  <w:footnote w:id="126">
    <w:p w:rsidR="00F73566" w:rsidRPr="009C4EE7" w:rsidP="00371EA2" w14:paraId="2DD2C5D3" w14:textId="4F402BEF">
      <w:pPr>
        <w:pStyle w:val="FootnoteText"/>
      </w:pPr>
      <w:r w:rsidRPr="009C4EE7">
        <w:rPr>
          <w:rStyle w:val="FootnoteReference"/>
        </w:rPr>
        <w:footnoteRef/>
      </w:r>
      <w:r w:rsidRPr="009C4EE7">
        <w:t xml:space="preserve"> For questions regarding payment procedures, please contact the Financial Operations Group Help Desk by phone at 1-877-480-3201 (option #6), or by e-mail at </w:t>
      </w:r>
      <w:hyperlink r:id="rId3" w:history="1">
        <w:r w:rsidRPr="009C4EE7">
          <w:rPr>
            <w:rStyle w:val="Hyperlink"/>
          </w:rPr>
          <w:t>ARINQUIRIES@fcc.gov</w:t>
        </w:r>
      </w:hyperlink>
      <w:r w:rsidRPr="009C4EE7">
        <w:t>.</w:t>
      </w:r>
    </w:p>
  </w:footnote>
  <w:footnote w:id="127">
    <w:p w:rsidR="00F73566" w:rsidRPr="009C4EE7" w:rsidP="00371EA2" w14:paraId="09FBF138" w14:textId="77777777">
      <w:pPr>
        <w:pStyle w:val="FootnoteText"/>
      </w:pPr>
      <w:r w:rsidRPr="009C4EE7">
        <w:rPr>
          <w:rStyle w:val="FootnoteReference"/>
        </w:rPr>
        <w:footnoteRef/>
      </w:r>
      <w:r w:rsidRPr="009C4EE7">
        <w:t xml:space="preserve"> </w:t>
      </w:r>
      <w:r w:rsidRPr="009C4EE7">
        <w:rPr>
          <w:i/>
        </w:rPr>
        <w:t>See</w:t>
      </w:r>
      <w:r w:rsidRPr="009C4EE7">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566" w:rsidRPr="001B048F" w:rsidP="001B048F" w14:paraId="1FA4D31B" w14:textId="28CB330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CE57A9">
      <w:t xml:space="preserve">FCC </w:t>
    </w:r>
    <w:r w:rsidRPr="00375BDB" w:rsidR="00375BDB">
      <w:t>20</w:t>
    </w:r>
    <w:r w:rsidRPr="00375BDB">
      <w:rPr>
        <w:spacing w:val="-2"/>
      </w:rPr>
      <w:t>-</w:t>
    </w:r>
    <w:r w:rsidRPr="00375BDB" w:rsidR="00375BDB">
      <w:rPr>
        <w:spacing w:val="-2"/>
      </w:rPr>
      <w:t>10</w:t>
    </w:r>
    <w:r w:rsidR="00375BDB">
      <w:rPr>
        <w:spacing w:val="-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566" w:rsidRPr="001B048F" w:rsidP="001B048F" w14:paraId="5298CFD0" w14:textId="7349073A">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Pr="00CE57A9">
      <w:t xml:space="preserve">FCC </w:t>
    </w:r>
    <w:r w:rsidRPr="00375BDB" w:rsidR="00375BDB">
      <w:t>20-101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128" w:rsidP="00041128" w14:paraId="7F100474" w14:textId="77777777">
    <w:pPr>
      <w:pStyle w:val="Header"/>
      <w:rPr>
        <w:b w:val="0"/>
      </w:rPr>
    </w:pPr>
    <w:r>
      <w:tab/>
      <w:t>Federal Communications Commission</w:t>
    </w:r>
    <w:r>
      <w:tab/>
      <w:t xml:space="preserve">FCC </w:t>
    </w:r>
    <w:r>
      <w:t>20</w:t>
    </w:r>
    <w:r>
      <w:t>-</w:t>
    </w:r>
    <w:r>
      <w:t>101</w:t>
    </w:r>
  </w:p>
  <w:p w:rsidR="00041128" w:rsidP="00041128" w14:paraId="2487C84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041128" w:rsidP="00041128" w14:paraId="081A5808"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47918E6"/>
    <w:multiLevelType w:val="hybridMultilevel"/>
    <w:tmpl w:val="A83EF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0810CC"/>
    <w:multiLevelType w:val="hybridMultilevel"/>
    <w:tmpl w:val="3B1E52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1327C46"/>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127E7E"/>
    <w:multiLevelType w:val="hybridMultilevel"/>
    <w:tmpl w:val="B8180428"/>
    <w:lvl w:ilvl="0">
      <w:start w:val="1"/>
      <w:numFmt w:val="bullet"/>
      <w:lvlText w:val=""/>
      <w:lvlJc w:val="left"/>
      <w:pPr>
        <w:tabs>
          <w:tab w:val="num" w:pos="1080"/>
        </w:tabs>
        <w:ind w:left="1080" w:hanging="360"/>
      </w:pPr>
      <w:rPr>
        <w:rFonts w:ascii="Wingdings" w:hAnsi="Wingdings" w:hint="default"/>
        <w:color w:val="auto"/>
        <w:sz w:val="16"/>
      </w:rPr>
    </w:lvl>
    <w:lvl w:ilvl="1">
      <w:start w:val="17"/>
      <w:numFmt w:val="decimal"/>
      <w:lvlText w:val="%2."/>
      <w:lvlJc w:val="left"/>
      <w:pPr>
        <w:tabs>
          <w:tab w:val="num" w:pos="0"/>
        </w:tabs>
        <w:ind w:hanging="360"/>
      </w:pPr>
      <w:rPr>
        <w:rFonts w:cs="Times New Roman" w:hint="default"/>
      </w:rPr>
    </w:lvl>
    <w:lvl w:ilvl="2">
      <w:start w:val="15"/>
      <w:numFmt w:val="decimal"/>
      <w:lvlText w:val="%3."/>
      <w:lvlJc w:val="left"/>
      <w:pPr>
        <w:tabs>
          <w:tab w:val="num" w:pos="900"/>
        </w:tabs>
        <w:ind w:left="900" w:hanging="360"/>
      </w:pPr>
      <w:rPr>
        <w:rFonts w:cs="Times New Roman" w:hint="default"/>
      </w:rPr>
    </w:lvl>
    <w:lvl w:ilvl="3" w:tentative="1">
      <w:start w:val="1"/>
      <w:numFmt w:val="decimal"/>
      <w:lvlText w:val="%4."/>
      <w:lvlJc w:val="left"/>
      <w:pPr>
        <w:tabs>
          <w:tab w:val="num" w:pos="1440"/>
        </w:tabs>
        <w:ind w:left="1440" w:hanging="360"/>
      </w:pPr>
      <w:rPr>
        <w:rFonts w:cs="Times New Roman"/>
      </w:rPr>
    </w:lvl>
    <w:lvl w:ilvl="4" w:tentative="1">
      <w:start w:val="1"/>
      <w:numFmt w:val="lowerLetter"/>
      <w:lvlText w:val="%5."/>
      <w:lvlJc w:val="left"/>
      <w:pPr>
        <w:tabs>
          <w:tab w:val="num" w:pos="2160"/>
        </w:tabs>
        <w:ind w:left="2160" w:hanging="360"/>
      </w:pPr>
      <w:rPr>
        <w:rFonts w:cs="Times New Roman"/>
      </w:rPr>
    </w:lvl>
    <w:lvl w:ilvl="5" w:tentative="1">
      <w:start w:val="1"/>
      <w:numFmt w:val="lowerRoman"/>
      <w:lvlText w:val="%6."/>
      <w:lvlJc w:val="right"/>
      <w:pPr>
        <w:tabs>
          <w:tab w:val="num" w:pos="2880"/>
        </w:tabs>
        <w:ind w:left="2880" w:hanging="180"/>
      </w:pPr>
      <w:rPr>
        <w:rFonts w:cs="Times New Roman"/>
      </w:rPr>
    </w:lvl>
    <w:lvl w:ilvl="6" w:tentative="1">
      <w:start w:val="1"/>
      <w:numFmt w:val="decimal"/>
      <w:lvlText w:val="%7."/>
      <w:lvlJc w:val="left"/>
      <w:pPr>
        <w:tabs>
          <w:tab w:val="num" w:pos="3600"/>
        </w:tabs>
        <w:ind w:left="3600" w:hanging="360"/>
      </w:pPr>
      <w:rPr>
        <w:rFonts w:cs="Times New Roman"/>
      </w:rPr>
    </w:lvl>
    <w:lvl w:ilvl="7" w:tentative="1">
      <w:start w:val="1"/>
      <w:numFmt w:val="lowerLetter"/>
      <w:lvlText w:val="%8."/>
      <w:lvlJc w:val="left"/>
      <w:pPr>
        <w:tabs>
          <w:tab w:val="num" w:pos="4320"/>
        </w:tabs>
        <w:ind w:left="4320" w:hanging="360"/>
      </w:pPr>
      <w:rPr>
        <w:rFonts w:cs="Times New Roman"/>
      </w:rPr>
    </w:lvl>
    <w:lvl w:ilvl="8" w:tentative="1">
      <w:start w:val="1"/>
      <w:numFmt w:val="lowerRoman"/>
      <w:lvlText w:val="%9."/>
      <w:lvlJc w:val="right"/>
      <w:pPr>
        <w:tabs>
          <w:tab w:val="num" w:pos="5040"/>
        </w:tabs>
        <w:ind w:left="5040" w:hanging="180"/>
      </w:pPr>
      <w:rPr>
        <w:rFonts w:cs="Times New Roman"/>
      </w:rPr>
    </w:lvl>
  </w:abstractNum>
  <w:abstractNum w:abstractNumId="14">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5">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910381"/>
    <w:multiLevelType w:val="multilevel"/>
    <w:tmpl w:val="59F0BA22"/>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9">
    <w:nsid w:val="55183D8B"/>
    <w:multiLevelType w:val="hybridMultilevel"/>
    <w:tmpl w:val="5928C4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A3A1979"/>
    <w:multiLevelType w:val="hybridMultilevel"/>
    <w:tmpl w:val="D1DCA4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28E1E95"/>
    <w:multiLevelType w:val="singleLevel"/>
    <w:tmpl w:val="4F1400D0"/>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8"/>
  </w:num>
  <w:num w:numId="2">
    <w:abstractNumId w:val="23"/>
  </w:num>
  <w:num w:numId="3">
    <w:abstractNumId w:val="10"/>
  </w:num>
  <w:num w:numId="4">
    <w:abstractNumId w:val="17"/>
  </w:num>
  <w:num w:numId="5">
    <w:abstractNumId w:val="9"/>
  </w:num>
  <w:num w:numId="6">
    <w:abstractNumId w:val="4"/>
  </w:num>
  <w:num w:numId="7">
    <w:abstractNumId w:val="23"/>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1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10"/>
  </w:num>
  <w:num w:numId="31">
    <w:abstractNumId w:val="10"/>
  </w:num>
  <w:num w:numId="32">
    <w:abstractNumId w:val="10"/>
  </w:num>
  <w:num w:numId="33">
    <w:abstractNumId w:val="23"/>
  </w:num>
  <w:num w:numId="34">
    <w:abstractNumId w:val="3"/>
  </w:num>
  <w:num w:numId="35">
    <w:abstractNumId w:val="15"/>
  </w:num>
  <w:num w:numId="36">
    <w:abstractNumId w:val="2"/>
  </w:num>
  <w:num w:numId="37">
    <w:abstractNumId w:val="11"/>
  </w:num>
  <w:num w:numId="38">
    <w:abstractNumId w:val="0"/>
    <w:lvlOverride w:ilvl="0">
      <w:lvl w:ilvl="0">
        <w:start w:val="0"/>
        <w:numFmt w:val="bullet"/>
        <w:pStyle w:val="par1"/>
        <w:lvlText w:val=""/>
        <w:legacy w:legacy="1" w:legacySpace="0" w:legacyIndent="360"/>
        <w:lvlJc w:val="left"/>
        <w:rPr>
          <w:rFonts w:ascii="Symbol" w:hAnsi="Symbol" w:hint="default"/>
        </w:rPr>
      </w:lvl>
    </w:lvlOverride>
  </w:num>
  <w:num w:numId="39">
    <w:abstractNumId w:val="18"/>
  </w:num>
  <w:num w:numId="40">
    <w:abstractNumId w:val="5"/>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0"/>
  </w:num>
  <w:num w:numId="44">
    <w:abstractNumId w:val="7"/>
  </w:num>
  <w:num w:numId="45">
    <w:abstractNumId w:val="21"/>
  </w:num>
  <w:num w:numId="46">
    <w:abstractNumId w:val="1"/>
  </w:num>
  <w:num w:numId="47">
    <w:abstractNumId w:val="19"/>
  </w:num>
  <w:num w:numId="48">
    <w:abstractNumId w:val="23"/>
  </w:num>
  <w:num w:numId="49">
    <w:abstractNumId w:val="14"/>
  </w:num>
  <w:num w:numId="50">
    <w:abstractNumId w:val="24"/>
  </w:num>
  <w:num w:numId="51">
    <w:abstractNumId w:val="23"/>
  </w:num>
  <w:num w:numId="52">
    <w:abstractNumId w:val="23"/>
  </w:num>
  <w:num w:numId="53">
    <w:abstractNumId w:val="6"/>
  </w:num>
  <w:num w:numId="54">
    <w:abstractNumId w:val="12"/>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084"/>
    <w:rsid w:val="00001C87"/>
    <w:rsid w:val="000024CA"/>
    <w:rsid w:val="0000407D"/>
    <w:rsid w:val="00004469"/>
    <w:rsid w:val="00004A7C"/>
    <w:rsid w:val="00005148"/>
    <w:rsid w:val="000051A6"/>
    <w:rsid w:val="0000565F"/>
    <w:rsid w:val="0000624E"/>
    <w:rsid w:val="00006777"/>
    <w:rsid w:val="00006B58"/>
    <w:rsid w:val="000127FF"/>
    <w:rsid w:val="00013C57"/>
    <w:rsid w:val="00014462"/>
    <w:rsid w:val="000145C6"/>
    <w:rsid w:val="000161F5"/>
    <w:rsid w:val="000174F9"/>
    <w:rsid w:val="00017791"/>
    <w:rsid w:val="000205F7"/>
    <w:rsid w:val="00020C61"/>
    <w:rsid w:val="00023DF7"/>
    <w:rsid w:val="000245DB"/>
    <w:rsid w:val="00026366"/>
    <w:rsid w:val="000264B4"/>
    <w:rsid w:val="00027F30"/>
    <w:rsid w:val="00030324"/>
    <w:rsid w:val="00030851"/>
    <w:rsid w:val="00031AE8"/>
    <w:rsid w:val="00035BFD"/>
    <w:rsid w:val="00036039"/>
    <w:rsid w:val="000362F4"/>
    <w:rsid w:val="00036D58"/>
    <w:rsid w:val="00036F29"/>
    <w:rsid w:val="000376B1"/>
    <w:rsid w:val="00037AE8"/>
    <w:rsid w:val="00040BA7"/>
    <w:rsid w:val="00040CD8"/>
    <w:rsid w:val="00041128"/>
    <w:rsid w:val="00043C9B"/>
    <w:rsid w:val="00044C13"/>
    <w:rsid w:val="00044E21"/>
    <w:rsid w:val="00045969"/>
    <w:rsid w:val="00046801"/>
    <w:rsid w:val="00051C4E"/>
    <w:rsid w:val="00051FA6"/>
    <w:rsid w:val="00052C23"/>
    <w:rsid w:val="00053079"/>
    <w:rsid w:val="00053680"/>
    <w:rsid w:val="00053AC7"/>
    <w:rsid w:val="0005423D"/>
    <w:rsid w:val="00054381"/>
    <w:rsid w:val="000604EB"/>
    <w:rsid w:val="00062C44"/>
    <w:rsid w:val="00063033"/>
    <w:rsid w:val="000649FE"/>
    <w:rsid w:val="00065EC3"/>
    <w:rsid w:val="00067833"/>
    <w:rsid w:val="0007070B"/>
    <w:rsid w:val="0007090A"/>
    <w:rsid w:val="00071E3F"/>
    <w:rsid w:val="00072D7D"/>
    <w:rsid w:val="00073798"/>
    <w:rsid w:val="00073FD7"/>
    <w:rsid w:val="00074717"/>
    <w:rsid w:val="0007571D"/>
    <w:rsid w:val="00080535"/>
    <w:rsid w:val="00080BF5"/>
    <w:rsid w:val="00081BFA"/>
    <w:rsid w:val="00081F57"/>
    <w:rsid w:val="0008443E"/>
    <w:rsid w:val="00084619"/>
    <w:rsid w:val="000853AD"/>
    <w:rsid w:val="0008681B"/>
    <w:rsid w:val="00086824"/>
    <w:rsid w:val="000871BB"/>
    <w:rsid w:val="00087465"/>
    <w:rsid w:val="00087664"/>
    <w:rsid w:val="00087E0B"/>
    <w:rsid w:val="00091AE4"/>
    <w:rsid w:val="00091C3D"/>
    <w:rsid w:val="00092159"/>
    <w:rsid w:val="000923F8"/>
    <w:rsid w:val="00092506"/>
    <w:rsid w:val="000934B3"/>
    <w:rsid w:val="00095324"/>
    <w:rsid w:val="000962DF"/>
    <w:rsid w:val="000966AD"/>
    <w:rsid w:val="0009794C"/>
    <w:rsid w:val="00097F82"/>
    <w:rsid w:val="000A10D2"/>
    <w:rsid w:val="000A2823"/>
    <w:rsid w:val="000A3E68"/>
    <w:rsid w:val="000A4776"/>
    <w:rsid w:val="000A6CDD"/>
    <w:rsid w:val="000B035D"/>
    <w:rsid w:val="000B14C3"/>
    <w:rsid w:val="000B1C2B"/>
    <w:rsid w:val="000B29ED"/>
    <w:rsid w:val="000B3B27"/>
    <w:rsid w:val="000B549A"/>
    <w:rsid w:val="000B646D"/>
    <w:rsid w:val="000B7657"/>
    <w:rsid w:val="000B79D2"/>
    <w:rsid w:val="000C092B"/>
    <w:rsid w:val="000C1603"/>
    <w:rsid w:val="000C2DE9"/>
    <w:rsid w:val="000C3E81"/>
    <w:rsid w:val="000C53C1"/>
    <w:rsid w:val="000C6050"/>
    <w:rsid w:val="000C6B98"/>
    <w:rsid w:val="000C7D3C"/>
    <w:rsid w:val="000D01D2"/>
    <w:rsid w:val="000D03AE"/>
    <w:rsid w:val="000D1391"/>
    <w:rsid w:val="000D189E"/>
    <w:rsid w:val="000D5F1E"/>
    <w:rsid w:val="000E06F7"/>
    <w:rsid w:val="000E0FAD"/>
    <w:rsid w:val="000E1951"/>
    <w:rsid w:val="000E2707"/>
    <w:rsid w:val="000E37D5"/>
    <w:rsid w:val="000E4006"/>
    <w:rsid w:val="000E567A"/>
    <w:rsid w:val="000E6913"/>
    <w:rsid w:val="000F0816"/>
    <w:rsid w:val="000F1155"/>
    <w:rsid w:val="000F235A"/>
    <w:rsid w:val="000F2467"/>
    <w:rsid w:val="000F2DD7"/>
    <w:rsid w:val="000F3184"/>
    <w:rsid w:val="000F4BBA"/>
    <w:rsid w:val="000F5553"/>
    <w:rsid w:val="000F61A4"/>
    <w:rsid w:val="000F6576"/>
    <w:rsid w:val="000F6A1F"/>
    <w:rsid w:val="000F6C22"/>
    <w:rsid w:val="00100646"/>
    <w:rsid w:val="00102BC6"/>
    <w:rsid w:val="00104B54"/>
    <w:rsid w:val="00105A35"/>
    <w:rsid w:val="001067B6"/>
    <w:rsid w:val="001103C9"/>
    <w:rsid w:val="00110653"/>
    <w:rsid w:val="00111105"/>
    <w:rsid w:val="00112C94"/>
    <w:rsid w:val="0011337B"/>
    <w:rsid w:val="001138ED"/>
    <w:rsid w:val="00113915"/>
    <w:rsid w:val="0011466C"/>
    <w:rsid w:val="00114C63"/>
    <w:rsid w:val="00115859"/>
    <w:rsid w:val="0011687C"/>
    <w:rsid w:val="00116CD5"/>
    <w:rsid w:val="001175DE"/>
    <w:rsid w:val="001205FE"/>
    <w:rsid w:val="00120F34"/>
    <w:rsid w:val="00123858"/>
    <w:rsid w:val="0012427E"/>
    <w:rsid w:val="0012531B"/>
    <w:rsid w:val="001264C5"/>
    <w:rsid w:val="00126C88"/>
    <w:rsid w:val="00131302"/>
    <w:rsid w:val="00131E5C"/>
    <w:rsid w:val="00132BB7"/>
    <w:rsid w:val="00133BB4"/>
    <w:rsid w:val="001356EE"/>
    <w:rsid w:val="00135AA5"/>
    <w:rsid w:val="00135F7F"/>
    <w:rsid w:val="0013625D"/>
    <w:rsid w:val="00136476"/>
    <w:rsid w:val="001365C5"/>
    <w:rsid w:val="00137C34"/>
    <w:rsid w:val="0014093A"/>
    <w:rsid w:val="00140ABB"/>
    <w:rsid w:val="00140F34"/>
    <w:rsid w:val="00141FD7"/>
    <w:rsid w:val="001426F0"/>
    <w:rsid w:val="0014526B"/>
    <w:rsid w:val="00145E08"/>
    <w:rsid w:val="00145E99"/>
    <w:rsid w:val="00146A7D"/>
    <w:rsid w:val="0015032F"/>
    <w:rsid w:val="001532B1"/>
    <w:rsid w:val="00153904"/>
    <w:rsid w:val="00153A6B"/>
    <w:rsid w:val="00153CE0"/>
    <w:rsid w:val="00154A5C"/>
    <w:rsid w:val="00154DF8"/>
    <w:rsid w:val="001551A1"/>
    <w:rsid w:val="001561D8"/>
    <w:rsid w:val="001568D3"/>
    <w:rsid w:val="00161FBF"/>
    <w:rsid w:val="00162161"/>
    <w:rsid w:val="00163123"/>
    <w:rsid w:val="00164D9B"/>
    <w:rsid w:val="001658BA"/>
    <w:rsid w:val="00165A75"/>
    <w:rsid w:val="00165C52"/>
    <w:rsid w:val="00166D1B"/>
    <w:rsid w:val="00167655"/>
    <w:rsid w:val="001708ED"/>
    <w:rsid w:val="00170B4A"/>
    <w:rsid w:val="001715BD"/>
    <w:rsid w:val="00172581"/>
    <w:rsid w:val="00172C93"/>
    <w:rsid w:val="001740BB"/>
    <w:rsid w:val="00174882"/>
    <w:rsid w:val="00175524"/>
    <w:rsid w:val="00177298"/>
    <w:rsid w:val="001776CA"/>
    <w:rsid w:val="00180026"/>
    <w:rsid w:val="00180F85"/>
    <w:rsid w:val="0018129C"/>
    <w:rsid w:val="001819AF"/>
    <w:rsid w:val="001830A4"/>
    <w:rsid w:val="00184077"/>
    <w:rsid w:val="00185ED6"/>
    <w:rsid w:val="00186227"/>
    <w:rsid w:val="0018655A"/>
    <w:rsid w:val="001904F2"/>
    <w:rsid w:val="001918FB"/>
    <w:rsid w:val="00191AD9"/>
    <w:rsid w:val="001923B8"/>
    <w:rsid w:val="00193CBC"/>
    <w:rsid w:val="001940CF"/>
    <w:rsid w:val="00195F44"/>
    <w:rsid w:val="00196E93"/>
    <w:rsid w:val="001A0430"/>
    <w:rsid w:val="001A0C42"/>
    <w:rsid w:val="001A29EF"/>
    <w:rsid w:val="001A2F40"/>
    <w:rsid w:val="001A69BA"/>
    <w:rsid w:val="001A6D26"/>
    <w:rsid w:val="001A74BE"/>
    <w:rsid w:val="001A79FB"/>
    <w:rsid w:val="001B048F"/>
    <w:rsid w:val="001B0805"/>
    <w:rsid w:val="001B0C62"/>
    <w:rsid w:val="001B0DFA"/>
    <w:rsid w:val="001B1661"/>
    <w:rsid w:val="001B24F4"/>
    <w:rsid w:val="001B3B99"/>
    <w:rsid w:val="001B4800"/>
    <w:rsid w:val="001B4968"/>
    <w:rsid w:val="001C0B67"/>
    <w:rsid w:val="001C3156"/>
    <w:rsid w:val="001C3B35"/>
    <w:rsid w:val="001C42B3"/>
    <w:rsid w:val="001C5886"/>
    <w:rsid w:val="001D1CEF"/>
    <w:rsid w:val="001D2729"/>
    <w:rsid w:val="001D2B4B"/>
    <w:rsid w:val="001D35A5"/>
    <w:rsid w:val="001D3F4D"/>
    <w:rsid w:val="001D46A1"/>
    <w:rsid w:val="001D47CF"/>
    <w:rsid w:val="001D618D"/>
    <w:rsid w:val="001E135C"/>
    <w:rsid w:val="001E1906"/>
    <w:rsid w:val="001E1DBD"/>
    <w:rsid w:val="001E3048"/>
    <w:rsid w:val="001E401B"/>
    <w:rsid w:val="001E5631"/>
    <w:rsid w:val="001E662F"/>
    <w:rsid w:val="001E6DE2"/>
    <w:rsid w:val="001F2B76"/>
    <w:rsid w:val="001F5AA4"/>
    <w:rsid w:val="001F7EE0"/>
    <w:rsid w:val="001F7FA6"/>
    <w:rsid w:val="002037C2"/>
    <w:rsid w:val="00206B84"/>
    <w:rsid w:val="00211E77"/>
    <w:rsid w:val="00212AA6"/>
    <w:rsid w:val="0021315C"/>
    <w:rsid w:val="00213288"/>
    <w:rsid w:val="002146E2"/>
    <w:rsid w:val="002151D4"/>
    <w:rsid w:val="0022075B"/>
    <w:rsid w:val="00220A1D"/>
    <w:rsid w:val="00220AA7"/>
    <w:rsid w:val="00223173"/>
    <w:rsid w:val="002238F5"/>
    <w:rsid w:val="00223D6A"/>
    <w:rsid w:val="00225854"/>
    <w:rsid w:val="00226114"/>
    <w:rsid w:val="00226191"/>
    <w:rsid w:val="0022665A"/>
    <w:rsid w:val="00227CC4"/>
    <w:rsid w:val="0023348B"/>
    <w:rsid w:val="00233A84"/>
    <w:rsid w:val="002343C6"/>
    <w:rsid w:val="00234BBF"/>
    <w:rsid w:val="00236820"/>
    <w:rsid w:val="00240816"/>
    <w:rsid w:val="00240EC1"/>
    <w:rsid w:val="002418F9"/>
    <w:rsid w:val="00243913"/>
    <w:rsid w:val="00244573"/>
    <w:rsid w:val="00246222"/>
    <w:rsid w:val="00246524"/>
    <w:rsid w:val="00246A02"/>
    <w:rsid w:val="00246DA8"/>
    <w:rsid w:val="00247026"/>
    <w:rsid w:val="002509C8"/>
    <w:rsid w:val="00250EDF"/>
    <w:rsid w:val="002523B2"/>
    <w:rsid w:val="00252799"/>
    <w:rsid w:val="00253DF2"/>
    <w:rsid w:val="00254A68"/>
    <w:rsid w:val="00256904"/>
    <w:rsid w:val="00256B42"/>
    <w:rsid w:val="0025712E"/>
    <w:rsid w:val="0026161C"/>
    <w:rsid w:val="00262433"/>
    <w:rsid w:val="00262CCD"/>
    <w:rsid w:val="00262D8F"/>
    <w:rsid w:val="002659F3"/>
    <w:rsid w:val="00265E70"/>
    <w:rsid w:val="00265FC9"/>
    <w:rsid w:val="00270303"/>
    <w:rsid w:val="00270CD1"/>
    <w:rsid w:val="002710C5"/>
    <w:rsid w:val="002718D7"/>
    <w:rsid w:val="00273BF7"/>
    <w:rsid w:val="00275742"/>
    <w:rsid w:val="00280D36"/>
    <w:rsid w:val="002834D8"/>
    <w:rsid w:val="00283A73"/>
    <w:rsid w:val="00283BF2"/>
    <w:rsid w:val="00283E59"/>
    <w:rsid w:val="0028442E"/>
    <w:rsid w:val="002857B6"/>
    <w:rsid w:val="00286506"/>
    <w:rsid w:val="00287564"/>
    <w:rsid w:val="00293291"/>
    <w:rsid w:val="00293ACC"/>
    <w:rsid w:val="002946AA"/>
    <w:rsid w:val="0029481F"/>
    <w:rsid w:val="002966A1"/>
    <w:rsid w:val="00297424"/>
    <w:rsid w:val="002975F0"/>
    <w:rsid w:val="002A028B"/>
    <w:rsid w:val="002A039F"/>
    <w:rsid w:val="002A1963"/>
    <w:rsid w:val="002A63CC"/>
    <w:rsid w:val="002A686B"/>
    <w:rsid w:val="002A7D51"/>
    <w:rsid w:val="002B0900"/>
    <w:rsid w:val="002B17E2"/>
    <w:rsid w:val="002B1C69"/>
    <w:rsid w:val="002B280B"/>
    <w:rsid w:val="002B5BD5"/>
    <w:rsid w:val="002B7493"/>
    <w:rsid w:val="002C034C"/>
    <w:rsid w:val="002C066E"/>
    <w:rsid w:val="002C079C"/>
    <w:rsid w:val="002C12AD"/>
    <w:rsid w:val="002C3ABD"/>
    <w:rsid w:val="002C3EDE"/>
    <w:rsid w:val="002C51E7"/>
    <w:rsid w:val="002C5489"/>
    <w:rsid w:val="002C66A2"/>
    <w:rsid w:val="002D163A"/>
    <w:rsid w:val="002D1ACA"/>
    <w:rsid w:val="002D2A6E"/>
    <w:rsid w:val="002D315F"/>
    <w:rsid w:val="002D3A88"/>
    <w:rsid w:val="002D4CD9"/>
    <w:rsid w:val="002D5684"/>
    <w:rsid w:val="002D56D5"/>
    <w:rsid w:val="002D69B9"/>
    <w:rsid w:val="002D69E2"/>
    <w:rsid w:val="002D6A81"/>
    <w:rsid w:val="002D74C4"/>
    <w:rsid w:val="002D7D88"/>
    <w:rsid w:val="002E046E"/>
    <w:rsid w:val="002E1671"/>
    <w:rsid w:val="002E18DC"/>
    <w:rsid w:val="002E39A3"/>
    <w:rsid w:val="002E43B6"/>
    <w:rsid w:val="002E5F07"/>
    <w:rsid w:val="002E6027"/>
    <w:rsid w:val="002E73BA"/>
    <w:rsid w:val="002F0D8C"/>
    <w:rsid w:val="002F1057"/>
    <w:rsid w:val="002F2ACB"/>
    <w:rsid w:val="002F38B1"/>
    <w:rsid w:val="002F6B7C"/>
    <w:rsid w:val="002F7D00"/>
    <w:rsid w:val="00301C1D"/>
    <w:rsid w:val="00301EA8"/>
    <w:rsid w:val="00302535"/>
    <w:rsid w:val="00302D14"/>
    <w:rsid w:val="00303761"/>
    <w:rsid w:val="003050C8"/>
    <w:rsid w:val="00305A52"/>
    <w:rsid w:val="00305D52"/>
    <w:rsid w:val="00306213"/>
    <w:rsid w:val="00306C34"/>
    <w:rsid w:val="00306C50"/>
    <w:rsid w:val="00307518"/>
    <w:rsid w:val="00311EAE"/>
    <w:rsid w:val="0032053D"/>
    <w:rsid w:val="00321236"/>
    <w:rsid w:val="00321674"/>
    <w:rsid w:val="00321972"/>
    <w:rsid w:val="00321A1A"/>
    <w:rsid w:val="0032244D"/>
    <w:rsid w:val="00325463"/>
    <w:rsid w:val="00330072"/>
    <w:rsid w:val="003305BE"/>
    <w:rsid w:val="00331B47"/>
    <w:rsid w:val="00331D4E"/>
    <w:rsid w:val="00331F1B"/>
    <w:rsid w:val="00332E0D"/>
    <w:rsid w:val="003343A8"/>
    <w:rsid w:val="003343CA"/>
    <w:rsid w:val="0033464C"/>
    <w:rsid w:val="0033493A"/>
    <w:rsid w:val="00335814"/>
    <w:rsid w:val="003368A3"/>
    <w:rsid w:val="003368E2"/>
    <w:rsid w:val="003400E9"/>
    <w:rsid w:val="00340246"/>
    <w:rsid w:val="00341CC1"/>
    <w:rsid w:val="00343017"/>
    <w:rsid w:val="003445E9"/>
    <w:rsid w:val="00344871"/>
    <w:rsid w:val="00344C0B"/>
    <w:rsid w:val="00345F40"/>
    <w:rsid w:val="00346DCB"/>
    <w:rsid w:val="003472A7"/>
    <w:rsid w:val="00347397"/>
    <w:rsid w:val="00350597"/>
    <w:rsid w:val="0035172F"/>
    <w:rsid w:val="00351857"/>
    <w:rsid w:val="0035246E"/>
    <w:rsid w:val="00353AA9"/>
    <w:rsid w:val="00353E9D"/>
    <w:rsid w:val="00355255"/>
    <w:rsid w:val="00355C03"/>
    <w:rsid w:val="0035635C"/>
    <w:rsid w:val="003563C1"/>
    <w:rsid w:val="00356A44"/>
    <w:rsid w:val="00356E02"/>
    <w:rsid w:val="003604C4"/>
    <w:rsid w:val="00361B43"/>
    <w:rsid w:val="003623B1"/>
    <w:rsid w:val="0036285E"/>
    <w:rsid w:val="00364378"/>
    <w:rsid w:val="00366A0D"/>
    <w:rsid w:val="003674D0"/>
    <w:rsid w:val="00367966"/>
    <w:rsid w:val="00367FBB"/>
    <w:rsid w:val="003706CF"/>
    <w:rsid w:val="003708F5"/>
    <w:rsid w:val="00371EA2"/>
    <w:rsid w:val="00372F0B"/>
    <w:rsid w:val="00373669"/>
    <w:rsid w:val="00374DD5"/>
    <w:rsid w:val="00375BDB"/>
    <w:rsid w:val="00375E72"/>
    <w:rsid w:val="003761C9"/>
    <w:rsid w:val="00377BD8"/>
    <w:rsid w:val="00377DD9"/>
    <w:rsid w:val="00377EDF"/>
    <w:rsid w:val="0038136A"/>
    <w:rsid w:val="003838EA"/>
    <w:rsid w:val="00384620"/>
    <w:rsid w:val="003875DB"/>
    <w:rsid w:val="00387CAA"/>
    <w:rsid w:val="00391B77"/>
    <w:rsid w:val="00391C32"/>
    <w:rsid w:val="00393322"/>
    <w:rsid w:val="00396B88"/>
    <w:rsid w:val="00397043"/>
    <w:rsid w:val="0039768C"/>
    <w:rsid w:val="00397D62"/>
    <w:rsid w:val="003A07BF"/>
    <w:rsid w:val="003A2EE9"/>
    <w:rsid w:val="003A32DC"/>
    <w:rsid w:val="003A38F5"/>
    <w:rsid w:val="003A40BE"/>
    <w:rsid w:val="003A4346"/>
    <w:rsid w:val="003A4767"/>
    <w:rsid w:val="003A5530"/>
    <w:rsid w:val="003A6F0A"/>
    <w:rsid w:val="003A71A6"/>
    <w:rsid w:val="003A7400"/>
    <w:rsid w:val="003B064C"/>
    <w:rsid w:val="003B0CC6"/>
    <w:rsid w:val="003B111A"/>
    <w:rsid w:val="003B16F1"/>
    <w:rsid w:val="003B1775"/>
    <w:rsid w:val="003B28F3"/>
    <w:rsid w:val="003B40A4"/>
    <w:rsid w:val="003B4544"/>
    <w:rsid w:val="003B4E7F"/>
    <w:rsid w:val="003B5341"/>
    <w:rsid w:val="003B5EF6"/>
    <w:rsid w:val="003B6421"/>
    <w:rsid w:val="003B6F75"/>
    <w:rsid w:val="003B7A87"/>
    <w:rsid w:val="003C0025"/>
    <w:rsid w:val="003C0B96"/>
    <w:rsid w:val="003C0BCF"/>
    <w:rsid w:val="003C1004"/>
    <w:rsid w:val="003C106F"/>
    <w:rsid w:val="003C1512"/>
    <w:rsid w:val="003C194E"/>
    <w:rsid w:val="003C32CF"/>
    <w:rsid w:val="003C4F84"/>
    <w:rsid w:val="003C544D"/>
    <w:rsid w:val="003C54A0"/>
    <w:rsid w:val="003C594C"/>
    <w:rsid w:val="003C5EF1"/>
    <w:rsid w:val="003C6559"/>
    <w:rsid w:val="003C7E02"/>
    <w:rsid w:val="003D0049"/>
    <w:rsid w:val="003D01A6"/>
    <w:rsid w:val="003D2D93"/>
    <w:rsid w:val="003D5649"/>
    <w:rsid w:val="003D5B63"/>
    <w:rsid w:val="003D5BD6"/>
    <w:rsid w:val="003D6934"/>
    <w:rsid w:val="003D6BAD"/>
    <w:rsid w:val="003D7AB1"/>
    <w:rsid w:val="003D7C39"/>
    <w:rsid w:val="003E18A6"/>
    <w:rsid w:val="003E1B01"/>
    <w:rsid w:val="003E36EC"/>
    <w:rsid w:val="003E37DA"/>
    <w:rsid w:val="003E3C2E"/>
    <w:rsid w:val="003E4392"/>
    <w:rsid w:val="003E4BA1"/>
    <w:rsid w:val="003E5B22"/>
    <w:rsid w:val="003E5CB1"/>
    <w:rsid w:val="003E67E7"/>
    <w:rsid w:val="003E7003"/>
    <w:rsid w:val="003F1FBD"/>
    <w:rsid w:val="003F22F1"/>
    <w:rsid w:val="003F2F66"/>
    <w:rsid w:val="003F38A6"/>
    <w:rsid w:val="003F68DC"/>
    <w:rsid w:val="00400905"/>
    <w:rsid w:val="00400B6C"/>
    <w:rsid w:val="00401002"/>
    <w:rsid w:val="004016AD"/>
    <w:rsid w:val="00401CE6"/>
    <w:rsid w:val="00401E35"/>
    <w:rsid w:val="00403291"/>
    <w:rsid w:val="00403B86"/>
    <w:rsid w:val="00404112"/>
    <w:rsid w:val="00405EC4"/>
    <w:rsid w:val="00405FA9"/>
    <w:rsid w:val="004064EE"/>
    <w:rsid w:val="004069D0"/>
    <w:rsid w:val="00406E90"/>
    <w:rsid w:val="0040758D"/>
    <w:rsid w:val="00407D03"/>
    <w:rsid w:val="00410849"/>
    <w:rsid w:val="00410C64"/>
    <w:rsid w:val="004111CE"/>
    <w:rsid w:val="00412C2E"/>
    <w:rsid w:val="00414663"/>
    <w:rsid w:val="0041630A"/>
    <w:rsid w:val="00416F51"/>
    <w:rsid w:val="0041748C"/>
    <w:rsid w:val="004177D9"/>
    <w:rsid w:val="00417D87"/>
    <w:rsid w:val="004200CE"/>
    <w:rsid w:val="0042056B"/>
    <w:rsid w:val="004223FC"/>
    <w:rsid w:val="004248D4"/>
    <w:rsid w:val="00427617"/>
    <w:rsid w:val="00427E7B"/>
    <w:rsid w:val="004304A0"/>
    <w:rsid w:val="00431572"/>
    <w:rsid w:val="00432C30"/>
    <w:rsid w:val="00435C72"/>
    <w:rsid w:val="0043684D"/>
    <w:rsid w:val="00436A9E"/>
    <w:rsid w:val="00440076"/>
    <w:rsid w:val="00441B48"/>
    <w:rsid w:val="00441CED"/>
    <w:rsid w:val="00442DD9"/>
    <w:rsid w:val="00443903"/>
    <w:rsid w:val="00443B66"/>
    <w:rsid w:val="00445649"/>
    <w:rsid w:val="0044722B"/>
    <w:rsid w:val="00451950"/>
    <w:rsid w:val="00451F6B"/>
    <w:rsid w:val="00452C14"/>
    <w:rsid w:val="004547B0"/>
    <w:rsid w:val="00454EFD"/>
    <w:rsid w:val="0045548F"/>
    <w:rsid w:val="004568BA"/>
    <w:rsid w:val="004573F6"/>
    <w:rsid w:val="0045780F"/>
    <w:rsid w:val="00457AE7"/>
    <w:rsid w:val="00457E88"/>
    <w:rsid w:val="00461AC0"/>
    <w:rsid w:val="004636A0"/>
    <w:rsid w:val="0046595D"/>
    <w:rsid w:val="00466CC6"/>
    <w:rsid w:val="00467C1F"/>
    <w:rsid w:val="00467F76"/>
    <w:rsid w:val="00472435"/>
    <w:rsid w:val="004729BE"/>
    <w:rsid w:val="004736A1"/>
    <w:rsid w:val="00473822"/>
    <w:rsid w:val="00474092"/>
    <w:rsid w:val="00474858"/>
    <w:rsid w:val="004749BE"/>
    <w:rsid w:val="00475393"/>
    <w:rsid w:val="004806AC"/>
    <w:rsid w:val="00482BA9"/>
    <w:rsid w:val="00483E66"/>
    <w:rsid w:val="00484183"/>
    <w:rsid w:val="00484ECD"/>
    <w:rsid w:val="00485365"/>
    <w:rsid w:val="004870EA"/>
    <w:rsid w:val="00490C5F"/>
    <w:rsid w:val="00490E67"/>
    <w:rsid w:val="004928F9"/>
    <w:rsid w:val="00492D7B"/>
    <w:rsid w:val="0049314F"/>
    <w:rsid w:val="00493B9B"/>
    <w:rsid w:val="00493C8F"/>
    <w:rsid w:val="00493D0E"/>
    <w:rsid w:val="00493EB0"/>
    <w:rsid w:val="0049646D"/>
    <w:rsid w:val="00496684"/>
    <w:rsid w:val="004A05BC"/>
    <w:rsid w:val="004A1C4E"/>
    <w:rsid w:val="004A2058"/>
    <w:rsid w:val="004A543A"/>
    <w:rsid w:val="004A5CA8"/>
    <w:rsid w:val="004A7D42"/>
    <w:rsid w:val="004B0FA2"/>
    <w:rsid w:val="004B1DE2"/>
    <w:rsid w:val="004B2B47"/>
    <w:rsid w:val="004B32A9"/>
    <w:rsid w:val="004B3EF5"/>
    <w:rsid w:val="004B5435"/>
    <w:rsid w:val="004B5D22"/>
    <w:rsid w:val="004B67E3"/>
    <w:rsid w:val="004C0831"/>
    <w:rsid w:val="004C1903"/>
    <w:rsid w:val="004C19D2"/>
    <w:rsid w:val="004C1B61"/>
    <w:rsid w:val="004C1BFE"/>
    <w:rsid w:val="004C1F60"/>
    <w:rsid w:val="004C3EDB"/>
    <w:rsid w:val="004C4397"/>
    <w:rsid w:val="004C4500"/>
    <w:rsid w:val="004C4957"/>
    <w:rsid w:val="004C567C"/>
    <w:rsid w:val="004C645A"/>
    <w:rsid w:val="004C6A2A"/>
    <w:rsid w:val="004C7C5C"/>
    <w:rsid w:val="004D05E1"/>
    <w:rsid w:val="004D0616"/>
    <w:rsid w:val="004D2DBC"/>
    <w:rsid w:val="004D3AD8"/>
    <w:rsid w:val="004D77F5"/>
    <w:rsid w:val="004D782C"/>
    <w:rsid w:val="004E00A2"/>
    <w:rsid w:val="004E218D"/>
    <w:rsid w:val="004E272A"/>
    <w:rsid w:val="004E45BF"/>
    <w:rsid w:val="004E4FD9"/>
    <w:rsid w:val="004E5D01"/>
    <w:rsid w:val="004E7953"/>
    <w:rsid w:val="004F0990"/>
    <w:rsid w:val="004F0D68"/>
    <w:rsid w:val="004F29D6"/>
    <w:rsid w:val="004F3264"/>
    <w:rsid w:val="004F3368"/>
    <w:rsid w:val="004F45A5"/>
    <w:rsid w:val="004F4DEA"/>
    <w:rsid w:val="0050022E"/>
    <w:rsid w:val="005010FE"/>
    <w:rsid w:val="00502055"/>
    <w:rsid w:val="0050217D"/>
    <w:rsid w:val="0050346C"/>
    <w:rsid w:val="00505616"/>
    <w:rsid w:val="00510237"/>
    <w:rsid w:val="0051030F"/>
    <w:rsid w:val="005105F8"/>
    <w:rsid w:val="00512A5C"/>
    <w:rsid w:val="00512CEA"/>
    <w:rsid w:val="005132A5"/>
    <w:rsid w:val="00514466"/>
    <w:rsid w:val="00514B5F"/>
    <w:rsid w:val="00516DFB"/>
    <w:rsid w:val="0052002A"/>
    <w:rsid w:val="005214C9"/>
    <w:rsid w:val="005218F4"/>
    <w:rsid w:val="00522727"/>
    <w:rsid w:val="0052316A"/>
    <w:rsid w:val="00525629"/>
    <w:rsid w:val="00525F08"/>
    <w:rsid w:val="00525F37"/>
    <w:rsid w:val="00526086"/>
    <w:rsid w:val="00526096"/>
    <w:rsid w:val="00526174"/>
    <w:rsid w:val="00526F95"/>
    <w:rsid w:val="005300FF"/>
    <w:rsid w:val="0053191A"/>
    <w:rsid w:val="00531FAD"/>
    <w:rsid w:val="00535C6E"/>
    <w:rsid w:val="00535D18"/>
    <w:rsid w:val="00535D9B"/>
    <w:rsid w:val="00535EEC"/>
    <w:rsid w:val="00536B56"/>
    <w:rsid w:val="00537E68"/>
    <w:rsid w:val="00537EE6"/>
    <w:rsid w:val="00540776"/>
    <w:rsid w:val="005415C8"/>
    <w:rsid w:val="0054220C"/>
    <w:rsid w:val="00543102"/>
    <w:rsid w:val="005440C1"/>
    <w:rsid w:val="00545292"/>
    <w:rsid w:val="005458FA"/>
    <w:rsid w:val="00545EF8"/>
    <w:rsid w:val="00547654"/>
    <w:rsid w:val="00550DE3"/>
    <w:rsid w:val="00550F2B"/>
    <w:rsid w:val="0055126A"/>
    <w:rsid w:val="00552923"/>
    <w:rsid w:val="00555D81"/>
    <w:rsid w:val="00556F88"/>
    <w:rsid w:val="00557188"/>
    <w:rsid w:val="00557BF1"/>
    <w:rsid w:val="005603BD"/>
    <w:rsid w:val="00560530"/>
    <w:rsid w:val="00560703"/>
    <w:rsid w:val="00561F56"/>
    <w:rsid w:val="005632EA"/>
    <w:rsid w:val="00563359"/>
    <w:rsid w:val="00563512"/>
    <w:rsid w:val="0056497F"/>
    <w:rsid w:val="00564B64"/>
    <w:rsid w:val="00565A03"/>
    <w:rsid w:val="0056704D"/>
    <w:rsid w:val="00567C95"/>
    <w:rsid w:val="00567D8D"/>
    <w:rsid w:val="0057030C"/>
    <w:rsid w:val="0057042F"/>
    <w:rsid w:val="00571628"/>
    <w:rsid w:val="00576353"/>
    <w:rsid w:val="005772E9"/>
    <w:rsid w:val="0058297B"/>
    <w:rsid w:val="00582F97"/>
    <w:rsid w:val="0058536F"/>
    <w:rsid w:val="00594089"/>
    <w:rsid w:val="00597303"/>
    <w:rsid w:val="0059732E"/>
    <w:rsid w:val="005A079D"/>
    <w:rsid w:val="005A0B13"/>
    <w:rsid w:val="005A1DAB"/>
    <w:rsid w:val="005A35F6"/>
    <w:rsid w:val="005A4B12"/>
    <w:rsid w:val="005A4F5E"/>
    <w:rsid w:val="005A722F"/>
    <w:rsid w:val="005A72DD"/>
    <w:rsid w:val="005A792C"/>
    <w:rsid w:val="005A7BF7"/>
    <w:rsid w:val="005B3158"/>
    <w:rsid w:val="005B4CEA"/>
    <w:rsid w:val="005B67ED"/>
    <w:rsid w:val="005B71E5"/>
    <w:rsid w:val="005B74A6"/>
    <w:rsid w:val="005C092C"/>
    <w:rsid w:val="005C133C"/>
    <w:rsid w:val="005C2768"/>
    <w:rsid w:val="005C2A5A"/>
    <w:rsid w:val="005C30D4"/>
    <w:rsid w:val="005C3118"/>
    <w:rsid w:val="005C6621"/>
    <w:rsid w:val="005C68C8"/>
    <w:rsid w:val="005C6F9F"/>
    <w:rsid w:val="005C7D83"/>
    <w:rsid w:val="005C7EAE"/>
    <w:rsid w:val="005D15FE"/>
    <w:rsid w:val="005D250F"/>
    <w:rsid w:val="005D2AC4"/>
    <w:rsid w:val="005D364B"/>
    <w:rsid w:val="005D395B"/>
    <w:rsid w:val="005D3DBA"/>
    <w:rsid w:val="005D40EE"/>
    <w:rsid w:val="005D4F7D"/>
    <w:rsid w:val="005D519F"/>
    <w:rsid w:val="005D5A02"/>
    <w:rsid w:val="005D70EC"/>
    <w:rsid w:val="005E05A6"/>
    <w:rsid w:val="005E0EEB"/>
    <w:rsid w:val="005E3D9F"/>
    <w:rsid w:val="005E40EA"/>
    <w:rsid w:val="005E43C1"/>
    <w:rsid w:val="005E44AB"/>
    <w:rsid w:val="005E44D4"/>
    <w:rsid w:val="005E5BF1"/>
    <w:rsid w:val="005E5F51"/>
    <w:rsid w:val="005F025C"/>
    <w:rsid w:val="005F0454"/>
    <w:rsid w:val="005F0835"/>
    <w:rsid w:val="005F16C1"/>
    <w:rsid w:val="005F4D29"/>
    <w:rsid w:val="005F55A3"/>
    <w:rsid w:val="005F56CE"/>
    <w:rsid w:val="005F5EFB"/>
    <w:rsid w:val="005F60A4"/>
    <w:rsid w:val="005F7B97"/>
    <w:rsid w:val="006000AB"/>
    <w:rsid w:val="0060067A"/>
    <w:rsid w:val="0060087E"/>
    <w:rsid w:val="006020E8"/>
    <w:rsid w:val="00603106"/>
    <w:rsid w:val="00603A86"/>
    <w:rsid w:val="0060483A"/>
    <w:rsid w:val="00604887"/>
    <w:rsid w:val="006052BA"/>
    <w:rsid w:val="00605C62"/>
    <w:rsid w:val="00607AEF"/>
    <w:rsid w:val="00611F46"/>
    <w:rsid w:val="00612B28"/>
    <w:rsid w:val="00612EFD"/>
    <w:rsid w:val="006150E0"/>
    <w:rsid w:val="00615129"/>
    <w:rsid w:val="00615204"/>
    <w:rsid w:val="0061583B"/>
    <w:rsid w:val="006168A4"/>
    <w:rsid w:val="00622396"/>
    <w:rsid w:val="0062251A"/>
    <w:rsid w:val="0062259C"/>
    <w:rsid w:val="00624EEA"/>
    <w:rsid w:val="00626256"/>
    <w:rsid w:val="00627F1F"/>
    <w:rsid w:val="0063038A"/>
    <w:rsid w:val="00630D55"/>
    <w:rsid w:val="006311DD"/>
    <w:rsid w:val="006339C2"/>
    <w:rsid w:val="00633AE2"/>
    <w:rsid w:val="00634F84"/>
    <w:rsid w:val="006352AF"/>
    <w:rsid w:val="00636DF0"/>
    <w:rsid w:val="00637D3F"/>
    <w:rsid w:val="00640EAA"/>
    <w:rsid w:val="00642065"/>
    <w:rsid w:val="00644487"/>
    <w:rsid w:val="00644983"/>
    <w:rsid w:val="0064498D"/>
    <w:rsid w:val="00645087"/>
    <w:rsid w:val="00646026"/>
    <w:rsid w:val="006461E8"/>
    <w:rsid w:val="00646A2F"/>
    <w:rsid w:val="006472F4"/>
    <w:rsid w:val="006477BE"/>
    <w:rsid w:val="00647E5C"/>
    <w:rsid w:val="00650C92"/>
    <w:rsid w:val="006524BE"/>
    <w:rsid w:val="006526A5"/>
    <w:rsid w:val="00653DFB"/>
    <w:rsid w:val="0065443C"/>
    <w:rsid w:val="006557D7"/>
    <w:rsid w:val="00655B5D"/>
    <w:rsid w:val="0065677C"/>
    <w:rsid w:val="00656DE7"/>
    <w:rsid w:val="00660678"/>
    <w:rsid w:val="006606A0"/>
    <w:rsid w:val="006606A3"/>
    <w:rsid w:val="00660CFA"/>
    <w:rsid w:val="00661DE5"/>
    <w:rsid w:val="0066537F"/>
    <w:rsid w:val="00665F05"/>
    <w:rsid w:val="00665FEC"/>
    <w:rsid w:val="00667856"/>
    <w:rsid w:val="006678AB"/>
    <w:rsid w:val="00671666"/>
    <w:rsid w:val="00672014"/>
    <w:rsid w:val="006733A8"/>
    <w:rsid w:val="0067355C"/>
    <w:rsid w:val="00673654"/>
    <w:rsid w:val="00673674"/>
    <w:rsid w:val="00673C77"/>
    <w:rsid w:val="00674B18"/>
    <w:rsid w:val="006825C5"/>
    <w:rsid w:val="006835D7"/>
    <w:rsid w:val="00683D5B"/>
    <w:rsid w:val="00683E53"/>
    <w:rsid w:val="00685723"/>
    <w:rsid w:val="00686621"/>
    <w:rsid w:val="00686968"/>
    <w:rsid w:val="00687092"/>
    <w:rsid w:val="006873F7"/>
    <w:rsid w:val="006877E7"/>
    <w:rsid w:val="00690695"/>
    <w:rsid w:val="00691785"/>
    <w:rsid w:val="00692F86"/>
    <w:rsid w:val="006934AD"/>
    <w:rsid w:val="00694D3D"/>
    <w:rsid w:val="00695340"/>
    <w:rsid w:val="00696874"/>
    <w:rsid w:val="00697310"/>
    <w:rsid w:val="006973AF"/>
    <w:rsid w:val="006A2167"/>
    <w:rsid w:val="006A481E"/>
    <w:rsid w:val="006A4BB3"/>
    <w:rsid w:val="006A5FA7"/>
    <w:rsid w:val="006A6759"/>
    <w:rsid w:val="006A69EC"/>
    <w:rsid w:val="006A69EE"/>
    <w:rsid w:val="006A6FD0"/>
    <w:rsid w:val="006B031C"/>
    <w:rsid w:val="006B080E"/>
    <w:rsid w:val="006B685D"/>
    <w:rsid w:val="006B70DB"/>
    <w:rsid w:val="006B7BD5"/>
    <w:rsid w:val="006B7EB0"/>
    <w:rsid w:val="006C072F"/>
    <w:rsid w:val="006C20B5"/>
    <w:rsid w:val="006C4F32"/>
    <w:rsid w:val="006C5D72"/>
    <w:rsid w:val="006C6114"/>
    <w:rsid w:val="006C6CDC"/>
    <w:rsid w:val="006D2212"/>
    <w:rsid w:val="006D2A8F"/>
    <w:rsid w:val="006D550A"/>
    <w:rsid w:val="006D5E54"/>
    <w:rsid w:val="006D6250"/>
    <w:rsid w:val="006D73F2"/>
    <w:rsid w:val="006D7B67"/>
    <w:rsid w:val="006D7CDB"/>
    <w:rsid w:val="006D7FF3"/>
    <w:rsid w:val="006E0693"/>
    <w:rsid w:val="006E22E3"/>
    <w:rsid w:val="006E3B0D"/>
    <w:rsid w:val="006E4982"/>
    <w:rsid w:val="006E4FB1"/>
    <w:rsid w:val="006E6868"/>
    <w:rsid w:val="006E6A73"/>
    <w:rsid w:val="006E728E"/>
    <w:rsid w:val="006E753C"/>
    <w:rsid w:val="006E7910"/>
    <w:rsid w:val="006F2347"/>
    <w:rsid w:val="006F4013"/>
    <w:rsid w:val="006F5304"/>
    <w:rsid w:val="006F7BBB"/>
    <w:rsid w:val="00700454"/>
    <w:rsid w:val="00700567"/>
    <w:rsid w:val="00700744"/>
    <w:rsid w:val="007012CB"/>
    <w:rsid w:val="00702A51"/>
    <w:rsid w:val="007043A4"/>
    <w:rsid w:val="00704843"/>
    <w:rsid w:val="007051A8"/>
    <w:rsid w:val="00705F31"/>
    <w:rsid w:val="007066FE"/>
    <w:rsid w:val="00706A7E"/>
    <w:rsid w:val="0071021F"/>
    <w:rsid w:val="007112FE"/>
    <w:rsid w:val="007115F7"/>
    <w:rsid w:val="00714FD7"/>
    <w:rsid w:val="00715666"/>
    <w:rsid w:val="0071645F"/>
    <w:rsid w:val="0071661E"/>
    <w:rsid w:val="00717775"/>
    <w:rsid w:val="00717CBE"/>
    <w:rsid w:val="00722685"/>
    <w:rsid w:val="007228F8"/>
    <w:rsid w:val="00724D3E"/>
    <w:rsid w:val="00725E08"/>
    <w:rsid w:val="00726984"/>
    <w:rsid w:val="00726F1A"/>
    <w:rsid w:val="0072776E"/>
    <w:rsid w:val="007277B9"/>
    <w:rsid w:val="00730311"/>
    <w:rsid w:val="00730457"/>
    <w:rsid w:val="007307B4"/>
    <w:rsid w:val="00730E43"/>
    <w:rsid w:val="00731211"/>
    <w:rsid w:val="0073216B"/>
    <w:rsid w:val="007325C3"/>
    <w:rsid w:val="0073326F"/>
    <w:rsid w:val="007332B4"/>
    <w:rsid w:val="00736349"/>
    <w:rsid w:val="00737C1B"/>
    <w:rsid w:val="00742183"/>
    <w:rsid w:val="00742549"/>
    <w:rsid w:val="00743885"/>
    <w:rsid w:val="00743CDB"/>
    <w:rsid w:val="00744A9E"/>
    <w:rsid w:val="007459DE"/>
    <w:rsid w:val="00745AB4"/>
    <w:rsid w:val="007460A1"/>
    <w:rsid w:val="00746708"/>
    <w:rsid w:val="007470E1"/>
    <w:rsid w:val="007479D6"/>
    <w:rsid w:val="00747E97"/>
    <w:rsid w:val="007515E0"/>
    <w:rsid w:val="00751D4D"/>
    <w:rsid w:val="00752D0E"/>
    <w:rsid w:val="00752EDA"/>
    <w:rsid w:val="007538E7"/>
    <w:rsid w:val="0075507C"/>
    <w:rsid w:val="00755564"/>
    <w:rsid w:val="007559D0"/>
    <w:rsid w:val="00756944"/>
    <w:rsid w:val="00757A0B"/>
    <w:rsid w:val="00757E63"/>
    <w:rsid w:val="00760FBF"/>
    <w:rsid w:val="00761C68"/>
    <w:rsid w:val="00761DAE"/>
    <w:rsid w:val="00763988"/>
    <w:rsid w:val="00765328"/>
    <w:rsid w:val="007655A7"/>
    <w:rsid w:val="007655AD"/>
    <w:rsid w:val="00765619"/>
    <w:rsid w:val="00765B1A"/>
    <w:rsid w:val="007669E5"/>
    <w:rsid w:val="0077027B"/>
    <w:rsid w:val="0077057D"/>
    <w:rsid w:val="00770C96"/>
    <w:rsid w:val="0077103F"/>
    <w:rsid w:val="007712B3"/>
    <w:rsid w:val="0077236F"/>
    <w:rsid w:val="00772443"/>
    <w:rsid w:val="00775563"/>
    <w:rsid w:val="0077759E"/>
    <w:rsid w:val="00781050"/>
    <w:rsid w:val="00781A78"/>
    <w:rsid w:val="00781BFC"/>
    <w:rsid w:val="00782257"/>
    <w:rsid w:val="00783740"/>
    <w:rsid w:val="0078400F"/>
    <w:rsid w:val="00784C4E"/>
    <w:rsid w:val="007856CC"/>
    <w:rsid w:val="00785772"/>
    <w:rsid w:val="007859E9"/>
    <w:rsid w:val="0078649E"/>
    <w:rsid w:val="0078787A"/>
    <w:rsid w:val="00787DBC"/>
    <w:rsid w:val="00790B4B"/>
    <w:rsid w:val="00791577"/>
    <w:rsid w:val="007925BC"/>
    <w:rsid w:val="00792AD9"/>
    <w:rsid w:val="00793E1C"/>
    <w:rsid w:val="0079426E"/>
    <w:rsid w:val="00795480"/>
    <w:rsid w:val="007A1F80"/>
    <w:rsid w:val="007A2AF2"/>
    <w:rsid w:val="007A400F"/>
    <w:rsid w:val="007A47F8"/>
    <w:rsid w:val="007A6CC8"/>
    <w:rsid w:val="007B044F"/>
    <w:rsid w:val="007B1B20"/>
    <w:rsid w:val="007B25BE"/>
    <w:rsid w:val="007B39F3"/>
    <w:rsid w:val="007B4207"/>
    <w:rsid w:val="007B4739"/>
    <w:rsid w:val="007B5FAF"/>
    <w:rsid w:val="007B78FB"/>
    <w:rsid w:val="007C0096"/>
    <w:rsid w:val="007C197B"/>
    <w:rsid w:val="007C1D46"/>
    <w:rsid w:val="007C1DAA"/>
    <w:rsid w:val="007C34F3"/>
    <w:rsid w:val="007C3735"/>
    <w:rsid w:val="007C3802"/>
    <w:rsid w:val="007C3FB4"/>
    <w:rsid w:val="007C416C"/>
    <w:rsid w:val="007C4620"/>
    <w:rsid w:val="007C4839"/>
    <w:rsid w:val="007C4BDD"/>
    <w:rsid w:val="007C6865"/>
    <w:rsid w:val="007D0534"/>
    <w:rsid w:val="007D0CA8"/>
    <w:rsid w:val="007D1D03"/>
    <w:rsid w:val="007D256D"/>
    <w:rsid w:val="007D44C0"/>
    <w:rsid w:val="007D472A"/>
    <w:rsid w:val="007D5BA0"/>
    <w:rsid w:val="007D6D4B"/>
    <w:rsid w:val="007D6D80"/>
    <w:rsid w:val="007E0CA1"/>
    <w:rsid w:val="007E10B6"/>
    <w:rsid w:val="007E1673"/>
    <w:rsid w:val="007E1B2C"/>
    <w:rsid w:val="007E1C0B"/>
    <w:rsid w:val="007E3518"/>
    <w:rsid w:val="007E39BB"/>
    <w:rsid w:val="007E5F75"/>
    <w:rsid w:val="007E7047"/>
    <w:rsid w:val="007F1037"/>
    <w:rsid w:val="007F1585"/>
    <w:rsid w:val="007F1B4E"/>
    <w:rsid w:val="007F1DA6"/>
    <w:rsid w:val="007F29BF"/>
    <w:rsid w:val="007F3C22"/>
    <w:rsid w:val="007F3CC0"/>
    <w:rsid w:val="007F5C62"/>
    <w:rsid w:val="007F7910"/>
    <w:rsid w:val="007F7E1D"/>
    <w:rsid w:val="008005BA"/>
    <w:rsid w:val="0080144D"/>
    <w:rsid w:val="00803D6D"/>
    <w:rsid w:val="00804AA7"/>
    <w:rsid w:val="00806AEF"/>
    <w:rsid w:val="00806F10"/>
    <w:rsid w:val="00812FB0"/>
    <w:rsid w:val="0081375C"/>
    <w:rsid w:val="00813F43"/>
    <w:rsid w:val="00814204"/>
    <w:rsid w:val="00814FB7"/>
    <w:rsid w:val="00816F70"/>
    <w:rsid w:val="00817123"/>
    <w:rsid w:val="008171C4"/>
    <w:rsid w:val="008179A3"/>
    <w:rsid w:val="00820BC8"/>
    <w:rsid w:val="00821826"/>
    <w:rsid w:val="008218CC"/>
    <w:rsid w:val="00822B78"/>
    <w:rsid w:val="00823395"/>
    <w:rsid w:val="00823601"/>
    <w:rsid w:val="0082444F"/>
    <w:rsid w:val="008259A1"/>
    <w:rsid w:val="00826245"/>
    <w:rsid w:val="00826849"/>
    <w:rsid w:val="00830645"/>
    <w:rsid w:val="00831620"/>
    <w:rsid w:val="00832FF1"/>
    <w:rsid w:val="0083640A"/>
    <w:rsid w:val="00836DF6"/>
    <w:rsid w:val="00837EB3"/>
    <w:rsid w:val="00840267"/>
    <w:rsid w:val="00842A09"/>
    <w:rsid w:val="008447C2"/>
    <w:rsid w:val="00845398"/>
    <w:rsid w:val="00854197"/>
    <w:rsid w:val="0085521E"/>
    <w:rsid w:val="00855545"/>
    <w:rsid w:val="00855DC2"/>
    <w:rsid w:val="008561ED"/>
    <w:rsid w:val="0085791E"/>
    <w:rsid w:val="00860228"/>
    <w:rsid w:val="00862B6D"/>
    <w:rsid w:val="008635E6"/>
    <w:rsid w:val="00863A8F"/>
    <w:rsid w:val="00865D95"/>
    <w:rsid w:val="008666BC"/>
    <w:rsid w:val="00866CB0"/>
    <w:rsid w:val="00867A33"/>
    <w:rsid w:val="0087004D"/>
    <w:rsid w:val="00870731"/>
    <w:rsid w:val="00870DBA"/>
    <w:rsid w:val="008742A5"/>
    <w:rsid w:val="0087483B"/>
    <w:rsid w:val="00874CFC"/>
    <w:rsid w:val="008777E6"/>
    <w:rsid w:val="00877FDA"/>
    <w:rsid w:val="008801B8"/>
    <w:rsid w:val="0088484A"/>
    <w:rsid w:val="00886EA5"/>
    <w:rsid w:val="008900B9"/>
    <w:rsid w:val="00890D4F"/>
    <w:rsid w:val="00890DC3"/>
    <w:rsid w:val="0089169A"/>
    <w:rsid w:val="0089257F"/>
    <w:rsid w:val="00894EF3"/>
    <w:rsid w:val="0089798B"/>
    <w:rsid w:val="008A0B16"/>
    <w:rsid w:val="008A10E1"/>
    <w:rsid w:val="008A121A"/>
    <w:rsid w:val="008A154A"/>
    <w:rsid w:val="008A1A2C"/>
    <w:rsid w:val="008A5D8D"/>
    <w:rsid w:val="008A6E28"/>
    <w:rsid w:val="008B1964"/>
    <w:rsid w:val="008B1AEC"/>
    <w:rsid w:val="008B41B5"/>
    <w:rsid w:val="008B50BD"/>
    <w:rsid w:val="008B5A6D"/>
    <w:rsid w:val="008B5F00"/>
    <w:rsid w:val="008B639D"/>
    <w:rsid w:val="008C11CF"/>
    <w:rsid w:val="008C15BE"/>
    <w:rsid w:val="008C1CDB"/>
    <w:rsid w:val="008C3256"/>
    <w:rsid w:val="008C55DE"/>
    <w:rsid w:val="008C5878"/>
    <w:rsid w:val="008C5FB2"/>
    <w:rsid w:val="008D1BE7"/>
    <w:rsid w:val="008D2721"/>
    <w:rsid w:val="008D3476"/>
    <w:rsid w:val="008D35B8"/>
    <w:rsid w:val="008D3A79"/>
    <w:rsid w:val="008D6AFE"/>
    <w:rsid w:val="008E0201"/>
    <w:rsid w:val="008E07E9"/>
    <w:rsid w:val="008E0D87"/>
    <w:rsid w:val="008E1F55"/>
    <w:rsid w:val="008E1F8D"/>
    <w:rsid w:val="008E2FF7"/>
    <w:rsid w:val="008E353F"/>
    <w:rsid w:val="008E4F04"/>
    <w:rsid w:val="008E5C88"/>
    <w:rsid w:val="008F0F79"/>
    <w:rsid w:val="008F3674"/>
    <w:rsid w:val="008F467F"/>
    <w:rsid w:val="008F5F55"/>
    <w:rsid w:val="008F6BFE"/>
    <w:rsid w:val="008F6ED3"/>
    <w:rsid w:val="008F7114"/>
    <w:rsid w:val="0090073E"/>
    <w:rsid w:val="009012DC"/>
    <w:rsid w:val="009015DE"/>
    <w:rsid w:val="00901706"/>
    <w:rsid w:val="00901EA9"/>
    <w:rsid w:val="00903DAE"/>
    <w:rsid w:val="00903F72"/>
    <w:rsid w:val="009051AB"/>
    <w:rsid w:val="00910008"/>
    <w:rsid w:val="0091173D"/>
    <w:rsid w:val="00912703"/>
    <w:rsid w:val="009129B2"/>
    <w:rsid w:val="00912FB5"/>
    <w:rsid w:val="00913674"/>
    <w:rsid w:val="009143F0"/>
    <w:rsid w:val="009150E9"/>
    <w:rsid w:val="0091775A"/>
    <w:rsid w:val="00920FB9"/>
    <w:rsid w:val="00922BC7"/>
    <w:rsid w:val="00923E90"/>
    <w:rsid w:val="00923F5E"/>
    <w:rsid w:val="00924198"/>
    <w:rsid w:val="009244F0"/>
    <w:rsid w:val="0092492D"/>
    <w:rsid w:val="00925402"/>
    <w:rsid w:val="00927628"/>
    <w:rsid w:val="009317B5"/>
    <w:rsid w:val="00931A27"/>
    <w:rsid w:val="00931A54"/>
    <w:rsid w:val="00931A9D"/>
    <w:rsid w:val="009323E8"/>
    <w:rsid w:val="00932FF9"/>
    <w:rsid w:val="009338C0"/>
    <w:rsid w:val="0093638C"/>
    <w:rsid w:val="00936586"/>
    <w:rsid w:val="00937A4E"/>
    <w:rsid w:val="00941183"/>
    <w:rsid w:val="009418BB"/>
    <w:rsid w:val="00943419"/>
    <w:rsid w:val="009445A4"/>
    <w:rsid w:val="00950051"/>
    <w:rsid w:val="00950058"/>
    <w:rsid w:val="00950798"/>
    <w:rsid w:val="009515F2"/>
    <w:rsid w:val="009521D0"/>
    <w:rsid w:val="00952709"/>
    <w:rsid w:val="00952B31"/>
    <w:rsid w:val="009539A6"/>
    <w:rsid w:val="00954B90"/>
    <w:rsid w:val="00955661"/>
    <w:rsid w:val="00955ED6"/>
    <w:rsid w:val="009573BE"/>
    <w:rsid w:val="00957404"/>
    <w:rsid w:val="00957948"/>
    <w:rsid w:val="00964B8D"/>
    <w:rsid w:val="00966093"/>
    <w:rsid w:val="00966825"/>
    <w:rsid w:val="00966BE7"/>
    <w:rsid w:val="0096732A"/>
    <w:rsid w:val="00967870"/>
    <w:rsid w:val="009708B5"/>
    <w:rsid w:val="009714F0"/>
    <w:rsid w:val="00972B3D"/>
    <w:rsid w:val="009738DE"/>
    <w:rsid w:val="00974A8A"/>
    <w:rsid w:val="009760B6"/>
    <w:rsid w:val="0097633D"/>
    <w:rsid w:val="009766F3"/>
    <w:rsid w:val="00980AA0"/>
    <w:rsid w:val="00981A39"/>
    <w:rsid w:val="00981E0D"/>
    <w:rsid w:val="00982389"/>
    <w:rsid w:val="00983C86"/>
    <w:rsid w:val="0098443C"/>
    <w:rsid w:val="009847FB"/>
    <w:rsid w:val="00984D72"/>
    <w:rsid w:val="00984FBF"/>
    <w:rsid w:val="00985084"/>
    <w:rsid w:val="0098655E"/>
    <w:rsid w:val="00987317"/>
    <w:rsid w:val="009878E9"/>
    <w:rsid w:val="00990196"/>
    <w:rsid w:val="00992A29"/>
    <w:rsid w:val="009A09C6"/>
    <w:rsid w:val="009A2403"/>
    <w:rsid w:val="009A323D"/>
    <w:rsid w:val="009A3AE5"/>
    <w:rsid w:val="009A47D6"/>
    <w:rsid w:val="009A4C09"/>
    <w:rsid w:val="009A6E5D"/>
    <w:rsid w:val="009B0223"/>
    <w:rsid w:val="009B0CCE"/>
    <w:rsid w:val="009B1061"/>
    <w:rsid w:val="009B2C59"/>
    <w:rsid w:val="009B32F4"/>
    <w:rsid w:val="009B3E58"/>
    <w:rsid w:val="009B43F4"/>
    <w:rsid w:val="009B5C4A"/>
    <w:rsid w:val="009B5E9A"/>
    <w:rsid w:val="009B6F55"/>
    <w:rsid w:val="009C0FE8"/>
    <w:rsid w:val="009C2411"/>
    <w:rsid w:val="009C2C5E"/>
    <w:rsid w:val="009C3321"/>
    <w:rsid w:val="009C46AB"/>
    <w:rsid w:val="009C4EE7"/>
    <w:rsid w:val="009C6AD9"/>
    <w:rsid w:val="009C7F63"/>
    <w:rsid w:val="009D0151"/>
    <w:rsid w:val="009D0C63"/>
    <w:rsid w:val="009D5355"/>
    <w:rsid w:val="009E161F"/>
    <w:rsid w:val="009E2728"/>
    <w:rsid w:val="009E2B74"/>
    <w:rsid w:val="009E2B8E"/>
    <w:rsid w:val="009E4163"/>
    <w:rsid w:val="009E4314"/>
    <w:rsid w:val="009E44EE"/>
    <w:rsid w:val="009E651B"/>
    <w:rsid w:val="009E66D7"/>
    <w:rsid w:val="009E708F"/>
    <w:rsid w:val="009F0CF3"/>
    <w:rsid w:val="009F0D63"/>
    <w:rsid w:val="009F1E0F"/>
    <w:rsid w:val="009F258B"/>
    <w:rsid w:val="009F4006"/>
    <w:rsid w:val="009F693E"/>
    <w:rsid w:val="009F69D8"/>
    <w:rsid w:val="00A002F4"/>
    <w:rsid w:val="00A00AE0"/>
    <w:rsid w:val="00A010C8"/>
    <w:rsid w:val="00A01D1A"/>
    <w:rsid w:val="00A020A9"/>
    <w:rsid w:val="00A02148"/>
    <w:rsid w:val="00A036F6"/>
    <w:rsid w:val="00A047AF"/>
    <w:rsid w:val="00A04919"/>
    <w:rsid w:val="00A0567A"/>
    <w:rsid w:val="00A05D5B"/>
    <w:rsid w:val="00A06D6B"/>
    <w:rsid w:val="00A07F96"/>
    <w:rsid w:val="00A10460"/>
    <w:rsid w:val="00A11070"/>
    <w:rsid w:val="00A112A7"/>
    <w:rsid w:val="00A11CC2"/>
    <w:rsid w:val="00A12C45"/>
    <w:rsid w:val="00A13C59"/>
    <w:rsid w:val="00A14E35"/>
    <w:rsid w:val="00A16531"/>
    <w:rsid w:val="00A167A7"/>
    <w:rsid w:val="00A16DED"/>
    <w:rsid w:val="00A174D4"/>
    <w:rsid w:val="00A204BA"/>
    <w:rsid w:val="00A20570"/>
    <w:rsid w:val="00A20659"/>
    <w:rsid w:val="00A208F8"/>
    <w:rsid w:val="00A223C9"/>
    <w:rsid w:val="00A230E1"/>
    <w:rsid w:val="00A2382A"/>
    <w:rsid w:val="00A23A10"/>
    <w:rsid w:val="00A24336"/>
    <w:rsid w:val="00A24CD1"/>
    <w:rsid w:val="00A25AD5"/>
    <w:rsid w:val="00A26C54"/>
    <w:rsid w:val="00A2743D"/>
    <w:rsid w:val="00A277B1"/>
    <w:rsid w:val="00A3033D"/>
    <w:rsid w:val="00A313FA"/>
    <w:rsid w:val="00A3187A"/>
    <w:rsid w:val="00A32CBB"/>
    <w:rsid w:val="00A32F3F"/>
    <w:rsid w:val="00A36D9B"/>
    <w:rsid w:val="00A3777F"/>
    <w:rsid w:val="00A3796D"/>
    <w:rsid w:val="00A41565"/>
    <w:rsid w:val="00A41811"/>
    <w:rsid w:val="00A42341"/>
    <w:rsid w:val="00A42824"/>
    <w:rsid w:val="00A42C0F"/>
    <w:rsid w:val="00A43430"/>
    <w:rsid w:val="00A4503B"/>
    <w:rsid w:val="00A45420"/>
    <w:rsid w:val="00A4669B"/>
    <w:rsid w:val="00A470DF"/>
    <w:rsid w:val="00A47D5A"/>
    <w:rsid w:val="00A5072A"/>
    <w:rsid w:val="00A51044"/>
    <w:rsid w:val="00A51914"/>
    <w:rsid w:val="00A52CEE"/>
    <w:rsid w:val="00A531BD"/>
    <w:rsid w:val="00A532BC"/>
    <w:rsid w:val="00A5458A"/>
    <w:rsid w:val="00A54BF2"/>
    <w:rsid w:val="00A57311"/>
    <w:rsid w:val="00A60C8E"/>
    <w:rsid w:val="00A619AD"/>
    <w:rsid w:val="00A619CD"/>
    <w:rsid w:val="00A63424"/>
    <w:rsid w:val="00A6349F"/>
    <w:rsid w:val="00A636CF"/>
    <w:rsid w:val="00A648E2"/>
    <w:rsid w:val="00A64FD4"/>
    <w:rsid w:val="00A65CE3"/>
    <w:rsid w:val="00A66249"/>
    <w:rsid w:val="00A66B11"/>
    <w:rsid w:val="00A70CE1"/>
    <w:rsid w:val="00A71055"/>
    <w:rsid w:val="00A718DD"/>
    <w:rsid w:val="00A74789"/>
    <w:rsid w:val="00A74987"/>
    <w:rsid w:val="00A74A2A"/>
    <w:rsid w:val="00A75489"/>
    <w:rsid w:val="00A76F1D"/>
    <w:rsid w:val="00A80A32"/>
    <w:rsid w:val="00A80A78"/>
    <w:rsid w:val="00A8213B"/>
    <w:rsid w:val="00A83738"/>
    <w:rsid w:val="00A83995"/>
    <w:rsid w:val="00A860A8"/>
    <w:rsid w:val="00A869D5"/>
    <w:rsid w:val="00A87F03"/>
    <w:rsid w:val="00A94FD7"/>
    <w:rsid w:val="00A95983"/>
    <w:rsid w:val="00A959D8"/>
    <w:rsid w:val="00A95F4D"/>
    <w:rsid w:val="00A96431"/>
    <w:rsid w:val="00A967C7"/>
    <w:rsid w:val="00A97906"/>
    <w:rsid w:val="00A97E46"/>
    <w:rsid w:val="00AA19E7"/>
    <w:rsid w:val="00AA1C42"/>
    <w:rsid w:val="00AA242F"/>
    <w:rsid w:val="00AA4B21"/>
    <w:rsid w:val="00AA614F"/>
    <w:rsid w:val="00AB1614"/>
    <w:rsid w:val="00AB1E8F"/>
    <w:rsid w:val="00AB282B"/>
    <w:rsid w:val="00AB2A81"/>
    <w:rsid w:val="00AB2DE8"/>
    <w:rsid w:val="00AB2F80"/>
    <w:rsid w:val="00AB3FF0"/>
    <w:rsid w:val="00AB5AFD"/>
    <w:rsid w:val="00AC08EF"/>
    <w:rsid w:val="00AC0A30"/>
    <w:rsid w:val="00AC10B0"/>
    <w:rsid w:val="00AC124F"/>
    <w:rsid w:val="00AC15C8"/>
    <w:rsid w:val="00AC1659"/>
    <w:rsid w:val="00AC71B4"/>
    <w:rsid w:val="00AC7682"/>
    <w:rsid w:val="00AC76D5"/>
    <w:rsid w:val="00AC7905"/>
    <w:rsid w:val="00AC79A7"/>
    <w:rsid w:val="00AD0726"/>
    <w:rsid w:val="00AD235C"/>
    <w:rsid w:val="00AD35D3"/>
    <w:rsid w:val="00AD525D"/>
    <w:rsid w:val="00AD6B85"/>
    <w:rsid w:val="00AE4876"/>
    <w:rsid w:val="00AE4E71"/>
    <w:rsid w:val="00AE582F"/>
    <w:rsid w:val="00AE6CDF"/>
    <w:rsid w:val="00AE77F8"/>
    <w:rsid w:val="00AE7C27"/>
    <w:rsid w:val="00AF1B64"/>
    <w:rsid w:val="00AF2116"/>
    <w:rsid w:val="00AF2483"/>
    <w:rsid w:val="00AF3462"/>
    <w:rsid w:val="00AF59F0"/>
    <w:rsid w:val="00AF5F60"/>
    <w:rsid w:val="00AF60CE"/>
    <w:rsid w:val="00AF6122"/>
    <w:rsid w:val="00AF72A4"/>
    <w:rsid w:val="00B00DAF"/>
    <w:rsid w:val="00B04426"/>
    <w:rsid w:val="00B046DF"/>
    <w:rsid w:val="00B04A1A"/>
    <w:rsid w:val="00B0601B"/>
    <w:rsid w:val="00B102D9"/>
    <w:rsid w:val="00B106C6"/>
    <w:rsid w:val="00B12E8C"/>
    <w:rsid w:val="00B13273"/>
    <w:rsid w:val="00B134E1"/>
    <w:rsid w:val="00B16FCA"/>
    <w:rsid w:val="00B20811"/>
    <w:rsid w:val="00B20B5F"/>
    <w:rsid w:val="00B2122F"/>
    <w:rsid w:val="00B212A4"/>
    <w:rsid w:val="00B21753"/>
    <w:rsid w:val="00B23351"/>
    <w:rsid w:val="00B246DD"/>
    <w:rsid w:val="00B26603"/>
    <w:rsid w:val="00B27008"/>
    <w:rsid w:val="00B27F03"/>
    <w:rsid w:val="00B307A4"/>
    <w:rsid w:val="00B307D7"/>
    <w:rsid w:val="00B30AC3"/>
    <w:rsid w:val="00B32E9D"/>
    <w:rsid w:val="00B3303F"/>
    <w:rsid w:val="00B330FD"/>
    <w:rsid w:val="00B335A2"/>
    <w:rsid w:val="00B34C88"/>
    <w:rsid w:val="00B3585E"/>
    <w:rsid w:val="00B372B2"/>
    <w:rsid w:val="00B374A6"/>
    <w:rsid w:val="00B376FC"/>
    <w:rsid w:val="00B43A66"/>
    <w:rsid w:val="00B442E1"/>
    <w:rsid w:val="00B46056"/>
    <w:rsid w:val="00B4681C"/>
    <w:rsid w:val="00B46D5E"/>
    <w:rsid w:val="00B46E7E"/>
    <w:rsid w:val="00B5182F"/>
    <w:rsid w:val="00B51D82"/>
    <w:rsid w:val="00B525B5"/>
    <w:rsid w:val="00B5274E"/>
    <w:rsid w:val="00B52C0D"/>
    <w:rsid w:val="00B52F5E"/>
    <w:rsid w:val="00B5349D"/>
    <w:rsid w:val="00B56D09"/>
    <w:rsid w:val="00B57221"/>
    <w:rsid w:val="00B62FA2"/>
    <w:rsid w:val="00B631A7"/>
    <w:rsid w:val="00B642C5"/>
    <w:rsid w:val="00B661C1"/>
    <w:rsid w:val="00B66B7F"/>
    <w:rsid w:val="00B70A0B"/>
    <w:rsid w:val="00B732D1"/>
    <w:rsid w:val="00B7385F"/>
    <w:rsid w:val="00B755D4"/>
    <w:rsid w:val="00B75683"/>
    <w:rsid w:val="00B75C86"/>
    <w:rsid w:val="00B771F4"/>
    <w:rsid w:val="00B81DDF"/>
    <w:rsid w:val="00B82247"/>
    <w:rsid w:val="00B844EB"/>
    <w:rsid w:val="00B84CF8"/>
    <w:rsid w:val="00B84DAA"/>
    <w:rsid w:val="00B866E9"/>
    <w:rsid w:val="00B8695B"/>
    <w:rsid w:val="00B86B94"/>
    <w:rsid w:val="00B87ACF"/>
    <w:rsid w:val="00B87D18"/>
    <w:rsid w:val="00B90340"/>
    <w:rsid w:val="00B9041E"/>
    <w:rsid w:val="00B90CFC"/>
    <w:rsid w:val="00B9141C"/>
    <w:rsid w:val="00B922B2"/>
    <w:rsid w:val="00B93C08"/>
    <w:rsid w:val="00B93FCA"/>
    <w:rsid w:val="00B94641"/>
    <w:rsid w:val="00B949B2"/>
    <w:rsid w:val="00B9636A"/>
    <w:rsid w:val="00B9639B"/>
    <w:rsid w:val="00B97814"/>
    <w:rsid w:val="00BA0DEA"/>
    <w:rsid w:val="00BA1278"/>
    <w:rsid w:val="00BA14E8"/>
    <w:rsid w:val="00BA650A"/>
    <w:rsid w:val="00BA6FF4"/>
    <w:rsid w:val="00BB18C9"/>
    <w:rsid w:val="00BB21AE"/>
    <w:rsid w:val="00BB2B10"/>
    <w:rsid w:val="00BB4888"/>
    <w:rsid w:val="00BB6D6F"/>
    <w:rsid w:val="00BB79FB"/>
    <w:rsid w:val="00BC14B2"/>
    <w:rsid w:val="00BC3C88"/>
    <w:rsid w:val="00BC3FB6"/>
    <w:rsid w:val="00BC4609"/>
    <w:rsid w:val="00BC6119"/>
    <w:rsid w:val="00BC7025"/>
    <w:rsid w:val="00BC79E2"/>
    <w:rsid w:val="00BC7BC8"/>
    <w:rsid w:val="00BD1520"/>
    <w:rsid w:val="00BD1C60"/>
    <w:rsid w:val="00BD3435"/>
    <w:rsid w:val="00BD5C10"/>
    <w:rsid w:val="00BD5D7B"/>
    <w:rsid w:val="00BD6378"/>
    <w:rsid w:val="00BD747D"/>
    <w:rsid w:val="00BE1247"/>
    <w:rsid w:val="00BE22E1"/>
    <w:rsid w:val="00BE2CAB"/>
    <w:rsid w:val="00BE375D"/>
    <w:rsid w:val="00BE56EB"/>
    <w:rsid w:val="00BF0CB5"/>
    <w:rsid w:val="00BF1929"/>
    <w:rsid w:val="00BF273F"/>
    <w:rsid w:val="00BF2A52"/>
    <w:rsid w:val="00BF3BD1"/>
    <w:rsid w:val="00BF451E"/>
    <w:rsid w:val="00BF597A"/>
    <w:rsid w:val="00BF689C"/>
    <w:rsid w:val="00BF7952"/>
    <w:rsid w:val="00C01910"/>
    <w:rsid w:val="00C01C4C"/>
    <w:rsid w:val="00C02572"/>
    <w:rsid w:val="00C03ED4"/>
    <w:rsid w:val="00C049D8"/>
    <w:rsid w:val="00C0513F"/>
    <w:rsid w:val="00C0568D"/>
    <w:rsid w:val="00C063BE"/>
    <w:rsid w:val="00C0653E"/>
    <w:rsid w:val="00C06FA3"/>
    <w:rsid w:val="00C10123"/>
    <w:rsid w:val="00C11A1E"/>
    <w:rsid w:val="00C11CF4"/>
    <w:rsid w:val="00C12075"/>
    <w:rsid w:val="00C12619"/>
    <w:rsid w:val="00C130ED"/>
    <w:rsid w:val="00C135FF"/>
    <w:rsid w:val="00C138D9"/>
    <w:rsid w:val="00C141A4"/>
    <w:rsid w:val="00C145DD"/>
    <w:rsid w:val="00C14EBB"/>
    <w:rsid w:val="00C15447"/>
    <w:rsid w:val="00C16466"/>
    <w:rsid w:val="00C16BB1"/>
    <w:rsid w:val="00C16C03"/>
    <w:rsid w:val="00C211BD"/>
    <w:rsid w:val="00C21313"/>
    <w:rsid w:val="00C22308"/>
    <w:rsid w:val="00C22BEA"/>
    <w:rsid w:val="00C23262"/>
    <w:rsid w:val="00C23391"/>
    <w:rsid w:val="00C23FF5"/>
    <w:rsid w:val="00C2400C"/>
    <w:rsid w:val="00C2441E"/>
    <w:rsid w:val="00C2483C"/>
    <w:rsid w:val="00C258A2"/>
    <w:rsid w:val="00C25EAE"/>
    <w:rsid w:val="00C26770"/>
    <w:rsid w:val="00C26850"/>
    <w:rsid w:val="00C2716E"/>
    <w:rsid w:val="00C275CB"/>
    <w:rsid w:val="00C3067A"/>
    <w:rsid w:val="00C308BE"/>
    <w:rsid w:val="00C30B5C"/>
    <w:rsid w:val="00C31F94"/>
    <w:rsid w:val="00C32B5E"/>
    <w:rsid w:val="00C339C4"/>
    <w:rsid w:val="00C353E3"/>
    <w:rsid w:val="00C35943"/>
    <w:rsid w:val="00C376D3"/>
    <w:rsid w:val="00C37DEA"/>
    <w:rsid w:val="00C41F31"/>
    <w:rsid w:val="00C41F34"/>
    <w:rsid w:val="00C42159"/>
    <w:rsid w:val="00C439BF"/>
    <w:rsid w:val="00C44DE1"/>
    <w:rsid w:val="00C476B4"/>
    <w:rsid w:val="00C47EDB"/>
    <w:rsid w:val="00C508A6"/>
    <w:rsid w:val="00C51770"/>
    <w:rsid w:val="00C5374C"/>
    <w:rsid w:val="00C5450F"/>
    <w:rsid w:val="00C5575E"/>
    <w:rsid w:val="00C60C94"/>
    <w:rsid w:val="00C61285"/>
    <w:rsid w:val="00C64B05"/>
    <w:rsid w:val="00C70B14"/>
    <w:rsid w:val="00C710A4"/>
    <w:rsid w:val="00C720D7"/>
    <w:rsid w:val="00C72680"/>
    <w:rsid w:val="00C75771"/>
    <w:rsid w:val="00C7583B"/>
    <w:rsid w:val="00C7593B"/>
    <w:rsid w:val="00C7669E"/>
    <w:rsid w:val="00C771F0"/>
    <w:rsid w:val="00C809B6"/>
    <w:rsid w:val="00C80AB7"/>
    <w:rsid w:val="00C81248"/>
    <w:rsid w:val="00C81DFC"/>
    <w:rsid w:val="00C82A24"/>
    <w:rsid w:val="00C835A2"/>
    <w:rsid w:val="00C855E5"/>
    <w:rsid w:val="00C8674C"/>
    <w:rsid w:val="00C90207"/>
    <w:rsid w:val="00C91DCA"/>
    <w:rsid w:val="00C94453"/>
    <w:rsid w:val="00C945C7"/>
    <w:rsid w:val="00C9548B"/>
    <w:rsid w:val="00C9559E"/>
    <w:rsid w:val="00C9673A"/>
    <w:rsid w:val="00C97F25"/>
    <w:rsid w:val="00CA109A"/>
    <w:rsid w:val="00CA13DD"/>
    <w:rsid w:val="00CA369A"/>
    <w:rsid w:val="00CA6096"/>
    <w:rsid w:val="00CA60E2"/>
    <w:rsid w:val="00CA74A0"/>
    <w:rsid w:val="00CB08AC"/>
    <w:rsid w:val="00CB4098"/>
    <w:rsid w:val="00CB4ECC"/>
    <w:rsid w:val="00CB6E37"/>
    <w:rsid w:val="00CB7BAF"/>
    <w:rsid w:val="00CC3480"/>
    <w:rsid w:val="00CC3E7E"/>
    <w:rsid w:val="00CC48B6"/>
    <w:rsid w:val="00CC4DAB"/>
    <w:rsid w:val="00CC660D"/>
    <w:rsid w:val="00CC6B2D"/>
    <w:rsid w:val="00CC7F5F"/>
    <w:rsid w:val="00CD01AA"/>
    <w:rsid w:val="00CD2D16"/>
    <w:rsid w:val="00CD406D"/>
    <w:rsid w:val="00CD4E7A"/>
    <w:rsid w:val="00CD76C0"/>
    <w:rsid w:val="00CD7A1B"/>
    <w:rsid w:val="00CE04B6"/>
    <w:rsid w:val="00CE1347"/>
    <w:rsid w:val="00CE406C"/>
    <w:rsid w:val="00CE4D75"/>
    <w:rsid w:val="00CE50FC"/>
    <w:rsid w:val="00CE52F7"/>
    <w:rsid w:val="00CE57A9"/>
    <w:rsid w:val="00CE581F"/>
    <w:rsid w:val="00CE5D97"/>
    <w:rsid w:val="00CF0BCD"/>
    <w:rsid w:val="00CF2340"/>
    <w:rsid w:val="00CF4CBD"/>
    <w:rsid w:val="00CF537E"/>
    <w:rsid w:val="00CF62E9"/>
    <w:rsid w:val="00CF6354"/>
    <w:rsid w:val="00CF6419"/>
    <w:rsid w:val="00CF6B67"/>
    <w:rsid w:val="00D009C2"/>
    <w:rsid w:val="00D00B0E"/>
    <w:rsid w:val="00D00E8D"/>
    <w:rsid w:val="00D027B0"/>
    <w:rsid w:val="00D02EA7"/>
    <w:rsid w:val="00D030E5"/>
    <w:rsid w:val="00D03E53"/>
    <w:rsid w:val="00D052A1"/>
    <w:rsid w:val="00D05C75"/>
    <w:rsid w:val="00D06727"/>
    <w:rsid w:val="00D06D19"/>
    <w:rsid w:val="00D06DBD"/>
    <w:rsid w:val="00D077CD"/>
    <w:rsid w:val="00D10A9D"/>
    <w:rsid w:val="00D137D5"/>
    <w:rsid w:val="00D14C4E"/>
    <w:rsid w:val="00D1560F"/>
    <w:rsid w:val="00D1573B"/>
    <w:rsid w:val="00D15C2F"/>
    <w:rsid w:val="00D22087"/>
    <w:rsid w:val="00D23943"/>
    <w:rsid w:val="00D2498B"/>
    <w:rsid w:val="00D249F3"/>
    <w:rsid w:val="00D26833"/>
    <w:rsid w:val="00D33654"/>
    <w:rsid w:val="00D33F67"/>
    <w:rsid w:val="00D34034"/>
    <w:rsid w:val="00D341C8"/>
    <w:rsid w:val="00D34B57"/>
    <w:rsid w:val="00D417DA"/>
    <w:rsid w:val="00D45216"/>
    <w:rsid w:val="00D45659"/>
    <w:rsid w:val="00D46993"/>
    <w:rsid w:val="00D55192"/>
    <w:rsid w:val="00D569D4"/>
    <w:rsid w:val="00D606D8"/>
    <w:rsid w:val="00D6537D"/>
    <w:rsid w:val="00D65E39"/>
    <w:rsid w:val="00D66398"/>
    <w:rsid w:val="00D70FC2"/>
    <w:rsid w:val="00D70FC6"/>
    <w:rsid w:val="00D713BC"/>
    <w:rsid w:val="00D716D6"/>
    <w:rsid w:val="00D7471D"/>
    <w:rsid w:val="00D74F8B"/>
    <w:rsid w:val="00D75D1C"/>
    <w:rsid w:val="00D76897"/>
    <w:rsid w:val="00D77206"/>
    <w:rsid w:val="00D7746D"/>
    <w:rsid w:val="00D77881"/>
    <w:rsid w:val="00D800BD"/>
    <w:rsid w:val="00D80244"/>
    <w:rsid w:val="00D80E13"/>
    <w:rsid w:val="00D81507"/>
    <w:rsid w:val="00D837EF"/>
    <w:rsid w:val="00D845DF"/>
    <w:rsid w:val="00D86CE9"/>
    <w:rsid w:val="00D92A60"/>
    <w:rsid w:val="00D9480E"/>
    <w:rsid w:val="00D94C3C"/>
    <w:rsid w:val="00D95440"/>
    <w:rsid w:val="00D96D80"/>
    <w:rsid w:val="00D96FD4"/>
    <w:rsid w:val="00D97AD6"/>
    <w:rsid w:val="00DA07B6"/>
    <w:rsid w:val="00DA11A7"/>
    <w:rsid w:val="00DA3358"/>
    <w:rsid w:val="00DA4408"/>
    <w:rsid w:val="00DA4A80"/>
    <w:rsid w:val="00DA59DE"/>
    <w:rsid w:val="00DA5A03"/>
    <w:rsid w:val="00DA67BE"/>
    <w:rsid w:val="00DA71C3"/>
    <w:rsid w:val="00DB04B0"/>
    <w:rsid w:val="00DB0FEE"/>
    <w:rsid w:val="00DB10BA"/>
    <w:rsid w:val="00DB110F"/>
    <w:rsid w:val="00DB209B"/>
    <w:rsid w:val="00DB3C15"/>
    <w:rsid w:val="00DB3F86"/>
    <w:rsid w:val="00DB448A"/>
    <w:rsid w:val="00DC081F"/>
    <w:rsid w:val="00DC3804"/>
    <w:rsid w:val="00DC4797"/>
    <w:rsid w:val="00DC6610"/>
    <w:rsid w:val="00DC68F5"/>
    <w:rsid w:val="00DD066D"/>
    <w:rsid w:val="00DD0B10"/>
    <w:rsid w:val="00DD13C7"/>
    <w:rsid w:val="00DD16EB"/>
    <w:rsid w:val="00DD17B4"/>
    <w:rsid w:val="00DD1B21"/>
    <w:rsid w:val="00DD1D0A"/>
    <w:rsid w:val="00DD2CE4"/>
    <w:rsid w:val="00DD355E"/>
    <w:rsid w:val="00DD3FC4"/>
    <w:rsid w:val="00DD7B34"/>
    <w:rsid w:val="00DE2159"/>
    <w:rsid w:val="00DE2CFD"/>
    <w:rsid w:val="00DE332C"/>
    <w:rsid w:val="00DE3CC2"/>
    <w:rsid w:val="00DE45E5"/>
    <w:rsid w:val="00DE66CB"/>
    <w:rsid w:val="00DF028E"/>
    <w:rsid w:val="00DF1798"/>
    <w:rsid w:val="00DF2FC3"/>
    <w:rsid w:val="00DF3333"/>
    <w:rsid w:val="00DF3EFE"/>
    <w:rsid w:val="00DF49C5"/>
    <w:rsid w:val="00DF50D0"/>
    <w:rsid w:val="00DF694D"/>
    <w:rsid w:val="00E0381C"/>
    <w:rsid w:val="00E03B61"/>
    <w:rsid w:val="00E03C5E"/>
    <w:rsid w:val="00E03D76"/>
    <w:rsid w:val="00E0401A"/>
    <w:rsid w:val="00E04779"/>
    <w:rsid w:val="00E04DB0"/>
    <w:rsid w:val="00E058BE"/>
    <w:rsid w:val="00E06A92"/>
    <w:rsid w:val="00E1017F"/>
    <w:rsid w:val="00E1237E"/>
    <w:rsid w:val="00E12C34"/>
    <w:rsid w:val="00E136B4"/>
    <w:rsid w:val="00E13EC3"/>
    <w:rsid w:val="00E15101"/>
    <w:rsid w:val="00E15DF6"/>
    <w:rsid w:val="00E15E4B"/>
    <w:rsid w:val="00E168D4"/>
    <w:rsid w:val="00E16B3C"/>
    <w:rsid w:val="00E17133"/>
    <w:rsid w:val="00E17514"/>
    <w:rsid w:val="00E175EA"/>
    <w:rsid w:val="00E20614"/>
    <w:rsid w:val="00E216B3"/>
    <w:rsid w:val="00E2383F"/>
    <w:rsid w:val="00E24C43"/>
    <w:rsid w:val="00E260A8"/>
    <w:rsid w:val="00E273E3"/>
    <w:rsid w:val="00E27DFF"/>
    <w:rsid w:val="00E32B89"/>
    <w:rsid w:val="00E32C97"/>
    <w:rsid w:val="00E36345"/>
    <w:rsid w:val="00E36419"/>
    <w:rsid w:val="00E3702E"/>
    <w:rsid w:val="00E372CA"/>
    <w:rsid w:val="00E40344"/>
    <w:rsid w:val="00E40E09"/>
    <w:rsid w:val="00E41348"/>
    <w:rsid w:val="00E4187B"/>
    <w:rsid w:val="00E43852"/>
    <w:rsid w:val="00E44BA5"/>
    <w:rsid w:val="00E45334"/>
    <w:rsid w:val="00E470FF"/>
    <w:rsid w:val="00E47899"/>
    <w:rsid w:val="00E47B66"/>
    <w:rsid w:val="00E51553"/>
    <w:rsid w:val="00E51EAD"/>
    <w:rsid w:val="00E51F9F"/>
    <w:rsid w:val="00E52085"/>
    <w:rsid w:val="00E541B6"/>
    <w:rsid w:val="00E549D9"/>
    <w:rsid w:val="00E551B2"/>
    <w:rsid w:val="00E56046"/>
    <w:rsid w:val="00E57ED1"/>
    <w:rsid w:val="00E6009E"/>
    <w:rsid w:val="00E6171B"/>
    <w:rsid w:val="00E61780"/>
    <w:rsid w:val="00E61E57"/>
    <w:rsid w:val="00E62A44"/>
    <w:rsid w:val="00E63540"/>
    <w:rsid w:val="00E6472D"/>
    <w:rsid w:val="00E650AE"/>
    <w:rsid w:val="00E6714F"/>
    <w:rsid w:val="00E67670"/>
    <w:rsid w:val="00E6792A"/>
    <w:rsid w:val="00E713D7"/>
    <w:rsid w:val="00E7453A"/>
    <w:rsid w:val="00E74600"/>
    <w:rsid w:val="00E76817"/>
    <w:rsid w:val="00E77666"/>
    <w:rsid w:val="00E811D9"/>
    <w:rsid w:val="00E8215C"/>
    <w:rsid w:val="00E835AC"/>
    <w:rsid w:val="00E85E97"/>
    <w:rsid w:val="00E875C3"/>
    <w:rsid w:val="00E90713"/>
    <w:rsid w:val="00E90DE7"/>
    <w:rsid w:val="00E92B90"/>
    <w:rsid w:val="00E92C9A"/>
    <w:rsid w:val="00E9397F"/>
    <w:rsid w:val="00E93C85"/>
    <w:rsid w:val="00E9402D"/>
    <w:rsid w:val="00E94AB5"/>
    <w:rsid w:val="00E95342"/>
    <w:rsid w:val="00EA1B6F"/>
    <w:rsid w:val="00EA30DA"/>
    <w:rsid w:val="00EA3478"/>
    <w:rsid w:val="00EA3C6B"/>
    <w:rsid w:val="00EA446D"/>
    <w:rsid w:val="00EA7A9D"/>
    <w:rsid w:val="00EA7BC5"/>
    <w:rsid w:val="00EB02ED"/>
    <w:rsid w:val="00EB0724"/>
    <w:rsid w:val="00EB175C"/>
    <w:rsid w:val="00EB5209"/>
    <w:rsid w:val="00EB53A4"/>
    <w:rsid w:val="00EB5866"/>
    <w:rsid w:val="00EB5C8E"/>
    <w:rsid w:val="00EB754F"/>
    <w:rsid w:val="00EC01C8"/>
    <w:rsid w:val="00EC079E"/>
    <w:rsid w:val="00EC1507"/>
    <w:rsid w:val="00EC1DAA"/>
    <w:rsid w:val="00EC293E"/>
    <w:rsid w:val="00EC389E"/>
    <w:rsid w:val="00EC3F4A"/>
    <w:rsid w:val="00EC4669"/>
    <w:rsid w:val="00EC5240"/>
    <w:rsid w:val="00EC59F7"/>
    <w:rsid w:val="00EC5FEF"/>
    <w:rsid w:val="00EC60EF"/>
    <w:rsid w:val="00EC6192"/>
    <w:rsid w:val="00EC7F0C"/>
    <w:rsid w:val="00ED001A"/>
    <w:rsid w:val="00ED17E5"/>
    <w:rsid w:val="00ED352C"/>
    <w:rsid w:val="00ED4567"/>
    <w:rsid w:val="00ED50F4"/>
    <w:rsid w:val="00ED5D7F"/>
    <w:rsid w:val="00ED5EE9"/>
    <w:rsid w:val="00ED63B9"/>
    <w:rsid w:val="00ED7660"/>
    <w:rsid w:val="00ED7F11"/>
    <w:rsid w:val="00EE05DB"/>
    <w:rsid w:val="00EE0BBB"/>
    <w:rsid w:val="00EE194C"/>
    <w:rsid w:val="00EE5786"/>
    <w:rsid w:val="00EE7218"/>
    <w:rsid w:val="00EF00C9"/>
    <w:rsid w:val="00EF1C9D"/>
    <w:rsid w:val="00EF1E00"/>
    <w:rsid w:val="00EF2178"/>
    <w:rsid w:val="00EF23E9"/>
    <w:rsid w:val="00EF2D22"/>
    <w:rsid w:val="00EF3412"/>
    <w:rsid w:val="00EF49F0"/>
    <w:rsid w:val="00EF5B91"/>
    <w:rsid w:val="00EF5DE6"/>
    <w:rsid w:val="00EF5E33"/>
    <w:rsid w:val="00F00E60"/>
    <w:rsid w:val="00F0262C"/>
    <w:rsid w:val="00F036F8"/>
    <w:rsid w:val="00F03DF9"/>
    <w:rsid w:val="00F03E01"/>
    <w:rsid w:val="00F04127"/>
    <w:rsid w:val="00F05506"/>
    <w:rsid w:val="00F05DDF"/>
    <w:rsid w:val="00F06CE5"/>
    <w:rsid w:val="00F071C4"/>
    <w:rsid w:val="00F0729E"/>
    <w:rsid w:val="00F07C8E"/>
    <w:rsid w:val="00F11C0F"/>
    <w:rsid w:val="00F122FD"/>
    <w:rsid w:val="00F141BC"/>
    <w:rsid w:val="00F1494C"/>
    <w:rsid w:val="00F14A6D"/>
    <w:rsid w:val="00F14B1B"/>
    <w:rsid w:val="00F156C3"/>
    <w:rsid w:val="00F15E74"/>
    <w:rsid w:val="00F16485"/>
    <w:rsid w:val="00F167EF"/>
    <w:rsid w:val="00F210F9"/>
    <w:rsid w:val="00F21DEF"/>
    <w:rsid w:val="00F23198"/>
    <w:rsid w:val="00F23F1E"/>
    <w:rsid w:val="00F24056"/>
    <w:rsid w:val="00F24C7E"/>
    <w:rsid w:val="00F25873"/>
    <w:rsid w:val="00F25B2D"/>
    <w:rsid w:val="00F26476"/>
    <w:rsid w:val="00F26A7A"/>
    <w:rsid w:val="00F26EAF"/>
    <w:rsid w:val="00F27908"/>
    <w:rsid w:val="00F3087C"/>
    <w:rsid w:val="00F30C59"/>
    <w:rsid w:val="00F3165A"/>
    <w:rsid w:val="00F316A9"/>
    <w:rsid w:val="00F32287"/>
    <w:rsid w:val="00F324CC"/>
    <w:rsid w:val="00F32E95"/>
    <w:rsid w:val="00F32F62"/>
    <w:rsid w:val="00F33382"/>
    <w:rsid w:val="00F35757"/>
    <w:rsid w:val="00F35991"/>
    <w:rsid w:val="00F35F5F"/>
    <w:rsid w:val="00F36042"/>
    <w:rsid w:val="00F368C8"/>
    <w:rsid w:val="00F4212C"/>
    <w:rsid w:val="00F42D45"/>
    <w:rsid w:val="00F43A49"/>
    <w:rsid w:val="00F45496"/>
    <w:rsid w:val="00F45BFA"/>
    <w:rsid w:val="00F45C2A"/>
    <w:rsid w:val="00F47F91"/>
    <w:rsid w:val="00F5019F"/>
    <w:rsid w:val="00F511B6"/>
    <w:rsid w:val="00F51AF3"/>
    <w:rsid w:val="00F55F5D"/>
    <w:rsid w:val="00F568A3"/>
    <w:rsid w:val="00F56F7B"/>
    <w:rsid w:val="00F603E7"/>
    <w:rsid w:val="00F61F66"/>
    <w:rsid w:val="00F62501"/>
    <w:rsid w:val="00F6348C"/>
    <w:rsid w:val="00F64511"/>
    <w:rsid w:val="00F647CE"/>
    <w:rsid w:val="00F65012"/>
    <w:rsid w:val="00F721BE"/>
    <w:rsid w:val="00F73566"/>
    <w:rsid w:val="00F74E2B"/>
    <w:rsid w:val="00F75AA4"/>
    <w:rsid w:val="00F762BD"/>
    <w:rsid w:val="00F771A4"/>
    <w:rsid w:val="00F80BCB"/>
    <w:rsid w:val="00F8139C"/>
    <w:rsid w:val="00F83951"/>
    <w:rsid w:val="00F84343"/>
    <w:rsid w:val="00F84450"/>
    <w:rsid w:val="00F857A3"/>
    <w:rsid w:val="00F85F62"/>
    <w:rsid w:val="00F8613C"/>
    <w:rsid w:val="00F90362"/>
    <w:rsid w:val="00F90899"/>
    <w:rsid w:val="00F909E2"/>
    <w:rsid w:val="00F91172"/>
    <w:rsid w:val="00F92B8E"/>
    <w:rsid w:val="00F93126"/>
    <w:rsid w:val="00F9326A"/>
    <w:rsid w:val="00F93447"/>
    <w:rsid w:val="00F94402"/>
    <w:rsid w:val="00F950E1"/>
    <w:rsid w:val="00F951B9"/>
    <w:rsid w:val="00F9560A"/>
    <w:rsid w:val="00F964DA"/>
    <w:rsid w:val="00F968BB"/>
    <w:rsid w:val="00FA0515"/>
    <w:rsid w:val="00FA072C"/>
    <w:rsid w:val="00FA096F"/>
    <w:rsid w:val="00FA0DAA"/>
    <w:rsid w:val="00FA2BC9"/>
    <w:rsid w:val="00FA318B"/>
    <w:rsid w:val="00FA3463"/>
    <w:rsid w:val="00FA5185"/>
    <w:rsid w:val="00FA581C"/>
    <w:rsid w:val="00FA5BA0"/>
    <w:rsid w:val="00FA603A"/>
    <w:rsid w:val="00FB179E"/>
    <w:rsid w:val="00FB17D9"/>
    <w:rsid w:val="00FB1B57"/>
    <w:rsid w:val="00FB259C"/>
    <w:rsid w:val="00FB28E0"/>
    <w:rsid w:val="00FB411D"/>
    <w:rsid w:val="00FB450C"/>
    <w:rsid w:val="00FB5855"/>
    <w:rsid w:val="00FB6130"/>
    <w:rsid w:val="00FB73AB"/>
    <w:rsid w:val="00FB73F0"/>
    <w:rsid w:val="00FB7426"/>
    <w:rsid w:val="00FC1C58"/>
    <w:rsid w:val="00FC68E6"/>
    <w:rsid w:val="00FC6C5A"/>
    <w:rsid w:val="00FC7557"/>
    <w:rsid w:val="00FD0435"/>
    <w:rsid w:val="00FD095A"/>
    <w:rsid w:val="00FD0EC7"/>
    <w:rsid w:val="00FD21B5"/>
    <w:rsid w:val="00FD2585"/>
    <w:rsid w:val="00FD4958"/>
    <w:rsid w:val="00FD6733"/>
    <w:rsid w:val="00FD7E1B"/>
    <w:rsid w:val="00FE0BE4"/>
    <w:rsid w:val="00FE10DF"/>
    <w:rsid w:val="00FE17D6"/>
    <w:rsid w:val="00FE2250"/>
    <w:rsid w:val="00FE2A30"/>
    <w:rsid w:val="00FE2E8D"/>
    <w:rsid w:val="00FE3D2F"/>
    <w:rsid w:val="00FE5CB3"/>
    <w:rsid w:val="00FE5FC0"/>
    <w:rsid w:val="00FE74AF"/>
    <w:rsid w:val="00FF0229"/>
    <w:rsid w:val="00FF0865"/>
    <w:rsid w:val="00FF0BA4"/>
    <w:rsid w:val="00FF10F5"/>
    <w:rsid w:val="00FF513F"/>
    <w:rsid w:val="00FF55A7"/>
    <w:rsid w:val="00FF6D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AB51734-DF69-4ADC-A25E-738EE038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7A"/>
    <w:pPr>
      <w:widowControl w:val="0"/>
    </w:pPr>
    <w:rPr>
      <w:snapToGrid w:val="0"/>
      <w:kern w:val="28"/>
      <w:sz w:val="22"/>
    </w:rPr>
  </w:style>
  <w:style w:type="paragraph" w:styleId="Heading1">
    <w:name w:val="heading 1"/>
    <w:basedOn w:val="Normal"/>
    <w:next w:val="ParaNum"/>
    <w:link w:val="Heading1Char"/>
    <w:qFormat/>
    <w:rsid w:val="0060067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0067A"/>
    <w:pPr>
      <w:keepNext/>
      <w:numPr>
        <w:ilvl w:val="1"/>
        <w:numId w:val="3"/>
      </w:numPr>
      <w:spacing w:after="120"/>
      <w:outlineLvl w:val="1"/>
    </w:pPr>
    <w:rPr>
      <w:b/>
    </w:rPr>
  </w:style>
  <w:style w:type="paragraph" w:styleId="Heading3">
    <w:name w:val="heading 3"/>
    <w:basedOn w:val="Normal"/>
    <w:next w:val="ParaNum"/>
    <w:link w:val="Heading3Char"/>
    <w:qFormat/>
    <w:rsid w:val="0060067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0067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0067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0067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0067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0067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0067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006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067A"/>
  </w:style>
  <w:style w:type="character" w:customStyle="1" w:styleId="Heading1Char">
    <w:name w:val="Heading 1 Char"/>
    <w:link w:val="Heading1"/>
    <w:locked/>
    <w:rsid w:val="0011687C"/>
    <w:rPr>
      <w:rFonts w:ascii="Times New Roman Bold" w:hAnsi="Times New Roman Bold"/>
      <w:b/>
      <w:caps/>
      <w:snapToGrid w:val="0"/>
      <w:kern w:val="28"/>
      <w:sz w:val="22"/>
    </w:rPr>
  </w:style>
  <w:style w:type="character" w:customStyle="1" w:styleId="Heading2Char">
    <w:name w:val="Heading 2 Char"/>
    <w:link w:val="Heading2"/>
    <w:locked/>
    <w:rsid w:val="00C5374C"/>
    <w:rPr>
      <w:b/>
      <w:snapToGrid w:val="0"/>
      <w:kern w:val="28"/>
      <w:sz w:val="22"/>
    </w:rPr>
  </w:style>
  <w:style w:type="character" w:customStyle="1" w:styleId="Heading3Char">
    <w:name w:val="Heading 3 Char"/>
    <w:link w:val="Heading3"/>
    <w:locked/>
    <w:rsid w:val="0011687C"/>
    <w:rPr>
      <w:b/>
      <w:snapToGrid w:val="0"/>
      <w:kern w:val="28"/>
      <w:sz w:val="22"/>
    </w:rPr>
  </w:style>
  <w:style w:type="character" w:customStyle="1" w:styleId="Heading4Char">
    <w:name w:val="Heading 4 Char"/>
    <w:link w:val="Heading4"/>
    <w:locked/>
    <w:rsid w:val="0011687C"/>
    <w:rPr>
      <w:b/>
      <w:snapToGrid w:val="0"/>
      <w:kern w:val="28"/>
      <w:sz w:val="22"/>
    </w:rPr>
  </w:style>
  <w:style w:type="character" w:customStyle="1" w:styleId="Heading5Char">
    <w:name w:val="Heading 5 Char"/>
    <w:link w:val="Heading5"/>
    <w:locked/>
    <w:rsid w:val="0011687C"/>
    <w:rPr>
      <w:b/>
      <w:snapToGrid w:val="0"/>
      <w:kern w:val="28"/>
      <w:sz w:val="22"/>
    </w:rPr>
  </w:style>
  <w:style w:type="character" w:customStyle="1" w:styleId="Heading6Char">
    <w:name w:val="Heading 6 Char"/>
    <w:link w:val="Heading6"/>
    <w:locked/>
    <w:rsid w:val="0011687C"/>
    <w:rPr>
      <w:b/>
      <w:snapToGrid w:val="0"/>
      <w:kern w:val="28"/>
      <w:sz w:val="22"/>
    </w:rPr>
  </w:style>
  <w:style w:type="character" w:customStyle="1" w:styleId="Heading7Char">
    <w:name w:val="Heading 7 Char"/>
    <w:link w:val="Heading7"/>
    <w:locked/>
    <w:rsid w:val="0011687C"/>
    <w:rPr>
      <w:b/>
      <w:snapToGrid w:val="0"/>
      <w:kern w:val="28"/>
      <w:sz w:val="22"/>
    </w:rPr>
  </w:style>
  <w:style w:type="character" w:customStyle="1" w:styleId="Heading8Char">
    <w:name w:val="Heading 8 Char"/>
    <w:link w:val="Heading8"/>
    <w:locked/>
    <w:rsid w:val="0011687C"/>
    <w:rPr>
      <w:b/>
      <w:snapToGrid w:val="0"/>
      <w:kern w:val="28"/>
      <w:sz w:val="22"/>
    </w:rPr>
  </w:style>
  <w:style w:type="character" w:customStyle="1" w:styleId="Heading9Char">
    <w:name w:val="Heading 9 Char"/>
    <w:link w:val="Heading9"/>
    <w:locked/>
    <w:rsid w:val="0011687C"/>
    <w:rPr>
      <w:b/>
      <w:snapToGrid w:val="0"/>
      <w:kern w:val="28"/>
      <w:sz w:val="22"/>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link w:val="BalloonText"/>
    <w:uiPriority w:val="99"/>
    <w:semiHidden/>
    <w:locked/>
    <w:rsid w:val="0011687C"/>
    <w:rPr>
      <w:rFonts w:cs="Times New Roman"/>
      <w:kern w:val="28"/>
      <w:sz w:val="2"/>
    </w:rPr>
  </w:style>
  <w:style w:type="paragraph" w:customStyle="1" w:styleId="ParaNum">
    <w:name w:val="ParaNum"/>
    <w:basedOn w:val="Normal"/>
    <w:link w:val="ParaNumChar"/>
    <w:rsid w:val="0060067A"/>
    <w:pPr>
      <w:numPr>
        <w:numId w:val="2"/>
      </w:numPr>
      <w:tabs>
        <w:tab w:val="clear" w:pos="1080"/>
        <w:tab w:val="num" w:pos="1440"/>
      </w:tabs>
      <w:spacing w:after="120"/>
    </w:pPr>
  </w:style>
  <w:style w:type="paragraph" w:styleId="EndnoteText">
    <w:name w:val="endnote text"/>
    <w:basedOn w:val="Normal"/>
    <w:link w:val="EndnoteTextChar"/>
    <w:semiHidden/>
    <w:rsid w:val="0060067A"/>
    <w:rPr>
      <w:sz w:val="20"/>
    </w:rPr>
  </w:style>
  <w:style w:type="character" w:customStyle="1" w:styleId="EndnoteTextChar">
    <w:name w:val="Endnote Text Char"/>
    <w:link w:val="EndnoteText"/>
    <w:semiHidden/>
    <w:locked/>
    <w:rsid w:val="0011687C"/>
    <w:rPr>
      <w:snapToGrid w:val="0"/>
      <w:kern w:val="28"/>
    </w:rPr>
  </w:style>
  <w:style w:type="character" w:styleId="EndnoteReference">
    <w:name w:val="endnote reference"/>
    <w:semiHidden/>
    <w:rsid w:val="0060067A"/>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60067A"/>
    <w:pPr>
      <w:spacing w:after="120"/>
    </w:p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9B2C59"/>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0067A"/>
    <w:rPr>
      <w:rFonts w:ascii="Times New Roman" w:hAnsi="Times New Roman"/>
      <w:dstrike w:val="0"/>
      <w:color w:val="auto"/>
      <w:sz w:val="20"/>
      <w:vertAlign w:val="superscript"/>
    </w:rPr>
  </w:style>
  <w:style w:type="paragraph" w:styleId="TOC1">
    <w:name w:val="toc 1"/>
    <w:basedOn w:val="Normal"/>
    <w:next w:val="Normal"/>
    <w:rsid w:val="0060067A"/>
    <w:pPr>
      <w:tabs>
        <w:tab w:val="left" w:pos="360"/>
        <w:tab w:val="right" w:leader="dot" w:pos="9360"/>
      </w:tabs>
      <w:suppressAutoHyphens/>
      <w:ind w:left="360" w:right="720" w:hanging="360"/>
    </w:pPr>
    <w:rPr>
      <w:caps/>
      <w:noProof/>
    </w:rPr>
  </w:style>
  <w:style w:type="paragraph" w:styleId="TOC2">
    <w:name w:val="toc 2"/>
    <w:basedOn w:val="Normal"/>
    <w:next w:val="Normal"/>
    <w:rsid w:val="0060067A"/>
    <w:pPr>
      <w:tabs>
        <w:tab w:val="left" w:pos="720"/>
        <w:tab w:val="right" w:leader="dot" w:pos="9360"/>
      </w:tabs>
      <w:suppressAutoHyphens/>
      <w:ind w:left="720" w:right="720" w:hanging="360"/>
    </w:pPr>
    <w:rPr>
      <w:noProof/>
    </w:rPr>
  </w:style>
  <w:style w:type="paragraph" w:styleId="TOC3">
    <w:name w:val="toc 3"/>
    <w:basedOn w:val="Normal"/>
    <w:next w:val="Normal"/>
    <w:rsid w:val="006006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006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006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006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006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006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006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0067A"/>
    <w:pPr>
      <w:tabs>
        <w:tab w:val="right" w:pos="9360"/>
      </w:tabs>
      <w:suppressAutoHyphens/>
    </w:pPr>
  </w:style>
  <w:style w:type="character" w:customStyle="1" w:styleId="EquationCaption">
    <w:name w:val="_Equation Caption"/>
    <w:rsid w:val="0060067A"/>
  </w:style>
  <w:style w:type="paragraph" w:styleId="Header">
    <w:name w:val="header"/>
    <w:basedOn w:val="Normal"/>
    <w:link w:val="HeaderChar"/>
    <w:autoRedefine/>
    <w:rsid w:val="0060067A"/>
    <w:pPr>
      <w:tabs>
        <w:tab w:val="center" w:pos="4680"/>
        <w:tab w:val="right" w:pos="9360"/>
      </w:tabs>
    </w:pPr>
    <w:rPr>
      <w:b/>
    </w:rPr>
  </w:style>
  <w:style w:type="character" w:customStyle="1" w:styleId="HeaderChar">
    <w:name w:val="Header Char"/>
    <w:link w:val="Header"/>
    <w:locked/>
    <w:rsid w:val="0011687C"/>
    <w:rPr>
      <w:b/>
      <w:snapToGrid w:val="0"/>
      <w:kern w:val="28"/>
      <w:sz w:val="22"/>
    </w:rPr>
  </w:style>
  <w:style w:type="paragraph" w:styleId="Footer">
    <w:name w:val="footer"/>
    <w:basedOn w:val="Normal"/>
    <w:link w:val="FooterChar"/>
    <w:uiPriority w:val="99"/>
    <w:rsid w:val="0060067A"/>
    <w:pPr>
      <w:tabs>
        <w:tab w:val="center" w:pos="4320"/>
        <w:tab w:val="right" w:pos="8640"/>
      </w:tabs>
    </w:pPr>
  </w:style>
  <w:style w:type="character" w:customStyle="1" w:styleId="FooterChar">
    <w:name w:val="Footer Char"/>
    <w:link w:val="Footer"/>
    <w:uiPriority w:val="99"/>
    <w:locked/>
    <w:rsid w:val="0060067A"/>
    <w:rPr>
      <w:snapToGrid w:val="0"/>
      <w:kern w:val="28"/>
      <w:sz w:val="22"/>
    </w:rPr>
  </w:style>
  <w:style w:type="character" w:styleId="PageNumber">
    <w:name w:val="page number"/>
    <w:basedOn w:val="DefaultParagraphFont"/>
    <w:rsid w:val="0060067A"/>
  </w:style>
  <w:style w:type="paragraph" w:styleId="BlockText">
    <w:name w:val="Block Text"/>
    <w:basedOn w:val="Normal"/>
    <w:rsid w:val="0060067A"/>
    <w:pPr>
      <w:spacing w:after="240"/>
      <w:ind w:left="1440" w:right="1440"/>
    </w:pPr>
  </w:style>
  <w:style w:type="paragraph" w:customStyle="1" w:styleId="Paratitle">
    <w:name w:val="Para title"/>
    <w:basedOn w:val="Normal"/>
    <w:rsid w:val="0060067A"/>
    <w:pPr>
      <w:tabs>
        <w:tab w:val="center" w:pos="9270"/>
      </w:tabs>
      <w:spacing w:after="240"/>
    </w:pPr>
    <w:rPr>
      <w:spacing w:val="-2"/>
    </w:rPr>
  </w:style>
  <w:style w:type="paragraph" w:customStyle="1" w:styleId="Bullet">
    <w:name w:val="Bullet"/>
    <w:basedOn w:val="Normal"/>
    <w:rsid w:val="0060067A"/>
    <w:pPr>
      <w:tabs>
        <w:tab w:val="left" w:pos="2160"/>
      </w:tabs>
      <w:spacing w:after="220"/>
      <w:ind w:left="2160" w:hanging="720"/>
    </w:pPr>
  </w:style>
  <w:style w:type="paragraph" w:customStyle="1" w:styleId="TableFormat">
    <w:name w:val="TableFormat"/>
    <w:basedOn w:val="Bullet"/>
    <w:rsid w:val="0060067A"/>
    <w:pPr>
      <w:tabs>
        <w:tab w:val="clear" w:pos="2160"/>
        <w:tab w:val="left" w:pos="5040"/>
      </w:tabs>
      <w:ind w:left="5040" w:hanging="3600"/>
    </w:pPr>
  </w:style>
  <w:style w:type="paragraph" w:customStyle="1" w:styleId="TOCTitle">
    <w:name w:val="TOC Title"/>
    <w:basedOn w:val="Normal"/>
    <w:rsid w:val="006006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067A"/>
    <w:pPr>
      <w:jc w:val="center"/>
    </w:pPr>
    <w:rPr>
      <w:rFonts w:ascii="Times New Roman Bold" w:hAnsi="Times New Roman Bold"/>
      <w:b/>
      <w:bCs/>
      <w:caps/>
      <w:szCs w:val="22"/>
    </w:rPr>
  </w:style>
  <w:style w:type="character" w:styleId="Hyperlink">
    <w:name w:val="Hyperlink"/>
    <w:rsid w:val="0060067A"/>
    <w:rPr>
      <w:color w:val="0000FF"/>
      <w:u w:val="single"/>
    </w:rPr>
  </w:style>
  <w:style w:type="character" w:styleId="FollowedHyperlink">
    <w:name w:val="FollowedHyperlink"/>
    <w:uiPriority w:val="99"/>
    <w:rsid w:val="009B2C59"/>
    <w:rPr>
      <w:rFonts w:cs="Times New Roman"/>
      <w:color w:val="800080"/>
      <w:u w:val="single"/>
    </w:rPr>
  </w:style>
  <w:style w:type="character" w:customStyle="1" w:styleId="ParaNumChar">
    <w:name w:val="ParaNum Char"/>
    <w:link w:val="ParaNum"/>
    <w:locked/>
    <w:rsid w:val="00226191"/>
    <w:rPr>
      <w:snapToGrid w:val="0"/>
      <w:kern w:val="28"/>
      <w:sz w:val="22"/>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uiPriority w:val="99"/>
    <w:rsid w:val="009B2C59"/>
    <w:rPr>
      <w:rFonts w:cs="Times New Roman"/>
    </w:rPr>
  </w:style>
  <w:style w:type="character" w:customStyle="1" w:styleId="searchterm">
    <w:name w:val="searchterm"/>
    <w:uiPriority w:val="99"/>
    <w:rsid w:val="009B2C59"/>
    <w:rPr>
      <w:rFonts w:cs="Times New Roman"/>
    </w:rPr>
  </w:style>
  <w:style w:type="character" w:styleId="CommentReference">
    <w:name w:val="annotation reference"/>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 w:val="22"/>
    </w:rPr>
  </w:style>
  <w:style w:type="character" w:customStyle="1" w:styleId="UnresolvedMention">
    <w:name w:val="Unresolved Mention"/>
    <w:uiPriority w:val="99"/>
    <w:semiHidden/>
    <w:unhideWhenUsed/>
    <w:rsid w:val="00F0729E"/>
    <w:rPr>
      <w:color w:val="808080"/>
      <w:shd w:val="clear" w:color="auto" w:fill="E6E6E6"/>
    </w:rPr>
  </w:style>
  <w:style w:type="character" w:customStyle="1" w:styleId="rrfootnoteCharCharChar">
    <w:name w:val="rrfootnote Char Char Char"/>
    <w:aliases w:val="Footnote Text Char1 Char Char Char Char Char Char,Styl Char,Style 5 Char Char Char,fn Char"/>
    <w:locked/>
    <w:rsid w:val="005E43C1"/>
  </w:style>
  <w:style w:type="paragraph" w:styleId="TOCHeading">
    <w:name w:val="TOC Heading"/>
    <w:basedOn w:val="Heading1"/>
    <w:next w:val="Normal"/>
    <w:uiPriority w:val="39"/>
    <w:unhideWhenUsed/>
    <w:qFormat/>
    <w:rsid w:val="00700567"/>
    <w:pPr>
      <w:keepLines/>
      <w:numPr>
        <w:numId w:val="0"/>
      </w:numPr>
      <w:tabs>
        <w:tab w:val="left" w:pos="720"/>
      </w:tabs>
      <w:suppressAutoHyphens w:val="0"/>
      <w:spacing w:before="240" w:after="0" w:line="259" w:lineRule="auto"/>
      <w:outlineLvl w:val="9"/>
    </w:pPr>
    <w:rPr>
      <w:rFonts w:ascii="Calibri Light" w:hAnsi="Calibri Light"/>
      <w:b w:val="0"/>
      <w:caps w:val="0"/>
      <w:snapToGrid/>
      <w:color w:val="2F5496"/>
      <w:sz w:val="32"/>
      <w:szCs w:val="32"/>
    </w:rPr>
  </w:style>
  <w:style w:type="character" w:customStyle="1" w:styleId="coconcept17">
    <w:name w:val="co_concept_1_7"/>
    <w:rsid w:val="00013C57"/>
  </w:style>
  <w:style w:type="character" w:customStyle="1" w:styleId="cosearchterm">
    <w:name w:val="co_searchterm"/>
    <w:rsid w:val="00AB2DE8"/>
  </w:style>
  <w:style w:type="character" w:styleId="Emphasis">
    <w:name w:val="Emphasis"/>
    <w:basedOn w:val="DefaultParagraphFont"/>
    <w:uiPriority w:val="20"/>
    <w:qFormat/>
    <w:locked/>
    <w:rsid w:val="00931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oetcf/kdb/forms/FTSSearchResultPage.cfm?switch=P&amp;id=20643" TargetMode="External" /><Relationship Id="rId2" Type="http://schemas.openxmlformats.org/officeDocument/2006/relationships/hyperlink" Target="https://ccfs.sos.wa.gov/" TargetMode="External" /><Relationship Id="rId3"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