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159C1553"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1FEADF9B" w14:textId="77777777">
      <w:pPr>
        <w:pStyle w:val="StyleBoldCentered"/>
      </w:pPr>
      <w:r>
        <w:t>F</w:t>
      </w:r>
      <w:r>
        <w:rPr>
          <w:caps w:val="0"/>
        </w:rPr>
        <w:t>ederal Communications Commission</w:t>
      </w:r>
    </w:p>
    <w:p w:rsidR="004C2EE3" w:rsidP="00096D8C" w14:paraId="1090F79B" w14:textId="77777777">
      <w:pPr>
        <w:pStyle w:val="StyleBoldCentered"/>
      </w:pPr>
      <w:r>
        <w:rPr>
          <w:caps w:val="0"/>
        </w:rPr>
        <w:t>Washington, D.C. 20554</w:t>
      </w:r>
    </w:p>
    <w:p w:rsidR="004C2EE3" w:rsidP="0070224F" w14:paraId="2477B4ED" w14:textId="77777777"/>
    <w:p w:rsidR="004C2EE3" w:rsidP="0070224F" w14:paraId="1F64A3BE" w14:textId="77777777"/>
    <w:tbl>
      <w:tblPr>
        <w:tblW w:w="0" w:type="auto"/>
        <w:tblLayout w:type="fixed"/>
        <w:tblLook w:val="0000"/>
      </w:tblPr>
      <w:tblGrid>
        <w:gridCol w:w="4698"/>
        <w:gridCol w:w="630"/>
        <w:gridCol w:w="4248"/>
      </w:tblGrid>
      <w:tr w14:paraId="33CED00A" w14:textId="77777777">
        <w:tblPrEx>
          <w:tblW w:w="0" w:type="auto"/>
          <w:tblLayout w:type="fixed"/>
          <w:tblLook w:val="0000"/>
        </w:tblPrEx>
        <w:tc>
          <w:tcPr>
            <w:tcW w:w="4698" w:type="dxa"/>
          </w:tcPr>
          <w:p w:rsidR="004C2EE3" w14:paraId="72EA79FA" w14:textId="77777777">
            <w:pPr>
              <w:tabs>
                <w:tab w:val="center" w:pos="4680"/>
              </w:tabs>
              <w:suppressAutoHyphens/>
              <w:rPr>
                <w:spacing w:val="-2"/>
              </w:rPr>
            </w:pPr>
            <w:r>
              <w:rPr>
                <w:spacing w:val="-2"/>
              </w:rPr>
              <w:t>In the Matter of</w:t>
            </w:r>
          </w:p>
          <w:p w:rsidR="004C2EE3" w14:paraId="28565060" w14:textId="77777777">
            <w:pPr>
              <w:tabs>
                <w:tab w:val="center" w:pos="4680"/>
              </w:tabs>
              <w:suppressAutoHyphens/>
              <w:rPr>
                <w:spacing w:val="-2"/>
              </w:rPr>
            </w:pPr>
          </w:p>
          <w:p w:rsidR="007C2FB8" w:rsidRPr="007A6478" w:rsidP="007C2FB8" w14:paraId="125643BA" w14:textId="77777777">
            <w:pPr>
              <w:suppressAutoHyphens/>
              <w:rPr>
                <w:spacing w:val="-2"/>
                <w:szCs w:val="22"/>
              </w:rPr>
            </w:pPr>
            <w:r w:rsidRPr="007A6478">
              <w:rPr>
                <w:spacing w:val="-2"/>
                <w:szCs w:val="22"/>
              </w:rPr>
              <w:t>BellSouth Telecommunications, LLC,</w:t>
            </w:r>
          </w:p>
          <w:p w:rsidR="004C2EE3" w:rsidRPr="007115F7" w:rsidP="007115F7" w14:paraId="1270E9AD" w14:textId="77777777">
            <w:pPr>
              <w:tabs>
                <w:tab w:val="center" w:pos="4680"/>
              </w:tabs>
              <w:suppressAutoHyphens/>
              <w:rPr>
                <w:spacing w:val="-2"/>
              </w:rPr>
            </w:pPr>
            <w:r w:rsidRPr="007A6478">
              <w:rPr>
                <w:spacing w:val="-2"/>
                <w:szCs w:val="22"/>
              </w:rPr>
              <w:t>d/b/a/ AT&amp;T Southeast</w:t>
            </w:r>
          </w:p>
        </w:tc>
        <w:tc>
          <w:tcPr>
            <w:tcW w:w="630" w:type="dxa"/>
          </w:tcPr>
          <w:p w:rsidR="004C2EE3" w14:paraId="10C140AE" w14:textId="77777777">
            <w:pPr>
              <w:tabs>
                <w:tab w:val="center" w:pos="4680"/>
              </w:tabs>
              <w:suppressAutoHyphens/>
              <w:rPr>
                <w:b/>
                <w:spacing w:val="-2"/>
              </w:rPr>
            </w:pPr>
            <w:r>
              <w:rPr>
                <w:b/>
                <w:spacing w:val="-2"/>
              </w:rPr>
              <w:t>)</w:t>
            </w:r>
          </w:p>
          <w:p w:rsidR="004C2EE3" w14:paraId="60DB1AD7" w14:textId="77777777">
            <w:pPr>
              <w:tabs>
                <w:tab w:val="center" w:pos="4680"/>
              </w:tabs>
              <w:suppressAutoHyphens/>
              <w:rPr>
                <w:b/>
                <w:spacing w:val="-2"/>
              </w:rPr>
            </w:pPr>
            <w:r>
              <w:rPr>
                <w:b/>
                <w:spacing w:val="-2"/>
              </w:rPr>
              <w:t>)</w:t>
            </w:r>
          </w:p>
          <w:p w:rsidR="004C2EE3" w14:paraId="50A19CD2" w14:textId="77777777">
            <w:pPr>
              <w:tabs>
                <w:tab w:val="center" w:pos="4680"/>
              </w:tabs>
              <w:suppressAutoHyphens/>
              <w:rPr>
                <w:b/>
                <w:spacing w:val="-2"/>
              </w:rPr>
            </w:pPr>
            <w:r>
              <w:rPr>
                <w:b/>
                <w:spacing w:val="-2"/>
              </w:rPr>
              <w:t>)</w:t>
            </w:r>
          </w:p>
          <w:p w:rsidR="004C2EE3" w14:paraId="630A01A6" w14:textId="77777777">
            <w:pPr>
              <w:tabs>
                <w:tab w:val="center" w:pos="4680"/>
              </w:tabs>
              <w:suppressAutoHyphens/>
              <w:rPr>
                <w:b/>
                <w:spacing w:val="-2"/>
              </w:rPr>
            </w:pPr>
            <w:r>
              <w:rPr>
                <w:b/>
                <w:spacing w:val="-2"/>
              </w:rPr>
              <w:t>)</w:t>
            </w:r>
          </w:p>
          <w:p w:rsidR="004C2EE3" w14:paraId="11EE2396" w14:textId="77777777">
            <w:pPr>
              <w:tabs>
                <w:tab w:val="center" w:pos="4680"/>
              </w:tabs>
              <w:suppressAutoHyphens/>
              <w:rPr>
                <w:b/>
                <w:spacing w:val="-2"/>
              </w:rPr>
            </w:pPr>
            <w:r>
              <w:rPr>
                <w:b/>
                <w:spacing w:val="-2"/>
              </w:rPr>
              <w:t>)</w:t>
            </w:r>
          </w:p>
          <w:p w:rsidR="004C2EE3" w14:paraId="77D7E2A4" w14:textId="77777777">
            <w:pPr>
              <w:tabs>
                <w:tab w:val="center" w:pos="4680"/>
              </w:tabs>
              <w:suppressAutoHyphens/>
              <w:rPr>
                <w:b/>
                <w:spacing w:val="-2"/>
              </w:rPr>
            </w:pPr>
            <w:r>
              <w:rPr>
                <w:b/>
                <w:spacing w:val="-2"/>
              </w:rPr>
              <w:t>)</w:t>
            </w:r>
          </w:p>
          <w:p w:rsidR="004C2EE3" w:rsidRPr="007C2FB8" w14:paraId="301EB3C7" w14:textId="77777777">
            <w:pPr>
              <w:tabs>
                <w:tab w:val="center" w:pos="4680"/>
              </w:tabs>
              <w:suppressAutoHyphens/>
              <w:rPr>
                <w:b/>
                <w:spacing w:val="-2"/>
              </w:rPr>
            </w:pPr>
            <w:r>
              <w:rPr>
                <w:b/>
                <w:spacing w:val="-2"/>
              </w:rPr>
              <w:t>)</w:t>
            </w:r>
          </w:p>
        </w:tc>
        <w:tc>
          <w:tcPr>
            <w:tcW w:w="4248" w:type="dxa"/>
          </w:tcPr>
          <w:p w:rsidR="004C2EE3" w14:paraId="24E3990F" w14:textId="77777777">
            <w:pPr>
              <w:tabs>
                <w:tab w:val="center" w:pos="4680"/>
              </w:tabs>
              <w:suppressAutoHyphens/>
              <w:rPr>
                <w:spacing w:val="-2"/>
              </w:rPr>
            </w:pPr>
          </w:p>
          <w:p w:rsidR="004C2EE3" w14:paraId="4A739E07" w14:textId="77777777">
            <w:pPr>
              <w:pStyle w:val="TOAHeading"/>
              <w:tabs>
                <w:tab w:val="center" w:pos="4680"/>
                <w:tab w:val="clear" w:pos="9360"/>
              </w:tabs>
              <w:rPr>
                <w:spacing w:val="-2"/>
              </w:rPr>
            </w:pPr>
          </w:p>
          <w:p w:rsidR="007C2FB8" w:rsidRPr="007A6478" w:rsidP="007C2FB8" w14:paraId="50825A9E" w14:textId="77777777">
            <w:pPr>
              <w:suppressAutoHyphens/>
              <w:rPr>
                <w:spacing w:val="-2"/>
                <w:szCs w:val="22"/>
              </w:rPr>
            </w:pPr>
            <w:r w:rsidRPr="007A6478">
              <w:rPr>
                <w:spacing w:val="-2"/>
                <w:szCs w:val="22"/>
              </w:rPr>
              <w:t>File No.:  EB-IHD-14-00017954</w:t>
            </w:r>
          </w:p>
          <w:p w:rsidR="004C2EE3" w14:paraId="33DB44B4" w14:textId="77777777">
            <w:pPr>
              <w:tabs>
                <w:tab w:val="center" w:pos="4680"/>
              </w:tabs>
              <w:suppressAutoHyphens/>
              <w:rPr>
                <w:spacing w:val="-2"/>
                <w:szCs w:val="22"/>
              </w:rPr>
            </w:pPr>
            <w:r w:rsidRPr="007A6478">
              <w:rPr>
                <w:spacing w:val="-2"/>
                <w:szCs w:val="22"/>
              </w:rPr>
              <w:t>NAL</w:t>
            </w:r>
            <w:r w:rsidRPr="007A6478">
              <w:rPr>
                <w:spacing w:val="-2"/>
                <w:szCs w:val="22"/>
              </w:rPr>
              <w:t>/Acct. No.:  201632080007</w:t>
            </w:r>
          </w:p>
          <w:p w:rsidR="007C2FB8" w14:paraId="7DE7770B" w14:textId="4DEEEBF1">
            <w:pPr>
              <w:tabs>
                <w:tab w:val="center" w:pos="4680"/>
              </w:tabs>
              <w:suppressAutoHyphens/>
              <w:rPr>
                <w:spacing w:val="-2"/>
              </w:rPr>
            </w:pPr>
            <w:r w:rsidRPr="007A6478">
              <w:rPr>
                <w:spacing w:val="-2"/>
                <w:szCs w:val="22"/>
              </w:rPr>
              <w:t>FRN</w:t>
            </w:r>
            <w:r w:rsidRPr="007A6478">
              <w:rPr>
                <w:spacing w:val="-2"/>
                <w:szCs w:val="22"/>
              </w:rPr>
              <w:t xml:space="preserve">:  </w:t>
            </w:r>
            <w:r w:rsidR="00A169CE">
              <w:t>0020882668</w:t>
            </w:r>
          </w:p>
        </w:tc>
      </w:tr>
    </w:tbl>
    <w:p w:rsidR="004C2EE3" w:rsidP="0070224F" w14:paraId="200FF0F8" w14:textId="77777777"/>
    <w:p w:rsidR="00841AB1" w:rsidP="00F021FA" w14:paraId="1E9C0BB3" w14:textId="77777777">
      <w:pPr>
        <w:pStyle w:val="StyleBoldCentered"/>
      </w:pPr>
      <w:r>
        <w:t>ORDER</w:t>
      </w:r>
    </w:p>
    <w:p w:rsidR="004C2EE3" w14:paraId="63798EF1" w14:textId="77777777">
      <w:pPr>
        <w:tabs>
          <w:tab w:val="left" w:pos="-720"/>
        </w:tabs>
        <w:suppressAutoHyphens/>
        <w:spacing w:line="227" w:lineRule="auto"/>
        <w:rPr>
          <w:spacing w:val="-2"/>
        </w:rPr>
      </w:pPr>
    </w:p>
    <w:p w:rsidR="004C2EE3" w:rsidP="00133F79" w14:paraId="496DA73D" w14:textId="7FA0433C">
      <w:pPr>
        <w:tabs>
          <w:tab w:val="left" w:pos="720"/>
          <w:tab w:val="right" w:pos="9360"/>
        </w:tabs>
        <w:suppressAutoHyphens/>
        <w:spacing w:line="227" w:lineRule="auto"/>
        <w:rPr>
          <w:spacing w:val="-2"/>
        </w:rPr>
      </w:pPr>
      <w:r>
        <w:rPr>
          <w:b/>
          <w:spacing w:val="-2"/>
        </w:rPr>
        <w:t xml:space="preserve">Adopted:  </w:t>
      </w:r>
      <w:r w:rsidR="00C42A7C">
        <w:rPr>
          <w:b/>
          <w:spacing w:val="-2"/>
        </w:rPr>
        <w:t>July 2</w:t>
      </w:r>
      <w:r w:rsidR="00884FAE">
        <w:rPr>
          <w:b/>
          <w:spacing w:val="-2"/>
        </w:rPr>
        <w:t>9</w:t>
      </w:r>
      <w:r w:rsidR="00C42A7C">
        <w:rPr>
          <w:b/>
          <w:spacing w:val="-2"/>
        </w:rPr>
        <w:t>, 202</w:t>
      </w:r>
      <w:bookmarkStart w:id="0" w:name="_GoBack"/>
      <w:bookmarkEnd w:id="0"/>
      <w:r w:rsidR="00C42A7C">
        <w:rPr>
          <w:b/>
          <w:spacing w:val="-2"/>
        </w:rPr>
        <w:t>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90F11">
        <w:rPr>
          <w:b/>
          <w:spacing w:val="-2"/>
        </w:rPr>
        <w:t xml:space="preserve">August </w:t>
      </w:r>
      <w:r w:rsidR="000923A5">
        <w:rPr>
          <w:b/>
          <w:spacing w:val="-2"/>
        </w:rPr>
        <w:t>11</w:t>
      </w:r>
      <w:r w:rsidR="00DE2415">
        <w:rPr>
          <w:b/>
          <w:spacing w:val="-2"/>
        </w:rPr>
        <w:t>, 2020</w:t>
      </w:r>
    </w:p>
    <w:p w:rsidR="00822CE0" w14:paraId="0EB5BA63" w14:textId="77777777"/>
    <w:p w:rsidR="004C2EE3" w14:paraId="6CBC18AA" w14:textId="401066F6">
      <w:pPr>
        <w:rPr>
          <w:spacing w:val="-2"/>
        </w:rPr>
      </w:pPr>
      <w:r>
        <w:t xml:space="preserve">By </w:t>
      </w:r>
      <w:r w:rsidR="004E4A22">
        <w:t>the</w:t>
      </w:r>
      <w:r w:rsidR="002A2D2E">
        <w:t xml:space="preserve"> </w:t>
      </w:r>
      <w:r w:rsidR="007C2FB8">
        <w:rPr>
          <w:spacing w:val="-2"/>
        </w:rPr>
        <w:t>Commission</w:t>
      </w:r>
      <w:r>
        <w:rPr>
          <w:spacing w:val="-2"/>
        </w:rPr>
        <w:t>:</w:t>
      </w:r>
      <w:r w:rsidR="00884FAE">
        <w:rPr>
          <w:spacing w:val="-2"/>
        </w:rPr>
        <w:t xml:space="preserve">  </w:t>
      </w:r>
      <w:r w:rsidRPr="00884FAE" w:rsidR="00884FAE">
        <w:rPr>
          <w:spacing w:val="-2"/>
        </w:rPr>
        <w:t xml:space="preserve">Commissioner </w:t>
      </w:r>
      <w:r w:rsidRPr="00884FAE" w:rsidR="00884FAE">
        <w:rPr>
          <w:spacing w:val="-2"/>
        </w:rPr>
        <w:t>O’Rielly</w:t>
      </w:r>
      <w:r w:rsidRPr="00884FAE" w:rsidR="00884FAE">
        <w:rPr>
          <w:spacing w:val="-2"/>
        </w:rPr>
        <w:t xml:space="preserve"> issuing a statement; Commissioner </w:t>
      </w:r>
      <w:r w:rsidRPr="00884FAE" w:rsidR="00884FAE">
        <w:rPr>
          <w:spacing w:val="-2"/>
        </w:rPr>
        <w:t>Rosenworcel</w:t>
      </w:r>
      <w:r w:rsidRPr="00884FAE" w:rsidR="00884FAE">
        <w:rPr>
          <w:spacing w:val="-2"/>
        </w:rPr>
        <w:t xml:space="preserve"> dissenting and issuing a statement; Commissioner Starks concurring and issuing a statement.</w:t>
      </w:r>
    </w:p>
    <w:p w:rsidR="00412FC5" w:rsidP="00412FC5" w14:paraId="070B3483" w14:textId="77777777"/>
    <w:p w:rsidR="007C2FB8" w:rsidRPr="007A6478" w:rsidP="00F56ED1" w14:paraId="53EA37B7" w14:textId="77777777">
      <w:pPr>
        <w:pStyle w:val="Heading1"/>
      </w:pPr>
      <w:r w:rsidRPr="007A6478">
        <w:t>INTRODUCTION</w:t>
      </w:r>
    </w:p>
    <w:p w:rsidR="007C2FB8" w:rsidP="004A26EC" w14:paraId="5B68552D" w14:textId="31D6CAF2">
      <w:pPr>
        <w:pStyle w:val="ParaNum"/>
      </w:pPr>
      <w:r>
        <w:t>In</w:t>
      </w:r>
      <w:r w:rsidRPr="007A6478">
        <w:t xml:space="preserve"> 2016</w:t>
      </w:r>
      <w:r>
        <w:t>, t</w:t>
      </w:r>
      <w:r w:rsidRPr="007A6478">
        <w:t>he Commission issued a Notice of Appa</w:t>
      </w:r>
      <w:r w:rsidR="00FA33DF">
        <w:t>rent Liability for Forfeiture (</w:t>
      </w:r>
      <w:r w:rsidRPr="006B3017">
        <w:rPr>
          <w:i/>
        </w:rPr>
        <w:t>NAL</w:t>
      </w:r>
      <w:r w:rsidRPr="007A6478">
        <w:t>)</w:t>
      </w:r>
      <w:r>
        <w:rPr>
          <w:rStyle w:val="FootnoteReference"/>
        </w:rPr>
        <w:footnoteReference w:id="3"/>
      </w:r>
      <w:r w:rsidRPr="007A6478">
        <w:t xml:space="preserve"> to BellSouth Telecommunications, LLC, d/b/a AT&amp;T Southeast (AT&amp;T or the Company) </w:t>
      </w:r>
      <w:r>
        <w:t xml:space="preserve">for apparently failing to charge two Florida school districts the lowest corresponding price for telecommunications services </w:t>
      </w:r>
      <w:r w:rsidR="008E7F82">
        <w:t xml:space="preserve">it </w:t>
      </w:r>
      <w:r>
        <w:t>provided under the E-Rate</w:t>
      </w:r>
      <w:r w:rsidR="00BF416B">
        <w:t xml:space="preserve"> program</w:t>
      </w:r>
      <w:r w:rsidR="008E7F82">
        <w:t xml:space="preserve">.  Specifically, the </w:t>
      </w:r>
      <w:r w:rsidRPr="008E7F82" w:rsidR="008E7F82">
        <w:rPr>
          <w:i/>
        </w:rPr>
        <w:t>NAL</w:t>
      </w:r>
      <w:r w:rsidR="008E7F82">
        <w:t xml:space="preserve"> proposed a forfeiture of $106,425 against AT&amp;T </w:t>
      </w:r>
      <w:r w:rsidRPr="007A6478">
        <w:t xml:space="preserve">for apparent violation of </w:t>
      </w:r>
      <w:r w:rsidR="000F2DA6">
        <w:t>s</w:t>
      </w:r>
      <w:r w:rsidRPr="007A6478">
        <w:t xml:space="preserve">ection 254(h)(1)(B) of the </w:t>
      </w:r>
      <w:r>
        <w:t xml:space="preserve">Communications </w:t>
      </w:r>
      <w:r w:rsidRPr="007A6478">
        <w:t xml:space="preserve">Act </w:t>
      </w:r>
      <w:r>
        <w:t>of 1934, as amended (</w:t>
      </w:r>
      <w:r w:rsidR="008E7F82">
        <w:t xml:space="preserve">the </w:t>
      </w:r>
      <w:r>
        <w:t>Act)</w:t>
      </w:r>
      <w:r w:rsidR="00697BF0">
        <w:t xml:space="preserve"> </w:t>
      </w:r>
      <w:r w:rsidR="007146CE">
        <w:t>and s</w:t>
      </w:r>
      <w:r w:rsidRPr="007A6478">
        <w:t xml:space="preserve">ection 54.511(b) of </w:t>
      </w:r>
      <w:r w:rsidR="008E7F82">
        <w:t>the Commission’s</w:t>
      </w:r>
      <w:r w:rsidRPr="007A6478" w:rsidR="00697BF0">
        <w:t xml:space="preserve"> </w:t>
      </w:r>
      <w:r w:rsidR="00697BF0">
        <w:t>r</w:t>
      </w:r>
      <w:r w:rsidRPr="007A6478">
        <w:t>ules.</w:t>
      </w:r>
      <w:r>
        <w:rPr>
          <w:rStyle w:val="FootnoteReference"/>
          <w:szCs w:val="22"/>
        </w:rPr>
        <w:footnoteReference w:id="4"/>
      </w:r>
      <w:r w:rsidRPr="007A6478">
        <w:t xml:space="preserve">  Because </w:t>
      </w:r>
      <w:r>
        <w:t xml:space="preserve">the Act requires the Commission to issue a notice of apparent liability within one year of a violation and these apparent violations occurred more than one year prior to the issuance of the </w:t>
      </w:r>
      <w:r w:rsidRPr="006B3017">
        <w:rPr>
          <w:i/>
        </w:rPr>
        <w:t>NAL</w:t>
      </w:r>
      <w:r>
        <w:t>,</w:t>
      </w:r>
      <w:r>
        <w:rPr>
          <w:rStyle w:val="FootnoteReference"/>
          <w:szCs w:val="22"/>
        </w:rPr>
        <w:footnoteReference w:id="5"/>
      </w:r>
      <w:r w:rsidRPr="007A6478">
        <w:t xml:space="preserve"> the Commission, through this </w:t>
      </w:r>
      <w:r w:rsidRPr="001615D9">
        <w:rPr>
          <w:i/>
        </w:rPr>
        <w:t>Order</w:t>
      </w:r>
      <w:r w:rsidRPr="007A6478">
        <w:t xml:space="preserve">, </w:t>
      </w:r>
      <w:r>
        <w:t>cancels</w:t>
      </w:r>
      <w:r w:rsidRPr="007A6478">
        <w:t xml:space="preserve"> the </w:t>
      </w:r>
      <w:r w:rsidRPr="006B3017">
        <w:rPr>
          <w:i/>
        </w:rPr>
        <w:t>NAL</w:t>
      </w:r>
      <w:r>
        <w:t xml:space="preserve"> and proposed forfeiture.</w:t>
      </w:r>
      <w:r>
        <w:rPr>
          <w:rStyle w:val="FootnoteReference"/>
          <w:szCs w:val="22"/>
        </w:rPr>
        <w:footnoteReference w:id="6"/>
      </w:r>
    </w:p>
    <w:p w:rsidR="007C2FB8" w:rsidRPr="007A6478" w:rsidP="00B47B2E" w14:paraId="4C987630" w14:textId="77777777">
      <w:pPr>
        <w:pStyle w:val="Heading1"/>
      </w:pPr>
      <w:r w:rsidRPr="007A6478">
        <w:t>BACKGROUND</w:t>
      </w:r>
    </w:p>
    <w:p w:rsidR="007C2FB8" w:rsidP="00B47B2E" w14:paraId="0FFAFD49" w14:textId="2CD00B98">
      <w:pPr>
        <w:pStyle w:val="Heading2"/>
      </w:pPr>
      <w:r>
        <w:t>The LCP Requirement</w:t>
      </w:r>
    </w:p>
    <w:p w:rsidR="007C2FB8" w:rsidRPr="00871034" w:rsidP="00DE2415" w14:paraId="2AD397F0" w14:textId="29A8AC38">
      <w:pPr>
        <w:pStyle w:val="ParaNum"/>
        <w:widowControl/>
      </w:pPr>
      <w:r>
        <w:rPr>
          <w:rStyle w:val="CommentReference"/>
          <w:sz w:val="22"/>
          <w:szCs w:val="22"/>
        </w:rPr>
        <w:t>T</w:t>
      </w:r>
      <w:r>
        <w:t>he</w:t>
      </w:r>
      <w:r w:rsidRPr="008E7F82" w:rsidR="008E7F82">
        <w:t xml:space="preserve"> </w:t>
      </w:r>
      <w:r w:rsidR="008E7F82">
        <w:t>schools and libraries universal service support mechanism</w:t>
      </w:r>
      <w:r>
        <w:t>, commonly referred to as the E-</w:t>
      </w:r>
      <w:r w:rsidR="00AB651F">
        <w:t>R</w:t>
      </w:r>
      <w:r>
        <w:t xml:space="preserve">ate </w:t>
      </w:r>
      <w:r w:rsidR="008E7F82">
        <w:t>p</w:t>
      </w:r>
      <w:r>
        <w:t xml:space="preserve">rogram, </w:t>
      </w:r>
      <w:r w:rsidRPr="00871034">
        <w:t>enables eligible schools, libraries, and consortia to receive discounts on telecommunications services, Internet access, internal connections, basic maintenance costs, and managed internal broadband services.</w:t>
      </w:r>
      <w:r>
        <w:rPr>
          <w:rStyle w:val="FootnoteReference"/>
          <w:szCs w:val="22"/>
        </w:rPr>
        <w:footnoteReference w:id="7"/>
      </w:r>
      <w:r>
        <w:t xml:space="preserve"> </w:t>
      </w:r>
      <w:r w:rsidRPr="00871034">
        <w:t xml:space="preserve"> </w:t>
      </w:r>
      <w:r w:rsidRPr="00DD3F98">
        <w:t>Section 254(h)(1)(B) of the</w:t>
      </w:r>
      <w:r w:rsidRPr="00DD3F98" w:rsidR="00E90143">
        <w:t xml:space="preserve"> </w:t>
      </w:r>
      <w:r w:rsidRPr="00DD3F98">
        <w:t>Act requires that providers offering services to E-</w:t>
      </w:r>
      <w:r w:rsidR="00AB651F">
        <w:t>R</w:t>
      </w:r>
      <w:r w:rsidRPr="00DD3F98">
        <w:t xml:space="preserve">ate eligible schools and libraries “shall, upon a bona fide request for any of its services that are within the definition of universal service under subsection (c)(3) </w:t>
      </w:r>
      <w:r w:rsidR="00A169CE">
        <w:t>[</w:t>
      </w:r>
      <w:r w:rsidRPr="00BF663E">
        <w:t>of this section</w:t>
      </w:r>
      <w:r w:rsidR="00A169CE">
        <w:t>]</w:t>
      </w:r>
      <w:r w:rsidRPr="00DD3F98">
        <w:t xml:space="preserve"> provide such services to </w:t>
      </w:r>
      <w:r w:rsidRPr="00DD3F98">
        <w:t>elementary schools, secondary schools, and libraries for educational purposes at rates less than the amounts charged for similar services to other parties.”</w:t>
      </w:r>
      <w:r>
        <w:rPr>
          <w:vertAlign w:val="superscript"/>
        </w:rPr>
        <w:footnoteReference w:id="8"/>
      </w:r>
      <w:r w:rsidRPr="00871034">
        <w:t xml:space="preserve"> </w:t>
      </w:r>
    </w:p>
    <w:p w:rsidR="007C2FB8" w14:paraId="1278916E" w14:textId="599722AE">
      <w:pPr>
        <w:pStyle w:val="ParaNum"/>
        <w:rPr>
          <w:szCs w:val="22"/>
        </w:rPr>
      </w:pPr>
      <w:r>
        <w:t xml:space="preserve">To implement this statutory </w:t>
      </w:r>
      <w:r w:rsidR="001F4FE5">
        <w:t>mandate</w:t>
      </w:r>
      <w:r>
        <w:t xml:space="preserve">, the Commission established </w:t>
      </w:r>
      <w:r w:rsidR="008E7F82">
        <w:t>a rule</w:t>
      </w:r>
      <w:r>
        <w:t>, which, as a condition of participation in the E-</w:t>
      </w:r>
      <w:r w:rsidR="00AB651F">
        <w:t>R</w:t>
      </w:r>
      <w:r>
        <w:t xml:space="preserve">ate </w:t>
      </w:r>
      <w:r w:rsidR="008E7F82">
        <w:t>p</w:t>
      </w:r>
      <w:r>
        <w:t xml:space="preserve">rogram, prohibits service providers from charging a price above the </w:t>
      </w:r>
      <w:r w:rsidR="008E7F82">
        <w:t>lowest corresponding price</w:t>
      </w:r>
      <w:r>
        <w:t xml:space="preserve">.  </w:t>
      </w:r>
      <w:r w:rsidRPr="00DD3F98">
        <w:t>Specifically, pursuant to section 54.511(b) of the Commission’s rules, “[p]</w:t>
      </w:r>
      <w:r w:rsidRPr="00DD3F98">
        <w:t>roviders</w:t>
      </w:r>
      <w:r w:rsidRPr="00DD3F98">
        <w:t xml:space="preserve"> of eligible services shall not </w:t>
      </w:r>
      <w:r>
        <w:t xml:space="preserve">submit bids for or </w:t>
      </w:r>
      <w:r w:rsidRPr="00DD3F98">
        <w:t>charge schools, school districts, libraries, library consortia, or consortia including any of these entities a price above the lowest corresponding price for supported services, unless the Commission, with respect to interstate services or the state commission with respect to intrastate services, finds that the lowest corresponding price is not compensatory.”</w:t>
      </w:r>
      <w:r>
        <w:rPr>
          <w:vertAlign w:val="superscript"/>
        </w:rPr>
        <w:footnoteReference w:id="9"/>
      </w:r>
      <w:r>
        <w:t xml:space="preserve">  </w:t>
      </w:r>
      <w:r w:rsidR="008E7F82">
        <w:t>O</w:t>
      </w:r>
      <w:r w:rsidRPr="00DD3F98">
        <w:t>ur rules de</w:t>
      </w:r>
      <w:r>
        <w:t>fine</w:t>
      </w:r>
      <w:r w:rsidRPr="00DD3F98">
        <w:t xml:space="preserve"> the </w:t>
      </w:r>
      <w:r w:rsidR="008E7F82">
        <w:t>lowest corresponding price</w:t>
      </w:r>
      <w:r w:rsidRPr="00DD3F98">
        <w:t xml:space="preserve"> as “the lowest price that a service provider charges to non-residential customers who are similarly situated to a particular school, library, or library consortium for similar services.”</w:t>
      </w:r>
      <w:r>
        <w:rPr>
          <w:vertAlign w:val="superscript"/>
        </w:rPr>
        <w:footnoteReference w:id="10"/>
      </w:r>
      <w:r>
        <w:t xml:space="preserve">  </w:t>
      </w:r>
      <w:r w:rsidR="00C6721F">
        <w:t>The</w:t>
      </w:r>
      <w:r w:rsidRPr="007A6478" w:rsidR="00C6721F">
        <w:t xml:space="preserve"> LCP </w:t>
      </w:r>
      <w:r w:rsidR="00C6721F">
        <w:t xml:space="preserve">Requirement </w:t>
      </w:r>
      <w:r w:rsidRPr="007A6478" w:rsidR="00C6721F">
        <w:t xml:space="preserve">“ensure[s] </w:t>
      </w:r>
      <w:r w:rsidR="00C6721F">
        <w:t xml:space="preserve">that a lack of experience in negotiating in a competitive telecommunications service market does not prevent some schools and libraries from receiving </w:t>
      </w:r>
      <w:r w:rsidRPr="001C3969" w:rsidR="00C6721F">
        <w:t>[</w:t>
      </w:r>
      <w:r w:rsidRPr="00BF663E" w:rsidR="00C6721F">
        <w:t>competitive, cost-based prices</w:t>
      </w:r>
      <w:r w:rsidRPr="001C3969" w:rsidR="00C6721F">
        <w:t>]</w:t>
      </w:r>
      <w:r w:rsidRPr="00BF663E" w:rsidR="00C6721F">
        <w:t>.”</w:t>
      </w:r>
      <w:r>
        <w:rPr>
          <w:rStyle w:val="FootnoteReference"/>
        </w:rPr>
        <w:footnoteReference w:id="11"/>
      </w:r>
      <w:r w:rsidRPr="00042A84" w:rsidR="00C6721F">
        <w:t xml:space="preserve"> </w:t>
      </w:r>
      <w:r w:rsidR="00C6721F">
        <w:t xml:space="preserve"> </w:t>
      </w:r>
    </w:p>
    <w:p w:rsidR="007C2FB8" w:rsidRPr="00584ABC" w:rsidP="00B47B2E" w14:paraId="366FE820" w14:textId="2C2CFD55">
      <w:pPr>
        <w:pStyle w:val="ParaNum"/>
      </w:pPr>
      <w:r w:rsidRPr="00584ABC">
        <w:t xml:space="preserve">Pursuant to </w:t>
      </w:r>
      <w:r w:rsidR="00FF14C5">
        <w:t>s</w:t>
      </w:r>
      <w:r w:rsidRPr="00584ABC">
        <w:t xml:space="preserve">ection 503(b) of the Act, the Commission is empowered to assess forfeiture penalties on any person who willfully or repeatedly </w:t>
      </w:r>
      <w:r w:rsidRPr="007622DC">
        <w:t>failed to comply with any of the provisions of the Act or of any rule, regulation, or order issued by the Commission thereunder.</w:t>
      </w:r>
      <w:r>
        <w:rPr>
          <w:vertAlign w:val="superscript"/>
        </w:rPr>
        <w:footnoteReference w:id="12"/>
      </w:r>
      <w:r>
        <w:t xml:space="preserve"> </w:t>
      </w:r>
      <w:r w:rsidRPr="00584ABC">
        <w:t xml:space="preserve"> However, the Commission may </w:t>
      </w:r>
      <w:r>
        <w:t>not</w:t>
      </w:r>
      <w:r w:rsidRPr="00584ABC">
        <w:t xml:space="preserve"> assess forfeitures for violations </w:t>
      </w:r>
      <w:r>
        <w:t>“if the violation charged occurred more than 1 year prior to the date of issuance of the required notice or notice of apparent liability</w:t>
      </w:r>
      <w:r w:rsidRPr="00584ABC">
        <w:t>.</w:t>
      </w:r>
      <w:r>
        <w:t>”</w:t>
      </w:r>
      <w:r>
        <w:rPr>
          <w:vertAlign w:val="superscript"/>
        </w:rPr>
        <w:footnoteReference w:id="13"/>
      </w:r>
      <w:r w:rsidRPr="00584ABC">
        <w:t xml:space="preserve"> </w:t>
      </w:r>
    </w:p>
    <w:p w:rsidR="007C2FB8" w:rsidP="007C2FB8" w14:paraId="7E28F22E" w14:textId="77777777">
      <w:pPr>
        <w:pStyle w:val="Heading2"/>
      </w:pPr>
      <w:r>
        <w:t>Procedural History</w:t>
      </w:r>
      <w:r w:rsidRPr="0077354D">
        <w:t xml:space="preserve"> </w:t>
      </w:r>
    </w:p>
    <w:p w:rsidR="007C2FB8" w:rsidP="0017668C" w14:paraId="03DFD7C2" w14:textId="3B1EC006">
      <w:pPr>
        <w:pStyle w:val="ParaNum"/>
        <w:widowControl/>
        <w:rPr>
          <w:szCs w:val="22"/>
        </w:rPr>
      </w:pPr>
      <w:r>
        <w:rPr>
          <w:szCs w:val="22"/>
        </w:rPr>
        <w:t>O</w:t>
      </w:r>
      <w:r w:rsidRPr="00760C87">
        <w:rPr>
          <w:szCs w:val="22"/>
        </w:rPr>
        <w:t xml:space="preserve">n July 27, 2016, the Commission </w:t>
      </w:r>
      <w:r w:rsidR="00ED6B33">
        <w:rPr>
          <w:szCs w:val="22"/>
        </w:rPr>
        <w:t>issued</w:t>
      </w:r>
      <w:r w:rsidRPr="00760C87" w:rsidR="00ED6B33">
        <w:rPr>
          <w:szCs w:val="22"/>
        </w:rPr>
        <w:t xml:space="preserve"> </w:t>
      </w:r>
      <w:r w:rsidRPr="00760C87">
        <w:rPr>
          <w:szCs w:val="22"/>
        </w:rPr>
        <w:t>a</w:t>
      </w:r>
      <w:r>
        <w:rPr>
          <w:szCs w:val="22"/>
        </w:rPr>
        <w:t>n</w:t>
      </w:r>
      <w:r w:rsidRPr="00760C87">
        <w:rPr>
          <w:szCs w:val="22"/>
        </w:rPr>
        <w:t xml:space="preserve"> </w:t>
      </w:r>
      <w:r w:rsidRPr="00981C87">
        <w:rPr>
          <w:i/>
          <w:szCs w:val="22"/>
        </w:rPr>
        <w:t>NAL</w:t>
      </w:r>
      <w:r w:rsidRPr="00760C87">
        <w:rPr>
          <w:szCs w:val="22"/>
        </w:rPr>
        <w:t xml:space="preserve"> against AT&amp;T for its apparent violation of </w:t>
      </w:r>
      <w:r w:rsidR="00CF3CE5">
        <w:rPr>
          <w:szCs w:val="22"/>
        </w:rPr>
        <w:t>the LCP Requirement</w:t>
      </w:r>
      <w:r w:rsidRPr="00760C87">
        <w:rPr>
          <w:szCs w:val="22"/>
        </w:rPr>
        <w:t>.</w:t>
      </w:r>
      <w:r>
        <w:rPr>
          <w:rStyle w:val="FootnoteReference"/>
          <w:szCs w:val="22"/>
        </w:rPr>
        <w:footnoteReference w:id="14"/>
      </w:r>
      <w:r w:rsidRPr="00760C87">
        <w:rPr>
          <w:szCs w:val="22"/>
        </w:rPr>
        <w:t xml:space="preserve"> </w:t>
      </w:r>
      <w:r>
        <w:rPr>
          <w:szCs w:val="22"/>
        </w:rPr>
        <w:t xml:space="preserve"> </w:t>
      </w:r>
      <w:r w:rsidRPr="00BE6C95">
        <w:rPr>
          <w:szCs w:val="22"/>
        </w:rPr>
        <w:t xml:space="preserve">The </w:t>
      </w:r>
      <w:r w:rsidRPr="00BE6C95">
        <w:rPr>
          <w:i/>
          <w:szCs w:val="22"/>
        </w:rPr>
        <w:t>NAL</w:t>
      </w:r>
      <w:r w:rsidRPr="00BE6C95">
        <w:rPr>
          <w:szCs w:val="22"/>
        </w:rPr>
        <w:t xml:space="preserve"> alleged </w:t>
      </w:r>
      <w:r w:rsidR="00ED6B33">
        <w:rPr>
          <w:szCs w:val="22"/>
        </w:rPr>
        <w:t xml:space="preserve">that </w:t>
      </w:r>
      <w:r w:rsidRPr="00BE6C95">
        <w:rPr>
          <w:szCs w:val="22"/>
        </w:rPr>
        <w:t xml:space="preserve">AT&amp;T was apparently liable for failing to charge </w:t>
      </w:r>
      <w:r w:rsidR="00ED6B33">
        <w:rPr>
          <w:szCs w:val="22"/>
        </w:rPr>
        <w:t>two Florida districts, Dixie County School District (Dixie County) and Orange County School District (Orange County) (collectively, the Districts)</w:t>
      </w:r>
      <w:r>
        <w:rPr>
          <w:szCs w:val="22"/>
        </w:rPr>
        <w:t xml:space="preserve"> </w:t>
      </w:r>
      <w:r w:rsidRPr="00BE6C95">
        <w:rPr>
          <w:szCs w:val="22"/>
        </w:rPr>
        <w:t xml:space="preserve">the </w:t>
      </w:r>
      <w:r w:rsidR="00ED6B33">
        <w:rPr>
          <w:szCs w:val="22"/>
        </w:rPr>
        <w:t>lowest corresponding price</w:t>
      </w:r>
      <w:r w:rsidRPr="00BE6C95">
        <w:rPr>
          <w:szCs w:val="22"/>
        </w:rPr>
        <w:t xml:space="preserve"> for telecommunications services supplied by AT&amp;T. </w:t>
      </w:r>
      <w:r>
        <w:rPr>
          <w:szCs w:val="22"/>
        </w:rPr>
        <w:t xml:space="preserve"> </w:t>
      </w:r>
      <w:r w:rsidRPr="00BE6C95">
        <w:rPr>
          <w:szCs w:val="22"/>
        </w:rPr>
        <w:t xml:space="preserve">The Commission explained </w:t>
      </w:r>
      <w:r w:rsidR="00ED6B33">
        <w:rPr>
          <w:szCs w:val="22"/>
        </w:rPr>
        <w:t>that,</w:t>
      </w:r>
      <w:r w:rsidRPr="00BE6C95" w:rsidR="00ED6B33">
        <w:rPr>
          <w:szCs w:val="22"/>
        </w:rPr>
        <w:t xml:space="preserve"> </w:t>
      </w:r>
      <w:r w:rsidRPr="00BE6C95">
        <w:rPr>
          <w:szCs w:val="22"/>
        </w:rPr>
        <w:t xml:space="preserve">by submitting forms for reimbursement and annual service provider certification, “AT&amp;T caused </w:t>
      </w:r>
      <w:r w:rsidRPr="00BE6C95">
        <w:rPr>
          <w:szCs w:val="22"/>
        </w:rPr>
        <w:t>USAC</w:t>
      </w:r>
      <w:r w:rsidRPr="00BE6C95">
        <w:rPr>
          <w:szCs w:val="22"/>
        </w:rPr>
        <w:t xml:space="preserve"> to disburse funds to reimburse . . . at prices that were not compliant with the LCP Requirement.”</w:t>
      </w:r>
      <w:r>
        <w:rPr>
          <w:szCs w:val="22"/>
          <w:vertAlign w:val="superscript"/>
        </w:rPr>
        <w:footnoteReference w:id="15"/>
      </w:r>
      <w:r w:rsidRPr="00BE6C95">
        <w:rPr>
          <w:szCs w:val="22"/>
        </w:rPr>
        <w:t xml:space="preserve">  In its discussion assessing the proposed forfeiture, the </w:t>
      </w:r>
      <w:r w:rsidRPr="00BE6C95">
        <w:rPr>
          <w:i/>
          <w:szCs w:val="22"/>
        </w:rPr>
        <w:t>NAL</w:t>
      </w:r>
      <w:r w:rsidRPr="00BE6C95">
        <w:rPr>
          <w:szCs w:val="22"/>
        </w:rPr>
        <w:t xml:space="preserve"> alleged that AT&amp;T’s violations were continuing “because the forms have not been corrected and AT&amp;T has retained the excessive reimbursements.”</w:t>
      </w:r>
      <w:r>
        <w:rPr>
          <w:szCs w:val="22"/>
          <w:vertAlign w:val="superscript"/>
        </w:rPr>
        <w:footnoteReference w:id="16"/>
      </w:r>
      <w:r w:rsidRPr="00BE6C95">
        <w:rPr>
          <w:szCs w:val="22"/>
        </w:rPr>
        <w:t xml:space="preserve"> </w:t>
      </w:r>
      <w:r>
        <w:rPr>
          <w:szCs w:val="22"/>
        </w:rPr>
        <w:t xml:space="preserve"> </w:t>
      </w:r>
      <w:r w:rsidR="00AB651F">
        <w:rPr>
          <w:szCs w:val="22"/>
        </w:rPr>
        <w:t>Although</w:t>
      </w:r>
      <w:r w:rsidRPr="00BE6C95" w:rsidR="00AB651F">
        <w:rPr>
          <w:szCs w:val="22"/>
        </w:rPr>
        <w:t xml:space="preserve"> </w:t>
      </w:r>
      <w:r w:rsidRPr="00BE6C95">
        <w:rPr>
          <w:szCs w:val="22"/>
        </w:rPr>
        <w:t xml:space="preserve">the Commission found </w:t>
      </w:r>
      <w:r w:rsidR="00ED6B33">
        <w:rPr>
          <w:szCs w:val="22"/>
        </w:rPr>
        <w:t xml:space="preserve">that </w:t>
      </w:r>
      <w:r w:rsidRPr="00BE6C95">
        <w:rPr>
          <w:szCs w:val="22"/>
        </w:rPr>
        <w:t xml:space="preserve">AT&amp;T apparently violated the LCP Requirement </w:t>
      </w:r>
      <w:r w:rsidR="00AB651F">
        <w:rPr>
          <w:szCs w:val="22"/>
        </w:rPr>
        <w:t>repeatedly</w:t>
      </w:r>
      <w:r w:rsidRPr="00BE6C95">
        <w:rPr>
          <w:szCs w:val="22"/>
        </w:rPr>
        <w:t xml:space="preserve"> from July 2012 to June 2015, exercising its discretion, the Commission limited the forfeiture determination to the 2014-2015 funding year.</w:t>
      </w:r>
      <w:r>
        <w:rPr>
          <w:szCs w:val="22"/>
          <w:vertAlign w:val="superscript"/>
        </w:rPr>
        <w:footnoteReference w:id="17"/>
      </w:r>
      <w:r w:rsidRPr="00BE6C95">
        <w:rPr>
          <w:szCs w:val="22"/>
        </w:rPr>
        <w:t xml:space="preserve"> </w:t>
      </w:r>
      <w:r>
        <w:rPr>
          <w:szCs w:val="22"/>
        </w:rPr>
        <w:t xml:space="preserve"> </w:t>
      </w:r>
      <w:r w:rsidRPr="00BE6C95">
        <w:rPr>
          <w:szCs w:val="22"/>
        </w:rPr>
        <w:t xml:space="preserve">The </w:t>
      </w:r>
      <w:r w:rsidRPr="00BE6C95">
        <w:rPr>
          <w:i/>
          <w:szCs w:val="22"/>
        </w:rPr>
        <w:t>NAL</w:t>
      </w:r>
      <w:r w:rsidRPr="00BE6C95">
        <w:rPr>
          <w:szCs w:val="22"/>
        </w:rPr>
        <w:t xml:space="preserve"> proposed a forfeiture of $106,425, based on the difference between the price the Districts should have been charged and the price they were actually charged, trebled for damage caused </w:t>
      </w:r>
      <w:r w:rsidRPr="00BE6C95">
        <w:rPr>
          <w:szCs w:val="22"/>
        </w:rPr>
        <w:t xml:space="preserve">by the unlawful charges to the Fund and submission to </w:t>
      </w:r>
      <w:r w:rsidRPr="00BE6C95">
        <w:rPr>
          <w:szCs w:val="22"/>
        </w:rPr>
        <w:t>USAC</w:t>
      </w:r>
      <w:r w:rsidRPr="00BE6C95">
        <w:rPr>
          <w:szCs w:val="22"/>
        </w:rPr>
        <w:t xml:space="preserve"> of false certifications of compliance with the E-</w:t>
      </w:r>
      <w:r w:rsidR="00AB651F">
        <w:rPr>
          <w:szCs w:val="22"/>
        </w:rPr>
        <w:t>R</w:t>
      </w:r>
      <w:r w:rsidRPr="00BE6C95">
        <w:rPr>
          <w:szCs w:val="22"/>
        </w:rPr>
        <w:t>ate rules.</w:t>
      </w:r>
      <w:r>
        <w:rPr>
          <w:szCs w:val="22"/>
          <w:vertAlign w:val="superscript"/>
        </w:rPr>
        <w:footnoteReference w:id="18"/>
      </w:r>
      <w:r w:rsidRPr="003045D9">
        <w:rPr>
          <w:szCs w:val="22"/>
        </w:rPr>
        <w:t xml:space="preserve"> </w:t>
      </w:r>
    </w:p>
    <w:p w:rsidR="007C2FB8" w:rsidRPr="00BE6C95" w:rsidP="00B47B2E" w14:paraId="3D64E97F" w14:textId="25B98172">
      <w:pPr>
        <w:pStyle w:val="ParaNum"/>
      </w:pPr>
      <w:r w:rsidRPr="003045D9">
        <w:t xml:space="preserve">On August 26, 2016, AT&amp;T </w:t>
      </w:r>
      <w:r>
        <w:t>responded</w:t>
      </w:r>
      <w:r w:rsidRPr="003045D9">
        <w:t xml:space="preserve"> to the </w:t>
      </w:r>
      <w:r w:rsidRPr="003045D9">
        <w:rPr>
          <w:i/>
        </w:rPr>
        <w:t>NAL</w:t>
      </w:r>
      <w:r w:rsidRPr="003045D9">
        <w:t xml:space="preserve">, arguing the </w:t>
      </w:r>
      <w:r w:rsidRPr="00A95683">
        <w:rPr>
          <w:i/>
        </w:rPr>
        <w:t>NAL</w:t>
      </w:r>
      <w:r w:rsidRPr="00A95683">
        <w:t xml:space="preserve"> should be dismissed.</w:t>
      </w:r>
      <w:r>
        <w:rPr>
          <w:vertAlign w:val="superscript"/>
        </w:rPr>
        <w:footnoteReference w:id="19"/>
      </w:r>
      <w:r w:rsidRPr="003045D9">
        <w:t xml:space="preserve"> </w:t>
      </w:r>
      <w:r>
        <w:t xml:space="preserve"> </w:t>
      </w:r>
      <w:r w:rsidRPr="00BE6C95">
        <w:t>AT&amp;T argued the proposed forfeiture is time-barred because the violation</w:t>
      </w:r>
      <w:r w:rsidR="00AB651F">
        <w:t>s</w:t>
      </w:r>
      <w:r w:rsidRPr="00BE6C95">
        <w:t xml:space="preserve"> occurred when the prices in question were billed, which was more than </w:t>
      </w:r>
      <w:r>
        <w:t xml:space="preserve">one </w:t>
      </w:r>
      <w:r w:rsidRPr="00BE6C95">
        <w:t xml:space="preserve">year before the issuance of the </w:t>
      </w:r>
      <w:r w:rsidRPr="00BE6C95">
        <w:rPr>
          <w:i/>
        </w:rPr>
        <w:t>NAL</w:t>
      </w:r>
      <w:r w:rsidRPr="00BE6C95">
        <w:t>.</w:t>
      </w:r>
      <w:r>
        <w:rPr>
          <w:vertAlign w:val="superscript"/>
        </w:rPr>
        <w:footnoteReference w:id="20"/>
      </w:r>
      <w:r>
        <w:t xml:space="preserve">  </w:t>
      </w:r>
      <w:r w:rsidR="00ED6B33">
        <w:t>According to AT&amp;T, because the LCP Requirement is tied to rates charged, the Commission cannot tenably rely on a continuing violation theory for failing to correct reimbursement forms.</w:t>
      </w:r>
      <w:r>
        <w:rPr>
          <w:rStyle w:val="FootnoteReference"/>
        </w:rPr>
        <w:footnoteReference w:id="21"/>
      </w:r>
      <w:r w:rsidR="00ED6B33">
        <w:t xml:space="preserve">  </w:t>
      </w:r>
      <w:r w:rsidRPr="00BE6C95">
        <w:t>Specifically, AT&amp;T argued the LCP Requirement precludes providers from “</w:t>
      </w:r>
      <w:r w:rsidRPr="001C3969">
        <w:rPr>
          <w:i/>
        </w:rPr>
        <w:t>charg</w:t>
      </w:r>
      <w:r w:rsidRPr="001C3969">
        <w:rPr>
          <w:i/>
        </w:rPr>
        <w:t>[</w:t>
      </w:r>
      <w:r w:rsidRPr="001C3969">
        <w:rPr>
          <w:i/>
        </w:rPr>
        <w:t>ing</w:t>
      </w:r>
      <w:r w:rsidRPr="001C3969">
        <w:rPr>
          <w:i/>
        </w:rPr>
        <w:t>]</w:t>
      </w:r>
      <w:r w:rsidRPr="00BE6C95">
        <w:t xml:space="preserve">” prices above the </w:t>
      </w:r>
      <w:r w:rsidR="00D31B8D">
        <w:t>lowest corresponding price</w:t>
      </w:r>
      <w:r w:rsidR="00D47CF8">
        <w:t>,</w:t>
      </w:r>
      <w:r>
        <w:rPr>
          <w:vertAlign w:val="superscript"/>
        </w:rPr>
        <w:footnoteReference w:id="22"/>
      </w:r>
      <w:r w:rsidRPr="00BE6C95">
        <w:t xml:space="preserve"> it last charged Dixie County for the relevant services on July 1, 2014, and Orange County for the relevant services on June 1, 2015,</w:t>
      </w:r>
      <w:r>
        <w:rPr>
          <w:vertAlign w:val="superscript"/>
        </w:rPr>
        <w:footnoteReference w:id="23"/>
      </w:r>
      <w:r w:rsidRPr="00BE6C95">
        <w:t xml:space="preserve"> and therefore, the latest date a timely </w:t>
      </w:r>
      <w:r w:rsidRPr="00BE6C95">
        <w:rPr>
          <w:i/>
        </w:rPr>
        <w:t>NAL</w:t>
      </w:r>
      <w:r w:rsidRPr="00BE6C95">
        <w:t xml:space="preserve"> could have been issued was June 1, 2016.  Since the </w:t>
      </w:r>
      <w:r w:rsidRPr="00BE6C95">
        <w:rPr>
          <w:i/>
        </w:rPr>
        <w:t>NAL</w:t>
      </w:r>
      <w:r w:rsidRPr="00BE6C95">
        <w:t xml:space="preserve"> is dated July 27, 2016, AT&amp;T concludes it was not issued before the statute of limitations expired.</w:t>
      </w:r>
      <w:r>
        <w:rPr>
          <w:vertAlign w:val="superscript"/>
        </w:rPr>
        <w:footnoteReference w:id="24"/>
      </w:r>
    </w:p>
    <w:p w:rsidR="007C2FB8" w:rsidRPr="007A6478" w:rsidP="00B47B2E" w14:paraId="635E7391" w14:textId="77777777">
      <w:pPr>
        <w:pStyle w:val="Heading1"/>
      </w:pPr>
      <w:r w:rsidRPr="007A6478">
        <w:t>DISCUSSION</w:t>
      </w:r>
    </w:p>
    <w:p w:rsidR="0019254B" w:rsidP="00F43C01" w14:paraId="70942819" w14:textId="44D2811E">
      <w:pPr>
        <w:pStyle w:val="ParaNum"/>
      </w:pPr>
      <w:r w:rsidRPr="00BE6C95">
        <w:t xml:space="preserve">Upon further review and consideration of our rules and the facts presented in this case, we conclude </w:t>
      </w:r>
      <w:r w:rsidR="00ED6B33">
        <w:t xml:space="preserve">that </w:t>
      </w:r>
      <w:r w:rsidRPr="00BE6C95">
        <w:t>AT&amp;T’s ap</w:t>
      </w:r>
      <w:r w:rsidR="00CF3CE5">
        <w:t>parent violation of the LCP Requirement</w:t>
      </w:r>
      <w:r w:rsidRPr="00BE6C95">
        <w:t xml:space="preserve"> occurred more than one year prior to the issuance of the </w:t>
      </w:r>
      <w:r w:rsidRPr="00981C87">
        <w:rPr>
          <w:i/>
        </w:rPr>
        <w:t>NAL</w:t>
      </w:r>
      <w:r w:rsidRPr="00BE6C95">
        <w:t xml:space="preserve">. </w:t>
      </w:r>
      <w:r w:rsidR="00CF3CE5">
        <w:t xml:space="preserve"> </w:t>
      </w:r>
      <w:r w:rsidR="00ED6B33">
        <w:t>First, section 54.</w:t>
      </w:r>
      <w:r w:rsidR="00890F11">
        <w:t>5</w:t>
      </w:r>
      <w:r w:rsidR="00ED6B33">
        <w:t>11(b) of the Commission’s rules</w:t>
      </w:r>
      <w:r>
        <w:t xml:space="preserve"> states that “[p]</w:t>
      </w:r>
      <w:r>
        <w:t>roviders</w:t>
      </w:r>
      <w:r>
        <w:t xml:space="preserve"> of eligible services shall </w:t>
      </w:r>
      <w:r>
        <w:t>not .</w:t>
      </w:r>
      <w:r>
        <w:t xml:space="preserve"> . . charge schools [or] schools </w:t>
      </w:r>
      <w:r>
        <w:t>districts .</w:t>
      </w:r>
      <w:r>
        <w:t> . . above the lowest corresponding price for supported services</w:t>
      </w:r>
      <w:r w:rsidR="00AA7D21">
        <w:t xml:space="preserve"> . . . </w:t>
      </w:r>
      <w:r>
        <w:t>.”</w:t>
      </w:r>
      <w:r>
        <w:rPr>
          <w:rStyle w:val="FootnoteReference"/>
        </w:rPr>
        <w:footnoteReference w:id="25"/>
      </w:r>
      <w:r>
        <w:t xml:space="preserve">  W</w:t>
      </w:r>
      <w:r w:rsidRPr="00BE6C95">
        <w:t xml:space="preserve">e agree that </w:t>
      </w:r>
      <w:r>
        <w:t xml:space="preserve">based on this wording, </w:t>
      </w:r>
      <w:r w:rsidRPr="00BE6C95">
        <w:t xml:space="preserve">the </w:t>
      </w:r>
      <w:r w:rsidR="00D31B8D">
        <w:t>lowest corresponding price</w:t>
      </w:r>
      <w:r w:rsidR="007673F4">
        <w:t xml:space="preserve"> </w:t>
      </w:r>
      <w:r w:rsidRPr="00BE6C95">
        <w:t>violation</w:t>
      </w:r>
      <w:r>
        <w:t>s</w:t>
      </w:r>
      <w:r w:rsidRPr="00BE6C95">
        <w:t xml:space="preserve"> </w:t>
      </w:r>
      <w:r>
        <w:t xml:space="preserve">occurred </w:t>
      </w:r>
      <w:r w:rsidRPr="00BE6C95">
        <w:t xml:space="preserve">in the instant case </w:t>
      </w:r>
      <w:r>
        <w:t xml:space="preserve">when AT&amp;T </w:t>
      </w:r>
      <w:r w:rsidR="00923EF7">
        <w:t xml:space="preserve">apparently </w:t>
      </w:r>
      <w:r>
        <w:t xml:space="preserve">charged </w:t>
      </w:r>
      <w:r w:rsidRPr="00BE6C95">
        <w:t xml:space="preserve">the non-compliant prices to the </w:t>
      </w:r>
      <w:r>
        <w:t>two school d</w:t>
      </w:r>
      <w:r w:rsidRPr="00BE6C95">
        <w:t>istricts.</w:t>
      </w:r>
      <w:r w:rsidR="00ED6B33">
        <w:t xml:space="preserve"> </w:t>
      </w:r>
      <w:r w:rsidR="00ED6B33">
        <w:t xml:space="preserve"> </w:t>
      </w:r>
    </w:p>
    <w:p w:rsidR="0028260B" w:rsidP="00F663F1" w14:paraId="238E8CA4" w14:textId="3A44525A">
      <w:pPr>
        <w:pStyle w:val="ParaNum"/>
      </w:pPr>
      <w:r>
        <w:t>Second, we</w:t>
      </w:r>
      <w:r>
        <w:t xml:space="preserve"> find</w:t>
      </w:r>
      <w:r w:rsidRPr="00BE6C95">
        <w:t xml:space="preserve"> </w:t>
      </w:r>
      <w:r>
        <w:t xml:space="preserve">that </w:t>
      </w:r>
      <w:r w:rsidR="00015334">
        <w:t>each</w:t>
      </w:r>
      <w:r w:rsidRPr="00BE6C95" w:rsidR="00015334">
        <w:t xml:space="preserve"> </w:t>
      </w:r>
      <w:r w:rsidR="000B22D2">
        <w:t xml:space="preserve">alleged </w:t>
      </w:r>
      <w:r w:rsidRPr="00BE6C95">
        <w:t xml:space="preserve">failure to charge </w:t>
      </w:r>
      <w:r>
        <w:t xml:space="preserve">rates </w:t>
      </w:r>
      <w:r>
        <w:t>in compliance with the</w:t>
      </w:r>
      <w:r w:rsidRPr="00BE6C95">
        <w:t xml:space="preserve"> </w:t>
      </w:r>
      <w:r>
        <w:t>LCP</w:t>
      </w:r>
      <w:r w:rsidRPr="00BE6C95">
        <w:t xml:space="preserve"> </w:t>
      </w:r>
      <w:r>
        <w:t xml:space="preserve">Requirement was a single event that is </w:t>
      </w:r>
      <w:r w:rsidRPr="00BE6C95">
        <w:t xml:space="preserve">not continuing in nature because the apparent violations </w:t>
      </w:r>
      <w:r>
        <w:t xml:space="preserve">occurred and were </w:t>
      </w:r>
      <w:r w:rsidR="008A1235">
        <w:t>perfected</w:t>
      </w:r>
      <w:r w:rsidRPr="00BE6C95" w:rsidR="008A1235">
        <w:t xml:space="preserve"> </w:t>
      </w:r>
      <w:r w:rsidRPr="00BE6C95">
        <w:t xml:space="preserve">when </w:t>
      </w:r>
      <w:r w:rsidR="00015334">
        <w:t>each</w:t>
      </w:r>
      <w:r w:rsidRPr="00BE6C95" w:rsidR="00015334">
        <w:t xml:space="preserve"> </w:t>
      </w:r>
      <w:r w:rsidR="000B22D2">
        <w:t xml:space="preserve">allegedly </w:t>
      </w:r>
      <w:r w:rsidRPr="00BE6C95">
        <w:t xml:space="preserve">non-compliant invoice </w:t>
      </w:r>
      <w:r w:rsidR="00015334">
        <w:t>was</w:t>
      </w:r>
      <w:r w:rsidRPr="00BE6C95" w:rsidR="00015334">
        <w:t xml:space="preserve"> </w:t>
      </w:r>
      <w:r w:rsidRPr="00BE6C95">
        <w:t>issued.</w:t>
      </w:r>
      <w:r w:rsidR="00015334">
        <w:t xml:space="preserve">  </w:t>
      </w:r>
      <w:r w:rsidRPr="00015334" w:rsidR="00015334">
        <w:t xml:space="preserve">A continuing violation </w:t>
      </w:r>
      <w:r w:rsidR="008A1235">
        <w:t xml:space="preserve">may be deemed to occur </w:t>
      </w:r>
      <w:r w:rsidRPr="00015334" w:rsidR="00015334">
        <w:t xml:space="preserve">where the </w:t>
      </w:r>
      <w:r w:rsidR="008A1235">
        <w:t xml:space="preserve">offending </w:t>
      </w:r>
      <w:r w:rsidRPr="00015334" w:rsidR="00015334">
        <w:t xml:space="preserve">conduct is ongoing, rather than </w:t>
      </w:r>
      <w:r w:rsidR="00923EF7">
        <w:t>when it is</w:t>
      </w:r>
      <w:r w:rsidR="008A1235">
        <w:t xml:space="preserve"> limited to </w:t>
      </w:r>
      <w:r w:rsidRPr="00015334" w:rsidR="00015334">
        <w:t xml:space="preserve">a </w:t>
      </w:r>
      <w:r w:rsidR="008A1235">
        <w:t>discrete</w:t>
      </w:r>
      <w:r w:rsidRPr="00015334" w:rsidR="008A1235">
        <w:t xml:space="preserve"> </w:t>
      </w:r>
      <w:r w:rsidRPr="00015334" w:rsidR="00015334">
        <w:t>event.</w:t>
      </w:r>
      <w:r>
        <w:rPr>
          <w:rStyle w:val="FootnoteReference"/>
        </w:rPr>
        <w:footnoteReference w:id="26"/>
      </w:r>
      <w:r>
        <w:t xml:space="preserve">  </w:t>
      </w:r>
      <w:r w:rsidRPr="001A4272">
        <w:t xml:space="preserve">The </w:t>
      </w:r>
      <w:r w:rsidRPr="00CF5847">
        <w:rPr>
          <w:i/>
        </w:rPr>
        <w:t>NAL</w:t>
      </w:r>
      <w:r w:rsidRPr="001A4272">
        <w:t xml:space="preserve"> allege</w:t>
      </w:r>
      <w:r>
        <w:t>d</w:t>
      </w:r>
      <w:r>
        <w:t>—</w:t>
      </w:r>
      <w:r>
        <w:t>without citing any precedents</w:t>
      </w:r>
      <w:r>
        <w:t xml:space="preserve">—that </w:t>
      </w:r>
      <w:r w:rsidRPr="001A4272">
        <w:t>these “violations are continuing because the forms have not been corrected and AT&amp;T has retained the excessive reimbursements.”</w:t>
      </w:r>
      <w:r>
        <w:rPr>
          <w:rStyle w:val="FootnoteReference"/>
        </w:rPr>
        <w:footnoteReference w:id="27"/>
      </w:r>
      <w:r w:rsidRPr="001A4272">
        <w:t xml:space="preserve"> </w:t>
      </w:r>
      <w:r>
        <w:t xml:space="preserve"> </w:t>
      </w:r>
      <w:r w:rsidR="00015334">
        <w:t xml:space="preserve">But just because the </w:t>
      </w:r>
      <w:r w:rsidR="008A1235">
        <w:t xml:space="preserve">incidental </w:t>
      </w:r>
      <w:r w:rsidR="00015334">
        <w:rPr>
          <w:i/>
        </w:rPr>
        <w:t>consequence</w:t>
      </w:r>
      <w:r w:rsidR="00015334">
        <w:t xml:space="preserve"> </w:t>
      </w:r>
      <w:r w:rsidR="008A1235">
        <w:t xml:space="preserve">flowing from offending </w:t>
      </w:r>
      <w:r w:rsidR="00015334">
        <w:t xml:space="preserve">conduct </w:t>
      </w:r>
      <w:r w:rsidR="008A1235">
        <w:t xml:space="preserve">continues </w:t>
      </w:r>
      <w:r w:rsidR="00015334">
        <w:t xml:space="preserve">does not </w:t>
      </w:r>
      <w:r w:rsidR="008A1235">
        <w:t xml:space="preserve">mean that </w:t>
      </w:r>
      <w:r w:rsidR="00015334">
        <w:t xml:space="preserve">the </w:t>
      </w:r>
      <w:r w:rsidRPr="00015334" w:rsidR="00015334">
        <w:rPr>
          <w:i/>
        </w:rPr>
        <w:t>conduct</w:t>
      </w:r>
      <w:r w:rsidR="00015334">
        <w:t xml:space="preserve"> itself </w:t>
      </w:r>
      <w:r w:rsidR="008A1235">
        <w:t xml:space="preserve">should be deemed </w:t>
      </w:r>
      <w:r w:rsidR="00015334">
        <w:t xml:space="preserve">ongoing.  Indeed, </w:t>
      </w:r>
      <w:r w:rsidR="008A1235">
        <w:t xml:space="preserve">defining </w:t>
      </w:r>
      <w:r w:rsidR="00015334">
        <w:t xml:space="preserve">continuing improper conduct </w:t>
      </w:r>
      <w:r w:rsidR="008A1235">
        <w:t xml:space="preserve">by its ongoing incidental effects would make a </w:t>
      </w:r>
      <w:r w:rsidR="00015334">
        <w:t xml:space="preserve">continuing violation </w:t>
      </w:r>
      <w:r w:rsidR="008A1235">
        <w:t xml:space="preserve">indistinguishable from a perfected </w:t>
      </w:r>
      <w:r w:rsidR="00015334">
        <w:t>violation</w:t>
      </w:r>
      <w:r w:rsidR="002D299E">
        <w:t xml:space="preserve"> since almost every </w:t>
      </w:r>
      <w:r w:rsidR="008A1235">
        <w:t xml:space="preserve">perfected </w:t>
      </w:r>
      <w:r w:rsidR="002D299E">
        <w:t xml:space="preserve">violation could be expected to have </w:t>
      </w:r>
      <w:r w:rsidR="008A1235">
        <w:t xml:space="preserve">certain negative ongoing </w:t>
      </w:r>
      <w:r w:rsidR="002D299E">
        <w:t xml:space="preserve">consequences.  Instead, we give meaning to the distinction and, </w:t>
      </w:r>
      <w:r w:rsidR="00015334">
        <w:t xml:space="preserve">given the text of the rule at issue, </w:t>
      </w:r>
      <w:r w:rsidR="002D299E">
        <w:t xml:space="preserve">find </w:t>
      </w:r>
      <w:r w:rsidR="00015334">
        <w:t xml:space="preserve">the conduct was </w:t>
      </w:r>
      <w:r w:rsidR="008A1235">
        <w:t xml:space="preserve">perfected </w:t>
      </w:r>
      <w:r w:rsidR="00015334">
        <w:t xml:space="preserve">when AT&amp;T issued each invoice.  </w:t>
      </w:r>
      <w:r w:rsidR="00BC3C39">
        <w:t xml:space="preserve">In short, </w:t>
      </w:r>
      <w:r w:rsidR="008A1235">
        <w:t xml:space="preserve">the mere existence of </w:t>
      </w:r>
      <w:r w:rsidR="002D299E">
        <w:t>such continuing consequences</w:t>
      </w:r>
      <w:r w:rsidR="008A1235">
        <w:t>, standing alone, is</w:t>
      </w:r>
      <w:r w:rsidR="002D299E">
        <w:t xml:space="preserve"> not</w:t>
      </w:r>
      <w:r>
        <w:t xml:space="preserve"> </w:t>
      </w:r>
      <w:r w:rsidRPr="001A4272">
        <w:t xml:space="preserve">a basis </w:t>
      </w:r>
      <w:r>
        <w:t>for finding a continuing violation of the underlying offense of failure to charge the Districts the</w:t>
      </w:r>
      <w:r w:rsidR="009E56B5">
        <w:t xml:space="preserve"> lowest corresponding price</w:t>
      </w:r>
      <w:r>
        <w:t>.</w:t>
      </w:r>
    </w:p>
    <w:p w:rsidR="007C2FB8" w:rsidRPr="007A6478" w:rsidP="00B47B2E" w14:paraId="3F74D1AF" w14:textId="65D1F01C">
      <w:pPr>
        <w:pStyle w:val="ParaNum"/>
        <w:rPr>
          <w:spacing w:val="-2"/>
          <w:szCs w:val="22"/>
        </w:rPr>
      </w:pPr>
      <w:r>
        <w:t>We therefore find that</w:t>
      </w:r>
      <w:r w:rsidRPr="00BE6C95">
        <w:t xml:space="preserve"> the statute of limitations for each </w:t>
      </w:r>
      <w:r w:rsidRPr="00A607E1" w:rsidR="000B22D2">
        <w:t xml:space="preserve">apparent </w:t>
      </w:r>
      <w:r w:rsidRPr="00BE6C95">
        <w:t xml:space="preserve">violation </w:t>
      </w:r>
      <w:r>
        <w:t>began</w:t>
      </w:r>
      <w:r w:rsidRPr="00BE6C95">
        <w:t xml:space="preserve"> to run from when AT&amp;T last billed Dixie County and Orange County a price </w:t>
      </w:r>
      <w:r w:rsidR="000B22D2">
        <w:t xml:space="preserve">allegedly </w:t>
      </w:r>
      <w:r w:rsidRPr="00BE6C95">
        <w:t xml:space="preserve">above the </w:t>
      </w:r>
      <w:r>
        <w:t>lowest corresponding price</w:t>
      </w:r>
      <w:r w:rsidRPr="00BE6C95">
        <w:t xml:space="preserve">. </w:t>
      </w:r>
      <w:r>
        <w:t xml:space="preserve"> Because </w:t>
      </w:r>
      <w:r w:rsidR="00AB651F">
        <w:t xml:space="preserve">the last bill </w:t>
      </w:r>
      <w:r w:rsidR="005760FF">
        <w:t xml:space="preserve">or </w:t>
      </w:r>
      <w:r w:rsidR="00AB651F">
        <w:t xml:space="preserve">charge to </w:t>
      </w:r>
      <w:r>
        <w:t xml:space="preserve">the two school districts </w:t>
      </w:r>
      <w:r w:rsidR="00697BF0">
        <w:t xml:space="preserve">cited in the </w:t>
      </w:r>
      <w:r w:rsidRPr="009E56B5" w:rsidR="00697BF0">
        <w:rPr>
          <w:i/>
        </w:rPr>
        <w:t>NAL</w:t>
      </w:r>
      <w:r w:rsidR="00697BF0">
        <w:t xml:space="preserve"> was </w:t>
      </w:r>
      <w:r>
        <w:t xml:space="preserve">more than a year before the issuance of the </w:t>
      </w:r>
      <w:r w:rsidRPr="009E56B5">
        <w:rPr>
          <w:i/>
        </w:rPr>
        <w:t>NAL</w:t>
      </w:r>
      <w:r>
        <w:t xml:space="preserve"> and i</w:t>
      </w:r>
      <w:r w:rsidRPr="00BE6C95">
        <w:t xml:space="preserve">n the absence of a continuing violation in this instance, </w:t>
      </w:r>
      <w:r>
        <w:t xml:space="preserve">the forfeiture is time-barred by the </w:t>
      </w:r>
      <w:r w:rsidR="00697BF0">
        <w:t xml:space="preserve">Act’s </w:t>
      </w:r>
      <w:r>
        <w:t>statute of limitations.</w:t>
      </w:r>
      <w:r>
        <w:rPr>
          <w:rStyle w:val="FootnoteReference"/>
        </w:rPr>
        <w:footnoteReference w:id="28"/>
      </w:r>
      <w:r w:rsidRPr="009E56B5">
        <w:rPr>
          <w:spacing w:val="-2"/>
          <w:szCs w:val="22"/>
        </w:rPr>
        <w:t xml:space="preserve"> </w:t>
      </w:r>
      <w:r w:rsidR="00015334">
        <w:rPr>
          <w:spacing w:val="-2"/>
          <w:szCs w:val="22"/>
        </w:rPr>
        <w:t xml:space="preserve"> </w:t>
      </w:r>
      <w:r>
        <w:t>D</w:t>
      </w:r>
      <w:r w:rsidRPr="007A6478">
        <w:t xml:space="preserve">ue to the expiration of the </w:t>
      </w:r>
      <w:r w:rsidR="00015334">
        <w:t xml:space="preserve">one-year </w:t>
      </w:r>
      <w:r>
        <w:t>statute of limitations</w:t>
      </w:r>
      <w:r w:rsidRPr="007A6478">
        <w:t xml:space="preserve">, as </w:t>
      </w:r>
      <w:r>
        <w:t xml:space="preserve">codified in </w:t>
      </w:r>
      <w:r w:rsidR="003C6720">
        <w:t>s</w:t>
      </w:r>
      <w:r>
        <w:t xml:space="preserve">ection 503(b)(6)(B) of </w:t>
      </w:r>
      <w:r w:rsidR="00990353">
        <w:t>the</w:t>
      </w:r>
      <w:r>
        <w:t xml:space="preserve"> Act</w:t>
      </w:r>
      <w:r w:rsidRPr="007A6478">
        <w:t xml:space="preserve">, we find that </w:t>
      </w:r>
      <w:r>
        <w:t>a forfeiture against AT&amp;T for apparent viol</w:t>
      </w:r>
      <w:r w:rsidR="00CF3CE5">
        <w:t>ation of the LCP Requirement</w:t>
      </w:r>
      <w:r>
        <w:t xml:space="preserve"> against the Districts is time barred, and </w:t>
      </w:r>
      <w:r w:rsidRPr="007A6478">
        <w:t>cancellation of the forfeiture</w:t>
      </w:r>
      <w:r>
        <w:t xml:space="preserve"> proposed in the </w:t>
      </w:r>
      <w:r w:rsidRPr="00CF3CE5">
        <w:rPr>
          <w:i/>
        </w:rPr>
        <w:t>NAL</w:t>
      </w:r>
      <w:r w:rsidRPr="007A6478">
        <w:t xml:space="preserve"> is appropriate.</w:t>
      </w:r>
      <w:r>
        <w:rPr>
          <w:rStyle w:val="FootnoteReference"/>
        </w:rPr>
        <w:footnoteReference w:id="29"/>
      </w:r>
      <w:r w:rsidRPr="007A6478">
        <w:t xml:space="preserve"> </w:t>
      </w:r>
      <w:r>
        <w:t xml:space="preserve"> </w:t>
      </w:r>
      <w:r>
        <w:rPr>
          <w:szCs w:val="22"/>
        </w:rPr>
        <w:t xml:space="preserve">We thus hereby cancel the </w:t>
      </w:r>
      <w:r>
        <w:rPr>
          <w:i/>
          <w:szCs w:val="22"/>
        </w:rPr>
        <w:t>NAL</w:t>
      </w:r>
      <w:r>
        <w:rPr>
          <w:szCs w:val="22"/>
        </w:rPr>
        <w:t xml:space="preserve"> against AT&amp;T and the proposed forfeiture.</w:t>
      </w:r>
    </w:p>
    <w:p w:rsidR="007C2FB8" w:rsidRPr="007A6478" w:rsidP="00B47B2E" w14:paraId="7F9CEEA7" w14:textId="77777777">
      <w:pPr>
        <w:pStyle w:val="Heading1"/>
      </w:pPr>
      <w:r w:rsidRPr="007A6478">
        <w:t>ORDERING CLAUSES</w:t>
      </w:r>
    </w:p>
    <w:p w:rsidR="007C2FB8" w:rsidP="00B47B2E" w14:paraId="427C72D4" w14:textId="77777777">
      <w:pPr>
        <w:pStyle w:val="ParaNum"/>
      </w:pPr>
      <w:r w:rsidRPr="00577FD0">
        <w:t xml:space="preserve">Accordingly, </w:t>
      </w:r>
      <w:r w:rsidRPr="00577FD0">
        <w:rPr>
          <w:b/>
        </w:rPr>
        <w:t>IT IS ORDERED</w:t>
      </w:r>
      <w:r w:rsidRPr="00577FD0">
        <w:t xml:space="preserve"> that, pursuant to 47 U.S.C. § 503(b)(6)(B) and 47 CFR §</w:t>
      </w:r>
      <w:r w:rsidR="00697BF0">
        <w:t> </w:t>
      </w:r>
      <w:r w:rsidRPr="00577FD0">
        <w:t xml:space="preserve">1.80(f)(4), the Notice of Apparent Liability for Forfeiture and proposed forfeiture for $106,425 issued to BellSouth Telecommunications, LLC, d/b/a AT&amp;T Southeast are hereby </w:t>
      </w:r>
      <w:r w:rsidRPr="00577FD0">
        <w:rPr>
          <w:b/>
        </w:rPr>
        <w:t>CANCELLED</w:t>
      </w:r>
      <w:r w:rsidRPr="00577FD0">
        <w:t>.</w:t>
      </w:r>
      <w:r>
        <w:t xml:space="preserve"> </w:t>
      </w:r>
    </w:p>
    <w:p w:rsidR="007C2FB8" w:rsidRPr="003C52F2" w:rsidP="001615D9" w14:paraId="3B4E1A17" w14:textId="27D9E7A6">
      <w:pPr>
        <w:pStyle w:val="ParaNum"/>
        <w:keepNext/>
        <w:widowControl/>
      </w:pPr>
      <w:r w:rsidRPr="007A6478">
        <w:rPr>
          <w:b/>
        </w:rPr>
        <w:t>IT IS FURTHER ORDERED</w:t>
      </w:r>
      <w:r w:rsidRPr="007A6478">
        <w:t xml:space="preserve"> that a copy of this Order shall be sent by first class mail and certified mail, return receipt requested, to</w:t>
      </w:r>
      <w:r w:rsidR="00764404">
        <w:t xml:space="preserve"> </w:t>
      </w:r>
      <w:r w:rsidR="00764404">
        <w:rPr>
          <w:rStyle w:val="st"/>
        </w:rPr>
        <w:t xml:space="preserve">Jeanine </w:t>
      </w:r>
      <w:r w:rsidR="00764404">
        <w:rPr>
          <w:rStyle w:val="st"/>
        </w:rPr>
        <w:t>Poltronieri</w:t>
      </w:r>
      <w:r w:rsidR="00764404">
        <w:rPr>
          <w:rStyle w:val="st"/>
        </w:rPr>
        <w:t>, Assistant Vice President, Federal Regulatory,</w:t>
      </w:r>
      <w:r w:rsidRPr="003C52F2">
        <w:t xml:space="preserve"> AT&amp;T Services and BellSouth Telecommunications, LLC, d/b/a AT&amp;T, 1120 20</w:t>
      </w:r>
      <w:r w:rsidRPr="003C52F2">
        <w:rPr>
          <w:vertAlign w:val="superscript"/>
        </w:rPr>
        <w:t>th</w:t>
      </w:r>
      <w:r w:rsidRPr="003C52F2">
        <w:t xml:space="preserve"> St. NW, Suite 1000, Washington, DC 20036, and to AT&amp;T’s attorneys, Helgi C. Walker, Russell B. </w:t>
      </w:r>
      <w:r w:rsidRPr="003C52F2">
        <w:t>Balikian</w:t>
      </w:r>
      <w:r w:rsidRPr="003C52F2">
        <w:t xml:space="preserve"> and David A. Schnitzer, Gibson, Dunn &amp; Crutcher LLP, 1050 Connecticut Ave</w:t>
      </w:r>
      <w:r w:rsidR="00FD6EF6">
        <w:t>nue, NW, Washington, DC 20036.</w:t>
      </w:r>
    </w:p>
    <w:p w:rsidR="009E56B5" w:rsidP="001615D9" w14:paraId="55758159" w14:textId="77777777">
      <w:pPr>
        <w:keepNext/>
        <w:keepLines/>
        <w:widowControl/>
        <w:tabs>
          <w:tab w:val="left" w:pos="0"/>
        </w:tabs>
        <w:suppressAutoHyphens/>
      </w:pPr>
      <w:r>
        <w:tab/>
      </w:r>
      <w:r>
        <w:tab/>
      </w:r>
      <w:r>
        <w:tab/>
      </w:r>
      <w:r>
        <w:tab/>
      </w:r>
      <w:r>
        <w:tab/>
      </w:r>
      <w:r>
        <w:tab/>
      </w:r>
    </w:p>
    <w:p w:rsidR="00F56ED1" w:rsidP="001615D9" w14:paraId="3E4BAD7C" w14:textId="48CF455F">
      <w:pPr>
        <w:keepNext/>
        <w:keepLines/>
        <w:widowControl/>
        <w:tabs>
          <w:tab w:val="left" w:pos="0"/>
        </w:tabs>
        <w:suppressAutoHyphens/>
      </w:pPr>
      <w:r>
        <w:tab/>
      </w:r>
      <w:r>
        <w:tab/>
      </w:r>
      <w:r>
        <w:tab/>
      </w:r>
      <w:r>
        <w:tab/>
      </w:r>
      <w:r>
        <w:tab/>
      </w:r>
      <w:r>
        <w:tab/>
      </w:r>
      <w:r>
        <w:t>FEDERAL COMMUNICATIONS COMMISSION</w:t>
      </w:r>
    </w:p>
    <w:p w:rsidR="00F56ED1" w:rsidP="00D33F59" w14:paraId="784B52AC" w14:textId="77777777">
      <w:pPr>
        <w:keepNext/>
        <w:keepLines/>
        <w:widowControl/>
        <w:jc w:val="center"/>
      </w:pPr>
    </w:p>
    <w:p w:rsidR="00F56ED1" w:rsidP="001615D9" w14:paraId="7CAF8E83" w14:textId="77777777">
      <w:pPr>
        <w:keepNext/>
        <w:keepLines/>
        <w:widowControl/>
      </w:pPr>
    </w:p>
    <w:p w:rsidR="00F56ED1" w:rsidP="001615D9" w14:paraId="75FB2582" w14:textId="3CCDC020">
      <w:pPr>
        <w:keepNext/>
        <w:keepLines/>
        <w:widowControl/>
      </w:pPr>
    </w:p>
    <w:p w:rsidR="00D330AD" w:rsidP="001615D9" w14:paraId="3C505488" w14:textId="77777777">
      <w:pPr>
        <w:keepNext/>
        <w:keepLines/>
        <w:widowControl/>
      </w:pPr>
    </w:p>
    <w:p w:rsidR="00F56ED1" w:rsidP="001615D9" w14:paraId="3EDAD80C" w14:textId="77777777">
      <w:pPr>
        <w:keepNext/>
        <w:keepLines/>
        <w:widowControl/>
      </w:pPr>
      <w:r>
        <w:tab/>
      </w:r>
      <w:r>
        <w:tab/>
      </w:r>
      <w:r>
        <w:tab/>
      </w:r>
      <w:r>
        <w:tab/>
      </w:r>
      <w:r>
        <w:tab/>
      </w:r>
      <w:r>
        <w:tab/>
        <w:t>Marlene H. Dortch</w:t>
      </w:r>
    </w:p>
    <w:p w:rsidR="00F56ED1" w:rsidP="001615D9" w14:paraId="6C9F2CE2" w14:textId="77777777">
      <w:pPr>
        <w:keepNext/>
        <w:keepLines/>
        <w:widowControl/>
      </w:pPr>
      <w:r>
        <w:tab/>
      </w:r>
      <w:r>
        <w:tab/>
      </w:r>
      <w:r>
        <w:tab/>
      </w:r>
      <w:r>
        <w:tab/>
      </w:r>
      <w:r>
        <w:tab/>
      </w:r>
      <w:r>
        <w:tab/>
        <w:t>Secretary</w:t>
      </w:r>
    </w:p>
    <w:p w:rsidR="002C00E8" w:rsidP="00BA251E" w14:paraId="3189C2DA" w14:textId="46642575">
      <w:pPr>
        <w:tabs>
          <w:tab w:val="left" w:pos="0"/>
        </w:tabs>
        <w:suppressAutoHyphens/>
        <w:rPr>
          <w:szCs w:val="22"/>
        </w:rPr>
      </w:pPr>
    </w:p>
    <w:p w:rsidR="00535525" w:rsidP="00BA251E" w14:paraId="0AFDE242" w14:textId="48DDAEE8">
      <w:pPr>
        <w:tabs>
          <w:tab w:val="left" w:pos="0"/>
        </w:tabs>
        <w:suppressAutoHyphens/>
        <w:rPr>
          <w:szCs w:val="22"/>
        </w:rPr>
      </w:pPr>
    </w:p>
    <w:p w:rsidR="00535525" w:rsidP="00BA251E" w14:paraId="1A6E67E9" w14:textId="77777777">
      <w:pPr>
        <w:tabs>
          <w:tab w:val="left" w:pos="0"/>
        </w:tabs>
        <w:suppressAutoHyphens/>
        <w:rPr>
          <w:szCs w:val="22"/>
        </w:rPr>
        <w:sectPr w:rsidSect="0055614C">
          <w:headerReference w:type="default" r:id="rId5"/>
          <w:footerReference w:type="even"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pPr>
    </w:p>
    <w:p w:rsidR="00C953DD" w:rsidRPr="005577AD" w:rsidP="00C953DD" w14:paraId="6C2657A1" w14:textId="77777777">
      <w:pPr>
        <w:jc w:val="center"/>
        <w:rPr>
          <w:b/>
          <w:bCs/>
          <w:caps/>
          <w:szCs w:val="22"/>
        </w:rPr>
      </w:pPr>
      <w:r w:rsidRPr="005577AD">
        <w:rPr>
          <w:b/>
          <w:bCs/>
          <w:caps/>
          <w:szCs w:val="22"/>
        </w:rPr>
        <w:t>Statement of</w:t>
      </w:r>
    </w:p>
    <w:p w:rsidR="00C953DD" w:rsidP="00C953DD" w14:paraId="15FCA690" w14:textId="77777777">
      <w:pPr>
        <w:jc w:val="center"/>
        <w:rPr>
          <w:b/>
          <w:bCs/>
          <w:snapToGrid/>
          <w:kern w:val="0"/>
          <w:szCs w:val="22"/>
        </w:rPr>
      </w:pPr>
      <w:r>
        <w:rPr>
          <w:b/>
          <w:bCs/>
          <w:snapToGrid/>
          <w:kern w:val="0"/>
          <w:szCs w:val="22"/>
        </w:rPr>
        <w:t xml:space="preserve">COMMISSIONER MICHAEL </w:t>
      </w:r>
      <w:r>
        <w:rPr>
          <w:b/>
          <w:bCs/>
          <w:snapToGrid/>
          <w:kern w:val="0"/>
          <w:szCs w:val="22"/>
        </w:rPr>
        <w:t>O’RIELLY</w:t>
      </w:r>
    </w:p>
    <w:p w:rsidR="00C953DD" w:rsidRPr="005577AD" w:rsidP="00C953DD" w14:paraId="188EAB85" w14:textId="77777777">
      <w:pPr>
        <w:jc w:val="center"/>
        <w:rPr>
          <w:b/>
          <w:bCs/>
          <w:caps/>
          <w:szCs w:val="22"/>
        </w:rPr>
      </w:pPr>
    </w:p>
    <w:p w:rsidR="00C953DD" w:rsidRPr="008E36CD" w:rsidP="00C953DD" w14:paraId="3456D28D" w14:textId="75010671">
      <w:pPr>
        <w:ind w:left="720" w:hanging="720"/>
        <w:rPr>
          <w:i/>
          <w:iCs/>
          <w:szCs w:val="22"/>
        </w:rPr>
      </w:pPr>
      <w:r w:rsidRPr="008E36CD">
        <w:rPr>
          <w:iCs/>
          <w:szCs w:val="22"/>
        </w:rPr>
        <w:t>Re:</w:t>
      </w:r>
      <w:r w:rsidRPr="008E36CD">
        <w:rPr>
          <w:szCs w:val="22"/>
        </w:rPr>
        <w:t xml:space="preserve"> </w:t>
      </w:r>
      <w:r w:rsidRPr="008E36CD">
        <w:rPr>
          <w:szCs w:val="22"/>
        </w:rPr>
        <w:tab/>
      </w:r>
      <w:r w:rsidRPr="00C953DD">
        <w:rPr>
          <w:i/>
          <w:iCs/>
          <w:szCs w:val="22"/>
        </w:rPr>
        <w:t>BellSouth Telecommunications, LLC,</w:t>
      </w:r>
      <w:r>
        <w:rPr>
          <w:i/>
          <w:iCs/>
          <w:szCs w:val="22"/>
        </w:rPr>
        <w:t xml:space="preserve"> </w:t>
      </w:r>
      <w:r w:rsidRPr="00C953DD">
        <w:rPr>
          <w:i/>
          <w:iCs/>
          <w:szCs w:val="22"/>
        </w:rPr>
        <w:t>d/b/a/ AT&amp;T Southeast</w:t>
      </w:r>
      <w:r w:rsidRPr="008E36CD">
        <w:rPr>
          <w:iCs/>
          <w:szCs w:val="22"/>
        </w:rPr>
        <w:t xml:space="preserve">, </w:t>
      </w:r>
      <w:r w:rsidRPr="008E36CD">
        <w:rPr>
          <w:color w:val="000000"/>
          <w:spacing w:val="-2"/>
          <w:szCs w:val="22"/>
        </w:rPr>
        <w:t xml:space="preserve">File No.:  </w:t>
      </w:r>
      <w:r w:rsidRPr="007A6478">
        <w:rPr>
          <w:spacing w:val="-2"/>
          <w:szCs w:val="22"/>
        </w:rPr>
        <w:t>EB-IHD-14-00017954</w:t>
      </w:r>
      <w:r w:rsidRPr="008E36CD">
        <w:rPr>
          <w:iCs/>
          <w:szCs w:val="22"/>
        </w:rPr>
        <w:t>.</w:t>
      </w:r>
    </w:p>
    <w:p w:rsidR="00535525" w:rsidP="00BA251E" w14:paraId="7B8BC535" w14:textId="4175A91F">
      <w:pPr>
        <w:tabs>
          <w:tab w:val="left" w:pos="0"/>
        </w:tabs>
        <w:suppressAutoHyphens/>
        <w:rPr>
          <w:szCs w:val="22"/>
        </w:rPr>
      </w:pPr>
    </w:p>
    <w:p w:rsidR="005B0A1B" w:rsidP="00BA251E" w14:paraId="59E5F12D" w14:textId="65622483">
      <w:pPr>
        <w:tabs>
          <w:tab w:val="left" w:pos="0"/>
        </w:tabs>
        <w:suppressAutoHyphens/>
        <w:rPr>
          <w:szCs w:val="22"/>
        </w:rPr>
      </w:pPr>
    </w:p>
    <w:p w:rsidR="00605505" w:rsidP="00605505" w14:paraId="16985655" w14:textId="5E87F98E">
      <w:pPr>
        <w:ind w:firstLine="720"/>
      </w:pPr>
      <w:r>
        <w:t>I fully support the decision to cancel</w:t>
      </w:r>
      <w:r w:rsidRPr="004A42C9">
        <w:t xml:space="preserve"> </w:t>
      </w:r>
      <w:r>
        <w:t>this Notice of Apparent Liability and proposed forfeiture. The previous Commission’s attempt to evade the applicable statute of limitations through its continuing violation theory was offensive to the rule of law and must be thoroughly rejected.</w:t>
      </w:r>
    </w:p>
    <w:p w:rsidR="00605505" w:rsidP="00605505" w14:paraId="217DB140" w14:textId="77777777">
      <w:pPr>
        <w:ind w:firstLine="720"/>
      </w:pPr>
    </w:p>
    <w:p w:rsidR="00605505" w:rsidP="00605505" w14:paraId="6D34B0FA" w14:textId="01B45EBD">
      <w:r>
        <w:tab/>
        <w:t xml:space="preserve">While I don’t object to the decision to resolve this matter purely on procedural grounds, I would point out that the </w:t>
      </w:r>
      <w:r>
        <w:t>NAL</w:t>
      </w:r>
      <w:r>
        <w:t xml:space="preserve"> was substantively defective as well; AT&amp;T likely would have prevailed even if the claims against it weren’t time-barred.  According to the facts in the record, the two school districts in question chose to purchase services on a month-to-month basis directly from AT&amp;T, rather than through the statewide consortium’s multi-year contract.  Requiring AT&amp;T to charge those school districts the same rates charged to those buying services from the bulk consortium contract would be a misapplication of our “lowest corresponding price” rule, which prohibits service providers from charging E-Rate eligible entities a price above what they charge “similarly situated” non-residential customers for “similar services.”  </w:t>
      </w:r>
    </w:p>
    <w:p w:rsidR="00605505" w:rsidP="00605505" w14:paraId="7FA320AB" w14:textId="77777777"/>
    <w:p w:rsidR="00605505" w:rsidP="00605505" w14:paraId="19764635" w14:textId="3029402D">
      <w:pPr>
        <w:ind w:firstLine="720"/>
      </w:pPr>
      <w:r>
        <w:t>Flexible month-to-month service (which the two school districts indeed seemed to want, based on the record) is not “similar” to service provided through a fixed-length or multi-year contract.  Further, a single school district is not “similarly situated” to a consortium that negotiates to purchase high-volume capacity over a long term.  The two school districts could have chosen to purchase service through the consortium but, for whatever reason, chose instead to purchase service directly from AT&amp;T.  Finding that they can bypass the consortium (and its applicable fees for negotiating and administering the contract) and still be eligible for the consortium’s bulk negotiated rates would confer an unfair advantage.  Further, this would defeat the purpose of joining consortia in the first place, in turn undermining the Commission’s policy of encouraging consortia and bulk purchasing in the E-Rate program.</w:t>
      </w:r>
    </w:p>
    <w:p w:rsidR="00605505" w:rsidP="00605505" w14:paraId="398FD916" w14:textId="77777777">
      <w:pPr>
        <w:ind w:firstLine="720"/>
      </w:pPr>
    </w:p>
    <w:p w:rsidR="00605505" w:rsidP="00605505" w14:paraId="69701B92" w14:textId="77777777">
      <w:r>
        <w:tab/>
        <w:t xml:space="preserve">I fully support our decision to rescind this flawed </w:t>
      </w:r>
      <w:r>
        <w:t>NAL</w:t>
      </w:r>
      <w:r>
        <w:t xml:space="preserve"> and vote to approve.</w:t>
      </w:r>
    </w:p>
    <w:p w:rsidR="00605505" w:rsidRPr="004A42C9" w:rsidP="00605505" w14:paraId="0CDE9259" w14:textId="77777777">
      <w:r>
        <w:tab/>
      </w:r>
    </w:p>
    <w:p w:rsidR="005B0A1B" w:rsidP="00BA251E" w14:paraId="011F9547" w14:textId="33AE768C">
      <w:pPr>
        <w:tabs>
          <w:tab w:val="left" w:pos="0"/>
        </w:tabs>
        <w:suppressAutoHyphens/>
        <w:rPr>
          <w:szCs w:val="22"/>
        </w:rPr>
      </w:pPr>
    </w:p>
    <w:p w:rsidR="005B0A1B" w:rsidP="00BA251E" w14:paraId="4706A3B7" w14:textId="64C37410">
      <w:pPr>
        <w:tabs>
          <w:tab w:val="left" w:pos="0"/>
        </w:tabs>
        <w:suppressAutoHyphens/>
        <w:rPr>
          <w:szCs w:val="22"/>
        </w:rPr>
      </w:pPr>
    </w:p>
    <w:p w:rsidR="005B0A1B" w:rsidP="00BA251E" w14:paraId="39488465" w14:textId="2E0BF6D3">
      <w:pPr>
        <w:tabs>
          <w:tab w:val="left" w:pos="0"/>
        </w:tabs>
        <w:suppressAutoHyphens/>
        <w:rPr>
          <w:szCs w:val="22"/>
        </w:rPr>
      </w:pPr>
    </w:p>
    <w:p w:rsidR="005B0A1B" w:rsidP="00BA251E" w14:paraId="1C08D838" w14:textId="1A5B8E79">
      <w:pPr>
        <w:tabs>
          <w:tab w:val="left" w:pos="0"/>
        </w:tabs>
        <w:suppressAutoHyphens/>
        <w:rPr>
          <w:szCs w:val="22"/>
        </w:rPr>
      </w:pPr>
    </w:p>
    <w:p w:rsidR="005B0A1B" w:rsidP="00BA251E" w14:paraId="45757F4A" w14:textId="47A110B9">
      <w:pPr>
        <w:tabs>
          <w:tab w:val="left" w:pos="0"/>
        </w:tabs>
        <w:suppressAutoHyphens/>
        <w:rPr>
          <w:szCs w:val="22"/>
        </w:rPr>
      </w:pPr>
    </w:p>
    <w:p w:rsidR="005B0A1B" w:rsidP="00BA251E" w14:paraId="7D499E19" w14:textId="77777777">
      <w:pPr>
        <w:tabs>
          <w:tab w:val="left" w:pos="0"/>
        </w:tabs>
        <w:suppressAutoHyphens/>
        <w:rPr>
          <w:szCs w:val="22"/>
        </w:rPr>
        <w:sectPr w:rsidSect="0053658A">
          <w:footerReference w:type="first" r:id="rId9"/>
          <w:endnotePr>
            <w:numFmt w:val="decimal"/>
          </w:endnotePr>
          <w:pgSz w:w="12240" w:h="15840"/>
          <w:pgMar w:top="1440" w:right="1440" w:bottom="720" w:left="1440" w:header="720" w:footer="720" w:gutter="0"/>
          <w:pgNumType w:start="6"/>
          <w:cols w:space="720"/>
          <w:noEndnote/>
          <w:titlePg/>
        </w:sectPr>
      </w:pPr>
    </w:p>
    <w:p w:rsidR="005B0A1B" w:rsidRPr="005577AD" w:rsidP="003936AB" w14:paraId="0C4330FA" w14:textId="698746E5">
      <w:pPr>
        <w:jc w:val="center"/>
        <w:rPr>
          <w:b/>
          <w:bCs/>
          <w:caps/>
          <w:szCs w:val="22"/>
        </w:rPr>
      </w:pPr>
      <w:r w:rsidRPr="005577AD">
        <w:rPr>
          <w:b/>
          <w:bCs/>
          <w:caps/>
          <w:szCs w:val="22"/>
        </w:rPr>
        <w:t>Statement of</w:t>
      </w:r>
    </w:p>
    <w:p w:rsidR="00BC2BDA" w:rsidP="00BC2BDA" w14:paraId="75FC2D06" w14:textId="1204FCAF">
      <w:pPr>
        <w:jc w:val="center"/>
        <w:rPr>
          <w:b/>
          <w:bCs/>
          <w:snapToGrid/>
          <w:kern w:val="0"/>
          <w:szCs w:val="22"/>
        </w:rPr>
      </w:pPr>
      <w:r>
        <w:rPr>
          <w:b/>
          <w:bCs/>
          <w:snapToGrid/>
          <w:kern w:val="0"/>
          <w:szCs w:val="22"/>
        </w:rPr>
        <w:t xml:space="preserve">COMMISSIONER </w:t>
      </w:r>
      <w:r>
        <w:rPr>
          <w:b/>
          <w:bCs/>
          <w:snapToGrid/>
          <w:kern w:val="0"/>
          <w:szCs w:val="22"/>
        </w:rPr>
        <w:t xml:space="preserve">JESSICA </w:t>
      </w:r>
      <w:r>
        <w:rPr>
          <w:b/>
          <w:bCs/>
          <w:snapToGrid/>
          <w:kern w:val="0"/>
          <w:szCs w:val="22"/>
        </w:rPr>
        <w:t>ROSENWORCEL</w:t>
      </w:r>
      <w:r>
        <w:rPr>
          <w:b/>
          <w:bCs/>
          <w:snapToGrid/>
          <w:kern w:val="0"/>
          <w:szCs w:val="22"/>
        </w:rPr>
        <w:t xml:space="preserve"> </w:t>
      </w:r>
    </w:p>
    <w:p w:rsidR="003936AB" w:rsidP="00BC2BDA" w14:paraId="645E7826" w14:textId="17343AF3">
      <w:pPr>
        <w:jc w:val="center"/>
        <w:rPr>
          <w:b/>
          <w:bCs/>
          <w:snapToGrid/>
          <w:kern w:val="0"/>
          <w:szCs w:val="22"/>
        </w:rPr>
      </w:pPr>
      <w:r>
        <w:rPr>
          <w:b/>
          <w:bCs/>
          <w:snapToGrid/>
          <w:kern w:val="0"/>
          <w:szCs w:val="22"/>
        </w:rPr>
        <w:t>DISSENTING</w:t>
      </w:r>
    </w:p>
    <w:p w:rsidR="005B0A1B" w:rsidP="00BA251E" w14:paraId="090B770E" w14:textId="2EEBC145">
      <w:pPr>
        <w:tabs>
          <w:tab w:val="left" w:pos="0"/>
        </w:tabs>
        <w:suppressAutoHyphens/>
        <w:rPr>
          <w:szCs w:val="22"/>
        </w:rPr>
      </w:pPr>
    </w:p>
    <w:p w:rsidR="00163A83" w:rsidRPr="000923A5" w:rsidP="000923A5" w14:paraId="56B67CE9" w14:textId="3CCE0B1D">
      <w:pPr>
        <w:ind w:left="720" w:hanging="720"/>
        <w:rPr>
          <w:i/>
          <w:iCs/>
          <w:szCs w:val="22"/>
        </w:rPr>
      </w:pPr>
      <w:r w:rsidRPr="008E36CD">
        <w:rPr>
          <w:iCs/>
          <w:szCs w:val="22"/>
        </w:rPr>
        <w:t>Re:</w:t>
      </w:r>
      <w:r w:rsidRPr="008E36CD">
        <w:rPr>
          <w:szCs w:val="22"/>
        </w:rPr>
        <w:t xml:space="preserve"> </w:t>
      </w:r>
      <w:r w:rsidRPr="008E36CD">
        <w:rPr>
          <w:szCs w:val="22"/>
        </w:rPr>
        <w:tab/>
      </w:r>
      <w:r w:rsidRPr="00C953DD">
        <w:rPr>
          <w:i/>
          <w:iCs/>
          <w:szCs w:val="22"/>
        </w:rPr>
        <w:t>BellSouth Telecommunications, LLC,</w:t>
      </w:r>
      <w:r>
        <w:rPr>
          <w:i/>
          <w:iCs/>
          <w:szCs w:val="22"/>
        </w:rPr>
        <w:t xml:space="preserve"> </w:t>
      </w:r>
      <w:r w:rsidRPr="00C953DD">
        <w:rPr>
          <w:i/>
          <w:iCs/>
          <w:szCs w:val="22"/>
        </w:rPr>
        <w:t>d/b/a/ AT&amp;T Southeast</w:t>
      </w:r>
      <w:r w:rsidRPr="008E36CD">
        <w:rPr>
          <w:iCs/>
          <w:szCs w:val="22"/>
        </w:rPr>
        <w:t xml:space="preserve">, </w:t>
      </w:r>
      <w:r w:rsidRPr="008E36CD">
        <w:rPr>
          <w:color w:val="000000"/>
          <w:spacing w:val="-2"/>
          <w:szCs w:val="22"/>
        </w:rPr>
        <w:t xml:space="preserve">File No.:  </w:t>
      </w:r>
      <w:r w:rsidRPr="007A6478">
        <w:rPr>
          <w:spacing w:val="-2"/>
          <w:szCs w:val="22"/>
        </w:rPr>
        <w:t>EB-IHD-14-00017954</w:t>
      </w:r>
      <w:r w:rsidRPr="008E36CD">
        <w:rPr>
          <w:iCs/>
          <w:szCs w:val="22"/>
        </w:rPr>
        <w:t>.</w:t>
      </w:r>
    </w:p>
    <w:p w:rsidR="00163A83" w:rsidP="00BA251E" w14:paraId="654F67A6" w14:textId="3248401E">
      <w:pPr>
        <w:tabs>
          <w:tab w:val="left" w:pos="0"/>
        </w:tabs>
        <w:suppressAutoHyphens/>
        <w:rPr>
          <w:szCs w:val="22"/>
        </w:rPr>
      </w:pPr>
    </w:p>
    <w:p w:rsidR="000923A5" w:rsidP="000923A5" w14:paraId="023B86E1" w14:textId="77777777">
      <w:pPr>
        <w:ind w:firstLine="720"/>
        <w:rPr>
          <w:szCs w:val="22"/>
        </w:rPr>
      </w:pPr>
      <w:r>
        <w:rPr>
          <w:szCs w:val="22"/>
        </w:rPr>
        <w:t xml:space="preserve">This decision revisits an earlier Notice of Apparent Liability for Forfeiture regarding allegations that a provider did not live up to its duty to charge schools the “lowest corresponding price” for services under the E-Rate program.  I respect my colleagues’ decision today to conclude that this prior effort was procedurally untimely.  However, I supported the underlying </w:t>
      </w:r>
      <w:r>
        <w:rPr>
          <w:szCs w:val="22"/>
        </w:rPr>
        <w:t>NAL</w:t>
      </w:r>
      <w:r>
        <w:rPr>
          <w:szCs w:val="22"/>
        </w:rPr>
        <w:t xml:space="preserve"> and continue to believe that there are merits to our earlier approach.  </w:t>
      </w:r>
      <w:r>
        <w:rPr>
          <w:szCs w:val="22"/>
        </w:rPr>
        <w:t>In particular, I</w:t>
      </w:r>
      <w:r>
        <w:rPr>
          <w:szCs w:val="22"/>
        </w:rPr>
        <w:t xml:space="preserve"> believe our initial decision would support greater accountability with respect to universal service funds than the course the agency adopts today.  That is because our prior approach recognized that some violations of our rules should be treated as continuing until they are remedied.  In addition, our earlier approach sought to count infractions from the date of universal service disbursements.  This could be a more transparent point for action than the one we adopt here involving counting from when schools are billed by a provider.  The agency may not become aware of billing until well after an infraction has taken place and as a result the approach in today’s decision could make enforcement of our rules more difficult.  For this reason, I choose to dissent.  </w:t>
      </w:r>
    </w:p>
    <w:p w:rsidR="00163A83" w:rsidP="00BA251E" w14:paraId="651153D3" w14:textId="77777777">
      <w:pPr>
        <w:tabs>
          <w:tab w:val="left" w:pos="0"/>
        </w:tabs>
        <w:suppressAutoHyphens/>
        <w:rPr>
          <w:szCs w:val="22"/>
        </w:rPr>
        <w:sectPr w:rsidSect="002F33BA">
          <w:footerReference w:type="first" r:id="rId10"/>
          <w:endnotePr>
            <w:numFmt w:val="decimal"/>
          </w:endnotePr>
          <w:pgSz w:w="12240" w:h="15840"/>
          <w:pgMar w:top="1440" w:right="1440" w:bottom="720" w:left="1440" w:header="720" w:footer="720" w:gutter="0"/>
          <w:cols w:space="720"/>
          <w:noEndnote/>
          <w:titlePg/>
        </w:sectPr>
      </w:pPr>
    </w:p>
    <w:p w:rsidR="00163A83" w:rsidRPr="005577AD" w:rsidP="003936AB" w14:paraId="64C9B84A" w14:textId="53CF0365">
      <w:pPr>
        <w:jc w:val="center"/>
        <w:rPr>
          <w:b/>
          <w:bCs/>
          <w:caps/>
          <w:szCs w:val="22"/>
        </w:rPr>
      </w:pPr>
      <w:r w:rsidRPr="005577AD">
        <w:rPr>
          <w:b/>
          <w:bCs/>
          <w:caps/>
          <w:szCs w:val="22"/>
        </w:rPr>
        <w:t>Statement of</w:t>
      </w:r>
    </w:p>
    <w:p w:rsidR="00163A83" w:rsidP="00163A83" w14:paraId="29AFEBA4" w14:textId="47C21807">
      <w:pPr>
        <w:jc w:val="center"/>
        <w:rPr>
          <w:b/>
          <w:bCs/>
          <w:snapToGrid/>
          <w:kern w:val="0"/>
          <w:szCs w:val="22"/>
        </w:rPr>
      </w:pPr>
      <w:r>
        <w:rPr>
          <w:b/>
          <w:bCs/>
          <w:snapToGrid/>
          <w:kern w:val="0"/>
          <w:szCs w:val="22"/>
        </w:rPr>
        <w:t>COMMISSIONER GEOFFREY STARKS</w:t>
      </w:r>
    </w:p>
    <w:p w:rsidR="003936AB" w:rsidP="00163A83" w14:paraId="7C209251" w14:textId="089A1C19">
      <w:pPr>
        <w:jc w:val="center"/>
        <w:rPr>
          <w:b/>
          <w:bCs/>
          <w:snapToGrid/>
          <w:kern w:val="0"/>
          <w:szCs w:val="22"/>
        </w:rPr>
      </w:pPr>
      <w:r>
        <w:rPr>
          <w:b/>
          <w:bCs/>
          <w:caps/>
          <w:szCs w:val="22"/>
        </w:rPr>
        <w:t>Concurring</w:t>
      </w:r>
    </w:p>
    <w:p w:rsidR="00163A83" w:rsidP="00163A83" w14:paraId="733D7C2D" w14:textId="77777777">
      <w:pPr>
        <w:tabs>
          <w:tab w:val="left" w:pos="0"/>
        </w:tabs>
        <w:suppressAutoHyphens/>
        <w:rPr>
          <w:szCs w:val="22"/>
        </w:rPr>
      </w:pPr>
    </w:p>
    <w:p w:rsidR="00163A83" w:rsidRPr="008E36CD" w:rsidP="00163A83" w14:paraId="18D1ADB5" w14:textId="77777777">
      <w:pPr>
        <w:ind w:left="720" w:hanging="720"/>
        <w:rPr>
          <w:i/>
          <w:iCs/>
          <w:szCs w:val="22"/>
        </w:rPr>
      </w:pPr>
      <w:r w:rsidRPr="008E36CD">
        <w:rPr>
          <w:iCs/>
          <w:szCs w:val="22"/>
        </w:rPr>
        <w:t>Re:</w:t>
      </w:r>
      <w:r w:rsidRPr="008E36CD">
        <w:rPr>
          <w:szCs w:val="22"/>
        </w:rPr>
        <w:t xml:space="preserve"> </w:t>
      </w:r>
      <w:r w:rsidRPr="008E36CD">
        <w:rPr>
          <w:szCs w:val="22"/>
        </w:rPr>
        <w:tab/>
      </w:r>
      <w:r w:rsidRPr="00C953DD">
        <w:rPr>
          <w:i/>
          <w:iCs/>
          <w:szCs w:val="22"/>
        </w:rPr>
        <w:t>BellSouth Telecommunications, LLC,</w:t>
      </w:r>
      <w:r>
        <w:rPr>
          <w:i/>
          <w:iCs/>
          <w:szCs w:val="22"/>
        </w:rPr>
        <w:t xml:space="preserve"> </w:t>
      </w:r>
      <w:r w:rsidRPr="00C953DD">
        <w:rPr>
          <w:i/>
          <w:iCs/>
          <w:szCs w:val="22"/>
        </w:rPr>
        <w:t>d/b/a/ AT&amp;T Southeast</w:t>
      </w:r>
      <w:r w:rsidRPr="008E36CD">
        <w:rPr>
          <w:iCs/>
          <w:szCs w:val="22"/>
        </w:rPr>
        <w:t xml:space="preserve">, </w:t>
      </w:r>
      <w:r w:rsidRPr="008E36CD">
        <w:rPr>
          <w:color w:val="000000"/>
          <w:spacing w:val="-2"/>
          <w:szCs w:val="22"/>
        </w:rPr>
        <w:t xml:space="preserve">File No.:  </w:t>
      </w:r>
      <w:r w:rsidRPr="007A6478">
        <w:rPr>
          <w:spacing w:val="-2"/>
          <w:szCs w:val="22"/>
        </w:rPr>
        <w:t>EB-IHD-14-00017954</w:t>
      </w:r>
      <w:r w:rsidRPr="008E36CD">
        <w:rPr>
          <w:iCs/>
          <w:szCs w:val="22"/>
        </w:rPr>
        <w:t>.</w:t>
      </w:r>
    </w:p>
    <w:p w:rsidR="000C674E" w:rsidP="000C674E" w14:paraId="723809BC" w14:textId="77777777">
      <w:pPr>
        <w:ind w:firstLine="720"/>
      </w:pPr>
    </w:p>
    <w:p w:rsidR="000C674E" w:rsidP="000C674E" w14:paraId="527DE804" w14:textId="3295F343">
      <w:pPr>
        <w:ind w:firstLine="720"/>
      </w:pPr>
      <w:r>
        <w:t>In the coming months, schools and libraries will have to do more with less—a daunting proposition given the challenges of teaching and learning during the pandemic.  School districts across the country face budget shortfalls and layoffs</w:t>
      </w:r>
      <w:r>
        <w:t>.</w:t>
      </w:r>
      <w:r>
        <w:rPr>
          <w:rStyle w:val="FootnoteReference"/>
        </w:rPr>
        <w:footnoteReference w:id="30"/>
      </w:r>
      <w:r>
        <w:t xml:space="preserve">  The American Federation of Teachers estimates that schools face roughly $116.5 billion in costs associated with safe reopening, not including the costs associated with retrofitting buildings that need changes like upgrades to ventilation systems or reconfiguration of classrooms.  Limited funding will have to stretch further than ever.  There is so much more the Commission should be doing to help schools and libraries help Americans during this crisis, but the very least we can do is ensure E-Rate beneficiaries get the benefit of the “lowest corresponding price” rule.  As with countless other problems, COVID-19 has made this issue </w:t>
      </w:r>
      <w:r>
        <w:t>all the more</w:t>
      </w:r>
      <w:r>
        <w:t xml:space="preserve"> urgent.  </w:t>
      </w:r>
    </w:p>
    <w:p w:rsidR="000C674E" w:rsidRPr="00313E3D" w:rsidP="000C674E" w14:paraId="433AB42D" w14:textId="77777777">
      <w:pPr>
        <w:ind w:firstLine="720"/>
      </w:pPr>
    </w:p>
    <w:p w:rsidR="000C674E" w:rsidP="000C674E" w14:paraId="3E1EEA34" w14:textId="77777777">
      <w:pPr>
        <w:ind w:firstLine="720"/>
      </w:pPr>
      <w:r>
        <w:t xml:space="preserve">I do not disagree with today’s outcome, but I want to emphasize how much more needs to be done to give the lowest corresponding price rule the teeth it needs.  The rule requires E-Rate service providers to offer participating schools and libraries rates at or below what they charge similarly situated customers for the same services—protecting schools, libraries, and the Universal Service Fund from inflated prices.  </w:t>
      </w:r>
    </w:p>
    <w:p w:rsidR="000C674E" w:rsidP="000C674E" w14:paraId="430BAE26" w14:textId="77777777">
      <w:pPr>
        <w:ind w:firstLine="720"/>
      </w:pPr>
    </w:p>
    <w:p w:rsidR="000C674E" w:rsidP="000C674E" w14:paraId="3224B8CE" w14:textId="77777777">
      <w:pPr>
        <w:ind w:firstLine="720"/>
      </w:pPr>
      <w:r>
        <w:t xml:space="preserve">I recognize that the statute of limitations is, as the name indicates, set by statute and not a matter of our discretion.  But after four years of letting the underlying </w:t>
      </w:r>
      <w:r w:rsidRPr="00534E46">
        <w:t xml:space="preserve">Notice of Apparent Liability </w:t>
      </w:r>
      <w:r>
        <w:t xml:space="preserve">linger, I would have expected the Commission to be in a position to say </w:t>
      </w:r>
      <w:r>
        <w:rPr>
          <w:i/>
          <w:iCs/>
        </w:rPr>
        <w:t xml:space="preserve">something </w:t>
      </w:r>
      <w:r>
        <w:t xml:space="preserve">about the merits of this case to give all parties a modicum of guidance and allow school districts to set firm pricing expectations. </w:t>
      </w:r>
    </w:p>
    <w:p w:rsidR="000C674E" w:rsidP="000C674E" w14:paraId="45D277E0" w14:textId="77777777"/>
    <w:p w:rsidR="000C674E" w:rsidP="000C674E" w14:paraId="364D9954" w14:textId="77777777">
      <w:pPr>
        <w:ind w:firstLine="720"/>
      </w:pPr>
      <w:r>
        <w:t xml:space="preserve">Going forward, we may need to adjust our rules or enforcement practices to ensure we </w:t>
      </w:r>
      <w:r>
        <w:t>actually punish</w:t>
      </w:r>
      <w:r>
        <w:t xml:space="preserve"> and deter violations of the lowest corresponding price rule.  Detecting these violations is challenging, and the Universal Service Administrative Company is our first line of defense.  Due to the timing of various steps in the E-Rate funding cycle, however, </w:t>
      </w:r>
      <w:r>
        <w:t>USAC</w:t>
      </w:r>
      <w:r>
        <w:t xml:space="preserve"> may not learn about the price a service provider has charged an E-Rate beneficiary until weeks or months later.  The Commission should consider how we can best promote timely detection of violations to avoid future problems with the statute of limitations.  If we don’t, schools and libraries will not get the full benefit of the lowest corresponding price rule.  </w:t>
      </w:r>
    </w:p>
    <w:p w:rsidR="00163A83" w:rsidRPr="00BA251E" w:rsidP="00BA251E" w14:paraId="18D09F8F" w14:textId="0E2964EB">
      <w:pPr>
        <w:tabs>
          <w:tab w:val="left" w:pos="0"/>
        </w:tabs>
        <w:suppressAutoHyphens/>
        <w:rPr>
          <w:szCs w:val="22"/>
        </w:rPr>
      </w:pPr>
    </w:p>
    <w:sectPr w:rsidSect="002F33BA">
      <w:footerReference w:type="first" r:id="rId11"/>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0A795F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831E35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33BA" w14:paraId="50F81BEA" w14:textId="6BB90F9E">
    <w:pPr>
      <w:pStyle w:val="Footer"/>
      <w:jc w:val="center"/>
    </w:pPr>
  </w:p>
  <w:p w:rsidR="00D25FB5" w14:paraId="13FC42FD" w14:textId="77777777">
    <w:pPr>
      <w:pStyle w:val="Footer"/>
      <w:tabs>
        <w:tab w:val="clear"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658A" w14:paraId="11188E82" w14:textId="6E489B96">
    <w:pPr>
      <w:pStyle w:val="Footer"/>
      <w:jc w:val="center"/>
    </w:pPr>
    <w:r>
      <w:t>5</w:t>
    </w:r>
  </w:p>
  <w:p w:rsidR="0053658A" w14:paraId="761FD376"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658A" w14:paraId="6F22EFF4" w14:textId="5E02C935">
    <w:pPr>
      <w:pStyle w:val="Footer"/>
      <w:jc w:val="center"/>
    </w:pPr>
    <w:r>
      <w:t>6</w:t>
    </w:r>
  </w:p>
  <w:p w:rsidR="0053658A" w14:paraId="2A5C4726" w14:textId="77777777">
    <w:pPr>
      <w:pStyle w:val="Footer"/>
      <w:tabs>
        <w:tab w:val="clear"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627A" w14:paraId="40E441AF" w14:textId="55261A39">
    <w:pPr>
      <w:pStyle w:val="Footer"/>
      <w:jc w:val="center"/>
    </w:pPr>
    <w:r>
      <w:t>7</w:t>
    </w:r>
  </w:p>
  <w:p w:rsidR="0076627A" w14:paraId="0FB8A82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42186" w14:paraId="4E95BDF3" w14:textId="77777777">
      <w:r>
        <w:separator/>
      </w:r>
    </w:p>
  </w:footnote>
  <w:footnote w:type="continuationSeparator" w:id="1">
    <w:p w:rsidR="00A42186" w:rsidP="00C721AC" w14:paraId="114B9100" w14:textId="77777777">
      <w:pPr>
        <w:spacing w:before="120"/>
        <w:rPr>
          <w:sz w:val="20"/>
        </w:rPr>
      </w:pPr>
      <w:r>
        <w:rPr>
          <w:sz w:val="20"/>
        </w:rPr>
        <w:t xml:space="preserve">(Continued from previous page)  </w:t>
      </w:r>
      <w:r>
        <w:rPr>
          <w:sz w:val="20"/>
        </w:rPr>
        <w:separator/>
      </w:r>
    </w:p>
  </w:footnote>
  <w:footnote w:type="continuationNotice" w:id="2">
    <w:p w:rsidR="00A42186" w:rsidP="00C721AC" w14:paraId="6202D3B6" w14:textId="77777777">
      <w:pPr>
        <w:jc w:val="right"/>
        <w:rPr>
          <w:sz w:val="20"/>
        </w:rPr>
      </w:pPr>
    </w:p>
  </w:footnote>
  <w:footnote w:id="3">
    <w:p w:rsidR="003C6720" w14:paraId="757C7CB9" w14:textId="1C2890F7">
      <w:pPr>
        <w:pStyle w:val="FootnoteText"/>
      </w:pPr>
      <w:r>
        <w:rPr>
          <w:rStyle w:val="FootnoteReference"/>
        </w:rPr>
        <w:footnoteRef/>
      </w:r>
      <w:r>
        <w:t xml:space="preserve"> </w:t>
      </w:r>
      <w:r w:rsidRPr="003C6720">
        <w:rPr>
          <w:i/>
        </w:rPr>
        <w:t>BellSouth Telecommunications, LLC, d/b/a AT&amp;T Southeast</w:t>
      </w:r>
      <w:r w:rsidRPr="003C6720">
        <w:t xml:space="preserve">, Notice of Apparent Liability for Forfeiture, 31 FCC </w:t>
      </w:r>
      <w:r w:rsidRPr="003C6720">
        <w:t>Rcd</w:t>
      </w:r>
      <w:r w:rsidRPr="003C6720">
        <w:t xml:space="preserve"> 8501 (2016) (</w:t>
      </w:r>
      <w:r w:rsidRPr="003C6720">
        <w:rPr>
          <w:i/>
        </w:rPr>
        <w:t>NAL</w:t>
      </w:r>
      <w:r w:rsidRPr="003C6720">
        <w:t>)</w:t>
      </w:r>
      <w:r>
        <w:t>.</w:t>
      </w:r>
    </w:p>
  </w:footnote>
  <w:footnote w:id="4">
    <w:p w:rsidR="007C2FB8" w:rsidRPr="00DA221C" w:rsidP="00430E4B" w14:paraId="711EAE11" w14:textId="6CDC3373">
      <w:pPr>
        <w:pStyle w:val="FootnoteText"/>
      </w:pPr>
      <w:r w:rsidRPr="00DA221C">
        <w:rPr>
          <w:rStyle w:val="FootnoteReference"/>
        </w:rPr>
        <w:footnoteRef/>
      </w:r>
      <w:r w:rsidRPr="00DA221C">
        <w:t xml:space="preserve"> </w:t>
      </w:r>
      <w:r w:rsidRPr="00DA221C" w:rsidR="00697BF0">
        <w:t>47 U.S.C. § 254(h)(1)(B)</w:t>
      </w:r>
      <w:r w:rsidR="00697BF0">
        <w:t xml:space="preserve">; </w:t>
      </w:r>
      <w:r w:rsidRPr="00DA221C">
        <w:t>47 CFR § 54.511(b).</w:t>
      </w:r>
    </w:p>
  </w:footnote>
  <w:footnote w:id="5">
    <w:p w:rsidR="007C2FB8" w:rsidRPr="007D4C53" w:rsidP="00430E4B" w14:paraId="03F40495" w14:textId="58D76524">
      <w:pPr>
        <w:pStyle w:val="FootnoteText"/>
      </w:pPr>
      <w:r w:rsidRPr="00DA221C">
        <w:rPr>
          <w:rStyle w:val="FootnoteReference"/>
        </w:rPr>
        <w:footnoteRef/>
      </w:r>
      <w:r w:rsidRPr="00DA221C">
        <w:t xml:space="preserve"> </w:t>
      </w:r>
      <w:r w:rsidRPr="00DA221C" w:rsidR="00697BF0">
        <w:t xml:space="preserve">47 U.S.C. </w:t>
      </w:r>
      <w:r w:rsidR="00697BF0">
        <w:t xml:space="preserve">§ </w:t>
      </w:r>
      <w:r w:rsidRPr="003B5E2A" w:rsidR="00697BF0">
        <w:t>503(b)(6)(B)</w:t>
      </w:r>
      <w:r w:rsidR="007D4C53">
        <w:t xml:space="preserve">; </w:t>
      </w:r>
      <w:r w:rsidR="007D4C53">
        <w:rPr>
          <w:i/>
        </w:rPr>
        <w:t xml:space="preserve">see also </w:t>
      </w:r>
      <w:r w:rsidR="007D4C53">
        <w:t>47 CFR § 1.80(c)(4).</w:t>
      </w:r>
    </w:p>
  </w:footnote>
  <w:footnote w:id="6">
    <w:p w:rsidR="007C2FB8" w:rsidRPr="00DA221C" w:rsidP="00430E4B" w14:paraId="43607024" w14:textId="04E61DB3">
      <w:pPr>
        <w:pStyle w:val="FootnoteText"/>
      </w:pPr>
      <w:r w:rsidRPr="00DA221C">
        <w:rPr>
          <w:rStyle w:val="FootnoteReference"/>
        </w:rPr>
        <w:footnoteRef/>
      </w:r>
      <w:r>
        <w:t xml:space="preserve"> </w:t>
      </w:r>
      <w:r w:rsidR="00EB2CD1">
        <w:rPr>
          <w:i/>
        </w:rPr>
        <w:t xml:space="preserve">See </w:t>
      </w:r>
      <w:r>
        <w:t>47 CF</w:t>
      </w:r>
      <w:r w:rsidRPr="00DA221C">
        <w:t>R §1.80(f)(4).</w:t>
      </w:r>
    </w:p>
  </w:footnote>
  <w:footnote w:id="7">
    <w:p w:rsidR="007C2FB8" w:rsidRPr="005402C0" w:rsidP="00BD535E" w14:paraId="65BAEEC4" w14:textId="20673316">
      <w:pPr>
        <w:pStyle w:val="FootnoteText"/>
      </w:pPr>
      <w:r w:rsidRPr="00DA221C">
        <w:rPr>
          <w:rStyle w:val="FootnoteReference"/>
        </w:rPr>
        <w:footnoteRef/>
      </w:r>
      <w:r w:rsidRPr="00DA221C">
        <w:t xml:space="preserve"> </w:t>
      </w:r>
      <w:r w:rsidRPr="00DA221C">
        <w:rPr>
          <w:i/>
          <w:iCs/>
        </w:rPr>
        <w:t xml:space="preserve">See </w:t>
      </w:r>
      <w:r w:rsidRPr="00DA221C">
        <w:t>47 CFR §</w:t>
      </w:r>
      <w:r w:rsidR="00374A61">
        <w:t xml:space="preserve"> </w:t>
      </w:r>
      <w:r w:rsidRPr="00DA221C">
        <w:t>54.502 (identifying</w:t>
      </w:r>
      <w:r w:rsidR="00374A61">
        <w:t xml:space="preserve"> categories of</w:t>
      </w:r>
      <w:r w:rsidRPr="00DA221C">
        <w:t xml:space="preserve"> E-</w:t>
      </w:r>
      <w:r w:rsidR="00AB651F">
        <w:t>R</w:t>
      </w:r>
      <w:r w:rsidRPr="00DA221C">
        <w:t xml:space="preserve">ate eligible services, including Telecommunications, Telecommunications Services, </w:t>
      </w:r>
      <w:r w:rsidR="00374A61">
        <w:t xml:space="preserve">and </w:t>
      </w:r>
      <w:r w:rsidRPr="00DA221C">
        <w:t>Internet access,</w:t>
      </w:r>
      <w:r w:rsidR="00374A61">
        <w:t xml:space="preserve"> as defined in 47 CFR</w:t>
      </w:r>
      <w:r w:rsidR="00DC149C">
        <w:t xml:space="preserve"> </w:t>
      </w:r>
      <w:r w:rsidRPr="001D349B" w:rsidR="00DC149C">
        <w:t>§</w:t>
      </w:r>
      <w:r w:rsidR="00374A61">
        <w:t xml:space="preserve"> 54.5, and </w:t>
      </w:r>
      <w:r w:rsidRPr="005F3D71">
        <w:t>internal connections, basic maintenance</w:t>
      </w:r>
      <w:r w:rsidRPr="001C3969" w:rsidR="00251CCA">
        <w:t>,</w:t>
      </w:r>
      <w:r w:rsidRPr="005F3D71">
        <w:t xml:space="preserve"> and managed internal broadband services</w:t>
      </w:r>
      <w:r w:rsidRPr="001C3969" w:rsidR="00374A61">
        <w:t>, as defined in 47 CFR</w:t>
      </w:r>
      <w:r w:rsidR="00DC149C">
        <w:t xml:space="preserve"> </w:t>
      </w:r>
      <w:r w:rsidRPr="001D349B" w:rsidR="00DC149C">
        <w:t>§</w:t>
      </w:r>
      <w:r w:rsidRPr="001C3969" w:rsidR="00374A61">
        <w:t xml:space="preserve"> 54.500</w:t>
      </w:r>
      <w:r w:rsidRPr="005F3D71">
        <w:t>).</w:t>
      </w:r>
    </w:p>
  </w:footnote>
  <w:footnote w:id="8">
    <w:p w:rsidR="007C2FB8" w:rsidRPr="001A4272" w:rsidP="00BD535E" w14:paraId="4F66BF4D" w14:textId="77777777">
      <w:pPr>
        <w:pStyle w:val="FootnoteText"/>
      </w:pPr>
      <w:r w:rsidRPr="001A4272">
        <w:rPr>
          <w:rStyle w:val="FootnoteReference"/>
        </w:rPr>
        <w:footnoteRef/>
      </w:r>
      <w:r w:rsidRPr="001A4272">
        <w:t xml:space="preserve"> 47 U.S.C. § 254(h)(1)(B).</w:t>
      </w:r>
    </w:p>
  </w:footnote>
  <w:footnote w:id="9">
    <w:p w:rsidR="00F658BD" w:rsidRPr="00BD535E" w:rsidP="00444082" w14:paraId="4693DDC9" w14:textId="7FF51265">
      <w:pPr>
        <w:pStyle w:val="FootnoteText"/>
        <w:rPr>
          <w:color w:val="000000"/>
        </w:rPr>
      </w:pPr>
      <w:r w:rsidRPr="001A4272">
        <w:rPr>
          <w:rStyle w:val="FootnoteReference"/>
        </w:rPr>
        <w:footnoteRef/>
      </w:r>
      <w:r w:rsidRPr="001A4272">
        <w:t xml:space="preserve"> </w:t>
      </w:r>
      <w:r w:rsidRPr="001A4272">
        <w:rPr>
          <w:color w:val="000000"/>
        </w:rPr>
        <w:t>47 CFR § 54.511(b)</w:t>
      </w:r>
      <w:r w:rsidR="0029048C">
        <w:rPr>
          <w:color w:val="000000"/>
        </w:rPr>
        <w:t>.</w:t>
      </w:r>
    </w:p>
  </w:footnote>
  <w:footnote w:id="10">
    <w:p w:rsidR="00F658BD" w:rsidRPr="00BD535E" w:rsidP="00444082" w14:paraId="31B03AD1" w14:textId="77777777">
      <w:pPr>
        <w:pStyle w:val="FootnoteText"/>
        <w:rPr>
          <w:color w:val="212121"/>
          <w:shd w:val="clear" w:color="auto" w:fill="FFFFFF"/>
        </w:rPr>
      </w:pPr>
      <w:r w:rsidRPr="001A4272">
        <w:rPr>
          <w:rStyle w:val="FootnoteReference"/>
        </w:rPr>
        <w:footnoteRef/>
      </w:r>
      <w:r w:rsidRPr="001A4272">
        <w:t xml:space="preserve"> 47 CFR § 54.500.</w:t>
      </w:r>
      <w:r w:rsidRPr="001A4272">
        <w:rPr>
          <w:color w:val="212121"/>
          <w:shd w:val="clear" w:color="auto" w:fill="FFFFFF"/>
        </w:rPr>
        <w:t xml:space="preserve"> </w:t>
      </w:r>
    </w:p>
  </w:footnote>
  <w:footnote w:id="11">
    <w:p w:rsidR="00B12C5E" w14:paraId="74BC630F" w14:textId="037A9EB8">
      <w:pPr>
        <w:pStyle w:val="FootnoteText"/>
      </w:pPr>
      <w:r>
        <w:rPr>
          <w:rStyle w:val="FootnoteReference"/>
        </w:rPr>
        <w:footnoteRef/>
      </w:r>
      <w:r>
        <w:t xml:space="preserve"> </w:t>
      </w:r>
      <w:r>
        <w:rPr>
          <w:i/>
        </w:rPr>
        <w:t xml:space="preserve">Id. </w:t>
      </w:r>
      <w:r w:rsidRPr="00DA221C">
        <w:t xml:space="preserve">at </w:t>
      </w:r>
      <w:r>
        <w:t>9031-9032,</w:t>
      </w:r>
      <w:r w:rsidRPr="00DA221C">
        <w:t xml:space="preserve"> para</w:t>
      </w:r>
      <w:r>
        <w:t>s</w:t>
      </w:r>
      <w:r w:rsidRPr="00DA221C">
        <w:t xml:space="preserve">. </w:t>
      </w:r>
      <w:r>
        <w:t>484-485</w:t>
      </w:r>
      <w:r w:rsidR="0002159E">
        <w:t>.</w:t>
      </w:r>
      <w:r>
        <w:t xml:space="preserve">; </w:t>
      </w:r>
      <w:r>
        <w:rPr>
          <w:i/>
        </w:rPr>
        <w:t xml:space="preserve">see </w:t>
      </w:r>
      <w:r w:rsidRPr="00DA221C">
        <w:rPr>
          <w:i/>
        </w:rPr>
        <w:t>Fed.-State Joint Bd. on Universal Serv.</w:t>
      </w:r>
      <w:r w:rsidRPr="00DA221C">
        <w:t xml:space="preserve">, </w:t>
      </w:r>
      <w:r>
        <w:t xml:space="preserve">CC Docket No. 96-45, </w:t>
      </w:r>
      <w:r w:rsidRPr="00DA221C">
        <w:t>Fourth Order on Rec</w:t>
      </w:r>
      <w:r w:rsidRPr="003B5E2A">
        <w:t xml:space="preserve">onsideration, 13 FCC </w:t>
      </w:r>
      <w:r w:rsidRPr="003B5E2A">
        <w:t>Rcd</w:t>
      </w:r>
      <w:r w:rsidRPr="003B5E2A">
        <w:t xml:space="preserve"> 5318, 5398, para</w:t>
      </w:r>
      <w:r>
        <w:t>.</w:t>
      </w:r>
      <w:r w:rsidRPr="003B5E2A">
        <w:t xml:space="preserve"> 133 (1997)</w:t>
      </w:r>
      <w:r w:rsidR="003C3817">
        <w:t>.</w:t>
      </w:r>
    </w:p>
  </w:footnote>
  <w:footnote w:id="12">
    <w:p w:rsidR="007C2FB8" w:rsidRPr="001A4272" w:rsidP="001D349B" w14:paraId="6460F1D6" w14:textId="77777777">
      <w:pPr>
        <w:pStyle w:val="FootnoteText"/>
      </w:pPr>
      <w:r w:rsidRPr="001A4272">
        <w:rPr>
          <w:rStyle w:val="FootnoteReference"/>
        </w:rPr>
        <w:footnoteRef/>
      </w:r>
      <w:r w:rsidRPr="001A4272">
        <w:t xml:space="preserve"> 47 U.S.C. § 503(b).</w:t>
      </w:r>
    </w:p>
  </w:footnote>
  <w:footnote w:id="13">
    <w:p w:rsidR="001D349B" w:rsidRPr="001D349B" w:rsidP="00444082" w14:paraId="762A82C5" w14:textId="45E048F5">
      <w:pPr>
        <w:pStyle w:val="FootnoteText"/>
        <w:rPr>
          <w:color w:val="000000"/>
        </w:rPr>
      </w:pPr>
      <w:r w:rsidRPr="001A4272">
        <w:rPr>
          <w:rStyle w:val="FootnoteReference"/>
        </w:rPr>
        <w:footnoteRef/>
      </w:r>
      <w:r w:rsidRPr="001A4272">
        <w:t xml:space="preserve"> </w:t>
      </w:r>
      <w:r w:rsidRPr="001A4272">
        <w:rPr>
          <w:color w:val="000000"/>
        </w:rPr>
        <w:t>47 U.S.C. </w:t>
      </w:r>
      <w:r w:rsidRPr="001615D9" w:rsidR="00AB651F">
        <w:t>§</w:t>
      </w:r>
      <w:r w:rsidRPr="001A4272">
        <w:rPr>
          <w:color w:val="000000"/>
        </w:rPr>
        <w:t> </w:t>
      </w:r>
      <w:r w:rsidRPr="00444082">
        <w:t>503</w:t>
      </w:r>
      <w:r w:rsidRPr="001A4272">
        <w:rPr>
          <w:color w:val="000000"/>
        </w:rPr>
        <w:t>(b)(6)(</w:t>
      </w:r>
      <w:r w:rsidR="0028260B">
        <w:rPr>
          <w:color w:val="000000"/>
        </w:rPr>
        <w:t>B</w:t>
      </w:r>
      <w:r w:rsidRPr="001A4272">
        <w:rPr>
          <w:color w:val="000000"/>
        </w:rPr>
        <w:t>).</w:t>
      </w:r>
    </w:p>
  </w:footnote>
  <w:footnote w:id="14">
    <w:p w:rsidR="007C2FB8" w:rsidRPr="001D349B" w:rsidP="001D349B" w14:paraId="57E7AC36" w14:textId="613FFFF4">
      <w:pPr>
        <w:pStyle w:val="FootnoteText"/>
      </w:pPr>
      <w:r w:rsidRPr="001D349B">
        <w:rPr>
          <w:rStyle w:val="FootnoteReference"/>
        </w:rPr>
        <w:footnoteRef/>
      </w:r>
      <w:r w:rsidRPr="001D349B">
        <w:t xml:space="preserve"> 47 CFR § 54.511(</w:t>
      </w:r>
      <w:r w:rsidRPr="001615D9">
        <w:rPr>
          <w:szCs w:val="22"/>
        </w:rPr>
        <w:t>b);</w:t>
      </w:r>
      <w:r w:rsidRPr="001D349B">
        <w:rPr>
          <w:color w:val="134893"/>
          <w:szCs w:val="22"/>
        </w:rPr>
        <w:t xml:space="preserve"> </w:t>
      </w:r>
      <w:r w:rsidRPr="001D349B">
        <w:rPr>
          <w:i/>
          <w:iCs/>
          <w:color w:val="000000"/>
        </w:rPr>
        <w:t>NAL</w:t>
      </w:r>
      <w:r w:rsidRPr="001615D9">
        <w:rPr>
          <w:iCs/>
          <w:color w:val="000000"/>
        </w:rPr>
        <w:t>,</w:t>
      </w:r>
      <w:r w:rsidRPr="001D349B">
        <w:rPr>
          <w:i/>
          <w:iCs/>
          <w:color w:val="000000"/>
        </w:rPr>
        <w:t> </w:t>
      </w:r>
      <w:r w:rsidRPr="001D349B">
        <w:rPr>
          <w:color w:val="000000"/>
        </w:rPr>
        <w:t xml:space="preserve">31 FCC </w:t>
      </w:r>
      <w:r w:rsidRPr="001D349B">
        <w:rPr>
          <w:color w:val="000000"/>
        </w:rPr>
        <w:t>Rcd</w:t>
      </w:r>
      <w:r w:rsidRPr="001D349B">
        <w:rPr>
          <w:color w:val="000000"/>
        </w:rPr>
        <w:t xml:space="preserve"> at 8501</w:t>
      </w:r>
      <w:r w:rsidR="004E665E">
        <w:rPr>
          <w:color w:val="000000"/>
        </w:rPr>
        <w:t>, para. 1</w:t>
      </w:r>
      <w:r w:rsidRPr="001D349B">
        <w:rPr>
          <w:color w:val="000000"/>
        </w:rPr>
        <w:t>.</w:t>
      </w:r>
      <w:r w:rsidRPr="001D349B">
        <w:rPr>
          <w:color w:val="134893"/>
          <w:szCs w:val="22"/>
        </w:rPr>
        <w:t xml:space="preserve"> </w:t>
      </w:r>
      <w:r w:rsidR="00563945">
        <w:rPr>
          <w:color w:val="134893"/>
          <w:szCs w:val="22"/>
        </w:rPr>
        <w:t xml:space="preserve"> </w:t>
      </w:r>
      <w:r w:rsidR="00563945">
        <w:t xml:space="preserve">We collectively refer to the statutory provision, section 254(h)(1)(B), and the corresponding Commission </w:t>
      </w:r>
      <w:r w:rsidR="00DC149C">
        <w:t>r</w:t>
      </w:r>
      <w:r w:rsidR="00563945">
        <w:t>ule, section 54.511(b), as the LCP Requirement.</w:t>
      </w:r>
    </w:p>
  </w:footnote>
  <w:footnote w:id="15">
    <w:p w:rsidR="007C2FB8" w:rsidRPr="001D349B" w:rsidP="001D349B" w14:paraId="6DC67C24" w14:textId="659109F1">
      <w:pPr>
        <w:pStyle w:val="FootnoteText"/>
      </w:pPr>
      <w:r w:rsidRPr="001D349B">
        <w:rPr>
          <w:rStyle w:val="FootnoteReference"/>
        </w:rPr>
        <w:footnoteRef/>
      </w:r>
      <w:r w:rsidRPr="001D349B">
        <w:t xml:space="preserve"> </w:t>
      </w:r>
      <w:r w:rsidR="005760FF">
        <w:rPr>
          <w:i/>
        </w:rPr>
        <w:t>Id</w:t>
      </w:r>
      <w:r w:rsidR="005760FF">
        <w:t>.</w:t>
      </w:r>
      <w:r w:rsidRPr="001D349B">
        <w:t xml:space="preserve"> at 8524, para. 67.</w:t>
      </w:r>
    </w:p>
  </w:footnote>
  <w:footnote w:id="16">
    <w:p w:rsidR="007C2FB8" w:rsidRPr="001A4272" w:rsidP="001D349B" w14:paraId="729559D3" w14:textId="77777777">
      <w:pPr>
        <w:pStyle w:val="FootnoteText"/>
      </w:pPr>
      <w:r w:rsidRPr="001D349B">
        <w:rPr>
          <w:rStyle w:val="FootnoteReference"/>
        </w:rPr>
        <w:footnoteRef/>
      </w:r>
      <w:r w:rsidRPr="001D349B">
        <w:t xml:space="preserve"> </w:t>
      </w:r>
      <w:r w:rsidRPr="001D349B">
        <w:rPr>
          <w:i/>
        </w:rPr>
        <w:t>Id</w:t>
      </w:r>
      <w:r w:rsidRPr="001D349B">
        <w:t>.</w:t>
      </w:r>
    </w:p>
  </w:footnote>
  <w:footnote w:id="17">
    <w:p w:rsidR="007C2FB8" w:rsidRPr="001A4272" w:rsidP="001D349B" w14:paraId="66A3F174" w14:textId="1F3987D2">
      <w:pPr>
        <w:pStyle w:val="FootnoteText"/>
      </w:pPr>
      <w:r w:rsidRPr="001A4272">
        <w:rPr>
          <w:rStyle w:val="FootnoteReference"/>
        </w:rPr>
        <w:footnoteRef/>
      </w:r>
      <w:r w:rsidRPr="001A4272">
        <w:t xml:space="preserve"> </w:t>
      </w:r>
      <w:r w:rsidRPr="001D349B" w:rsidR="005760FF">
        <w:rPr>
          <w:i/>
        </w:rPr>
        <w:t>Id</w:t>
      </w:r>
      <w:r w:rsidRPr="001D349B" w:rsidR="005760FF">
        <w:t>.</w:t>
      </w:r>
      <w:r w:rsidR="005760FF">
        <w:t xml:space="preserve"> </w:t>
      </w:r>
      <w:r w:rsidRPr="001A4272">
        <w:t>at 8524-25, paras. 67-71.</w:t>
      </w:r>
    </w:p>
  </w:footnote>
  <w:footnote w:id="18">
    <w:p w:rsidR="001D349B" w:rsidRPr="001A4272" w:rsidP="00444082" w14:paraId="3A72EE72" w14:textId="404D641A">
      <w:pPr>
        <w:pStyle w:val="FootnoteText"/>
      </w:pPr>
      <w:r w:rsidRPr="001A4272">
        <w:rPr>
          <w:rStyle w:val="FootnoteReference"/>
        </w:rPr>
        <w:footnoteRef/>
      </w:r>
      <w:r w:rsidRPr="001A4272">
        <w:t xml:space="preserve"> </w:t>
      </w:r>
      <w:r w:rsidRPr="001D349B" w:rsidR="005760FF">
        <w:rPr>
          <w:i/>
        </w:rPr>
        <w:t>Id</w:t>
      </w:r>
      <w:r w:rsidRPr="001D349B" w:rsidR="005760FF">
        <w:t>.</w:t>
      </w:r>
      <w:r w:rsidR="005760FF">
        <w:t xml:space="preserve"> </w:t>
      </w:r>
      <w:r w:rsidRPr="001A4272">
        <w:rPr>
          <w:color w:val="000000"/>
        </w:rPr>
        <w:t>at 8501, para. 1, 8524-25, paras. 67-71</w:t>
      </w:r>
      <w:r>
        <w:t>.</w:t>
      </w:r>
    </w:p>
  </w:footnote>
  <w:footnote w:id="19">
    <w:p w:rsidR="007C2FB8" w:rsidRPr="003B5E2A" w:rsidP="001D349B" w14:paraId="66325631" w14:textId="77777777">
      <w:pPr>
        <w:pStyle w:val="FootnoteText"/>
      </w:pPr>
      <w:r w:rsidRPr="00DA221C">
        <w:rPr>
          <w:rStyle w:val="FootnoteReference"/>
        </w:rPr>
        <w:footnoteRef/>
      </w:r>
      <w:r w:rsidRPr="00DA221C">
        <w:t xml:space="preserve"> </w:t>
      </w:r>
      <w:bookmarkStart w:id="1" w:name="_Hlk46847265"/>
      <w:r w:rsidRPr="00DA221C">
        <w:rPr>
          <w:i/>
        </w:rPr>
        <w:t>BellSouth Telecommunications, LLC, d/b/a AT&amp;T Southeast</w:t>
      </w:r>
      <w:r w:rsidRPr="00DA221C">
        <w:t xml:space="preserve">, Response to Notice of Apparent Liability (Aug. 26, 2016) (on file in </w:t>
      </w:r>
      <w:r w:rsidRPr="003B5E2A">
        <w:rPr>
          <w:spacing w:val="-2"/>
        </w:rPr>
        <w:t>EB-IHD-14-00017954</w:t>
      </w:r>
      <w:r w:rsidRPr="003B5E2A">
        <w:t>) (</w:t>
      </w:r>
      <w:r w:rsidRPr="001C3969">
        <w:t>NAL</w:t>
      </w:r>
      <w:r w:rsidRPr="001C3969">
        <w:t xml:space="preserve"> Response</w:t>
      </w:r>
      <w:r w:rsidRPr="003B5E2A">
        <w:t xml:space="preserve">).    </w:t>
      </w:r>
      <w:bookmarkEnd w:id="1"/>
    </w:p>
  </w:footnote>
  <w:footnote w:id="20">
    <w:p w:rsidR="007C2FB8" w:rsidP="001D349B" w14:paraId="34217A48" w14:textId="7B592BD0">
      <w:pPr>
        <w:pStyle w:val="FootnoteText"/>
      </w:pPr>
      <w:r>
        <w:rPr>
          <w:rStyle w:val="FootnoteReference"/>
        </w:rPr>
        <w:footnoteRef/>
      </w:r>
      <w:r>
        <w:t xml:space="preserve"> </w:t>
      </w:r>
      <w:r w:rsidRPr="00595170" w:rsidR="005631DA">
        <w:t>NAL</w:t>
      </w:r>
      <w:r w:rsidRPr="00595170" w:rsidR="005631DA">
        <w:t xml:space="preserve"> Response</w:t>
      </w:r>
      <w:r w:rsidRPr="00FD08F5" w:rsidR="005631DA">
        <w:rPr>
          <w:i/>
        </w:rPr>
        <w:t xml:space="preserve"> </w:t>
      </w:r>
      <w:r>
        <w:t xml:space="preserve">at 44-45.  </w:t>
      </w:r>
    </w:p>
  </w:footnote>
  <w:footnote w:id="21">
    <w:p w:rsidR="00ED6B33" w14:paraId="77822F11" w14:textId="5A5CD1EE">
      <w:pPr>
        <w:pStyle w:val="FootnoteText"/>
      </w:pPr>
      <w:r>
        <w:rPr>
          <w:rStyle w:val="FootnoteReference"/>
        </w:rPr>
        <w:footnoteRef/>
      </w:r>
      <w:r>
        <w:t xml:space="preserve"> </w:t>
      </w:r>
      <w:r w:rsidRPr="00BA251E">
        <w:rPr>
          <w:i/>
        </w:rPr>
        <w:t>Id</w:t>
      </w:r>
      <w:r>
        <w:t>. at 47-49.</w:t>
      </w:r>
    </w:p>
  </w:footnote>
  <w:footnote w:id="22">
    <w:p w:rsidR="007C2FB8" w:rsidP="007C2FB8" w14:paraId="035CE5E4" w14:textId="77777777">
      <w:pPr>
        <w:pStyle w:val="FootnoteText"/>
      </w:pPr>
      <w:r>
        <w:rPr>
          <w:rStyle w:val="FootnoteReference"/>
        </w:rPr>
        <w:footnoteRef/>
      </w:r>
      <w:r>
        <w:t xml:space="preserve"> </w:t>
      </w:r>
      <w:r w:rsidR="00F658BD">
        <w:rPr>
          <w:i/>
        </w:rPr>
        <w:t>Id.</w:t>
      </w:r>
      <w:r>
        <w:t xml:space="preserve"> at 45</w:t>
      </w:r>
      <w:r w:rsidR="00BF1D1E">
        <w:t xml:space="preserve"> (emphasis in original)</w:t>
      </w:r>
      <w:r>
        <w:t>.</w:t>
      </w:r>
    </w:p>
  </w:footnote>
  <w:footnote w:id="23">
    <w:p w:rsidR="007C2FB8" w:rsidRPr="001C3969" w:rsidP="007C2FB8" w14:paraId="1DEC051E" w14:textId="3023466F">
      <w:pPr>
        <w:pStyle w:val="FootnoteText"/>
        <w:rPr>
          <w:b/>
        </w:rPr>
      </w:pPr>
      <w:r w:rsidRPr="00DA221C">
        <w:rPr>
          <w:rStyle w:val="FootnoteReference"/>
        </w:rPr>
        <w:footnoteRef/>
      </w:r>
      <w:r w:rsidRPr="00DA221C">
        <w:t xml:space="preserve"> </w:t>
      </w:r>
      <w:r w:rsidRPr="001C3969" w:rsidR="00CA580A">
        <w:rPr>
          <w:i/>
        </w:rPr>
        <w:t>Id</w:t>
      </w:r>
      <w:r w:rsidR="00CA580A">
        <w:t>.</w:t>
      </w:r>
    </w:p>
  </w:footnote>
  <w:footnote w:id="24">
    <w:p w:rsidR="007C2FB8" w:rsidP="007C2FB8" w14:paraId="028D069A" w14:textId="5451EBE3">
      <w:pPr>
        <w:pStyle w:val="FootnoteText"/>
      </w:pPr>
      <w:r>
        <w:rPr>
          <w:rStyle w:val="FootnoteReference"/>
        </w:rPr>
        <w:footnoteRef/>
      </w:r>
      <w:r>
        <w:t xml:space="preserve"> </w:t>
      </w:r>
      <w:r w:rsidR="005631DA">
        <w:rPr>
          <w:i/>
        </w:rPr>
        <w:t>Id.</w:t>
      </w:r>
      <w:r>
        <w:t xml:space="preserve"> at 44-45.</w:t>
      </w:r>
    </w:p>
  </w:footnote>
  <w:footnote w:id="25">
    <w:p w:rsidR="007C2FB8" w:rsidP="007C2FB8" w14:paraId="7742E5FC" w14:textId="77777777">
      <w:pPr>
        <w:pStyle w:val="FootnoteText"/>
      </w:pPr>
      <w:r>
        <w:rPr>
          <w:rStyle w:val="FootnoteReference"/>
        </w:rPr>
        <w:footnoteRef/>
      </w:r>
      <w:r w:rsidR="00F658BD">
        <w:t xml:space="preserve"> 47 CFR</w:t>
      </w:r>
      <w:r>
        <w:t xml:space="preserve"> </w:t>
      </w:r>
      <w:r w:rsidR="002A42DB">
        <w:t xml:space="preserve">§ </w:t>
      </w:r>
      <w:r>
        <w:t>54.511(b).</w:t>
      </w:r>
    </w:p>
  </w:footnote>
  <w:footnote w:id="26">
    <w:p w:rsidR="0028260B" w:rsidRPr="00BE5E48" w:rsidP="00444082" w14:paraId="73290983" w14:textId="03A4D3E9">
      <w:pPr>
        <w:pStyle w:val="FootnoteText"/>
      </w:pPr>
      <w:r>
        <w:rPr>
          <w:rStyle w:val="FootnoteReference"/>
        </w:rPr>
        <w:footnoteRef/>
      </w:r>
      <w:r w:rsidRPr="00C6721F">
        <w:t xml:space="preserve"> </w:t>
      </w:r>
      <w:r w:rsidRPr="00923EF7">
        <w:rPr>
          <w:i/>
          <w:color w:val="000000"/>
        </w:rPr>
        <w:t xml:space="preserve">See </w:t>
      </w:r>
      <w:r w:rsidRPr="00923EF7">
        <w:rPr>
          <w:i/>
        </w:rPr>
        <w:t>U.S. v.</w:t>
      </w:r>
      <w:r w:rsidRPr="00BC3C39">
        <w:rPr>
          <w:i/>
        </w:rPr>
        <w:t xml:space="preserve"> Midstate </w:t>
      </w:r>
      <w:r w:rsidRPr="00923EF7">
        <w:rPr>
          <w:i/>
        </w:rPr>
        <w:t>Horticultural Co.</w:t>
      </w:r>
      <w:r w:rsidRPr="00923EF7" w:rsidR="00ED6B33">
        <w:t>,</w:t>
      </w:r>
      <w:r w:rsidRPr="00923EF7">
        <w:t xml:space="preserve"> 306 U.S. 161, 166 (1939),</w:t>
      </w:r>
      <w:r w:rsidRPr="00923EF7">
        <w:rPr>
          <w:color w:val="000000"/>
        </w:rPr>
        <w:t xml:space="preserve"> </w:t>
      </w:r>
      <w:hyperlink r:id="rId1" w:anchor="co_pp_sp_708_230" w:history="1">
        <w:r w:rsidRPr="00923EF7">
          <w:rPr>
            <w:i/>
            <w:color w:val="000000"/>
          </w:rPr>
          <w:t>United States v. Universal C.I.T. Credit Corp.</w:t>
        </w:r>
        <w:r w:rsidRPr="00923EF7">
          <w:rPr>
            <w:color w:val="000000"/>
          </w:rPr>
          <w:t>, 344 U.S. 218, 224 (1952)</w:t>
        </w:r>
      </w:hyperlink>
      <w:r w:rsidRPr="00923EF7">
        <w:rPr>
          <w:color w:val="000000"/>
        </w:rPr>
        <w:t>.  We note that the Commission has found that certain violations</w:t>
      </w:r>
      <w:r w:rsidRPr="00923EF7" w:rsidR="00C6721F">
        <w:rPr>
          <w:color w:val="000000"/>
        </w:rPr>
        <w:t>, including but not limited to unauthorized transfers</w:t>
      </w:r>
      <w:r w:rsidRPr="00923EF7" w:rsidR="00254EA1">
        <w:rPr>
          <w:color w:val="000000"/>
        </w:rPr>
        <w:t xml:space="preserve"> of control</w:t>
      </w:r>
      <w:r w:rsidRPr="00923EF7" w:rsidR="00C6721F">
        <w:rPr>
          <w:color w:val="000000"/>
        </w:rPr>
        <w:t>,</w:t>
      </w:r>
      <w:r w:rsidRPr="00923EF7">
        <w:rPr>
          <w:color w:val="000000"/>
        </w:rPr>
        <w:t xml:space="preserve"> are continuing in nature.  For example, the Commission has found that the transfer of ownership of a station license without Commission approval was a violation that continued throughout the p</w:t>
      </w:r>
      <w:r w:rsidRPr="00923EF7">
        <w:rPr>
          <w:rFonts w:eastAsiaTheme="minorHAnsi"/>
          <w:color w:val="000000"/>
        </w:rPr>
        <w:t xml:space="preserve">eriod that the ownership arrangement remained unauthorized.  </w:t>
      </w:r>
      <w:r w:rsidRPr="00923EF7">
        <w:rPr>
          <w:rFonts w:eastAsiaTheme="minorHAnsi"/>
          <w:i/>
          <w:color w:val="000000"/>
        </w:rPr>
        <w:t>See First Broadcasting Corp</w:t>
      </w:r>
      <w:r w:rsidRPr="00923EF7">
        <w:rPr>
          <w:color w:val="000000"/>
        </w:rPr>
        <w:t xml:space="preserve">., 3 FCC </w:t>
      </w:r>
      <w:r w:rsidRPr="00923EF7">
        <w:rPr>
          <w:color w:val="000000"/>
        </w:rPr>
        <w:t>Rcd</w:t>
      </w:r>
      <w:r w:rsidRPr="00923EF7">
        <w:rPr>
          <w:color w:val="000000"/>
        </w:rPr>
        <w:t xml:space="preserve"> 2758 (1988).  This interpretation is supported by the legislative history accompanying Congress’ 1989 amendments to Section 503(b) of the Communications Act, where </w:t>
      </w:r>
      <w:r w:rsidRPr="00923EF7">
        <w:rPr>
          <w:rFonts w:eastAsiaTheme="minorHAnsi"/>
        </w:rPr>
        <w:t>the House Report stated that “</w:t>
      </w:r>
      <w:r w:rsidRPr="00923EF7">
        <w:rPr>
          <w:rFonts w:eastAsiaTheme="minorHAnsi"/>
          <w:color w:val="000000"/>
        </w:rPr>
        <w:t>if an unauthorized transfer of control of a broadcast license is accomplished by the sale of stock, the sale is a one-time, continuing violation for each day that the parties fail to obtain the necessary authorization.</w:t>
      </w:r>
      <w:r w:rsidRPr="00923EF7">
        <w:rPr>
          <w:color w:val="000000"/>
        </w:rPr>
        <w:t>”</w:t>
      </w:r>
      <w:r w:rsidRPr="00923EF7">
        <w:rPr>
          <w:rFonts w:eastAsiaTheme="minorHAnsi"/>
          <w:color w:val="000000"/>
        </w:rPr>
        <w:t xml:space="preserve">  </w:t>
      </w:r>
      <w:r w:rsidRPr="00923EF7">
        <w:rPr>
          <w:rFonts w:eastAsiaTheme="minorHAnsi"/>
          <w:i/>
          <w:color w:val="000000"/>
        </w:rPr>
        <w:t>See</w:t>
      </w:r>
      <w:r w:rsidRPr="00923EF7">
        <w:rPr>
          <w:rFonts w:eastAsiaTheme="minorHAnsi"/>
          <w:color w:val="000000"/>
        </w:rPr>
        <w:t xml:space="preserve"> </w:t>
      </w:r>
      <w:r w:rsidRPr="00923EF7">
        <w:rPr>
          <w:rFonts w:eastAsiaTheme="minorHAnsi"/>
        </w:rPr>
        <w:t>H.R. Conf. Rep. No. 101-386, 101</w:t>
      </w:r>
      <w:r w:rsidRPr="00923EF7">
        <w:rPr>
          <w:rFonts w:eastAsiaTheme="minorHAnsi"/>
          <w:vertAlign w:val="superscript"/>
        </w:rPr>
        <w:t>st</w:t>
      </w:r>
      <w:r w:rsidRPr="00923EF7">
        <w:rPr>
          <w:rFonts w:eastAsiaTheme="minorHAnsi"/>
        </w:rPr>
        <w:t xml:space="preserve"> Cong., 1</w:t>
      </w:r>
      <w:r w:rsidRPr="00923EF7">
        <w:rPr>
          <w:rFonts w:eastAsiaTheme="minorHAnsi"/>
          <w:vertAlign w:val="superscript"/>
        </w:rPr>
        <w:t>st</w:t>
      </w:r>
      <w:r w:rsidRPr="00923EF7">
        <w:rPr>
          <w:rFonts w:eastAsiaTheme="minorHAnsi"/>
        </w:rPr>
        <w:t xml:space="preserve"> Sess., 1989 </w:t>
      </w:r>
      <w:r w:rsidRPr="00923EF7">
        <w:rPr>
          <w:rFonts w:eastAsiaTheme="minorHAnsi"/>
        </w:rPr>
        <w:t>U.S.C.C.A.N</w:t>
      </w:r>
      <w:r w:rsidRPr="00923EF7">
        <w:rPr>
          <w:rFonts w:eastAsiaTheme="minorHAnsi"/>
        </w:rPr>
        <w:t>. 3018, 3038.</w:t>
      </w:r>
    </w:p>
  </w:footnote>
  <w:footnote w:id="27">
    <w:p w:rsidR="0028260B" w:rsidP="0028260B" w14:paraId="395627B0" w14:textId="77777777">
      <w:pPr>
        <w:pStyle w:val="FootnoteText"/>
      </w:pPr>
      <w:r>
        <w:rPr>
          <w:rStyle w:val="FootnoteReference"/>
        </w:rPr>
        <w:footnoteRef/>
      </w:r>
      <w:r>
        <w:t xml:space="preserve"> </w:t>
      </w:r>
      <w:r w:rsidRPr="001A4272">
        <w:rPr>
          <w:i/>
        </w:rPr>
        <w:t>NAL</w:t>
      </w:r>
      <w:r w:rsidRPr="001615D9">
        <w:t xml:space="preserve">, </w:t>
      </w:r>
      <w:r w:rsidRPr="001A4272">
        <w:t xml:space="preserve">31 FCC </w:t>
      </w:r>
      <w:r w:rsidRPr="001A4272">
        <w:t>Rcd</w:t>
      </w:r>
      <w:r w:rsidRPr="001A4272">
        <w:t xml:space="preserve"> at 8524, para. 67.</w:t>
      </w:r>
    </w:p>
  </w:footnote>
  <w:footnote w:id="28">
    <w:p w:rsidR="007C2FB8" w:rsidP="00BD535E" w14:paraId="4987382E" w14:textId="77777777">
      <w:pPr>
        <w:pStyle w:val="FootnoteText"/>
      </w:pPr>
      <w:r>
        <w:rPr>
          <w:rStyle w:val="FootnoteReference"/>
        </w:rPr>
        <w:footnoteRef/>
      </w:r>
      <w:r>
        <w:t xml:space="preserve"> 47 U.S.C. § 503(b)(6)(B).</w:t>
      </w:r>
    </w:p>
  </w:footnote>
  <w:footnote w:id="29">
    <w:p w:rsidR="007C2FB8" w:rsidP="007C2FB8" w14:paraId="638321B6" w14:textId="4DF13167">
      <w:pPr>
        <w:pStyle w:val="FootnoteText"/>
      </w:pPr>
      <w:r>
        <w:rPr>
          <w:rStyle w:val="FootnoteReference"/>
        </w:rPr>
        <w:footnoteRef/>
      </w:r>
      <w:r>
        <w:t xml:space="preserve"> Because we are cancelling the </w:t>
      </w:r>
      <w:r w:rsidRPr="00767C2A">
        <w:rPr>
          <w:i/>
        </w:rPr>
        <w:t>NAL</w:t>
      </w:r>
      <w:r>
        <w:t xml:space="preserve"> due to the </w:t>
      </w:r>
      <w:r w:rsidRPr="00767C2A">
        <w:rPr>
          <w:spacing w:val="-2"/>
          <w:szCs w:val="22"/>
        </w:rPr>
        <w:t xml:space="preserve">expiration of the </w:t>
      </w:r>
      <w:r>
        <w:t>statute of limitations</w:t>
      </w:r>
      <w:r w:rsidRPr="00767C2A">
        <w:rPr>
          <w:spacing w:val="-2"/>
          <w:szCs w:val="22"/>
        </w:rPr>
        <w:t xml:space="preserve">, </w:t>
      </w:r>
      <w:r w:rsidR="0028260B">
        <w:rPr>
          <w:spacing w:val="-2"/>
          <w:szCs w:val="22"/>
        </w:rPr>
        <w:t>we need not address AT&amp;T’s arguments that it complied with the LCP Requirement during the period in question.</w:t>
      </w:r>
    </w:p>
  </w:footnote>
  <w:footnote w:id="30">
    <w:p w:rsidR="000C674E" w14:paraId="3DA2325F" w14:textId="31D0CD9C">
      <w:pPr>
        <w:pStyle w:val="FootnoteText"/>
      </w:pPr>
      <w:r>
        <w:rPr>
          <w:rStyle w:val="FootnoteReference"/>
        </w:rPr>
        <w:footnoteRef/>
      </w:r>
      <w:r>
        <w:t xml:space="preserve"> </w:t>
      </w:r>
      <w:r w:rsidRPr="000C674E">
        <w:t>Daarel</w:t>
      </w:r>
      <w:r w:rsidRPr="000C674E">
        <w:t xml:space="preserve"> Burnette II and Madeline Will, </w:t>
      </w:r>
      <w:r w:rsidRPr="000C674E">
        <w:rPr>
          <w:i/>
          <w:iCs/>
        </w:rPr>
        <w:t>Thousands of Educators Laid Off Already Due to COVID-19, and More Expected</w:t>
      </w:r>
      <w:r w:rsidRPr="000C674E">
        <w:t>, Education Week, July 14,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3CE3" w:rsidP="00043CE3" w14:paraId="1087D28A" w14:textId="3CE1AB10">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163A83">
      <w:rPr>
        <w:spacing w:val="-2"/>
      </w:rPr>
      <w:t>FCC 20-103</w:t>
    </w:r>
  </w:p>
  <w:p w:rsidR="00043CE3" w14:paraId="6C11747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3CE3" w:rsidP="00043CE3" w14:paraId="677EA2D5" w14:textId="005947D2">
    <w:pPr>
      <w:pStyle w:val="Header"/>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sidR="00163A83">
      <w:rPr>
        <w:spacing w:val="-2"/>
      </w:rPr>
      <w:t>FCC 20-103</w:t>
    </w:r>
  </w:p>
  <w:p w:rsidR="00043CE3" w14:paraId="641E557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0832A94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83A"/>
    <w:rsid w:val="00015130"/>
    <w:rsid w:val="00015334"/>
    <w:rsid w:val="0002159E"/>
    <w:rsid w:val="00031F5E"/>
    <w:rsid w:val="00036039"/>
    <w:rsid w:val="00036616"/>
    <w:rsid w:val="00037F90"/>
    <w:rsid w:val="00042A84"/>
    <w:rsid w:val="00043CE3"/>
    <w:rsid w:val="000875BF"/>
    <w:rsid w:val="000923A5"/>
    <w:rsid w:val="00096D8C"/>
    <w:rsid w:val="000B22D2"/>
    <w:rsid w:val="000B4DA0"/>
    <w:rsid w:val="000C0B65"/>
    <w:rsid w:val="000C674E"/>
    <w:rsid w:val="000E05FE"/>
    <w:rsid w:val="000E3D42"/>
    <w:rsid w:val="000F2DA6"/>
    <w:rsid w:val="00122BD5"/>
    <w:rsid w:val="00133F79"/>
    <w:rsid w:val="00135C4E"/>
    <w:rsid w:val="001615D9"/>
    <w:rsid w:val="00163A83"/>
    <w:rsid w:val="0017668C"/>
    <w:rsid w:val="00183D06"/>
    <w:rsid w:val="0019254B"/>
    <w:rsid w:val="00194A66"/>
    <w:rsid w:val="001A0CFC"/>
    <w:rsid w:val="001A29B5"/>
    <w:rsid w:val="001A4272"/>
    <w:rsid w:val="001B5128"/>
    <w:rsid w:val="001C3969"/>
    <w:rsid w:val="001D349B"/>
    <w:rsid w:val="001D6BCF"/>
    <w:rsid w:val="001D7AF1"/>
    <w:rsid w:val="001E01CA"/>
    <w:rsid w:val="001E213A"/>
    <w:rsid w:val="001E2F65"/>
    <w:rsid w:val="001F4FE5"/>
    <w:rsid w:val="0022013E"/>
    <w:rsid w:val="00223344"/>
    <w:rsid w:val="002443F5"/>
    <w:rsid w:val="00251CCA"/>
    <w:rsid w:val="00254EA1"/>
    <w:rsid w:val="002567EC"/>
    <w:rsid w:val="0026725D"/>
    <w:rsid w:val="00275CF5"/>
    <w:rsid w:val="0028260B"/>
    <w:rsid w:val="0028301F"/>
    <w:rsid w:val="00285017"/>
    <w:rsid w:val="0029048C"/>
    <w:rsid w:val="002A2D2E"/>
    <w:rsid w:val="002A42DB"/>
    <w:rsid w:val="002C00E8"/>
    <w:rsid w:val="002D299E"/>
    <w:rsid w:val="002D2BF1"/>
    <w:rsid w:val="002D47EA"/>
    <w:rsid w:val="002F0320"/>
    <w:rsid w:val="002F33BA"/>
    <w:rsid w:val="003018E3"/>
    <w:rsid w:val="003045D9"/>
    <w:rsid w:val="00313E3D"/>
    <w:rsid w:val="00324B30"/>
    <w:rsid w:val="003353C2"/>
    <w:rsid w:val="0034088C"/>
    <w:rsid w:val="00343749"/>
    <w:rsid w:val="00362D48"/>
    <w:rsid w:val="003660ED"/>
    <w:rsid w:val="00371BB6"/>
    <w:rsid w:val="00374A61"/>
    <w:rsid w:val="003936AB"/>
    <w:rsid w:val="003B0550"/>
    <w:rsid w:val="003B5E2A"/>
    <w:rsid w:val="003B694F"/>
    <w:rsid w:val="003B7080"/>
    <w:rsid w:val="003C3817"/>
    <w:rsid w:val="003C52F2"/>
    <w:rsid w:val="003C6720"/>
    <w:rsid w:val="003F171C"/>
    <w:rsid w:val="0040743D"/>
    <w:rsid w:val="00412FC5"/>
    <w:rsid w:val="004150D6"/>
    <w:rsid w:val="00422276"/>
    <w:rsid w:val="004242F1"/>
    <w:rsid w:val="00430E4B"/>
    <w:rsid w:val="00444082"/>
    <w:rsid w:val="00445A00"/>
    <w:rsid w:val="00451B0F"/>
    <w:rsid w:val="004634D7"/>
    <w:rsid w:val="00482782"/>
    <w:rsid w:val="004966A1"/>
    <w:rsid w:val="004A26EC"/>
    <w:rsid w:val="004A42C9"/>
    <w:rsid w:val="004C2EE3"/>
    <w:rsid w:val="004C3664"/>
    <w:rsid w:val="004C4A7E"/>
    <w:rsid w:val="004C65F0"/>
    <w:rsid w:val="004E1A0A"/>
    <w:rsid w:val="004E4A22"/>
    <w:rsid w:val="004E665E"/>
    <w:rsid w:val="004E7692"/>
    <w:rsid w:val="00504083"/>
    <w:rsid w:val="00507239"/>
    <w:rsid w:val="00511968"/>
    <w:rsid w:val="00534E46"/>
    <w:rsid w:val="00535525"/>
    <w:rsid w:val="0053658A"/>
    <w:rsid w:val="005402C0"/>
    <w:rsid w:val="005477B2"/>
    <w:rsid w:val="00552D87"/>
    <w:rsid w:val="0055614C"/>
    <w:rsid w:val="005577AD"/>
    <w:rsid w:val="005631DA"/>
    <w:rsid w:val="00563945"/>
    <w:rsid w:val="005760FF"/>
    <w:rsid w:val="00577FD0"/>
    <w:rsid w:val="00584ABC"/>
    <w:rsid w:val="00595170"/>
    <w:rsid w:val="005B0A1B"/>
    <w:rsid w:val="005B5C0A"/>
    <w:rsid w:val="005E14C2"/>
    <w:rsid w:val="005F3D71"/>
    <w:rsid w:val="005F70E6"/>
    <w:rsid w:val="00605505"/>
    <w:rsid w:val="00607BA5"/>
    <w:rsid w:val="0061180A"/>
    <w:rsid w:val="0062005E"/>
    <w:rsid w:val="00620527"/>
    <w:rsid w:val="00626EB6"/>
    <w:rsid w:val="00651EA8"/>
    <w:rsid w:val="00655D03"/>
    <w:rsid w:val="00683388"/>
    <w:rsid w:val="00683F84"/>
    <w:rsid w:val="00694F6B"/>
    <w:rsid w:val="00697BF0"/>
    <w:rsid w:val="006A6A81"/>
    <w:rsid w:val="006B3017"/>
    <w:rsid w:val="006D2816"/>
    <w:rsid w:val="006E20A7"/>
    <w:rsid w:val="006E68DC"/>
    <w:rsid w:val="006F7393"/>
    <w:rsid w:val="0070224F"/>
    <w:rsid w:val="007115F7"/>
    <w:rsid w:val="007146CE"/>
    <w:rsid w:val="007353AE"/>
    <w:rsid w:val="00760C87"/>
    <w:rsid w:val="007622DC"/>
    <w:rsid w:val="00764404"/>
    <w:rsid w:val="007649E1"/>
    <w:rsid w:val="0076627A"/>
    <w:rsid w:val="007673F4"/>
    <w:rsid w:val="00767C2A"/>
    <w:rsid w:val="0077354D"/>
    <w:rsid w:val="00776D45"/>
    <w:rsid w:val="00780E87"/>
    <w:rsid w:val="00785689"/>
    <w:rsid w:val="00786767"/>
    <w:rsid w:val="007903D1"/>
    <w:rsid w:val="0079754B"/>
    <w:rsid w:val="007A1E6D"/>
    <w:rsid w:val="007A6478"/>
    <w:rsid w:val="007A6CB3"/>
    <w:rsid w:val="007B0EB2"/>
    <w:rsid w:val="007C2FB8"/>
    <w:rsid w:val="007D2A30"/>
    <w:rsid w:val="007D338E"/>
    <w:rsid w:val="007D4C53"/>
    <w:rsid w:val="007E02DD"/>
    <w:rsid w:val="007E385A"/>
    <w:rsid w:val="007E6693"/>
    <w:rsid w:val="00803796"/>
    <w:rsid w:val="00810B6F"/>
    <w:rsid w:val="00822CE0"/>
    <w:rsid w:val="00830D94"/>
    <w:rsid w:val="00841AB1"/>
    <w:rsid w:val="00845CBA"/>
    <w:rsid w:val="00857FD3"/>
    <w:rsid w:val="0087006C"/>
    <w:rsid w:val="00871034"/>
    <w:rsid w:val="0087364C"/>
    <w:rsid w:val="00884FAE"/>
    <w:rsid w:val="00890F11"/>
    <w:rsid w:val="008A1235"/>
    <w:rsid w:val="008B795C"/>
    <w:rsid w:val="008C68F1"/>
    <w:rsid w:val="008E36CD"/>
    <w:rsid w:val="008E7F82"/>
    <w:rsid w:val="008F2EF6"/>
    <w:rsid w:val="0091183A"/>
    <w:rsid w:val="00913F98"/>
    <w:rsid w:val="00921803"/>
    <w:rsid w:val="00923EF7"/>
    <w:rsid w:val="00926503"/>
    <w:rsid w:val="00935C1B"/>
    <w:rsid w:val="00961760"/>
    <w:rsid w:val="009726D8"/>
    <w:rsid w:val="00981C87"/>
    <w:rsid w:val="00990353"/>
    <w:rsid w:val="009A01E8"/>
    <w:rsid w:val="009C7B1C"/>
    <w:rsid w:val="009E56B5"/>
    <w:rsid w:val="009F7351"/>
    <w:rsid w:val="009F76DB"/>
    <w:rsid w:val="00A169CE"/>
    <w:rsid w:val="00A31D66"/>
    <w:rsid w:val="00A32C3B"/>
    <w:rsid w:val="00A42186"/>
    <w:rsid w:val="00A45F4F"/>
    <w:rsid w:val="00A54910"/>
    <w:rsid w:val="00A600A9"/>
    <w:rsid w:val="00A607E1"/>
    <w:rsid w:val="00A64103"/>
    <w:rsid w:val="00A66FA7"/>
    <w:rsid w:val="00A766BB"/>
    <w:rsid w:val="00A95683"/>
    <w:rsid w:val="00AA55B7"/>
    <w:rsid w:val="00AA5B9E"/>
    <w:rsid w:val="00AA7D21"/>
    <w:rsid w:val="00AB072D"/>
    <w:rsid w:val="00AB2407"/>
    <w:rsid w:val="00AB53DF"/>
    <w:rsid w:val="00AB651F"/>
    <w:rsid w:val="00AC4E73"/>
    <w:rsid w:val="00AF22E0"/>
    <w:rsid w:val="00B0678E"/>
    <w:rsid w:val="00B07E5C"/>
    <w:rsid w:val="00B12C5E"/>
    <w:rsid w:val="00B2574C"/>
    <w:rsid w:val="00B31E41"/>
    <w:rsid w:val="00B43731"/>
    <w:rsid w:val="00B47B2E"/>
    <w:rsid w:val="00B51754"/>
    <w:rsid w:val="00B811F7"/>
    <w:rsid w:val="00B9074C"/>
    <w:rsid w:val="00BA251E"/>
    <w:rsid w:val="00BA5DC6"/>
    <w:rsid w:val="00BA6196"/>
    <w:rsid w:val="00BB30EA"/>
    <w:rsid w:val="00BC2BDA"/>
    <w:rsid w:val="00BC3C39"/>
    <w:rsid w:val="00BC6D8C"/>
    <w:rsid w:val="00BD535E"/>
    <w:rsid w:val="00BD6928"/>
    <w:rsid w:val="00BE3E63"/>
    <w:rsid w:val="00BE5E48"/>
    <w:rsid w:val="00BE6C95"/>
    <w:rsid w:val="00BF1D1E"/>
    <w:rsid w:val="00BF416B"/>
    <w:rsid w:val="00BF663E"/>
    <w:rsid w:val="00C0365D"/>
    <w:rsid w:val="00C207E7"/>
    <w:rsid w:val="00C34006"/>
    <w:rsid w:val="00C426B1"/>
    <w:rsid w:val="00C42A7C"/>
    <w:rsid w:val="00C66160"/>
    <w:rsid w:val="00C6721F"/>
    <w:rsid w:val="00C721AC"/>
    <w:rsid w:val="00C90D6A"/>
    <w:rsid w:val="00C953DD"/>
    <w:rsid w:val="00CA247E"/>
    <w:rsid w:val="00CA580A"/>
    <w:rsid w:val="00CC72B6"/>
    <w:rsid w:val="00CD13FB"/>
    <w:rsid w:val="00CD5A69"/>
    <w:rsid w:val="00CF3CE5"/>
    <w:rsid w:val="00CF5847"/>
    <w:rsid w:val="00D0218D"/>
    <w:rsid w:val="00D02BBA"/>
    <w:rsid w:val="00D24CD4"/>
    <w:rsid w:val="00D25FB5"/>
    <w:rsid w:val="00D31B8D"/>
    <w:rsid w:val="00D330AD"/>
    <w:rsid w:val="00D33F59"/>
    <w:rsid w:val="00D44223"/>
    <w:rsid w:val="00D47CF8"/>
    <w:rsid w:val="00D82342"/>
    <w:rsid w:val="00D873D4"/>
    <w:rsid w:val="00DA0C83"/>
    <w:rsid w:val="00DA221C"/>
    <w:rsid w:val="00DA2529"/>
    <w:rsid w:val="00DA3149"/>
    <w:rsid w:val="00DB130A"/>
    <w:rsid w:val="00DB2EBB"/>
    <w:rsid w:val="00DB4F38"/>
    <w:rsid w:val="00DC10A1"/>
    <w:rsid w:val="00DC149C"/>
    <w:rsid w:val="00DC655F"/>
    <w:rsid w:val="00DD0B59"/>
    <w:rsid w:val="00DD3F98"/>
    <w:rsid w:val="00DD7EBD"/>
    <w:rsid w:val="00DE029F"/>
    <w:rsid w:val="00DE2415"/>
    <w:rsid w:val="00DE62D7"/>
    <w:rsid w:val="00DF62B6"/>
    <w:rsid w:val="00E07225"/>
    <w:rsid w:val="00E12D35"/>
    <w:rsid w:val="00E5409F"/>
    <w:rsid w:val="00E62B0B"/>
    <w:rsid w:val="00E71F8B"/>
    <w:rsid w:val="00E83C8A"/>
    <w:rsid w:val="00E90143"/>
    <w:rsid w:val="00EB2CD1"/>
    <w:rsid w:val="00ED31F9"/>
    <w:rsid w:val="00ED6B33"/>
    <w:rsid w:val="00ED7168"/>
    <w:rsid w:val="00EE6488"/>
    <w:rsid w:val="00EE7BAC"/>
    <w:rsid w:val="00F021FA"/>
    <w:rsid w:val="00F4033C"/>
    <w:rsid w:val="00F43C01"/>
    <w:rsid w:val="00F56ED1"/>
    <w:rsid w:val="00F62E97"/>
    <w:rsid w:val="00F64209"/>
    <w:rsid w:val="00F658BD"/>
    <w:rsid w:val="00F663F1"/>
    <w:rsid w:val="00F8498D"/>
    <w:rsid w:val="00F93BF5"/>
    <w:rsid w:val="00FA33DF"/>
    <w:rsid w:val="00FA533E"/>
    <w:rsid w:val="00FB0DA3"/>
    <w:rsid w:val="00FB21BE"/>
    <w:rsid w:val="00FD08F5"/>
    <w:rsid w:val="00FD1106"/>
    <w:rsid w:val="00FD6EF6"/>
    <w:rsid w:val="00FD7571"/>
    <w:rsid w:val="00FF14C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79EA50D-79F9-443F-A3CD-BBFF54A5D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3A5"/>
    <w:pPr>
      <w:widowControl w:val="0"/>
    </w:pPr>
    <w:rPr>
      <w:snapToGrid w:val="0"/>
      <w:kern w:val="28"/>
      <w:sz w:val="22"/>
    </w:rPr>
  </w:style>
  <w:style w:type="paragraph" w:styleId="Heading1">
    <w:name w:val="heading 1"/>
    <w:basedOn w:val="Normal"/>
    <w:next w:val="ParaNum"/>
    <w:qFormat/>
    <w:rsid w:val="000923A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923A5"/>
    <w:pPr>
      <w:keepNext/>
      <w:numPr>
        <w:ilvl w:val="1"/>
        <w:numId w:val="3"/>
      </w:numPr>
      <w:spacing w:after="120"/>
      <w:outlineLvl w:val="1"/>
    </w:pPr>
    <w:rPr>
      <w:b/>
    </w:rPr>
  </w:style>
  <w:style w:type="paragraph" w:styleId="Heading3">
    <w:name w:val="heading 3"/>
    <w:basedOn w:val="Normal"/>
    <w:next w:val="ParaNum"/>
    <w:qFormat/>
    <w:rsid w:val="000923A5"/>
    <w:pPr>
      <w:keepNext/>
      <w:numPr>
        <w:ilvl w:val="2"/>
        <w:numId w:val="3"/>
      </w:numPr>
      <w:tabs>
        <w:tab w:val="left" w:pos="2160"/>
      </w:tabs>
      <w:spacing w:after="120"/>
      <w:outlineLvl w:val="2"/>
    </w:pPr>
    <w:rPr>
      <w:b/>
    </w:rPr>
  </w:style>
  <w:style w:type="paragraph" w:styleId="Heading4">
    <w:name w:val="heading 4"/>
    <w:basedOn w:val="Normal"/>
    <w:next w:val="ParaNum"/>
    <w:qFormat/>
    <w:rsid w:val="000923A5"/>
    <w:pPr>
      <w:keepNext/>
      <w:numPr>
        <w:ilvl w:val="3"/>
        <w:numId w:val="3"/>
      </w:numPr>
      <w:tabs>
        <w:tab w:val="left" w:pos="2880"/>
      </w:tabs>
      <w:spacing w:after="120"/>
      <w:outlineLvl w:val="3"/>
    </w:pPr>
    <w:rPr>
      <w:b/>
    </w:rPr>
  </w:style>
  <w:style w:type="paragraph" w:styleId="Heading5">
    <w:name w:val="heading 5"/>
    <w:basedOn w:val="Normal"/>
    <w:next w:val="ParaNum"/>
    <w:qFormat/>
    <w:rsid w:val="000923A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923A5"/>
    <w:pPr>
      <w:numPr>
        <w:ilvl w:val="5"/>
        <w:numId w:val="3"/>
      </w:numPr>
      <w:tabs>
        <w:tab w:val="left" w:pos="4320"/>
      </w:tabs>
      <w:spacing w:after="120"/>
      <w:outlineLvl w:val="5"/>
    </w:pPr>
    <w:rPr>
      <w:b/>
    </w:rPr>
  </w:style>
  <w:style w:type="paragraph" w:styleId="Heading7">
    <w:name w:val="heading 7"/>
    <w:basedOn w:val="Normal"/>
    <w:next w:val="ParaNum"/>
    <w:qFormat/>
    <w:rsid w:val="000923A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923A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923A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923A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23A5"/>
  </w:style>
  <w:style w:type="paragraph" w:customStyle="1" w:styleId="ParaNum">
    <w:name w:val="ParaNum"/>
    <w:basedOn w:val="Normal"/>
    <w:link w:val="ParaNumChar"/>
    <w:rsid w:val="000923A5"/>
    <w:pPr>
      <w:numPr>
        <w:numId w:val="2"/>
      </w:numPr>
      <w:tabs>
        <w:tab w:val="clear" w:pos="1080"/>
        <w:tab w:val="num" w:pos="1440"/>
      </w:tabs>
      <w:spacing w:after="120"/>
    </w:pPr>
  </w:style>
  <w:style w:type="paragraph" w:styleId="EndnoteText">
    <w:name w:val="endnote text"/>
    <w:basedOn w:val="Normal"/>
    <w:semiHidden/>
    <w:rsid w:val="000923A5"/>
    <w:rPr>
      <w:sz w:val="20"/>
    </w:rPr>
  </w:style>
  <w:style w:type="character" w:styleId="EndnoteReference">
    <w:name w:val="endnote reference"/>
    <w:semiHidden/>
    <w:rsid w:val="000923A5"/>
    <w:rPr>
      <w:vertAlign w:val="superscript"/>
    </w:rPr>
  </w:style>
  <w:style w:type="paragraph" w:styleId="FootnoteText">
    <w:name w:val="footnote text"/>
    <w:aliases w:val="Footnote Text Char,Footnote Text Char Char Char4 Char,Footnote Text Char1,Footnote Text Char2,Footnote Text Char4 Char1 Char,Footnote Text Char4 Char1 Char Char Char Char,Footnote Text Char7 Char,Footnote Text Char7 Char Char Char Char,fn"/>
    <w:link w:val="FootnoteTextChar3"/>
    <w:uiPriority w:val="99"/>
    <w:rsid w:val="000923A5"/>
    <w:pPr>
      <w:spacing w:after="120"/>
    </w:pPr>
  </w:style>
  <w:style w:type="character" w:styleId="FootnoteReference">
    <w:name w:val="footnote reference"/>
    <w:aliases w:val="(NECG) Footnote Reference,Appel note de bas de p,FR,Footnote Reference/,Footnote Reference1,Style 12,Style 124,Style 13,Style 17,Style 3,Style 4,Style 6,Style 7,fr,o"/>
    <w:uiPriority w:val="99"/>
    <w:rsid w:val="000923A5"/>
    <w:rPr>
      <w:rFonts w:ascii="Times New Roman" w:hAnsi="Times New Roman"/>
      <w:dstrike w:val="0"/>
      <w:color w:val="auto"/>
      <w:sz w:val="20"/>
      <w:vertAlign w:val="superscript"/>
    </w:rPr>
  </w:style>
  <w:style w:type="paragraph" w:styleId="TOC1">
    <w:name w:val="toc 1"/>
    <w:basedOn w:val="Normal"/>
    <w:next w:val="Normal"/>
    <w:semiHidden/>
    <w:rsid w:val="000923A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923A5"/>
    <w:pPr>
      <w:tabs>
        <w:tab w:val="left" w:pos="720"/>
        <w:tab w:val="right" w:leader="dot" w:pos="9360"/>
      </w:tabs>
      <w:suppressAutoHyphens/>
      <w:ind w:left="720" w:right="720" w:hanging="360"/>
    </w:pPr>
    <w:rPr>
      <w:noProof/>
    </w:rPr>
  </w:style>
  <w:style w:type="paragraph" w:styleId="TOC3">
    <w:name w:val="toc 3"/>
    <w:basedOn w:val="Normal"/>
    <w:next w:val="Normal"/>
    <w:semiHidden/>
    <w:rsid w:val="000923A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923A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923A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923A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923A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923A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923A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923A5"/>
    <w:pPr>
      <w:tabs>
        <w:tab w:val="right" w:pos="9360"/>
      </w:tabs>
      <w:suppressAutoHyphens/>
    </w:pPr>
  </w:style>
  <w:style w:type="character" w:customStyle="1" w:styleId="EquationCaption">
    <w:name w:val="_Equation Caption"/>
    <w:rsid w:val="000923A5"/>
  </w:style>
  <w:style w:type="paragraph" w:styleId="Header">
    <w:name w:val="header"/>
    <w:basedOn w:val="Normal"/>
    <w:link w:val="HeaderChar"/>
    <w:autoRedefine/>
    <w:rsid w:val="000923A5"/>
    <w:pPr>
      <w:tabs>
        <w:tab w:val="center" w:pos="4680"/>
        <w:tab w:val="right" w:pos="9360"/>
      </w:tabs>
    </w:pPr>
    <w:rPr>
      <w:b/>
    </w:rPr>
  </w:style>
  <w:style w:type="paragraph" w:styleId="Footer">
    <w:name w:val="footer"/>
    <w:basedOn w:val="Normal"/>
    <w:link w:val="FooterChar"/>
    <w:uiPriority w:val="99"/>
    <w:rsid w:val="000923A5"/>
    <w:pPr>
      <w:tabs>
        <w:tab w:val="center" w:pos="4320"/>
        <w:tab w:val="right" w:pos="8640"/>
      </w:tabs>
    </w:pPr>
  </w:style>
  <w:style w:type="character" w:styleId="PageNumber">
    <w:name w:val="page number"/>
    <w:basedOn w:val="DefaultParagraphFont"/>
    <w:rsid w:val="000923A5"/>
  </w:style>
  <w:style w:type="paragraph" w:styleId="BlockText">
    <w:name w:val="Block Text"/>
    <w:basedOn w:val="Normal"/>
    <w:rsid w:val="000923A5"/>
    <w:pPr>
      <w:spacing w:after="240"/>
      <w:ind w:left="1440" w:right="1440"/>
    </w:pPr>
  </w:style>
  <w:style w:type="paragraph" w:customStyle="1" w:styleId="Paratitle">
    <w:name w:val="Para title"/>
    <w:basedOn w:val="Normal"/>
    <w:rsid w:val="000923A5"/>
    <w:pPr>
      <w:tabs>
        <w:tab w:val="center" w:pos="9270"/>
      </w:tabs>
      <w:spacing w:after="240"/>
    </w:pPr>
    <w:rPr>
      <w:spacing w:val="-2"/>
    </w:rPr>
  </w:style>
  <w:style w:type="paragraph" w:customStyle="1" w:styleId="Bullet">
    <w:name w:val="Bullet"/>
    <w:basedOn w:val="Normal"/>
    <w:rsid w:val="000923A5"/>
    <w:pPr>
      <w:tabs>
        <w:tab w:val="left" w:pos="2160"/>
      </w:tabs>
      <w:spacing w:after="220"/>
      <w:ind w:left="2160" w:hanging="720"/>
    </w:pPr>
  </w:style>
  <w:style w:type="paragraph" w:customStyle="1" w:styleId="TableFormat">
    <w:name w:val="TableFormat"/>
    <w:basedOn w:val="Bullet"/>
    <w:rsid w:val="000923A5"/>
    <w:pPr>
      <w:tabs>
        <w:tab w:val="clear" w:pos="2160"/>
        <w:tab w:val="left" w:pos="5040"/>
      </w:tabs>
      <w:ind w:left="5040" w:hanging="3600"/>
    </w:pPr>
  </w:style>
  <w:style w:type="paragraph" w:customStyle="1" w:styleId="TOCTitle">
    <w:name w:val="TOC Title"/>
    <w:basedOn w:val="Normal"/>
    <w:rsid w:val="000923A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23A5"/>
    <w:pPr>
      <w:jc w:val="center"/>
    </w:pPr>
    <w:rPr>
      <w:rFonts w:ascii="Times New Roman Bold" w:hAnsi="Times New Roman Bold"/>
      <w:b/>
      <w:bCs/>
      <w:caps/>
      <w:szCs w:val="22"/>
    </w:rPr>
  </w:style>
  <w:style w:type="character" w:styleId="Hyperlink">
    <w:name w:val="Hyperlink"/>
    <w:rsid w:val="000923A5"/>
    <w:rPr>
      <w:color w:val="0000FF"/>
      <w:u w:val="single"/>
    </w:rPr>
  </w:style>
  <w:style w:type="character" w:customStyle="1" w:styleId="FootnoteTextChar3">
    <w:name w:val="Footnote Text Char3"/>
    <w:aliases w:val="Footnote Text Char Char Char4 Char Char,Footnote Text Char1 Char,Footnote Text Char4 Char1 Char Char,Footnote Text Char4 Char1 Char Char Char Char Char,Footnote Text Char7 Char Char,Footnote Text Char7 Char Char Char Char Char"/>
    <w:link w:val="FootnoteText"/>
    <w:rsid w:val="007C2FB8"/>
  </w:style>
  <w:style w:type="character" w:customStyle="1" w:styleId="ParaNumChar">
    <w:name w:val="ParaNum Char"/>
    <w:link w:val="ParaNum"/>
    <w:rsid w:val="007C2FB8"/>
    <w:rPr>
      <w:snapToGrid w:val="0"/>
      <w:kern w:val="28"/>
      <w:sz w:val="22"/>
    </w:rPr>
  </w:style>
  <w:style w:type="character" w:styleId="CommentReference">
    <w:name w:val="annotation reference"/>
    <w:uiPriority w:val="99"/>
    <w:rsid w:val="007C2FB8"/>
    <w:rPr>
      <w:rFonts w:cs="Times New Roman"/>
      <w:sz w:val="16"/>
    </w:rPr>
  </w:style>
  <w:style w:type="paragraph" w:styleId="CommentText">
    <w:name w:val="annotation text"/>
    <w:basedOn w:val="Normal"/>
    <w:link w:val="CommentTextChar"/>
    <w:uiPriority w:val="99"/>
    <w:rsid w:val="007C2FB8"/>
    <w:rPr>
      <w:sz w:val="20"/>
    </w:rPr>
  </w:style>
  <w:style w:type="character" w:customStyle="1" w:styleId="CommentTextChar">
    <w:name w:val="Comment Text Char"/>
    <w:link w:val="CommentText"/>
    <w:uiPriority w:val="99"/>
    <w:rsid w:val="007C2FB8"/>
    <w:rPr>
      <w:snapToGrid w:val="0"/>
      <w:kern w:val="28"/>
    </w:rPr>
  </w:style>
  <w:style w:type="paragraph" w:styleId="BalloonText">
    <w:name w:val="Balloon Text"/>
    <w:basedOn w:val="Normal"/>
    <w:link w:val="BalloonTextChar"/>
    <w:rsid w:val="007C2FB8"/>
    <w:rPr>
      <w:rFonts w:ascii="Segoe UI" w:hAnsi="Segoe UI" w:cs="Segoe UI"/>
      <w:sz w:val="18"/>
      <w:szCs w:val="18"/>
    </w:rPr>
  </w:style>
  <w:style w:type="character" w:customStyle="1" w:styleId="BalloonTextChar">
    <w:name w:val="Balloon Text Char"/>
    <w:link w:val="BalloonText"/>
    <w:rsid w:val="007C2FB8"/>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552D87"/>
    <w:rPr>
      <w:b/>
      <w:bCs/>
    </w:rPr>
  </w:style>
  <w:style w:type="character" w:customStyle="1" w:styleId="CommentSubjectChar">
    <w:name w:val="Comment Subject Char"/>
    <w:link w:val="CommentSubject"/>
    <w:rsid w:val="00552D87"/>
    <w:rPr>
      <w:b/>
      <w:bCs/>
      <w:snapToGrid w:val="0"/>
      <w:kern w:val="28"/>
    </w:rPr>
  </w:style>
  <w:style w:type="character" w:customStyle="1" w:styleId="HeaderChar">
    <w:name w:val="Header Char"/>
    <w:link w:val="Header"/>
    <w:rsid w:val="00A31D66"/>
    <w:rPr>
      <w:b/>
      <w:snapToGrid w:val="0"/>
      <w:kern w:val="28"/>
      <w:sz w:val="22"/>
    </w:rPr>
  </w:style>
  <w:style w:type="paragraph" w:styleId="Revision">
    <w:name w:val="Revision"/>
    <w:hidden/>
    <w:uiPriority w:val="99"/>
    <w:semiHidden/>
    <w:rsid w:val="00FD1106"/>
    <w:rPr>
      <w:snapToGrid w:val="0"/>
      <w:kern w:val="28"/>
      <w:sz w:val="22"/>
    </w:rPr>
  </w:style>
  <w:style w:type="character" w:customStyle="1" w:styleId="FooterChar">
    <w:name w:val="Footer Char"/>
    <w:link w:val="Footer"/>
    <w:uiPriority w:val="99"/>
    <w:rsid w:val="000923A5"/>
    <w:rPr>
      <w:snapToGrid w:val="0"/>
      <w:kern w:val="28"/>
      <w:sz w:val="22"/>
    </w:rPr>
  </w:style>
  <w:style w:type="character" w:customStyle="1" w:styleId="UnresolvedMention">
    <w:name w:val="Unresolved Mention"/>
    <w:basedOn w:val="DefaultParagraphFont"/>
    <w:uiPriority w:val="99"/>
    <w:semiHidden/>
    <w:unhideWhenUsed/>
    <w:rsid w:val="006E20A7"/>
    <w:rPr>
      <w:color w:val="605E5C"/>
      <w:shd w:val="clear" w:color="auto" w:fill="E1DFDD"/>
    </w:rPr>
  </w:style>
  <w:style w:type="character" w:customStyle="1" w:styleId="st">
    <w:name w:val="st"/>
    <w:basedOn w:val="DefaultParagraphFont"/>
    <w:rsid w:val="00764404"/>
  </w:style>
  <w:style w:type="character" w:styleId="Emphasis">
    <w:name w:val="Emphasis"/>
    <w:basedOn w:val="DefaultParagraphFont"/>
    <w:uiPriority w:val="20"/>
    <w:qFormat/>
    <w:rsid w:val="007644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footer" Target="footer5.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Y&amp;serNum=1952120571&amp;pubNum=708&amp;originatingDoc=I6b488caa9c2511d9bc61beebb95be672&amp;refType=RP&amp;fi=co_pp_sp_708_230&amp;originationContext=document&amp;transitionType=DocumentItem&amp;contextData=(sc.DocLink)"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fccnet\fccroot\App\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