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5371ED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A74F76" w14:textId="77777777">
      <w:pPr>
        <w:pStyle w:val="StyleBoldCentered"/>
      </w:pPr>
      <w:r>
        <w:t>F</w:t>
      </w:r>
      <w:r>
        <w:rPr>
          <w:caps w:val="0"/>
        </w:rPr>
        <w:t>ederal Communications Commission</w:t>
      </w:r>
    </w:p>
    <w:p w:rsidR="004C2EE3" w:rsidP="00096D8C" w14:paraId="63A03988" w14:textId="77777777">
      <w:pPr>
        <w:pStyle w:val="StyleBoldCentered"/>
      </w:pPr>
      <w:r>
        <w:rPr>
          <w:caps w:val="0"/>
        </w:rPr>
        <w:t>Washington, D.C. 20554</w:t>
      </w:r>
    </w:p>
    <w:p w:rsidR="004C2EE3" w:rsidP="0070224F" w14:paraId="14CC042E" w14:textId="77777777"/>
    <w:tbl>
      <w:tblPr>
        <w:tblW w:w="0" w:type="auto"/>
        <w:tblLayout w:type="fixed"/>
        <w:tblLook w:val="0000"/>
      </w:tblPr>
      <w:tblGrid>
        <w:gridCol w:w="4698"/>
        <w:gridCol w:w="630"/>
        <w:gridCol w:w="4248"/>
      </w:tblGrid>
      <w:tr w14:paraId="1084B23D" w14:textId="77777777">
        <w:tblPrEx>
          <w:tblW w:w="0" w:type="auto"/>
          <w:tblLayout w:type="fixed"/>
          <w:tblLook w:val="0000"/>
        </w:tblPrEx>
        <w:tc>
          <w:tcPr>
            <w:tcW w:w="4698" w:type="dxa"/>
          </w:tcPr>
          <w:p w:rsidR="004C2EE3" w14:paraId="497DB841" w14:textId="77777777">
            <w:pPr>
              <w:tabs>
                <w:tab w:val="center" w:pos="4680"/>
              </w:tabs>
              <w:suppressAutoHyphens/>
              <w:rPr>
                <w:spacing w:val="-2"/>
              </w:rPr>
            </w:pPr>
            <w:r>
              <w:rPr>
                <w:spacing w:val="-2"/>
              </w:rPr>
              <w:t>In the Matter of</w:t>
            </w:r>
          </w:p>
          <w:p w:rsidR="004C2EE3" w14:paraId="77127AD7" w14:textId="77777777">
            <w:pPr>
              <w:tabs>
                <w:tab w:val="center" w:pos="4680"/>
              </w:tabs>
              <w:suppressAutoHyphens/>
              <w:rPr>
                <w:spacing w:val="-2"/>
              </w:rPr>
            </w:pPr>
          </w:p>
          <w:p w:rsidR="00B8253B" w:rsidRPr="00B8253B" w:rsidP="00B8253B" w14:paraId="2941A975" w14:textId="77777777">
            <w:pPr>
              <w:tabs>
                <w:tab w:val="center" w:pos="4680"/>
              </w:tabs>
              <w:suppressAutoHyphens/>
              <w:rPr>
                <w:spacing w:val="-2"/>
              </w:rPr>
            </w:pPr>
            <w:r w:rsidRPr="00B8253B">
              <w:rPr>
                <w:spacing w:val="-2"/>
              </w:rPr>
              <w:t>Use of Common Antenna Site – Sections 73.239 and 73.635</w:t>
            </w:r>
          </w:p>
          <w:p w:rsidR="00B8253B" w:rsidRPr="00B8253B" w:rsidP="00B8253B" w14:paraId="570EA3D3" w14:textId="77777777">
            <w:pPr>
              <w:tabs>
                <w:tab w:val="center" w:pos="4680"/>
              </w:tabs>
              <w:suppressAutoHyphens/>
              <w:rPr>
                <w:spacing w:val="-2"/>
              </w:rPr>
            </w:pPr>
          </w:p>
          <w:p w:rsidR="004C2EE3" w:rsidRPr="007115F7" w:rsidP="00B8253B" w14:paraId="1AFF7328" w14:textId="67AFC9F0">
            <w:pPr>
              <w:tabs>
                <w:tab w:val="center" w:pos="4680"/>
              </w:tabs>
              <w:suppressAutoHyphens/>
              <w:rPr>
                <w:spacing w:val="-2"/>
              </w:rPr>
            </w:pPr>
            <w:r w:rsidRPr="00B8253B">
              <w:rPr>
                <w:spacing w:val="-2"/>
              </w:rPr>
              <w:t>Modernization of Media Regulation Initiative</w:t>
            </w:r>
          </w:p>
        </w:tc>
        <w:tc>
          <w:tcPr>
            <w:tcW w:w="630" w:type="dxa"/>
          </w:tcPr>
          <w:p w:rsidR="004C2EE3" w14:paraId="54F1927B" w14:textId="77777777">
            <w:pPr>
              <w:tabs>
                <w:tab w:val="center" w:pos="4680"/>
              </w:tabs>
              <w:suppressAutoHyphens/>
              <w:rPr>
                <w:b/>
                <w:spacing w:val="-2"/>
              </w:rPr>
            </w:pPr>
            <w:r>
              <w:rPr>
                <w:b/>
                <w:spacing w:val="-2"/>
              </w:rPr>
              <w:t>)</w:t>
            </w:r>
          </w:p>
          <w:p w:rsidR="004C2EE3" w14:paraId="528D676D" w14:textId="77777777">
            <w:pPr>
              <w:tabs>
                <w:tab w:val="center" w:pos="4680"/>
              </w:tabs>
              <w:suppressAutoHyphens/>
              <w:rPr>
                <w:b/>
                <w:spacing w:val="-2"/>
              </w:rPr>
            </w:pPr>
            <w:r>
              <w:rPr>
                <w:b/>
                <w:spacing w:val="-2"/>
              </w:rPr>
              <w:t>)</w:t>
            </w:r>
          </w:p>
          <w:p w:rsidR="004C2EE3" w14:paraId="15C5AC46" w14:textId="77777777">
            <w:pPr>
              <w:tabs>
                <w:tab w:val="center" w:pos="4680"/>
              </w:tabs>
              <w:suppressAutoHyphens/>
              <w:rPr>
                <w:b/>
                <w:spacing w:val="-2"/>
              </w:rPr>
            </w:pPr>
            <w:r>
              <w:rPr>
                <w:b/>
                <w:spacing w:val="-2"/>
              </w:rPr>
              <w:t>)</w:t>
            </w:r>
          </w:p>
          <w:p w:rsidR="004C2EE3" w14:paraId="5B6EAD94" w14:textId="77777777">
            <w:pPr>
              <w:tabs>
                <w:tab w:val="center" w:pos="4680"/>
              </w:tabs>
              <w:suppressAutoHyphens/>
              <w:rPr>
                <w:b/>
                <w:spacing w:val="-2"/>
              </w:rPr>
            </w:pPr>
            <w:r>
              <w:rPr>
                <w:b/>
                <w:spacing w:val="-2"/>
              </w:rPr>
              <w:t>)</w:t>
            </w:r>
          </w:p>
          <w:p w:rsidR="004C2EE3" w14:paraId="4005F0CA" w14:textId="77777777">
            <w:pPr>
              <w:tabs>
                <w:tab w:val="center" w:pos="4680"/>
              </w:tabs>
              <w:suppressAutoHyphens/>
              <w:rPr>
                <w:b/>
                <w:spacing w:val="-2"/>
              </w:rPr>
            </w:pPr>
            <w:r>
              <w:rPr>
                <w:b/>
                <w:spacing w:val="-2"/>
              </w:rPr>
              <w:t>)</w:t>
            </w:r>
          </w:p>
          <w:p w:rsidR="004C2EE3" w:rsidRPr="00B8253B" w14:paraId="4314C1F2" w14:textId="56A48213">
            <w:pPr>
              <w:tabs>
                <w:tab w:val="center" w:pos="4680"/>
              </w:tabs>
              <w:suppressAutoHyphens/>
              <w:rPr>
                <w:b/>
                <w:spacing w:val="-2"/>
              </w:rPr>
            </w:pPr>
            <w:r>
              <w:rPr>
                <w:b/>
                <w:spacing w:val="-2"/>
              </w:rPr>
              <w:t>)</w:t>
            </w:r>
          </w:p>
        </w:tc>
        <w:tc>
          <w:tcPr>
            <w:tcW w:w="4248" w:type="dxa"/>
          </w:tcPr>
          <w:p w:rsidR="004C2EE3" w14:paraId="0E612C4C" w14:textId="77777777">
            <w:pPr>
              <w:tabs>
                <w:tab w:val="center" w:pos="4680"/>
              </w:tabs>
              <w:suppressAutoHyphens/>
              <w:rPr>
                <w:spacing w:val="-2"/>
              </w:rPr>
            </w:pPr>
          </w:p>
          <w:p w:rsidR="004C2EE3" w14:paraId="40ED08BF" w14:textId="77777777">
            <w:pPr>
              <w:pStyle w:val="TOAHeading"/>
              <w:tabs>
                <w:tab w:val="center" w:pos="4680"/>
                <w:tab w:val="clear" w:pos="9360"/>
              </w:tabs>
              <w:rPr>
                <w:spacing w:val="-2"/>
              </w:rPr>
            </w:pPr>
          </w:p>
          <w:p w:rsidR="00B8253B" w:rsidRPr="00B8253B" w:rsidP="00B8253B" w14:paraId="360CC416" w14:textId="77777777">
            <w:pPr>
              <w:pStyle w:val="TOAHeading"/>
              <w:tabs>
                <w:tab w:val="center" w:pos="4680"/>
              </w:tabs>
              <w:rPr>
                <w:spacing w:val="-2"/>
              </w:rPr>
            </w:pPr>
            <w:r w:rsidRPr="00B8253B">
              <w:rPr>
                <w:spacing w:val="-2"/>
              </w:rPr>
              <w:t>MB Docket No. 19-282</w:t>
            </w:r>
          </w:p>
          <w:p w:rsidR="00B8253B" w:rsidRPr="00B8253B" w:rsidP="00B8253B" w14:paraId="22CB4647" w14:textId="77777777">
            <w:pPr>
              <w:pStyle w:val="TOAHeading"/>
              <w:tabs>
                <w:tab w:val="center" w:pos="4680"/>
              </w:tabs>
              <w:rPr>
                <w:spacing w:val="-2"/>
              </w:rPr>
            </w:pPr>
          </w:p>
          <w:p w:rsidR="00B8253B" w:rsidRPr="00B8253B" w:rsidP="00B8253B" w14:paraId="6B53D3CD" w14:textId="77777777">
            <w:pPr>
              <w:pStyle w:val="TOAHeading"/>
              <w:tabs>
                <w:tab w:val="center" w:pos="4680"/>
              </w:tabs>
              <w:rPr>
                <w:spacing w:val="-2"/>
              </w:rPr>
            </w:pPr>
          </w:p>
          <w:p w:rsidR="004C2EE3" w:rsidP="00B8253B" w14:paraId="60755682" w14:textId="09F160A7">
            <w:pPr>
              <w:tabs>
                <w:tab w:val="center" w:pos="4680"/>
              </w:tabs>
              <w:suppressAutoHyphens/>
              <w:rPr>
                <w:spacing w:val="-2"/>
              </w:rPr>
            </w:pPr>
            <w:r w:rsidRPr="00B8253B">
              <w:rPr>
                <w:spacing w:val="-2"/>
              </w:rPr>
              <w:t>MB Docket No. 17-105</w:t>
            </w:r>
          </w:p>
        </w:tc>
      </w:tr>
    </w:tbl>
    <w:p w:rsidR="004C2EE3" w:rsidP="0070224F" w14:paraId="4DB68F0C" w14:textId="77777777"/>
    <w:p w:rsidR="00841AB1" w:rsidP="00F021FA" w14:paraId="6F9AA4BC" w14:textId="41C47500">
      <w:pPr>
        <w:pStyle w:val="StyleBoldCentered"/>
      </w:pPr>
      <w:r>
        <w:t>report and order</w:t>
      </w:r>
    </w:p>
    <w:p w:rsidR="004C2EE3" w14:paraId="1AAEB749" w14:textId="77777777">
      <w:pPr>
        <w:tabs>
          <w:tab w:val="left" w:pos="-720"/>
        </w:tabs>
        <w:suppressAutoHyphens/>
        <w:spacing w:line="227" w:lineRule="auto"/>
        <w:rPr>
          <w:spacing w:val="-2"/>
        </w:rPr>
      </w:pPr>
    </w:p>
    <w:p w:rsidR="004C2EE3" w:rsidP="00133F79" w14:paraId="3BBA3014" w14:textId="6A8AE074">
      <w:pPr>
        <w:tabs>
          <w:tab w:val="left" w:pos="720"/>
          <w:tab w:val="right" w:pos="9360"/>
        </w:tabs>
        <w:suppressAutoHyphens/>
        <w:spacing w:line="227" w:lineRule="auto"/>
        <w:rPr>
          <w:spacing w:val="-2"/>
        </w:rPr>
      </w:pPr>
      <w:r>
        <w:rPr>
          <w:b/>
          <w:spacing w:val="-2"/>
        </w:rPr>
        <w:t xml:space="preserve">Adopted:  </w:t>
      </w:r>
      <w:r w:rsidR="003930AF">
        <w:rPr>
          <w:b/>
          <w:spacing w:val="-2"/>
        </w:rPr>
        <w:t>August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930AF">
        <w:rPr>
          <w:b/>
          <w:spacing w:val="-2"/>
        </w:rPr>
        <w:t>August 5, 2020</w:t>
      </w:r>
    </w:p>
    <w:p w:rsidR="00822CE0" w14:paraId="70D350D2" w14:textId="77777777"/>
    <w:p w:rsidR="004C2EE3" w14:paraId="75D07528" w14:textId="4E03B5A9">
      <w:pPr>
        <w:rPr>
          <w:spacing w:val="-2"/>
        </w:rPr>
      </w:pPr>
      <w:r>
        <w:t xml:space="preserve">By </w:t>
      </w:r>
      <w:r w:rsidR="004E4A22">
        <w:t>the</w:t>
      </w:r>
      <w:r w:rsidR="002A2D2E">
        <w:t xml:space="preserve"> </w:t>
      </w:r>
      <w:r w:rsidR="00B8253B">
        <w:rPr>
          <w:spacing w:val="-2"/>
        </w:rPr>
        <w:t>Commission:</w:t>
      </w:r>
    </w:p>
    <w:p w:rsidR="00822CE0" w14:paraId="592B7CE3" w14:textId="77777777">
      <w:pPr>
        <w:rPr>
          <w:spacing w:val="-2"/>
        </w:rPr>
      </w:pPr>
    </w:p>
    <w:p w:rsidR="00B8253B" w:rsidP="00B8253B" w14:paraId="7722365B" w14:textId="77777777">
      <w:pPr>
        <w:pStyle w:val="Heading1"/>
        <w:keepNext w:val="0"/>
        <w:suppressAutoHyphens w:val="0"/>
      </w:pPr>
      <w:r>
        <w:t xml:space="preserve">introduction </w:t>
      </w:r>
    </w:p>
    <w:p w:rsidR="00B8253B" w:rsidP="00B8253B" w14:paraId="768C3D49" w14:textId="77777777">
      <w:pPr>
        <w:pStyle w:val="ParaNum"/>
      </w:pPr>
      <w:r>
        <w:t>In this Report and Order, we eliminate sections 73.239 and 73.635 of the Commission’s rules regarding access to FM and TV broadcast antenna sites.</w:t>
      </w:r>
      <w:r>
        <w:rPr>
          <w:rStyle w:val="FootnoteReference"/>
        </w:rPr>
        <w:footnoteReference w:id="3"/>
      </w:r>
      <w:r>
        <w:t xml:space="preserve">  We conclude that these rules no longer serve any practical purpose in light of the significant broadcast infrastructure development that has taken place since they were first adopted 75 years ago.  With this proceeding, we continue our efforts to modernize our media regulations by removing outdated and unnecessary requirements.</w:t>
      </w:r>
      <w:r>
        <w:rPr>
          <w:rStyle w:val="FootnoteReference"/>
        </w:rPr>
        <w:footnoteReference w:id="4"/>
      </w:r>
      <w:r>
        <w:t xml:space="preserve">  </w:t>
      </w:r>
    </w:p>
    <w:p w:rsidR="00B8253B" w:rsidP="00B8253B" w14:paraId="7D182003" w14:textId="77777777">
      <w:pPr>
        <w:pStyle w:val="Heading1"/>
        <w:keepNext w:val="0"/>
        <w:suppressAutoHyphens w:val="0"/>
      </w:pPr>
      <w:r>
        <w:t>background</w:t>
      </w:r>
    </w:p>
    <w:p w:rsidR="00B8253B" w:rsidP="00B8253B" w14:paraId="21911518" w14:textId="77777777">
      <w:pPr>
        <w:pStyle w:val="ParaNum"/>
      </w:pPr>
      <w:r>
        <w:t>Sections 73.239 and 73.635 of our rules prohibit the grant or renewal of an FM or TV broadcast license “to any person who owns, leases, or controls a particular site which is peculiarly suitable” for such broadcasting in a particular area, if the site is not available for use by other such licensees, no other comparable site is available in the area, and the exclusive use of the site would unduly limit the number of such stations that can be licensed or unduly restrict competition among those stations.</w:t>
      </w:r>
      <w:r>
        <w:rPr>
          <w:rStyle w:val="FootnoteReference"/>
        </w:rPr>
        <w:footnoteReference w:id="5"/>
      </w:r>
      <w:r>
        <w:t xml:space="preserve">  These rules were adopted 75 years ago, at a time when FM and TV broadcasting were emerging </w:t>
      </w:r>
      <w:r>
        <w:t>industries,</w:t>
      </w:r>
      <w:r>
        <w:rPr>
          <w:rStyle w:val="FootnoteReference"/>
        </w:rPr>
        <w:footnoteReference w:id="6"/>
      </w:r>
      <w:r>
        <w:t xml:space="preserve"> and the need to preserve materials for the U.S. military effort in World War II had led the Commission to freeze new broadcast station construction.</w:t>
      </w:r>
      <w:r>
        <w:rPr>
          <w:rStyle w:val="FootnoteReference"/>
        </w:rPr>
        <w:footnoteReference w:id="7"/>
      </w:r>
      <w:r>
        <w:t xml:space="preserve">  At that time, there were also far fewer outlets serving emerging local broadcast markets.</w:t>
      </w:r>
      <w:r>
        <w:rPr>
          <w:rStyle w:val="FootnoteReference"/>
        </w:rPr>
        <w:footnoteReference w:id="8"/>
      </w:r>
      <w:r>
        <w:t xml:space="preserve">  Since that time, the broadcast market has grown significantly with a corresponding increase in the number of antenna sites available.</w:t>
      </w:r>
      <w:r>
        <w:rPr>
          <w:rStyle w:val="FootnoteReference"/>
        </w:rPr>
        <w:footnoteReference w:id="9"/>
      </w:r>
      <w:r>
        <w:t xml:space="preserve">  This is made possible, in part, by the ability to co-locate broadcasters and other providers at a single site and a mature independent communications tower industry that owns and leases tower space to broadcasters.</w:t>
      </w:r>
      <w:r>
        <w:rPr>
          <w:rStyle w:val="FootnoteReference"/>
        </w:rPr>
        <w:footnoteReference w:id="10"/>
      </w:r>
      <w:r>
        <w:t xml:space="preserve"> </w:t>
      </w:r>
    </w:p>
    <w:p w:rsidR="00B8253B" w:rsidP="00B8253B" w14:paraId="55E2F2E3" w14:textId="77777777">
      <w:pPr>
        <w:pStyle w:val="ParaNum"/>
      </w:pPr>
      <w:r>
        <w:t xml:space="preserve">In October 2019, the Commission issued a </w:t>
      </w:r>
      <w:r>
        <w:rPr>
          <w:i/>
          <w:iCs/>
        </w:rPr>
        <w:t>Notice of Proposed Rulemaking</w:t>
      </w:r>
      <w:r>
        <w:t xml:space="preserve"> (</w:t>
      </w:r>
      <w:r>
        <w:rPr>
          <w:i/>
          <w:iCs/>
        </w:rPr>
        <w:t>NPRM</w:t>
      </w:r>
      <w:r>
        <w:t>) in this proceeding as a part of our continuing Modernization of Media Regulation Initiative.</w:t>
      </w:r>
      <w:r>
        <w:rPr>
          <w:rStyle w:val="FootnoteReference"/>
        </w:rPr>
        <w:footnoteReference w:id="11"/>
      </w:r>
      <w:r>
        <w:t xml:space="preserve">  In the </w:t>
      </w:r>
      <w:r>
        <w:rPr>
          <w:i/>
          <w:iCs/>
        </w:rPr>
        <w:t>NPRM</w:t>
      </w:r>
      <w:r>
        <w:t>, we sought comment on whether the common antenna site rules should be eliminated or revised.</w:t>
      </w:r>
      <w:r>
        <w:rPr>
          <w:rStyle w:val="FootnoteReference"/>
        </w:rPr>
        <w:footnoteReference w:id="12"/>
      </w:r>
      <w:r>
        <w:t xml:space="preserve">  Specifically, we sought comment on to what extent broadcasters own their own towers, whether any data suggests the rules remain necessary, whether any broadcasters ever request use of common antenna sites pursuant to these rules, and what effect elimination of these rules would have on the broadcast tower landscape and on FM and TV broadcasting.</w:t>
      </w:r>
      <w:r>
        <w:rPr>
          <w:rStyle w:val="FootnoteReference"/>
        </w:rPr>
        <w:footnoteReference w:id="13"/>
      </w:r>
      <w:r>
        <w:t xml:space="preserve">  We only received two comments in response to these inquiries, both of which were filed by consumers.</w:t>
      </w:r>
      <w:r>
        <w:rPr>
          <w:rStyle w:val="FootnoteReference"/>
        </w:rPr>
        <w:footnoteReference w:id="14"/>
      </w:r>
      <w:r>
        <w:t xml:space="preserve"> </w:t>
      </w:r>
    </w:p>
    <w:p w:rsidR="00B8253B" w:rsidP="00B8253B" w14:paraId="7E8CDF01" w14:textId="77777777">
      <w:pPr>
        <w:pStyle w:val="Heading1"/>
        <w:keepNext w:val="0"/>
        <w:suppressAutoHyphens w:val="0"/>
      </w:pPr>
      <w:r>
        <w:t>discussion</w:t>
      </w:r>
    </w:p>
    <w:p w:rsidR="00B8253B" w:rsidP="00B8253B" w14:paraId="7D5422D2" w14:textId="54D62ABB">
      <w:pPr>
        <w:pStyle w:val="ParaNum"/>
      </w:pPr>
      <w:r>
        <w:t xml:space="preserve">In this Report and Order, we repeal sections 73.239 and 73.635 of our rules.  Notably, we received no comment in the record from any broadcast licensees that would be affected most directly by repealing these 75-year-old rules.  As a result, there is no evidence in the record that any broadcaster believes that these rules remain necessary for it to secure an antenna site.  As mentioned above, the only </w:t>
      </w:r>
      <w:r>
        <w:t>two comments we received were filed by consumers.  Rojas agrees the rules are “outdated,” and notes the importance of broadcast services to consumers.</w:t>
      </w:r>
      <w:r>
        <w:rPr>
          <w:rStyle w:val="FootnoteReference"/>
        </w:rPr>
        <w:footnoteReference w:id="15"/>
      </w:r>
      <w:r>
        <w:t xml:space="preserve">  Mullik expresses concerns about repealing the rules, emphasizing the importance of preserving the widespread availability of FM and TV broadcasting.</w:t>
      </w:r>
      <w:r>
        <w:rPr>
          <w:rStyle w:val="FootnoteReference"/>
        </w:rPr>
        <w:footnoteReference w:id="16"/>
      </w:r>
      <w:r>
        <w:t xml:space="preserve">  We agree that we should ensure that any rule changes do not negatively impact the widespread availability of FM and TV broadcasting.  For the reasons stated below, we believe that eliminating these rules is consistent with this goal. </w:t>
      </w:r>
    </w:p>
    <w:p w:rsidR="00B8253B" w:rsidP="00B8253B" w14:paraId="1FC8BD10" w14:textId="77777777">
      <w:pPr>
        <w:pStyle w:val="ParaNum"/>
      </w:pPr>
      <w:r>
        <w:t>We conclude that eliminating these rules is appropriate for four reasons.  First, the apparent rationale for these rules—promoting a fledgling broadcast industry and preserving scarce industrial resources—no longer applies in today’s marketplace.  FM and TV broadcasting are firmly established industries, and there is no evidence in the record of any shortage of materials and equipment for the construction of new infrastructure.</w:t>
      </w:r>
      <w:r>
        <w:rPr>
          <w:rStyle w:val="FootnoteReference"/>
        </w:rPr>
        <w:footnoteReference w:id="17"/>
      </w:r>
      <w:r>
        <w:t xml:space="preserve">  Additionally, the current trend toward co-location of communications towers on antenna farms and the widespread availability of tower capacity for lease from numerous tower companies make it less likely that a suitable site will be wholly unavailable to a broadcaster seeking to serve a community.</w:t>
      </w:r>
      <w:r>
        <w:rPr>
          <w:rStyle w:val="FootnoteReference"/>
        </w:rPr>
        <w:footnoteReference w:id="18"/>
      </w:r>
      <w:r>
        <w:t xml:space="preserve">  Second, publicly available information shows that the communications tower market is dominated by entities that do not hold broadcast licenses,</w:t>
      </w:r>
      <w:r>
        <w:rPr>
          <w:rStyle w:val="FootnoteReference"/>
        </w:rPr>
        <w:footnoteReference w:id="19"/>
      </w:r>
      <w:r>
        <w:t xml:space="preserve"> and there is </w:t>
      </w:r>
      <w:r>
        <w:t>no indication in the record that their broadcast lessees have the intent or ability to restrict these tower owners from denying access to the broadcast lessees’ competitors.</w:t>
      </w:r>
      <w:r>
        <w:rPr>
          <w:rStyle w:val="FootnoteReference"/>
        </w:rPr>
        <w:footnoteReference w:id="20"/>
      </w:r>
      <w:r>
        <w:t xml:space="preserve">  Third, the current rules apply only in extremely limited circumstances, and no broadcaster claims that these rules are needed to secure access to suitable sites.</w:t>
      </w:r>
      <w:bookmarkStart w:id="4" w:name="_Ref41998774"/>
      <w:r>
        <w:rPr>
          <w:rStyle w:val="FootnoteReference"/>
        </w:rPr>
        <w:footnoteReference w:id="21"/>
      </w:r>
      <w:bookmarkEnd w:id="4"/>
      <w:r>
        <w:t xml:space="preserve">  Thus, we reject Mullik’s concern that removal of these rules will affect the availability of FM and TV signals.</w:t>
      </w:r>
      <w:r>
        <w:rPr>
          <w:rStyle w:val="FootnoteReference"/>
        </w:rPr>
        <w:footnoteReference w:id="22"/>
      </w:r>
      <w:r>
        <w:t xml:space="preserve">  Finally, we conclude that retaining a rule that has little if any applicability to the current broadcast landscape (emphasized by the fact that no representatives from the broadcast industry filed comments in this proceeding) risks wasting Commission time and resources, as well as the resources of broadcast license holders, on unnecessary adjudications.</w:t>
      </w:r>
      <w:r>
        <w:rPr>
          <w:rStyle w:val="FootnoteReference"/>
        </w:rPr>
        <w:footnoteReference w:id="23"/>
      </w:r>
      <w:r>
        <w:t xml:space="preserve">  Simply put, based on our expert judgment and the lack of record received, we find that these 75-year-old rules have outlived their utility.  Therefore, we determine that it is in the public interest to eliminate these outdated rules.  </w:t>
      </w:r>
    </w:p>
    <w:p w:rsidR="00B8253B" w:rsidP="00B8253B" w14:paraId="7309E281" w14:textId="77777777">
      <w:pPr>
        <w:pStyle w:val="Heading1"/>
        <w:keepNext w:val="0"/>
        <w:suppressAutoHyphens w:val="0"/>
      </w:pPr>
      <w:r>
        <w:t xml:space="preserve">procedural matters </w:t>
      </w:r>
    </w:p>
    <w:p w:rsidR="00B8253B" w:rsidP="00B8253B" w14:paraId="5D436AF1" w14:textId="77777777">
      <w:pPr>
        <w:pStyle w:val="ParaNum"/>
        <w:tabs>
          <w:tab w:val="num" w:pos="1530"/>
        </w:tabs>
      </w:pPr>
      <w:r>
        <w:rPr>
          <w:i/>
        </w:rPr>
        <w:t>Final Regulatory Flexibility Analysis.</w:t>
      </w:r>
      <w:r>
        <w:t xml:space="preserve">  As required by the Regulatory Flexibility Act of 1980, as amended (RFA),</w:t>
      </w:r>
      <w:r>
        <w:rPr>
          <w:rStyle w:val="FootnoteReference"/>
        </w:rPr>
        <w:footnoteReference w:id="24"/>
      </w:r>
      <w:r>
        <w:t xml:space="preserve"> the Commission has prepared a Final Regulatory Flexibility Analysis (FRFA) relating to this Order</w:t>
      </w:r>
      <w:r>
        <w:rPr>
          <w:i/>
          <w:iCs/>
        </w:rPr>
        <w:t xml:space="preserve">.  </w:t>
      </w:r>
      <w:r>
        <w:t>The FRFA is set forth in Appendix B.</w:t>
      </w:r>
      <w:r>
        <w:rPr>
          <w:i/>
        </w:rPr>
        <w:t xml:space="preserve">  </w:t>
      </w:r>
    </w:p>
    <w:p w:rsidR="00A455F0" w:rsidP="00A455F0" w14:paraId="6C767BDF" w14:textId="77777777">
      <w:pPr>
        <w:pStyle w:val="ParaNum"/>
        <w:tabs>
          <w:tab w:val="num" w:pos="1530"/>
        </w:tabs>
      </w:pPr>
      <w:r>
        <w:rPr>
          <w:i/>
        </w:rPr>
        <w:t>Paperwork Reduction Act Analysis.</w:t>
      </w:r>
      <w:r>
        <w:t xml:space="preserve">  This document does not contain new or modified information collection requirements subject to the Paperwork Reduction Act of 1995 (PRA), Public Law </w:t>
      </w:r>
      <w:r>
        <w:t>104-13.  In addition, therefore, it does not contain any new or modified information collection burden for small business concerns with fewer than 25 employees, pursuant to the Small Business Paperwork Relief Act of 2002, Public Law 107-198, see 44 U.S.C. 3506(c)(4).</w:t>
      </w:r>
    </w:p>
    <w:p w:rsidR="00B8253B" w:rsidP="006B6F2E" w14:paraId="5A548E3C" w14:textId="33656236">
      <w:pPr>
        <w:pStyle w:val="ParaNum"/>
        <w:tabs>
          <w:tab w:val="num" w:pos="1530"/>
        </w:tabs>
      </w:pPr>
      <w:r w:rsidRPr="00A455F0">
        <w:rPr>
          <w:i/>
        </w:rPr>
        <w:t xml:space="preserve">Congressional Review Act.  </w:t>
      </w:r>
      <w:bookmarkStart w:id="5" w:name="_Hlk38960233"/>
      <w:r w:rsidRPr="00BE250C" w:rsidR="003930AF">
        <w:t>The Commission has determined, and the Administrator of the Office of Information and Regulatory Affairs, Office of Management and Budget concurs</w:t>
      </w:r>
      <w:r w:rsidR="003930AF">
        <w:t>,</w:t>
      </w:r>
      <w:r w:rsidRPr="00BE250C" w:rsidR="003930AF">
        <w:t xml:space="preserve"> that this rule is “non-major” under the Congressional Review Act, 5 U.S.C. § 804(2).</w:t>
      </w:r>
      <w:r w:rsidR="003930AF">
        <w:t xml:space="preserve">  </w:t>
      </w:r>
      <w:r w:rsidRPr="00CF1AD9" w:rsidR="003930AF">
        <w:t xml:space="preserve">The Commission will send a copy of this </w:t>
      </w:r>
      <w:r w:rsidRPr="00A455F0" w:rsidR="003930AF">
        <w:t>Report and Order</w:t>
      </w:r>
      <w:r w:rsidRPr="00CF1AD9" w:rsidR="003930AF">
        <w:t xml:space="preserve"> to Congress and the Government Accountability Office pursuant to 5</w:t>
      </w:r>
      <w:r w:rsidR="003930AF">
        <w:t xml:space="preserve"> </w:t>
      </w:r>
      <w:r w:rsidRPr="00CF1AD9" w:rsidR="003930AF">
        <w:t>U.S.C. § 801(a)(1)(A).</w:t>
      </w:r>
      <w:bookmarkStart w:id="6" w:name="_GoBack"/>
      <w:bookmarkEnd w:id="5"/>
      <w:bookmarkEnd w:id="6"/>
      <w:r>
        <w:t xml:space="preserve">  </w:t>
      </w:r>
    </w:p>
    <w:p w:rsidR="00B8253B" w:rsidP="00B8253B" w14:paraId="78E173ED" w14:textId="77777777">
      <w:pPr>
        <w:pStyle w:val="Heading1"/>
        <w:keepNext w:val="0"/>
        <w:suppressAutoHyphens w:val="0"/>
      </w:pPr>
      <w:r>
        <w:t xml:space="preserve">ordering clauses </w:t>
      </w:r>
    </w:p>
    <w:p w:rsidR="00B8253B" w:rsidP="00B8253B" w14:paraId="7C294D05" w14:textId="77777777">
      <w:pPr>
        <w:pStyle w:val="ParaNum"/>
        <w:tabs>
          <w:tab w:val="num" w:pos="1530"/>
        </w:tabs>
      </w:pPr>
      <w:r>
        <w:t xml:space="preserve">Accordingly, </w:t>
      </w:r>
      <w:r>
        <w:rPr>
          <w:b/>
        </w:rPr>
        <w:t>IT IS ORDERED</w:t>
      </w:r>
      <w:r>
        <w:t xml:space="preserve"> that, pursuant to the authority contained in sections 1, 4(i), 4(j), 303(r), 307, and 309 of the Communications Act of 1934, as amended, 47 U.S.C. §§ 151, 154(i), 154(j), 303(r), 307, and 309, the Report and Order </w:t>
      </w:r>
      <w:r>
        <w:rPr>
          <w:b/>
        </w:rPr>
        <w:t>IS ADOPTED.</w:t>
      </w:r>
      <w:r>
        <w:t xml:space="preserve"> </w:t>
      </w:r>
    </w:p>
    <w:p w:rsidR="00B8253B" w:rsidP="00B8253B" w14:paraId="577CB7D2" w14:textId="77777777">
      <w:pPr>
        <w:pStyle w:val="ParaNum"/>
        <w:tabs>
          <w:tab w:val="num" w:pos="1530"/>
        </w:tabs>
      </w:pPr>
      <w:r>
        <w:rPr>
          <w:b/>
        </w:rPr>
        <w:t>IT IS FURTHER ORDERED</w:t>
      </w:r>
      <w:r>
        <w:t xml:space="preserve"> that the Commission’s rules </w:t>
      </w:r>
      <w:r>
        <w:rPr>
          <w:b/>
        </w:rPr>
        <w:t>ARE HEREBY AMENDED</w:t>
      </w:r>
      <w:r>
        <w:t xml:space="preserve"> as set forth in Appendix A, effective as of the date of publication of a summary in the Federal Register.</w:t>
      </w:r>
      <w:r>
        <w:rPr>
          <w:vertAlign w:val="superscript"/>
        </w:rPr>
        <w:footnoteReference w:id="25"/>
      </w:r>
    </w:p>
    <w:p w:rsidR="00B8253B" w:rsidP="00B8253B" w14:paraId="66A4C8A1" w14:textId="77777777">
      <w:pPr>
        <w:pStyle w:val="ParaNum"/>
      </w:pPr>
      <w:r>
        <w:rPr>
          <w:b/>
          <w:bCs/>
        </w:rPr>
        <w:t xml:space="preserve">IT IS </w:t>
      </w:r>
      <w:r>
        <w:rPr>
          <w:b/>
        </w:rPr>
        <w:t>FURTHER</w:t>
      </w:r>
      <w:r>
        <w:rPr>
          <w:b/>
          <w:bCs/>
        </w:rPr>
        <w:t xml:space="preserve"> ORDERED</w:t>
      </w:r>
      <w:r>
        <w:t xml:space="preserve"> that the Commission’s Consumer and Governmental Affairs Bureau, Reference Information Center, </w:t>
      </w:r>
      <w:r>
        <w:rPr>
          <w:b/>
          <w:bCs/>
        </w:rPr>
        <w:t>SHALL SEND</w:t>
      </w:r>
      <w:r>
        <w:t xml:space="preserve"> a copy of this Report and Order, including the Final Regulatory Flexibility Analysis, to the Chief Counsel for Advocacy of the Small Business Administration.</w:t>
      </w:r>
    </w:p>
    <w:p w:rsidR="00B8253B" w:rsidP="00B8253B" w14:paraId="5AB1C46B" w14:textId="77777777">
      <w:pPr>
        <w:pStyle w:val="ParaNum"/>
      </w:pPr>
      <w:r>
        <w:rPr>
          <w:b/>
        </w:rPr>
        <w:t>IT IS FURTHER ORDERED</w:t>
      </w:r>
      <w:r>
        <w:t xml:space="preserve"> that the Commission will send a copy of the Report and Order in a report to Congress and the Government Accountability Office pursuant to the Congressional Review Act (CRA).</w:t>
      </w:r>
    </w:p>
    <w:p w:rsidR="00B8253B" w:rsidP="00B8253B" w14:paraId="70C92757" w14:textId="77777777">
      <w:pPr>
        <w:pStyle w:val="ParaNum"/>
      </w:pPr>
      <w:r>
        <w:rPr>
          <w:b/>
        </w:rPr>
        <w:t>IT IS FURTHER ORDERED</w:t>
      </w:r>
      <w:r>
        <w:t xml:space="preserve"> that should no petitions for reconsideration or petitions for judicial review be timely filed, MB Docket No. 19-282 </w:t>
      </w:r>
      <w:r>
        <w:rPr>
          <w:b/>
        </w:rPr>
        <w:t>SHALL BE</w:t>
      </w:r>
      <w:r>
        <w:t xml:space="preserve"> </w:t>
      </w:r>
      <w:r>
        <w:rPr>
          <w:b/>
        </w:rPr>
        <w:t>TERMINATED</w:t>
      </w:r>
      <w:r>
        <w:t xml:space="preserve"> and its docket closed.</w:t>
      </w:r>
    </w:p>
    <w:p w:rsidR="00B8253B" w:rsidP="00B8253B" w14:paraId="6FF73913" w14:textId="77777777">
      <w:r>
        <w:tab/>
      </w:r>
      <w:r>
        <w:tab/>
      </w:r>
      <w:r>
        <w:tab/>
      </w:r>
      <w:r>
        <w:tab/>
      </w:r>
      <w:r>
        <w:tab/>
      </w:r>
      <w:r>
        <w:tab/>
        <w:t>FEDERAL COMMUNICATIONS COMMISSION</w:t>
      </w:r>
    </w:p>
    <w:p w:rsidR="00B8253B" w:rsidP="00B8253B" w14:paraId="7A55937F" w14:textId="77777777"/>
    <w:p w:rsidR="00B8253B" w:rsidP="00B8253B" w14:paraId="40086A3F" w14:textId="77777777"/>
    <w:p w:rsidR="00B8253B" w:rsidP="00B8253B" w14:paraId="1DE0B726" w14:textId="77777777"/>
    <w:p w:rsidR="00B8253B" w:rsidP="00B8253B" w14:paraId="50DEF27D" w14:textId="77777777"/>
    <w:p w:rsidR="00B8253B" w:rsidP="00B8253B" w14:paraId="14097C68" w14:textId="77777777">
      <w:r>
        <w:tab/>
      </w:r>
      <w:r>
        <w:tab/>
      </w:r>
      <w:r>
        <w:tab/>
      </w:r>
      <w:r>
        <w:tab/>
      </w:r>
      <w:r>
        <w:tab/>
      </w:r>
      <w:r>
        <w:tab/>
        <w:t>Marlene H. Dortch</w:t>
      </w:r>
    </w:p>
    <w:p w:rsidR="00B8253B" w:rsidP="00B8253B" w14:paraId="34A1C549"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8253B" w:rsidP="00B8253B" w14:paraId="1A029A51" w14:textId="77777777">
      <w:pPr>
        <w:pStyle w:val="StyleBoldCentered"/>
      </w:pPr>
      <w:r>
        <w:t>appendix a</w:t>
      </w:r>
    </w:p>
    <w:p w:rsidR="00B8253B" w:rsidP="00B8253B" w14:paraId="70E6CFDE" w14:textId="77777777">
      <w:pPr>
        <w:pStyle w:val="StyleBoldCentered"/>
      </w:pPr>
    </w:p>
    <w:p w:rsidR="00B8253B" w:rsidP="00B8253B" w14:paraId="61C16B90" w14:textId="77777777">
      <w:pPr>
        <w:jc w:val="center"/>
        <w:rPr>
          <w:b/>
          <w:bCs/>
        </w:rPr>
      </w:pPr>
      <w:r>
        <w:rPr>
          <w:b/>
          <w:bCs/>
        </w:rPr>
        <w:t>Final Rules</w:t>
      </w:r>
    </w:p>
    <w:p w:rsidR="00B8253B" w:rsidP="00B8253B" w14:paraId="54484D27" w14:textId="77777777"/>
    <w:p w:rsidR="00B8253B" w:rsidP="00B8253B" w14:paraId="74C4A2D6" w14:textId="77777777">
      <w:r>
        <w:t>Part 73 of Title 47 of the U.S. Code of Federal Regulations is amended to read as follows:</w:t>
      </w:r>
    </w:p>
    <w:p w:rsidR="00B8253B" w:rsidP="00B8253B" w14:paraId="36A7EB7F" w14:textId="77777777"/>
    <w:p w:rsidR="00B8253B" w:rsidP="00B8253B" w14:paraId="6302356F" w14:textId="77777777">
      <w:r>
        <w:t>PART 73 – RADIO BROADCAST SERVICES</w:t>
      </w:r>
    </w:p>
    <w:p w:rsidR="00B8253B" w:rsidP="00B8253B" w14:paraId="66C8DC68" w14:textId="77777777"/>
    <w:p w:rsidR="00B8253B" w:rsidP="00B8253B" w14:paraId="42BC7000" w14:textId="77777777">
      <w:r>
        <w:t xml:space="preserve">1. </w:t>
      </w:r>
      <w:r>
        <w:tab/>
        <w:t>The Authority citation for Part 73 continues to read as follows:</w:t>
      </w:r>
    </w:p>
    <w:p w:rsidR="00B8253B" w:rsidP="00B8253B" w14:paraId="52219142" w14:textId="77777777"/>
    <w:p w:rsidR="00B8253B" w:rsidP="00B8253B" w14:paraId="6CCE61F9" w14:textId="77777777">
      <w:r>
        <w:t>Authority: 47 U.S.C. 154, 155, 301, 303, 307, 309, 310, 334, 336, 339.</w:t>
      </w:r>
    </w:p>
    <w:p w:rsidR="00B8253B" w:rsidP="00B8253B" w14:paraId="449174DC" w14:textId="77777777"/>
    <w:p w:rsidR="00B8253B" w:rsidP="00B8253B" w14:paraId="1B3CE8E0" w14:textId="37323DF2">
      <w:r>
        <w:t xml:space="preserve">2. </w:t>
      </w:r>
      <w:r>
        <w:tab/>
        <w:t>Section 73.239 is removed.</w:t>
      </w:r>
    </w:p>
    <w:p w:rsidR="00B8253B" w:rsidP="00B8253B" w14:paraId="0ABEA1C2" w14:textId="77777777"/>
    <w:p w:rsidR="00B8253B" w:rsidP="00B8253B" w14:paraId="0205BE86" w14:textId="1D7F49FA">
      <w:pPr>
        <w:sectPr w:rsidSect="006C4A7E">
          <w:endnotePr>
            <w:numFmt w:val="decimal"/>
          </w:endnotePr>
          <w:pgSz w:w="12240" w:h="15840"/>
          <w:pgMar w:top="1440" w:right="1440" w:bottom="720" w:left="1440" w:header="720" w:footer="720" w:gutter="0"/>
          <w:cols w:space="720"/>
          <w:noEndnote/>
          <w:docGrid w:linePitch="299"/>
        </w:sectPr>
      </w:pPr>
      <w:r>
        <w:t xml:space="preserve">3. </w:t>
      </w:r>
      <w:r>
        <w:tab/>
        <w:t>Section 73.635 is removed.</w:t>
      </w:r>
    </w:p>
    <w:p w:rsidR="00B8253B" w:rsidP="00B8253B" w14:paraId="51EBA40E" w14:textId="77777777">
      <w:pPr>
        <w:pStyle w:val="StyleBoldCentered"/>
      </w:pPr>
      <w:r>
        <w:t>appendix b</w:t>
      </w:r>
    </w:p>
    <w:p w:rsidR="00B8253B" w:rsidP="00B8253B" w14:paraId="58017BD6" w14:textId="77777777">
      <w:pPr>
        <w:pStyle w:val="StyleBoldCentered"/>
      </w:pPr>
    </w:p>
    <w:p w:rsidR="00B8253B" w:rsidP="00B8253B" w14:paraId="4BF896E9" w14:textId="77777777">
      <w:pPr>
        <w:jc w:val="center"/>
        <w:rPr>
          <w:b/>
          <w:bCs/>
        </w:rPr>
      </w:pPr>
      <w:r>
        <w:rPr>
          <w:b/>
          <w:bCs/>
        </w:rPr>
        <w:t>Final Regulatory Flexibility Act Analysis</w:t>
      </w:r>
    </w:p>
    <w:p w:rsidR="00B8253B" w:rsidP="00B8253B" w14:paraId="1AC23E24" w14:textId="77777777">
      <w:pPr>
        <w:pStyle w:val="ParaNum"/>
        <w:numPr>
          <w:ilvl w:val="0"/>
          <w:numId w:val="0"/>
        </w:numPr>
        <w:ind w:left="720"/>
      </w:pPr>
    </w:p>
    <w:p w:rsidR="00B8253B" w:rsidP="00B8253B" w14:paraId="28D6A839" w14:textId="77777777">
      <w:pPr>
        <w:pStyle w:val="ParaNum"/>
        <w:numPr>
          <w:ilvl w:val="0"/>
          <w:numId w:val="7"/>
        </w:numPr>
      </w:pPr>
      <w:r>
        <w:tab/>
        <w:t>As required by the Regulatory Flexibility Act of 1980, as amended (RFA),</w:t>
      </w:r>
      <w:r>
        <w:rPr>
          <w:vertAlign w:val="superscript"/>
        </w:rPr>
        <w:footnoteReference w:id="26"/>
      </w:r>
      <w:r>
        <w:t xml:space="preserve"> an Initial Regulatory </w:t>
      </w:r>
      <w:r>
        <w:rPr>
          <w:rStyle w:val="PageNumber"/>
        </w:rPr>
        <w:t>Flexibility</w:t>
      </w:r>
      <w:r>
        <w:t xml:space="preserve"> Analysis (IRFA) was incorporated in the Notice of Proposed Rulemaking in this proceeding.</w:t>
      </w:r>
      <w:r>
        <w:rPr>
          <w:vertAlign w:val="superscript"/>
        </w:rPr>
        <w:footnoteReference w:id="27"/>
      </w:r>
      <w:r>
        <w:t xml:space="preserve">  The Federal Communications Commission (Commission) sought written public comment on the proposals in the NPRM, including comment on the IRFA.  We received no comments specifically directed toward the IRFA.  This Final Regulatory Flexibility Analysis (FRFA) conforms to the RFA.</w:t>
      </w:r>
      <w:r>
        <w:rPr>
          <w:vertAlign w:val="superscript"/>
        </w:rPr>
        <w:footnoteReference w:id="28"/>
      </w:r>
    </w:p>
    <w:p w:rsidR="00B8253B" w:rsidP="00B8253B" w14:paraId="4E004E93" w14:textId="77777777">
      <w:pPr>
        <w:pStyle w:val="Heading2"/>
        <w:keepNext w:val="0"/>
      </w:pPr>
      <w:r>
        <w:t>Need for, and Objective of, the Report and Order</w:t>
      </w:r>
    </w:p>
    <w:p w:rsidR="00B8253B" w:rsidP="00B8253B" w14:paraId="7CD33C42" w14:textId="77777777">
      <w:pPr>
        <w:pStyle w:val="ParaNum"/>
      </w:pPr>
      <w:r>
        <w:t>The Report and Order eliminates the requirements in sections 73.239 and 73.635 of the Commission’s rules, regarding access to FM or TV broadcast antenna sites.</w:t>
      </w:r>
      <w:r>
        <w:rPr>
          <w:rStyle w:val="FootnoteReference"/>
        </w:rPr>
        <w:footnoteReference w:id="29"/>
      </w:r>
      <w:r>
        <w:t xml:space="preserve">  These rules prohibit the grant of a license for a broadcast FM or TV station, or a license renewal, to an entity that owns, leases, or controls a site that “is peculiarly suitable” for FM or TV broadcasting in a particular area unless the site is available for use by other FM or TV licensees or there is another comparable site available in the area, and where the exclusive use of the site by the applicant or licensee “would unduly limit the number of” FM or TV stations that can be authorized in a particular area or would “unduly restrict competition among” FM and TV stations.  We conclude in the Report and Order that these requirements are outdated and unnecessary in light of the significant changes in the broadcast marketplace, including substantial growth in the availability of broadcast infrastructure that has occurred since these restrictions were first adopted nearly 75 years ago.  With this proceeding, we continue our efforts to modernize our rules and eliminate outdated and unnecessary regulations.</w:t>
      </w:r>
      <w:r>
        <w:rPr>
          <w:vertAlign w:val="superscript"/>
        </w:rPr>
        <w:footnoteReference w:id="30"/>
      </w:r>
      <w:r>
        <w:rPr>
          <w:kern w:val="0"/>
          <w:sz w:val="24"/>
          <w:szCs w:val="24"/>
        </w:rPr>
        <w:t xml:space="preserve"> </w:t>
      </w:r>
    </w:p>
    <w:p w:rsidR="00B8253B" w:rsidP="00B8253B" w14:paraId="4EBBAE88" w14:textId="77777777">
      <w:pPr>
        <w:pStyle w:val="Heading2"/>
        <w:keepNext w:val="0"/>
      </w:pPr>
      <w:r>
        <w:t>Summary of Significant Issues Raised by Public Comments in Response to the IRFA</w:t>
      </w:r>
    </w:p>
    <w:p w:rsidR="00B8253B" w:rsidP="00B8253B" w14:paraId="1123694E" w14:textId="77777777">
      <w:pPr>
        <w:pStyle w:val="ParaNum"/>
      </w:pPr>
      <w:r>
        <w:t>There were no comments filed in response to the IRFA.</w:t>
      </w:r>
    </w:p>
    <w:p w:rsidR="00B8253B" w:rsidP="00B8253B" w14:paraId="168B9D45" w14:textId="77777777">
      <w:pPr>
        <w:pStyle w:val="Heading2"/>
        <w:keepNext w:val="0"/>
      </w:pPr>
      <w:r>
        <w:t xml:space="preserve">Response to comments by the Chief Counsel for Advocacy of the Small Business Administration </w:t>
      </w:r>
    </w:p>
    <w:p w:rsidR="00B8253B" w:rsidP="00B8253B" w14:paraId="051D21EF" w14:textId="77777777">
      <w:pPr>
        <w:pStyle w:val="ParaNum"/>
        <w:tabs>
          <w:tab w:val="num" w:pos="1530"/>
        </w:tabs>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31"/>
      </w:r>
    </w:p>
    <w:p w:rsidR="00B8253B" w:rsidP="00B8253B" w14:paraId="49AB7456" w14:textId="77777777">
      <w:pPr>
        <w:pStyle w:val="ParaNum"/>
        <w:tabs>
          <w:tab w:val="num" w:pos="1530"/>
        </w:tabs>
      </w:pPr>
      <w:r>
        <w:t>The Chief Counsel did not file any comments in response to the proposed rules in this proceeding.</w:t>
      </w:r>
    </w:p>
    <w:p w:rsidR="00B8253B" w:rsidP="00B8253B" w14:paraId="519AEF04" w14:textId="77777777">
      <w:pPr>
        <w:pStyle w:val="Heading2"/>
        <w:keepLines/>
      </w:pPr>
      <w:r>
        <w:t xml:space="preserve">Description and Estimate of the Number of Small Entities to Which Rules Will Apply </w:t>
      </w:r>
    </w:p>
    <w:p w:rsidR="00B8253B" w:rsidP="00B8253B" w14:paraId="3FD05C3F" w14:textId="77777777">
      <w:pPr>
        <w:pStyle w:val="ParaNum"/>
      </w:pPr>
      <w:r>
        <w:t>The RFA directs agencies to provide a description of, and where feasible, an estimate of the number of small entities that may be affected by the proposed rules, if adopted.</w:t>
      </w:r>
      <w:r>
        <w:rPr>
          <w:vertAlign w:val="superscript"/>
        </w:rPr>
        <w:footnoteReference w:id="32"/>
      </w:r>
      <w:r>
        <w:t xml:space="preserve">  The RFA generally defines the term “small entity” as having the same meaning as the terms “small business,” “small organization,” and “small governmental jurisdiction.”</w:t>
      </w:r>
      <w:r>
        <w:rPr>
          <w:vertAlign w:val="superscript"/>
        </w:rPr>
        <w:footnoteReference w:id="33"/>
      </w:r>
      <w:r>
        <w:t xml:space="preserve">  In addition, the term “small business” has the same meaning as the term “small business concern” under the Small Business Act.</w:t>
      </w:r>
      <w:r>
        <w:rPr>
          <w:vertAlign w:val="superscript"/>
        </w:rPr>
        <w:footnoteReference w:id="34"/>
      </w:r>
      <w:r>
        <w:t xml:space="preserve">  A small business concern is one which: (1) is independently owned and operated; (2) is not dominant in its field of operation; and (3) satisfies any additional criteria established by the SBA.</w:t>
      </w:r>
      <w:r>
        <w:rPr>
          <w:vertAlign w:val="superscript"/>
        </w:rPr>
        <w:footnoteReference w:id="35"/>
      </w:r>
      <w:r>
        <w:t xml:space="preserve">  Below, we provide a description of such small entities, as well as an estimate of the number of such small entities, where feasible. </w:t>
      </w:r>
    </w:p>
    <w:p w:rsidR="00B8253B" w:rsidP="00B8253B" w14:paraId="376FB707" w14:textId="77777777">
      <w:pPr>
        <w:pStyle w:val="ParaNum"/>
      </w:pPr>
      <w:r>
        <w:rPr>
          <w:i/>
        </w:rPr>
        <w:t>Radio Stations</w:t>
      </w:r>
      <w:r>
        <w:t>.  This Economic Census category “comprises establishments primarily engaged in broadcasting aural programs by radio to the public.  Programming may originate in their own studio, from an affiliated network, or from external sources.”</w:t>
      </w:r>
      <w:r>
        <w:rPr>
          <w:vertAlign w:val="superscript"/>
        </w:rPr>
        <w:footnoteReference w:id="36"/>
      </w:r>
      <w:r>
        <w:t xml:space="preserve">  The SBA has established a small business size standard for this category as firms having $41.5 million or less in annual receipts.</w:t>
      </w:r>
      <w:r>
        <w:rPr>
          <w:vertAlign w:val="superscript"/>
        </w:rPr>
        <w:footnoteReference w:id="37"/>
      </w:r>
      <w:r>
        <w:t xml:space="preserve">  Economic Census data for 2012 shows that 2,849 radio station firms operated during that year.</w:t>
      </w:r>
      <w:r>
        <w:rPr>
          <w:vertAlign w:val="superscript"/>
        </w:rPr>
        <w:footnoteReference w:id="38"/>
      </w:r>
      <w:r>
        <w:t xml:space="preserve">  Of that number, 2,806 firms operated with annual receipts of less than $25 million per year, 17 with annual receipts between $24,999,999 and $50 million, and 26 with annual receipts of $50 million or more.</w:t>
      </w:r>
      <w:r>
        <w:rPr>
          <w:vertAlign w:val="superscript"/>
        </w:rPr>
        <w:footnoteReference w:id="39"/>
      </w:r>
      <w:r>
        <w:t xml:space="preserve">  Therefore, based on the SBA’s size standard the majority of such entities are small entities. </w:t>
      </w:r>
    </w:p>
    <w:p w:rsidR="00B8253B" w:rsidP="00B8253B" w14:paraId="53CD4EB9" w14:textId="77777777">
      <w:pPr>
        <w:pStyle w:val="ParaNum"/>
      </w:pPr>
      <w:r>
        <w:t>According to Commission staff review of the BIA/Kelsey, LLC’s Media Access Pro Radio Database on January 8, 2018, about 11,372 (or about 99.9 percent) of 11,383 commercial radio stations had revenues of $41.5 million or less and thus qualify as small entities under the SBA definition.  The Commission has estimated that there are 6,706 licensed FM commercial stations.</w:t>
      </w:r>
      <w:r>
        <w:rPr>
          <w:vertAlign w:val="superscript"/>
        </w:rPr>
        <w:footnoteReference w:id="40"/>
      </w:r>
      <w:r>
        <w:t xml:space="preserve">  We note the Commission has also estimated the number of licensed noncommercial (NCE) FM radio stations to be 4,197.</w:t>
      </w:r>
      <w:r>
        <w:rPr>
          <w:vertAlign w:val="superscript"/>
        </w:rPr>
        <w:footnoteReference w:id="41"/>
      </w:r>
      <w:r>
        <w:t xml:space="preserve">  However, the Commission does not compile or have access to information on the revenue of NCE stations that would permit it to determine how many such stations would qualify as small entities. </w:t>
      </w:r>
    </w:p>
    <w:p w:rsidR="00B8253B" w:rsidP="00B8253B" w14:paraId="0651FE7B" w14:textId="77777777">
      <w:pPr>
        <w:pStyle w:val="ParaNum"/>
        <w:widowControl/>
      </w:pPr>
      <w:r>
        <w:t>We also note, that in assessing whether a business entity qualifies as small under the above definition, business control affiliations must be included.</w:t>
      </w:r>
      <w:r>
        <w:rPr>
          <w:vertAlign w:val="superscript"/>
        </w:rPr>
        <w:footnoteReference w:id="42"/>
      </w:r>
      <w: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43"/>
      </w:r>
      <w: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B8253B" w:rsidP="00B8253B" w14:paraId="129C5E0C" w14:textId="77777777">
      <w:pPr>
        <w:pStyle w:val="ParaNum"/>
      </w:pPr>
      <w:r>
        <w:rPr>
          <w:i/>
        </w:rPr>
        <w:t>Television Broadcasting</w:t>
      </w:r>
      <w:r>
        <w:t>.  This Economic Census category “comprises establishments primarily engaged in broadcasting images together with sound.”</w:t>
      </w:r>
      <w:r>
        <w:rPr>
          <w:vertAlign w:val="superscript"/>
        </w:rPr>
        <w:footnoteReference w:id="44"/>
      </w:r>
      <w:r>
        <w:t xml:space="preserve">  These establishments operate television broadcast studios and facilities for the programming and transmission of programs to the public.</w:t>
      </w:r>
      <w:r>
        <w:rPr>
          <w:vertAlign w:val="superscript"/>
        </w:rPr>
        <w:footnoteReference w:id="45"/>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46"/>
      </w:r>
      <w:r>
        <w:t xml:space="preserve">  The 2012 Economic Census reports that 751 firms in this category operated in that year.  Of this number, 656 had annual receipts of $25 million or less, 25 had annual receipts between $24,999,999 and $50 million, and 70 had annual receipts of $50 million or more.</w:t>
      </w:r>
      <w:r>
        <w:rPr>
          <w:vertAlign w:val="superscript"/>
        </w:rPr>
        <w:footnoteReference w:id="47"/>
      </w:r>
      <w:r>
        <w:t xml:space="preserve">  Based on this data we therefore estimate that the majority of commercial television broadcasters are small entities under the applicable SBA size standard.</w:t>
      </w:r>
    </w:p>
    <w:p w:rsidR="00B8253B" w:rsidP="00B8253B" w14:paraId="13D0B007" w14:textId="77777777">
      <w:pPr>
        <w:pStyle w:val="ParaNum"/>
      </w:pPr>
      <w:r>
        <w:t>The Commission has estimated the number of licensed full power commercial television stations to be 1,368.</w:t>
      </w:r>
      <w:bookmarkStart w:id="7" w:name="_Ref499047464"/>
      <w:r>
        <w:rPr>
          <w:vertAlign w:val="superscript"/>
        </w:rPr>
        <w:footnoteReference w:id="48"/>
      </w:r>
      <w:bookmarkEnd w:id="7"/>
      <w:r>
        <w:t xml:space="preserve">  Of this total, 1,257 stations had revenues of $41.5 million or less, according to Commission staff review of the BIA Kelsey Inc. Media Access Pro Television Database (BIA) on January 8, 2018, and therefore these licensees qualify as small entities under the SBA definition.  In addition, the Commission has estimated the number of licensed noncommercial educational (NCE) television stations to be 390.</w:t>
      </w:r>
      <w:r>
        <w:rPr>
          <w:vertAlign w:val="superscript"/>
        </w:rPr>
        <w:footnoteReference w:id="49"/>
      </w:r>
      <w:r>
        <w:t xml:space="preserve">  These stations are non-profit, and therefore considered to be small entities.</w:t>
      </w:r>
      <w:r>
        <w:rPr>
          <w:vertAlign w:val="superscript"/>
        </w:rPr>
        <w:footnoteReference w:id="50"/>
      </w:r>
    </w:p>
    <w:p w:rsidR="00B8253B" w:rsidP="00B8253B" w14:paraId="47FDC2D3" w14:textId="77777777">
      <w:pPr>
        <w:pStyle w:val="ParaNum"/>
        <w:widowControl/>
      </w:pPr>
      <w:r>
        <w:t>There are also 386 Class A stations.</w:t>
      </w:r>
      <w:r>
        <w:rPr>
          <w:vertAlign w:val="superscript"/>
        </w:rPr>
        <w:footnoteReference w:id="51"/>
      </w:r>
      <w:r>
        <w:t xml:space="preserve">  Given the nature of these services, we will presume that all of these entities qualify as small entities under the above SBA small business size standard.</w:t>
      </w:r>
    </w:p>
    <w:p w:rsidR="00B8253B" w:rsidP="00B8253B" w14:paraId="6D280106" w14:textId="77777777">
      <w:pPr>
        <w:pStyle w:val="ParaNum"/>
      </w:pPr>
      <w:r>
        <w:t>We note, however, that in assessing whether a business concern qualifies as “small” under the above definition, business (control) affiliations</w:t>
      </w:r>
      <w:r>
        <w:rPr>
          <w:vertAlign w:val="superscript"/>
        </w:rPr>
        <w:footnoteReference w:id="52"/>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B8253B" w:rsidP="00B8253B" w14:paraId="32BC445B" w14:textId="77777777">
      <w:pPr>
        <w:pStyle w:val="Heading2"/>
        <w:keepNext w:val="0"/>
      </w:pPr>
      <w:r>
        <w:t xml:space="preserve">Description of Projected Reporting, Recordkeeping, and Other Compliance Requirements for Small Entities </w:t>
      </w:r>
    </w:p>
    <w:p w:rsidR="00B8253B" w:rsidP="00B8253B" w14:paraId="7B973697" w14:textId="77777777">
      <w:pPr>
        <w:pStyle w:val="ParaNum"/>
      </w:pPr>
      <w:r>
        <w:t xml:space="preserve">This Report and Order eliminates two rules which prohibit the grant or renewal of a license for an FM or TV station under extremely limited circumstances.  Accordingly, the Report and Order does not impose any new reporting, recordkeeping, or other compliance requirements for any small entities.  Elimination of these rules should reduce compliance requirements for FM radio and full power and Class A TV stations, as they are currently obligated to comply with these rules. </w:t>
      </w:r>
    </w:p>
    <w:p w:rsidR="00B8253B" w:rsidP="00B8253B" w14:paraId="73162F65" w14:textId="77777777">
      <w:pPr>
        <w:pStyle w:val="Heading2"/>
        <w:keepNext w:val="0"/>
      </w:pPr>
      <w:r>
        <w:t xml:space="preserve">Steps Taken to Minimize the Significant Economic Impact on Small Entities, and Significant Alternatives Considered. </w:t>
      </w:r>
    </w:p>
    <w:p w:rsidR="00B8253B" w:rsidP="00B8253B" w14:paraId="35252F4D" w14:textId="77777777">
      <w:pPr>
        <w:pStyle w:val="ParaNum"/>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 reporting requirements under the rule for such small entities; (3) the use of performance rather than design standards; and (4) an exemption from coverage of the rule, or any part thereof, for such small entities.”</w:t>
      </w:r>
      <w:r>
        <w:rPr>
          <w:rStyle w:val="FootnoteReference"/>
        </w:rPr>
        <w:footnoteReference w:id="53"/>
      </w:r>
    </w:p>
    <w:p w:rsidR="00B8253B" w:rsidP="00B8253B" w14:paraId="6E946F51" w14:textId="77777777">
      <w:pPr>
        <w:pStyle w:val="ParaNum"/>
      </w:pPr>
      <w:r>
        <w:t xml:space="preserve">The Report and Order eliminates two rules which prohibit the grant or renewal of a license for an FM or TV station under extremely limited circumstances.  As a part of the Commission’s Media Modernization Initiative, the intent of eliminating these requirements is to reduce the costs of compliance with the Commission’s rules, including any related managerial, administrative, legal, and operational costs.  We anticipate that small entities, as well as larger entities, will benefit from this deletion.  </w:t>
      </w:r>
    </w:p>
    <w:p w:rsidR="00B8253B" w:rsidP="00B8253B" w14:paraId="4F7F682B" w14:textId="77777777">
      <w:pPr>
        <w:pStyle w:val="Heading2"/>
        <w:keepNext w:val="0"/>
      </w:pPr>
      <w:r>
        <w:t>Report to Congress</w:t>
      </w:r>
    </w:p>
    <w:p w:rsidR="00412FC5" w:rsidP="00B8253B" w14:paraId="7462E5F5" w14:textId="6CBBD9D9">
      <w:pPr>
        <w:pStyle w:val="ParaNum"/>
      </w:pPr>
      <w:r>
        <w:t>The Commission will send a copy of the Report and Order, including this FRFA, in a report to be sent to Congress pursuant to the Congressional Review Act.</w:t>
      </w:r>
      <w:r>
        <w:rPr>
          <w:rStyle w:val="FootnoteReference"/>
        </w:rPr>
        <w:footnoteReference w:id="54"/>
      </w:r>
      <w:r>
        <w:t xml:space="preserve">  In addition, the Commission </w:t>
      </w:r>
      <w:r>
        <w:t xml:space="preserve">will send a copy of the Report and Order, including this FRFA, to the Chief Counsel for Advocacy of the SBA.  A copy of the Report and Order and FRFA (or summaries thereof) will also be published in the Federal Register. </w:t>
      </w:r>
    </w:p>
    <w:sectPr w:rsidSect="00B8253B">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99DD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CBF8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8253B" w14:paraId="4F15E80D" w14:textId="3A0F85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8253B" w14:paraId="54B26D08" w14:textId="25B7B5E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E4B" w14:paraId="1A6F9D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72E4B" w14:paraId="4703425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E4B" w:rsidP="00B8253B" w14:paraId="0782D9C7" w14:textId="373B3CA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E4B" w:rsidP="00B8253B" w14:paraId="0E2E92C3" w14:textId="111D97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253B" w14:paraId="111CCB83" w14:textId="77777777">
      <w:r>
        <w:separator/>
      </w:r>
    </w:p>
  </w:footnote>
  <w:footnote w:type="continuationSeparator" w:id="1">
    <w:p w:rsidR="00B8253B" w:rsidP="00C721AC" w14:paraId="6A28935C" w14:textId="77777777">
      <w:pPr>
        <w:spacing w:before="120"/>
        <w:rPr>
          <w:sz w:val="20"/>
        </w:rPr>
      </w:pPr>
      <w:r>
        <w:rPr>
          <w:sz w:val="20"/>
        </w:rPr>
        <w:t xml:space="preserve">(Continued from previous page)  </w:t>
      </w:r>
      <w:r>
        <w:rPr>
          <w:sz w:val="20"/>
        </w:rPr>
        <w:separator/>
      </w:r>
    </w:p>
  </w:footnote>
  <w:footnote w:type="continuationNotice" w:id="2">
    <w:p w:rsidR="00B8253B" w:rsidP="00C721AC" w14:paraId="68D8FEA4" w14:textId="77777777">
      <w:pPr>
        <w:jc w:val="right"/>
        <w:rPr>
          <w:sz w:val="20"/>
        </w:rPr>
      </w:pPr>
      <w:r>
        <w:rPr>
          <w:sz w:val="20"/>
        </w:rPr>
        <w:t>(continued….)</w:t>
      </w:r>
    </w:p>
  </w:footnote>
  <w:footnote w:id="3">
    <w:p w:rsidR="00B8253B" w:rsidP="00B8253B" w14:paraId="0A32D026" w14:textId="77777777">
      <w:pPr>
        <w:pStyle w:val="FootnoteText"/>
        <w:widowControl w:val="0"/>
      </w:pPr>
      <w:r>
        <w:rPr>
          <w:rStyle w:val="FootnoteReference"/>
        </w:rPr>
        <w:footnoteRef/>
      </w:r>
      <w:r>
        <w:t xml:space="preserve"> 47 CFR §§ 73.239, 73.635. </w:t>
      </w:r>
    </w:p>
  </w:footnote>
  <w:footnote w:id="4">
    <w:p w:rsidR="00B8253B" w:rsidP="00B8253B" w14:paraId="5A67F9ED" w14:textId="77777777">
      <w:pPr>
        <w:pStyle w:val="FootnoteText"/>
        <w:widowControl w:val="0"/>
        <w:rPr>
          <w:i/>
          <w:iCs/>
        </w:rPr>
      </w:pPr>
      <w:r>
        <w:rPr>
          <w:rStyle w:val="FootnoteReference"/>
        </w:rPr>
        <w:footnoteRef/>
      </w:r>
      <w:r>
        <w:t xml:space="preserve"> </w:t>
      </w:r>
      <w:r>
        <w:rPr>
          <w:i/>
        </w:rPr>
        <w:t>See Commission Launches Modernization of Media Regulation Initiative</w:t>
      </w:r>
      <w:r>
        <w:t>, MB Docket No. 17-105, Public Notice, 32 FCC Rcd 4406 (MB 2017) (</w:t>
      </w:r>
      <w:r>
        <w:rPr>
          <w:i/>
        </w:rPr>
        <w:t>Media Modernization Public Notice</w:t>
      </w:r>
      <w:r>
        <w:t>) (initiating a review of rules applicable to media entities to eliminate or modify regulations that are outdated, unnecessary, or unduly burdensome).</w:t>
      </w:r>
    </w:p>
  </w:footnote>
  <w:footnote w:id="5">
    <w:p w:rsidR="00B8253B" w:rsidP="00B8253B" w14:paraId="61EBD4CF" w14:textId="77777777">
      <w:pPr>
        <w:pStyle w:val="FootnoteText"/>
        <w:widowControl w:val="0"/>
      </w:pPr>
      <w:r>
        <w:rPr>
          <w:rStyle w:val="FootnoteReference"/>
        </w:rPr>
        <w:footnoteRef/>
      </w:r>
      <w:r>
        <w:t xml:space="preserve"> Section 73.239 provides: “No FM broadcast station license or renewal of FM broadcast station license will be granted to any person who owns, leases, or controls a particular site which is peculiarly suitable for FM broadcasting in a particular area and (a) which is not available for use by other FM broadcast station licensees; and (b) no other comparable site is available in the area; and (c) where the </w:t>
      </w:r>
      <w:bookmarkStart w:id="0" w:name="_Hlk20166846"/>
      <w:r>
        <w:t>exclusive use of such site by the applicant or licensee would unduly limit the number of FM broadcast stations that can be authorized in a particular area or would unduly restrict competition among FM broadcast stations</w:t>
      </w:r>
      <w:bookmarkEnd w:id="0"/>
      <w:r>
        <w:t xml:space="preserve">.”  </w:t>
      </w:r>
      <w:bookmarkStart w:id="1" w:name="_Hlk20166929"/>
      <w:r>
        <w:t>47 CFR § 73.239</w:t>
      </w:r>
      <w:bookmarkEnd w:id="1"/>
      <w:r>
        <w:t>.  Notably, the rules governing AM stations and noncommercial educational FM stations do not contain a comparable provision requiring access to peculiarly suitable antenna sites in such circumstances.</w:t>
      </w:r>
    </w:p>
    <w:p w:rsidR="00B8253B" w:rsidP="00B8253B" w14:paraId="2F4FEFA1" w14:textId="77777777">
      <w:pPr>
        <w:pStyle w:val="FootnoteText"/>
        <w:widowControl w:val="0"/>
      </w:pPr>
      <w:r>
        <w:t xml:space="preserve">Section 73.635, which contains language almost identical to Section 73.239, provides: “No television license or renewal of a television license will be granted to any person who owns, leases, or controls a particular site which is peculiarly suitable for television broadcasting in a particular area and (a) which is not available for use by other television licensees; and (b) no other comparable site is available in the area; and (c) where the exclusive use of such site by the applicant or licensee would unduly limit the number of </w:t>
      </w:r>
      <w:bookmarkStart w:id="2" w:name="_Hlk20166883"/>
      <w:r>
        <w:t xml:space="preserve">television stations </w:t>
      </w:r>
      <w:bookmarkEnd w:id="2"/>
      <w:r>
        <w:t>that can be authorized in a particular area or would unduly restrict competition among television stations.”  47 CFR § 73.635.</w:t>
      </w:r>
    </w:p>
  </w:footnote>
  <w:footnote w:id="6">
    <w:p w:rsidR="00B8253B" w:rsidP="00B8253B" w14:paraId="28A8B294" w14:textId="77777777">
      <w:pPr>
        <w:pStyle w:val="FootnoteText"/>
        <w:widowControl w:val="0"/>
        <w:rPr>
          <w:iCs/>
        </w:rPr>
      </w:pPr>
      <w:r>
        <w:rPr>
          <w:rStyle w:val="FootnoteReference"/>
        </w:rPr>
        <w:footnoteRef/>
      </w:r>
      <w:r>
        <w:t xml:space="preserve"> In 1945, there were 46 licensed FM broadcast stations. </w:t>
      </w:r>
      <w:bookmarkStart w:id="3" w:name="_Hlk17124198"/>
      <w:r>
        <w:t xml:space="preserve"> </w:t>
      </w:r>
      <w:r>
        <w:rPr>
          <w:i/>
        </w:rPr>
        <w:t>See Eleventh Annual Report, Federal Communications Commission, Fiscal Year Ended June 30, 1945 (1946) (FCC Eleventh Annual Report)</w:t>
      </w:r>
      <w:r>
        <w:t xml:space="preserve"> at 19, available online at </w:t>
      </w:r>
      <w:hyperlink r:id="rId1" w:history="1">
        <w:r>
          <w:rPr>
            <w:rStyle w:val="Hyperlink"/>
          </w:rPr>
          <w:t>https://www.fcc.gov/reports-research/reports/annual-reports-congress/11th-annual-report-congress-1945</w:t>
        </w:r>
      </w:hyperlink>
      <w:r>
        <w:t>.</w:t>
      </w:r>
      <w:bookmarkEnd w:id="3"/>
      <w:r>
        <w:t xml:space="preserve">  Today, there are 6,706 FM commercial stations and 4,197 FM educational stations.  </w:t>
      </w:r>
      <w:r>
        <w:rPr>
          <w:i/>
        </w:rPr>
        <w:t>See Broadcast Station Totals as of June 30, 2020 (June 2020 Broadcast Station Totals)</w:t>
      </w:r>
      <w:r>
        <w:t xml:space="preserve">, available online at </w:t>
      </w:r>
      <w:hyperlink r:id="rId2" w:history="1">
        <w:r>
          <w:rPr>
            <w:rStyle w:val="Hyperlink"/>
          </w:rPr>
          <w:t>https://www.fcc.gov/document/broadcast-station-totals-june-30-2020</w:t>
        </w:r>
      </w:hyperlink>
      <w:r>
        <w:t xml:space="preserve">.  TV broadcasting was at a similarly nascent stage in 1945, with nine licensed TV broadcast stations nationwide.  </w:t>
      </w:r>
      <w:r>
        <w:rPr>
          <w:i/>
        </w:rPr>
        <w:t>See FCC Eleventh Annual Report</w:t>
      </w:r>
      <w:r>
        <w:t xml:space="preserve"> at 21.  Today, there are 1,758 commercial and noncommercial educational full power television stations, 387 Class A television stations, 1,937 low power television (LPTV) stations, and more than 3,500 TV translator stations that retransmit the signal of a parent TV station.  </w:t>
      </w:r>
      <w:r>
        <w:rPr>
          <w:i/>
        </w:rPr>
        <w:t>See June 2020 Broadcast Station Totals</w:t>
      </w:r>
      <w:r>
        <w:rPr>
          <w:iCs/>
        </w:rPr>
        <w:t>.</w:t>
      </w:r>
    </w:p>
  </w:footnote>
  <w:footnote w:id="7">
    <w:p w:rsidR="00B8253B" w:rsidP="00B8253B" w14:paraId="6AD7AF5B" w14:textId="77777777">
      <w:pPr>
        <w:pStyle w:val="FootnoteText"/>
        <w:widowControl w:val="0"/>
      </w:pPr>
      <w:r>
        <w:rPr>
          <w:rStyle w:val="FootnoteReference"/>
        </w:rPr>
        <w:footnoteRef/>
      </w:r>
      <w:r>
        <w:t xml:space="preserve"> </w:t>
      </w:r>
      <w:r>
        <w:rPr>
          <w:i/>
        </w:rPr>
        <w:t>See Supplemental Statement of Policy Concerning Applications for Permits to Construct New Radio Stations or Make Changes in Existing Radio Facilities</w:t>
      </w:r>
      <w:r>
        <w:t xml:space="preserve">, Public Notice, FCC, Jan. 16, 1945, available online at  </w:t>
      </w:r>
      <w:hyperlink r:id="rId3" w:history="1">
        <w:r>
          <w:rPr>
            <w:rStyle w:val="Hyperlink"/>
          </w:rPr>
          <w:t>https://www.fcc.gov/media/radio/radio-history-documents</w:t>
        </w:r>
      </w:hyperlink>
      <w:r>
        <w:t>.</w:t>
      </w:r>
    </w:p>
  </w:footnote>
  <w:footnote w:id="8">
    <w:p w:rsidR="00B8253B" w:rsidP="00B8253B" w14:paraId="6F6F1CDC" w14:textId="77777777">
      <w:pPr>
        <w:pStyle w:val="FootnoteText"/>
        <w:widowControl w:val="0"/>
        <w:rPr>
          <w:i/>
          <w:iCs/>
        </w:rPr>
      </w:pPr>
      <w:r>
        <w:rPr>
          <w:rStyle w:val="FootnoteReference"/>
        </w:rPr>
        <w:footnoteRef/>
      </w:r>
      <w:r>
        <w:t xml:space="preserve"> </w:t>
      </w:r>
      <w:r>
        <w:rPr>
          <w:i/>
          <w:iCs/>
        </w:rPr>
        <w:t>See Use of Common Antenna Site – Sections 73.239 and 73.635</w:t>
      </w:r>
      <w:r>
        <w:t xml:space="preserve">; </w:t>
      </w:r>
      <w:r>
        <w:rPr>
          <w:i/>
          <w:iCs/>
        </w:rPr>
        <w:t>Modernization of Media Regulation Initiative</w:t>
      </w:r>
      <w:r>
        <w:t>, MB Docket Nos. 19-282, 17-105, Notice of Proposed Rulemaking, 34 FCC Rcd 10181, 10182-83, paras. 3-4 (2019) (</w:t>
      </w:r>
      <w:r>
        <w:rPr>
          <w:i/>
          <w:iCs/>
        </w:rPr>
        <w:t>Common Antenna Site NPRM</w:t>
      </w:r>
      <w:r>
        <w:t xml:space="preserve">).  </w:t>
      </w:r>
      <w:r>
        <w:rPr>
          <w:i/>
          <w:iCs/>
        </w:rPr>
        <w:t xml:space="preserve"> </w:t>
      </w:r>
    </w:p>
  </w:footnote>
  <w:footnote w:id="9">
    <w:p w:rsidR="00B8253B" w:rsidP="00B8253B" w14:paraId="14B305DB" w14:textId="77777777">
      <w:pPr>
        <w:pStyle w:val="FootnoteText"/>
        <w:widowControl w:val="0"/>
      </w:pPr>
      <w:r>
        <w:rPr>
          <w:rStyle w:val="FootnoteReference"/>
        </w:rPr>
        <w:footnoteRef/>
      </w:r>
      <w:r>
        <w:t xml:space="preserve"> </w:t>
      </w:r>
      <w:r>
        <w:rPr>
          <w:i/>
          <w:iCs/>
        </w:rPr>
        <w:t xml:space="preserve">See supra </w:t>
      </w:r>
      <w:r>
        <w:t xml:space="preserve">note 4 (showing the growth in the number of licensed FM and TV broadcast stations from 1945 to present that rationally must have been accompanied by growth in broadcast infrastructure).   </w:t>
      </w:r>
    </w:p>
  </w:footnote>
  <w:footnote w:id="10">
    <w:p w:rsidR="00B8253B" w:rsidP="00B8253B" w14:paraId="32F4659F" w14:textId="77777777">
      <w:pPr>
        <w:pStyle w:val="FootnoteText"/>
        <w:widowControl w:val="0"/>
      </w:pPr>
      <w:r>
        <w:rPr>
          <w:rStyle w:val="FootnoteReference"/>
        </w:rPr>
        <w:footnoteRef/>
      </w:r>
      <w:r>
        <w:t xml:space="preserve"> </w:t>
      </w:r>
      <w:r>
        <w:rPr>
          <w:i/>
          <w:iCs/>
        </w:rPr>
        <w:t>See Common Antenna Site NPRM</w:t>
      </w:r>
      <w:r>
        <w:t xml:space="preserve">, 34 FCC Rcd at 10183-84, paras. 5-6.  Technological advances and widespread adoption of consumer technology also likely contributed to the growth in the FM and TV broadcast market, as higher demand created an environment that could sustain new entrants in the broadcast market.  </w:t>
      </w:r>
      <w:r>
        <w:rPr>
          <w:i/>
          <w:iCs/>
        </w:rPr>
        <w:t>See, e.g.</w:t>
      </w:r>
      <w:r>
        <w:t xml:space="preserve">, </w:t>
      </w:r>
      <w:r>
        <w:rPr>
          <w:i/>
          <w:iCs/>
        </w:rPr>
        <w:t>The New York Times Guide to Essential Knowledge</w:t>
      </w:r>
      <w:r>
        <w:t>, 412 (Elizabeth Pub. ed., 1st ed. 2004)</w:t>
      </w:r>
      <w:r>
        <w:rPr>
          <w:i/>
          <w:iCs/>
        </w:rPr>
        <w:t xml:space="preserve"> </w:t>
      </w:r>
      <w:r>
        <w:t xml:space="preserve">(discussing the rapid adoption of television technology by American consumers, as demonstrated by the increase from fewer than 2% of all American households owning a television set in 1949 to 86% of all households by 1959). </w:t>
      </w:r>
    </w:p>
  </w:footnote>
  <w:footnote w:id="11">
    <w:p w:rsidR="00B8253B" w:rsidP="00B8253B" w14:paraId="64EB4E0A" w14:textId="77777777">
      <w:pPr>
        <w:pStyle w:val="FootnoteText"/>
        <w:widowControl w:val="0"/>
      </w:pPr>
      <w:r>
        <w:rPr>
          <w:rStyle w:val="FootnoteReference"/>
        </w:rPr>
        <w:footnoteRef/>
      </w:r>
      <w:r>
        <w:t xml:space="preserve"> </w:t>
      </w:r>
      <w:r>
        <w:rPr>
          <w:i/>
          <w:iCs/>
        </w:rPr>
        <w:t>Common Antenna Site NPRM</w:t>
      </w:r>
      <w:r>
        <w:t>, 34 FCC Rcd at 10181, para. 1.</w:t>
      </w:r>
    </w:p>
  </w:footnote>
  <w:footnote w:id="12">
    <w:p w:rsidR="00B8253B" w:rsidP="00B8253B" w14:paraId="321DC833" w14:textId="77777777">
      <w:pPr>
        <w:pStyle w:val="FootnoteText"/>
        <w:widowControl w:val="0"/>
      </w:pPr>
      <w:r>
        <w:rPr>
          <w:rStyle w:val="FootnoteReference"/>
        </w:rPr>
        <w:footnoteRef/>
      </w:r>
      <w:r>
        <w:t xml:space="preserve"> </w:t>
      </w:r>
      <w:r>
        <w:rPr>
          <w:i/>
          <w:iCs/>
        </w:rPr>
        <w:t>Common Antenna Site NPRM</w:t>
      </w:r>
      <w:r>
        <w:t xml:space="preserve">, 34 FCC Rcd at 10181, para. 1. </w:t>
      </w:r>
    </w:p>
  </w:footnote>
  <w:footnote w:id="13">
    <w:p w:rsidR="00B8253B" w:rsidP="00B8253B" w14:paraId="3B961BF4" w14:textId="77777777">
      <w:pPr>
        <w:pStyle w:val="FootnoteText"/>
        <w:widowControl w:val="0"/>
      </w:pPr>
      <w:r>
        <w:rPr>
          <w:rStyle w:val="FootnoteReference"/>
        </w:rPr>
        <w:footnoteRef/>
      </w:r>
      <w:r>
        <w:t xml:space="preserve"> </w:t>
      </w:r>
      <w:r>
        <w:rPr>
          <w:i/>
          <w:iCs/>
        </w:rPr>
        <w:t>Common Antenna Site NPRM</w:t>
      </w:r>
      <w:r>
        <w:t xml:space="preserve">, 34 FCC Rcd at 10185-87, paras. 7-11. </w:t>
      </w:r>
    </w:p>
  </w:footnote>
  <w:footnote w:id="14">
    <w:p w:rsidR="00B8253B" w:rsidP="00B8253B" w14:paraId="08BB27CD" w14:textId="77777777">
      <w:pPr>
        <w:pStyle w:val="FootnoteText"/>
        <w:widowControl w:val="0"/>
      </w:pPr>
      <w:r>
        <w:rPr>
          <w:rStyle w:val="FootnoteReference"/>
        </w:rPr>
        <w:footnoteRef/>
      </w:r>
      <w:r>
        <w:t xml:space="preserve"> </w:t>
      </w:r>
      <w:r>
        <w:rPr>
          <w:i/>
          <w:iCs/>
        </w:rPr>
        <w:t xml:space="preserve">See </w:t>
      </w:r>
      <w:r>
        <w:t xml:space="preserve">Jason Mullik Comment at 1 (Mullik Comment); Julio Rojas Comment at 1 (Rojas Comment).    </w:t>
      </w:r>
    </w:p>
  </w:footnote>
  <w:footnote w:id="15">
    <w:p w:rsidR="00B8253B" w:rsidP="00B8253B" w14:paraId="0EF293E1" w14:textId="77777777">
      <w:pPr>
        <w:pStyle w:val="FootnoteText"/>
        <w:widowControl w:val="0"/>
      </w:pPr>
      <w:r>
        <w:rPr>
          <w:rStyle w:val="FootnoteReference"/>
        </w:rPr>
        <w:footnoteRef/>
      </w:r>
      <w:r>
        <w:t xml:space="preserve"> Rojas Comment at 1.    </w:t>
      </w:r>
    </w:p>
  </w:footnote>
  <w:footnote w:id="16">
    <w:p w:rsidR="00B8253B" w:rsidP="00B8253B" w14:paraId="0B1FDF41" w14:textId="77777777">
      <w:pPr>
        <w:pStyle w:val="FootnoteText"/>
        <w:widowControl w:val="0"/>
      </w:pPr>
      <w:r>
        <w:rPr>
          <w:rStyle w:val="FootnoteReference"/>
        </w:rPr>
        <w:footnoteRef/>
      </w:r>
      <w:r>
        <w:t xml:space="preserve"> </w:t>
      </w:r>
      <w:r>
        <w:rPr>
          <w:i/>
          <w:iCs/>
        </w:rPr>
        <w:t xml:space="preserve">See </w:t>
      </w:r>
      <w:r>
        <w:t xml:space="preserve">Mullik Comment at 1. </w:t>
      </w:r>
    </w:p>
  </w:footnote>
  <w:footnote w:id="17">
    <w:p w:rsidR="00B8253B" w:rsidP="00B8253B" w14:paraId="60C48326" w14:textId="77777777">
      <w:pPr>
        <w:pStyle w:val="FootnoteText"/>
        <w:widowControl w:val="0"/>
      </w:pPr>
      <w:r>
        <w:rPr>
          <w:rStyle w:val="FootnoteReference"/>
        </w:rPr>
        <w:footnoteRef/>
      </w:r>
      <w:r>
        <w:t xml:space="preserve"> </w:t>
      </w:r>
      <w:r>
        <w:rPr>
          <w:i/>
          <w:iCs/>
        </w:rPr>
        <w:t>See Common Antenna Site NPRM</w:t>
      </w:r>
      <w:r>
        <w:t xml:space="preserve">, 34 FCC Rcd at 10183-84, para. 5.  As discussed in the </w:t>
      </w:r>
      <w:r>
        <w:rPr>
          <w:i/>
          <w:iCs/>
        </w:rPr>
        <w:t>NPRM</w:t>
      </w:r>
      <w:r>
        <w:t xml:space="preserve">, the apparent rationale of the rule concerned promoting competition in the nascent FM and TV broadcast market.  </w:t>
      </w:r>
      <w:r>
        <w:rPr>
          <w:i/>
          <w:iCs/>
        </w:rPr>
        <w:t xml:space="preserve">Common Antenna Site NPRM, </w:t>
      </w:r>
      <w:r>
        <w:t xml:space="preserve">34 FCC Rcd at 10182-3, para. 3.  Given the exponential increase in the number of FM and TV broadcast licensees in the intervening years and the current saturation of FM and TV broadcast services nationwide, we believe that the risk of any applicant or licensee attempting to leverage the exclusive use of a peculiarly suitable site in any given local market to “unduly limit the number of [FM or TV] stations . . . in a particular area or [] unduly restrict competition . . .” is exceedingly small.  47 CFR §§ 73.239, 73.635.  </w:t>
      </w:r>
    </w:p>
  </w:footnote>
  <w:footnote w:id="18">
    <w:p w:rsidR="00B8253B" w:rsidP="00B8253B" w14:paraId="6DE82E08" w14:textId="77777777">
      <w:pPr>
        <w:pStyle w:val="FootnoteText"/>
        <w:widowControl w:val="0"/>
      </w:pPr>
      <w:r>
        <w:rPr>
          <w:rStyle w:val="FootnoteReference"/>
        </w:rPr>
        <w:footnoteRef/>
      </w:r>
      <w:r>
        <w:t xml:space="preserve"> </w:t>
      </w:r>
      <w:r>
        <w:rPr>
          <w:i/>
          <w:iCs/>
        </w:rPr>
        <w:t>See Common Antenna Site NPRM</w:t>
      </w:r>
      <w:r>
        <w:t xml:space="preserve">, 34 FCC Rcd at 10184-85, para. 6.  One commenter suggested that “current law” limits the number of individuals or entities who may own communications towers.  </w:t>
      </w:r>
      <w:r>
        <w:rPr>
          <w:i/>
          <w:iCs/>
        </w:rPr>
        <w:t xml:space="preserve">See </w:t>
      </w:r>
      <w:r>
        <w:t xml:space="preserve">Rojas Comment at 1.  While communications towers and antennas are subject to a variety of technical, historical, environmental, and safety statutes and regulations administered by the Commission, the Federal Aviation Administration, and state and local governments, we are unaware of any specific rules explicitly limiting the number of individuals or entities that can own towers.  </w:t>
      </w:r>
      <w:r>
        <w:rPr>
          <w:i/>
          <w:iCs/>
        </w:rPr>
        <w:t>See, e.g.</w:t>
      </w:r>
      <w:r>
        <w:t xml:space="preserve">, 47 CFR § 1.1307 (FCC regulation governing Environmental Assessments for proposed towers); 47 CFR § 73.211 (FCC regulation establishing power and antenna height requirements for FM broadcast stations); 47 CFR § 73.614 (FCC regulation establishing power and antenna height requirements for TV broadcast stations); 14 CFR § 77.9 (FAA regulation requiring registration of towers that meet certain height and location criteria).  Further, as we noted in the </w:t>
      </w:r>
      <w:r>
        <w:rPr>
          <w:i/>
          <w:iCs/>
        </w:rPr>
        <w:t>NPRM</w:t>
      </w:r>
      <w:r>
        <w:t xml:space="preserve">, because there is limited opportunity for new full-power FM or TV channels to be allotted today since the bands are largely occupied in most areas and no new Class A TV channels are being allotted, “new entrants into FM or TV broadcasting would likely operate on existing channels using existing broadcast infrastructure and existing broadcasters, with the exception of stations subject to the Incentive Auction repack, are unlikely to be changing channels such that they will require new towers.”  </w:t>
      </w:r>
      <w:r>
        <w:rPr>
          <w:i/>
          <w:iCs/>
        </w:rPr>
        <w:t>Common Antenna Site NPRM</w:t>
      </w:r>
      <w:r>
        <w:t xml:space="preserve">, 34 FCC Rcd at 10185, para. 8.  It is not a shortage of tower space that is the limitation on new entrants into FM and TV broadcasting, but rather the limited number of available channels that can be added to our table of allotments. With regard to stations switching channels due to the post-Incentive Auction repack, that period has just ended.  </w:t>
      </w:r>
      <w:r>
        <w:rPr>
          <w:i/>
          <w:iCs/>
        </w:rPr>
        <w:t xml:space="preserve">See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GN Docket No. 12-268 et al., Public Notice, 32 FCC Rcd 2786, 6797-6802, paras. </w:t>
      </w:r>
      <w:r>
        <w:rPr>
          <w:color w:val="000000"/>
        </w:rPr>
        <w:t>563-573</w:t>
      </w:r>
      <w:r>
        <w:t xml:space="preserve"> (WTB &amp; MB 2017).  Specifically, nearly all of the 987 stations have vacated their pre-auction channels, more than 830 have completed construction, and construction work for final facilities is well under way for the rest.  </w:t>
      </w:r>
    </w:p>
  </w:footnote>
  <w:footnote w:id="19">
    <w:p w:rsidR="00B8253B" w:rsidP="00B8253B" w14:paraId="7F3AD1F4" w14:textId="77777777">
      <w:pPr>
        <w:pStyle w:val="FootnoteText"/>
        <w:widowControl w:val="0"/>
      </w:pPr>
      <w:r>
        <w:rPr>
          <w:rStyle w:val="FootnoteReference"/>
        </w:rPr>
        <w:footnoteRef/>
      </w:r>
      <w:r>
        <w:t xml:space="preserve"> </w:t>
      </w:r>
      <w:r>
        <w:rPr>
          <w:i/>
          <w:iCs/>
        </w:rPr>
        <w:t>See Common Antenna Site NPRM</w:t>
      </w:r>
      <w:r>
        <w:t xml:space="preserve">, 34 FCC Rcd at 10185, para. 7.  American Tower currently operates more than 40,000 telecommunications towers in the United States.  </w:t>
      </w:r>
      <w:r>
        <w:rPr>
          <w:i/>
        </w:rPr>
        <w:t xml:space="preserve">See </w:t>
      </w:r>
      <w:r>
        <w:rPr>
          <w:iCs/>
        </w:rPr>
        <w:t xml:space="preserve">Wireless Estimator, </w:t>
      </w:r>
      <w:r>
        <w:rPr>
          <w:i/>
        </w:rPr>
        <w:t>Top 100 Tower Companies in the U.S.</w:t>
      </w:r>
      <w:r>
        <w:rPr>
          <w:iCs/>
        </w:rPr>
        <w:t>,</w:t>
      </w:r>
      <w:r>
        <w:t xml:space="preserve"> </w:t>
      </w:r>
      <w:hyperlink r:id="rId4" w:history="1">
        <w:r>
          <w:rPr>
            <w:rStyle w:val="Hyperlink"/>
          </w:rPr>
          <w:t>http://wirelessestimator.com/top-100-us-tower-companies-list/</w:t>
        </w:r>
      </w:hyperlink>
      <w:r w:rsidRPr="00CE72B3">
        <w:rPr>
          <w:rStyle w:val="Hyperlink"/>
          <w:color w:val="auto"/>
          <w:u w:val="none"/>
        </w:rPr>
        <w:t xml:space="preserve"> (last visited June 24, 2020)</w:t>
      </w:r>
      <w:r w:rsidRPr="00335676">
        <w:t xml:space="preserve">.  </w:t>
      </w:r>
      <w:r>
        <w:t xml:space="preserve">According to the American Tower website, the company works with over 200 television broadcasters and over 700 radio broadcasters and has over 1,500 sites currently in use by broadcasters.  </w:t>
      </w:r>
      <w:r>
        <w:rPr>
          <w:i/>
        </w:rPr>
        <w:t xml:space="preserve">See </w:t>
      </w:r>
      <w:r>
        <w:rPr>
          <w:iCs/>
        </w:rPr>
        <w:t xml:space="preserve">American Tower, </w:t>
      </w:r>
      <w:r>
        <w:rPr>
          <w:i/>
        </w:rPr>
        <w:t>Broadcast Towers</w:t>
      </w:r>
      <w:r>
        <w:rPr>
          <w:iCs/>
        </w:rPr>
        <w:t>,</w:t>
      </w:r>
      <w:r>
        <w:rPr>
          <w:i/>
        </w:rPr>
        <w:t xml:space="preserve"> </w:t>
      </w:r>
      <w:hyperlink r:id="rId5" w:history="1">
        <w:r>
          <w:rPr>
            <w:rStyle w:val="Hyperlink"/>
          </w:rPr>
          <w:t>https://www.americantower.com/us/solutions/towers/broadcast-towers.html</w:t>
        </w:r>
      </w:hyperlink>
      <w:r w:rsidRPr="00CE72B3">
        <w:rPr>
          <w:rStyle w:val="Hyperlink"/>
          <w:u w:val="none"/>
        </w:rPr>
        <w:t xml:space="preserve"> </w:t>
      </w:r>
      <w:r w:rsidRPr="00CE72B3">
        <w:rPr>
          <w:rStyle w:val="Hyperlink"/>
          <w:color w:val="auto"/>
          <w:u w:val="none"/>
        </w:rPr>
        <w:t>(last visited June 24, 2020)</w:t>
      </w:r>
      <w:r w:rsidRPr="00335676">
        <w:t xml:space="preserve">.  </w:t>
      </w:r>
      <w:r>
        <w:t xml:space="preserve">Crown Castle also operates 40,000 telecommunications towers.  </w:t>
      </w:r>
      <w:r>
        <w:rPr>
          <w:i/>
        </w:rPr>
        <w:t>See</w:t>
      </w:r>
      <w:r>
        <w:t xml:space="preserve"> Crown Castle, </w:t>
      </w:r>
      <w:r>
        <w:rPr>
          <w:i/>
          <w:iCs/>
        </w:rPr>
        <w:t>Company Overview, May 2020</w:t>
      </w:r>
      <w:r>
        <w:t>,</w:t>
      </w:r>
      <w:r>
        <w:rPr>
          <w:i/>
          <w:iCs/>
        </w:rPr>
        <w:t xml:space="preserve"> </w:t>
      </w:r>
      <w:hyperlink r:id="rId6" w:history="1">
        <w:r>
          <w:rPr>
            <w:rStyle w:val="Hyperlink"/>
          </w:rPr>
          <w:t>https://investor.crowncastle.com/static-files/e2d9530c-7a09-4247-8e63-449ea2bc3926</w:t>
        </w:r>
      </w:hyperlink>
      <w:r>
        <w:t xml:space="preserve"> </w:t>
      </w:r>
      <w:r w:rsidRPr="00CE72B3">
        <w:rPr>
          <w:rStyle w:val="Hyperlink"/>
          <w:color w:val="auto"/>
          <w:u w:val="none"/>
        </w:rPr>
        <w:t>(last visited June 24, 2020).</w:t>
      </w:r>
      <w:r w:rsidRPr="00335676">
        <w:t xml:space="preserve">  </w:t>
      </w:r>
      <w:r>
        <w:t xml:space="preserve">Of InSite’s total of 2,000 towers, 180 have broadcasters as tenants. </w:t>
      </w:r>
      <w:r>
        <w:rPr>
          <w:i/>
        </w:rPr>
        <w:t>See</w:t>
      </w:r>
      <w:r>
        <w:t xml:space="preserve"> J. Sharpe Smith, </w:t>
      </w:r>
      <w:r>
        <w:rPr>
          <w:i/>
          <w:iCs/>
        </w:rPr>
        <w:t>InSite Grows Broadcast Tower Portfolio with TEGNA Agreement</w:t>
      </w:r>
      <w:r>
        <w:t xml:space="preserve">, </w:t>
      </w:r>
      <w:hyperlink r:id="rId7" w:history="1">
        <w:r>
          <w:rPr>
            <w:rStyle w:val="Hyperlink"/>
          </w:rPr>
          <w:t>https://www.aglmediagroup.com/insite-grows-broadcast-tower-portfolio/</w:t>
        </w:r>
      </w:hyperlink>
      <w:r>
        <w:rPr>
          <w:rStyle w:val="Hyperlink"/>
        </w:rPr>
        <w:t xml:space="preserve"> </w:t>
      </w:r>
      <w:r w:rsidRPr="00CE72B3">
        <w:rPr>
          <w:rStyle w:val="Hyperlink"/>
          <w:color w:val="auto"/>
          <w:u w:val="none"/>
        </w:rPr>
        <w:t xml:space="preserve">(last visited June 24, 2020).  </w:t>
      </w:r>
      <w:r>
        <w:rPr>
          <w:i/>
        </w:rPr>
        <w:t xml:space="preserve">See also </w:t>
      </w:r>
      <w:r>
        <w:rPr>
          <w:iCs/>
        </w:rPr>
        <w:t xml:space="preserve">Vertical Bridge, </w:t>
      </w:r>
      <w:r>
        <w:rPr>
          <w:i/>
        </w:rPr>
        <w:t>Broadcast</w:t>
      </w:r>
      <w:r>
        <w:rPr>
          <w:iCs/>
        </w:rPr>
        <w:t xml:space="preserve">, </w:t>
      </w:r>
      <w:hyperlink r:id="rId8" w:history="1">
        <w:r>
          <w:rPr>
            <w:rStyle w:val="Hyperlink"/>
          </w:rPr>
          <w:t>https://www.verticalbridge.com/our-partners/broadcast</w:t>
        </w:r>
      </w:hyperlink>
      <w:r w:rsidRPr="00CE72B3">
        <w:rPr>
          <w:rStyle w:val="Hyperlink"/>
          <w:u w:val="none"/>
        </w:rPr>
        <w:t xml:space="preserve"> </w:t>
      </w:r>
      <w:r w:rsidRPr="00CE72B3">
        <w:rPr>
          <w:rStyle w:val="Hyperlink"/>
          <w:color w:val="auto"/>
          <w:u w:val="none"/>
        </w:rPr>
        <w:t>(last visited June 24, 2020) (discussing Vertical Bridge’s portfolio of over 4,000 broadcast towers)</w:t>
      </w:r>
      <w:r w:rsidRPr="00335676">
        <w:t>.</w:t>
      </w:r>
      <w:r>
        <w:t xml:space="preserve"> </w:t>
      </w:r>
    </w:p>
  </w:footnote>
  <w:footnote w:id="20">
    <w:p w:rsidR="00B8253B" w:rsidP="00B8253B" w14:paraId="0E9570F5" w14:textId="77777777">
      <w:pPr>
        <w:pStyle w:val="FootnoteText"/>
        <w:widowControl w:val="0"/>
      </w:pPr>
      <w:r>
        <w:rPr>
          <w:rStyle w:val="FootnoteReference"/>
        </w:rPr>
        <w:footnoteRef/>
      </w:r>
      <w:r>
        <w:t xml:space="preserve"> While one commenter cautioned that the lack of towers directly owned by broadcasters may limit the availability and affordability of towers for broadcasters, no rationale was offered to substantiate this claim, and no FM or TV broadcast licensee raised any similar concerns.  </w:t>
      </w:r>
      <w:r>
        <w:rPr>
          <w:i/>
          <w:iCs/>
        </w:rPr>
        <w:t xml:space="preserve">See </w:t>
      </w:r>
      <w:r>
        <w:t xml:space="preserve">Rojas Comment at 1.  Given the considerable infrastructure costs and regulatory hurdles associated with tower siting and construction, we believe that it is generally more cost effective for broadcasters to lease space from companies that specialize in tower construction rather than to build and maintain their own towers.  </w:t>
      </w:r>
      <w:r>
        <w:rPr>
          <w:i/>
          <w:iCs/>
        </w:rPr>
        <w:t>See Common Antenna Site NPRM</w:t>
      </w:r>
      <w:r>
        <w:t xml:space="preserve">, 34 FCC Rcd at 10184-85, para. 6.    </w:t>
      </w:r>
    </w:p>
  </w:footnote>
  <w:footnote w:id="21">
    <w:p w:rsidR="00B8253B" w:rsidP="00B8253B" w14:paraId="161B2F76" w14:textId="77777777">
      <w:pPr>
        <w:pStyle w:val="FootnoteText"/>
        <w:widowControl w:val="0"/>
      </w:pPr>
      <w:r>
        <w:rPr>
          <w:rStyle w:val="FootnoteReference"/>
        </w:rPr>
        <w:footnoteRef/>
      </w:r>
      <w:r>
        <w:t xml:space="preserve"> </w:t>
      </w:r>
      <w:r>
        <w:rPr>
          <w:i/>
          <w:iCs/>
        </w:rPr>
        <w:t>See Common Antenna Site NPRM</w:t>
      </w:r>
      <w:r>
        <w:t xml:space="preserve">, 34 FCC Rcd at 10186, para. 10.  To successfully invoke section 73.635 or 73.239, a party must demonstrate that </w:t>
      </w:r>
      <w:r>
        <w:rPr>
          <w:bCs/>
          <w:i/>
          <w:iCs/>
        </w:rPr>
        <w:t>a particular broadcast site “is peculiarly suitable” for broadcasting</w:t>
      </w:r>
      <w:r>
        <w:t xml:space="preserve"> in a particular area “</w:t>
      </w:r>
      <w:r>
        <w:rPr>
          <w:bCs/>
          <w:i/>
          <w:iCs/>
        </w:rPr>
        <w:t>and</w:t>
      </w:r>
      <w:r>
        <w:t xml:space="preserve"> (a) …is not available for use” by other TV or FM licensees; “</w:t>
      </w:r>
      <w:r>
        <w:rPr>
          <w:bCs/>
          <w:i/>
          <w:iCs/>
        </w:rPr>
        <w:t>and</w:t>
      </w:r>
      <w:r>
        <w:rPr>
          <w:b/>
        </w:rPr>
        <w:t xml:space="preserve"> </w:t>
      </w:r>
      <w:r>
        <w:t xml:space="preserve">(b) no other comparable site is available in the area; </w:t>
      </w:r>
      <w:r>
        <w:rPr>
          <w:bCs/>
          <w:i/>
          <w:iCs/>
        </w:rPr>
        <w:t>and</w:t>
      </w:r>
      <w:r>
        <w:t xml:space="preserve"> (c) … the exclusive use of such site by the applicant or licensee would unduly limit the number of” TV or FM stations “that can be authorized in a particular area or would unduly restrict competition among” such stations.  47 CFR §§ 73.635, 73.239 (emphasis added).  </w:t>
      </w:r>
    </w:p>
  </w:footnote>
  <w:footnote w:id="22">
    <w:p w:rsidR="00B8253B" w:rsidP="00B8253B" w14:paraId="2BF88E25" w14:textId="77777777">
      <w:pPr>
        <w:pStyle w:val="FootnoteText"/>
        <w:widowControl w:val="0"/>
      </w:pPr>
      <w:r>
        <w:rPr>
          <w:rStyle w:val="FootnoteReference"/>
        </w:rPr>
        <w:footnoteRef/>
      </w:r>
      <w:r>
        <w:t xml:space="preserve"> </w:t>
      </w:r>
      <w:r>
        <w:rPr>
          <w:i/>
          <w:iCs/>
        </w:rPr>
        <w:t xml:space="preserve">See </w:t>
      </w:r>
      <w:r>
        <w:t xml:space="preserve">Mullik Comment at 2.  In particular, Mullik raised specific concerns that the transition to the ATSC 3.0 broadcast television transmission standard could potentially increase demand for antenna site availability and disadvantage smaller broadcasters because of the significant cost associated with converting to ATSC 3.0.  </w:t>
      </w:r>
      <w:r w:rsidRPr="00CE72B3">
        <w:rPr>
          <w:i/>
          <w:iCs/>
        </w:rPr>
        <w:t>Id</w:t>
      </w:r>
      <w:r>
        <w:t xml:space="preserve">. at 5.  However, there is no indication in the record that there are insufficient towers and antenna sites available or that maintaining our rules regarding access to common antenna sites is needed to ensure continued availability of such sites during the voluntary transition to the ATSC 3.0 standard.  Further, it does not appear that sections 73.635 or 73.239 would help alleviate concerns about the financial impact on smaller broadcasters of upgrading technology given the extremely limited circumstance in which they apply.  </w:t>
      </w:r>
      <w:r>
        <w:rPr>
          <w:i/>
          <w:iCs/>
        </w:rPr>
        <w:t xml:space="preserve">See supra </w:t>
      </w:r>
      <w:r>
        <w:t xml:space="preserve">note 9.    </w:t>
      </w:r>
    </w:p>
  </w:footnote>
  <w:footnote w:id="23">
    <w:p w:rsidR="00B8253B" w:rsidP="00B8253B" w14:paraId="7971F7D5" w14:textId="77777777">
      <w:pPr>
        <w:pStyle w:val="FootnoteText"/>
        <w:widowControl w:val="0"/>
      </w:pPr>
      <w:r>
        <w:rPr>
          <w:rStyle w:val="FootnoteReference"/>
        </w:rPr>
        <w:footnoteRef/>
      </w:r>
      <w:r>
        <w:t xml:space="preserve"> </w:t>
      </w:r>
      <w:r>
        <w:rPr>
          <w:i/>
          <w:iCs/>
        </w:rPr>
        <w:t>See Common Antenna Site NPRM</w:t>
      </w:r>
      <w:r>
        <w:t>, 34 FCC Rcd at 10185, para. 9, n.23.</w:t>
      </w:r>
    </w:p>
  </w:footnote>
  <w:footnote w:id="24">
    <w:p w:rsidR="00B8253B" w:rsidP="00B8253B" w14:paraId="243D90C7" w14:textId="77777777">
      <w:pPr>
        <w:pStyle w:val="FootnoteText"/>
        <w:widowControl w:val="0"/>
      </w:pPr>
      <w:r>
        <w:rPr>
          <w:rStyle w:val="FootnoteReference"/>
        </w:rPr>
        <w:footnoteRef/>
      </w:r>
      <w:r>
        <w:t xml:space="preserve"> </w:t>
      </w:r>
      <w:r>
        <w:rPr>
          <w:i/>
          <w:iCs/>
        </w:rPr>
        <w:t>See</w:t>
      </w:r>
      <w:r>
        <w:t xml:space="preserve"> 5 U.S.C. § 603.  The RFA, </w:t>
      </w:r>
      <w:r>
        <w:rPr>
          <w:i/>
          <w:iCs/>
        </w:rPr>
        <w:t xml:space="preserve">see </w:t>
      </w:r>
      <w:r>
        <w:t xml:space="preserve">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25">
    <w:p w:rsidR="00B8253B" w:rsidP="00B8253B" w14:paraId="68E7F96F" w14:textId="77777777">
      <w:pPr>
        <w:pStyle w:val="FootnoteText"/>
        <w:widowControl w:val="0"/>
      </w:pPr>
      <w:r>
        <w:rPr>
          <w:rStyle w:val="FootnoteReference"/>
        </w:rPr>
        <w:footnoteRef/>
      </w:r>
      <w:r>
        <w:t xml:space="preserve"> These rules serve to “reliev[e] a restriction.”  5 U.S.C. § 553(d)(1). </w:t>
      </w:r>
    </w:p>
  </w:footnote>
  <w:footnote w:id="26">
    <w:p w:rsidR="00B8253B" w:rsidP="00B8253B" w14:paraId="5F8C7920"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27">
    <w:p w:rsidR="00B8253B" w:rsidP="00B8253B" w14:paraId="2B0FB165" w14:textId="77777777">
      <w:pPr>
        <w:pStyle w:val="FootnoteText"/>
        <w:widowControl w:val="0"/>
      </w:pPr>
      <w:r>
        <w:rPr>
          <w:rStyle w:val="FootnoteReference"/>
        </w:rPr>
        <w:footnoteRef/>
      </w:r>
      <w:r>
        <w:t xml:space="preserve"> </w:t>
      </w:r>
      <w:r>
        <w:rPr>
          <w:i/>
        </w:rPr>
        <w:t>See Use of Common Antenna Site – Sections 73.239 and 73.635; Modernization of Media Regulation Initiative</w:t>
      </w:r>
      <w:r>
        <w:t xml:space="preserve">, MB Docket Nos. 19-282, 17-105, Notice of Proposed Rulemaking, 34 FCC Rcd 10181, 10191, Appendix B (2019).    </w:t>
      </w:r>
    </w:p>
  </w:footnote>
  <w:footnote w:id="28">
    <w:p w:rsidR="00B8253B" w:rsidP="00B8253B" w14:paraId="14153155" w14:textId="77777777">
      <w:pPr>
        <w:pStyle w:val="FootnoteText"/>
        <w:widowControl w:val="0"/>
      </w:pPr>
      <w:r>
        <w:rPr>
          <w:rStyle w:val="FootnoteReference"/>
        </w:rPr>
        <w:footnoteRef/>
      </w:r>
      <w:r>
        <w:t xml:space="preserve"> </w:t>
      </w:r>
      <w:r>
        <w:rPr>
          <w:i/>
        </w:rPr>
        <w:t>See</w:t>
      </w:r>
      <w:r>
        <w:t xml:space="preserve"> 5 U.S.C. § 604.</w:t>
      </w:r>
    </w:p>
  </w:footnote>
  <w:footnote w:id="29">
    <w:p w:rsidR="00B8253B" w:rsidP="00B8253B" w14:paraId="0C1241DB" w14:textId="77777777">
      <w:pPr>
        <w:pStyle w:val="FootnoteText"/>
        <w:widowControl w:val="0"/>
      </w:pPr>
      <w:r>
        <w:rPr>
          <w:rStyle w:val="FootnoteReference"/>
        </w:rPr>
        <w:footnoteRef/>
      </w:r>
      <w:r>
        <w:t xml:space="preserve"> 47 CFR §§ 73.239, 73.635.</w:t>
      </w:r>
    </w:p>
  </w:footnote>
  <w:footnote w:id="30">
    <w:p w:rsidR="00B8253B" w:rsidP="00B8253B" w14:paraId="337515F9" w14:textId="77777777">
      <w:pPr>
        <w:pStyle w:val="FootnoteText"/>
        <w:widowControl w:val="0"/>
        <w:rPr>
          <w:b/>
        </w:rPr>
      </w:pPr>
      <w:r>
        <w:rPr>
          <w:rStyle w:val="FootnoteReference"/>
        </w:rPr>
        <w:footnoteRef/>
      </w:r>
      <w:r>
        <w:t xml:space="preserve"> </w:t>
      </w:r>
      <w:r>
        <w:rPr>
          <w:i/>
        </w:rPr>
        <w:t>Commission Launches Modernization of Media Regulation Initiative</w:t>
      </w:r>
      <w:r>
        <w:t>, MB Docket No. 17-105, Public Notice, 32 FCC Rcd 4406 (MB 2017) (initiating a review of rules applicable to media entities to eliminate or modify regulations that are outdated, unnecessary or unduly burdensome).</w:t>
      </w:r>
    </w:p>
  </w:footnote>
  <w:footnote w:id="31">
    <w:p w:rsidR="00B8253B" w:rsidP="00B8253B" w14:paraId="2DD8B9C4" w14:textId="77777777">
      <w:pPr>
        <w:pStyle w:val="FootnoteText"/>
        <w:widowControl w:val="0"/>
      </w:pPr>
      <w:r>
        <w:rPr>
          <w:rStyle w:val="FootnoteReference"/>
        </w:rPr>
        <w:footnoteRef/>
      </w:r>
      <w:r>
        <w:t xml:space="preserve"> 5 U.S.C. § 604(a)(3). </w:t>
      </w:r>
    </w:p>
  </w:footnote>
  <w:footnote w:id="32">
    <w:p w:rsidR="00B8253B" w:rsidP="00B8253B" w14:paraId="6E5B528A" w14:textId="77777777">
      <w:pPr>
        <w:pStyle w:val="FootnoteText"/>
        <w:widowControl w:val="0"/>
      </w:pPr>
      <w:r>
        <w:rPr>
          <w:rStyle w:val="FootnoteReference"/>
        </w:rPr>
        <w:footnoteRef/>
      </w:r>
      <w:r>
        <w:t xml:space="preserve"> 5 U.S.C. § 603(b)(3).</w:t>
      </w:r>
    </w:p>
  </w:footnote>
  <w:footnote w:id="33">
    <w:p w:rsidR="00B8253B" w:rsidP="00B8253B" w14:paraId="407A7D21" w14:textId="77777777">
      <w:pPr>
        <w:pStyle w:val="FootnoteText"/>
        <w:widowControl w:val="0"/>
      </w:pPr>
      <w:r>
        <w:rPr>
          <w:rStyle w:val="FootnoteReference"/>
        </w:rPr>
        <w:footnoteRef/>
      </w:r>
      <w:r>
        <w:t xml:space="preserve"> 5 U.S.C. § 601(6).</w:t>
      </w:r>
    </w:p>
  </w:footnote>
  <w:footnote w:id="34">
    <w:p w:rsidR="00B8253B" w:rsidP="00B8253B" w14:paraId="361F44B7" w14:textId="77777777">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5">
    <w:p w:rsidR="00B8253B" w:rsidP="00B8253B" w14:paraId="689BDF45" w14:textId="77777777">
      <w:pPr>
        <w:pStyle w:val="FootnoteText"/>
        <w:widowControl w:val="0"/>
      </w:pPr>
      <w:r>
        <w:rPr>
          <w:rStyle w:val="FootnoteReference"/>
        </w:rPr>
        <w:footnoteRef/>
      </w:r>
      <w:r>
        <w:t xml:space="preserve"> 15 U.S.C. § 632.</w:t>
      </w:r>
    </w:p>
  </w:footnote>
  <w:footnote w:id="36">
    <w:p w:rsidR="00B8253B" w:rsidP="00B8253B" w14:paraId="3ED13C26" w14:textId="77777777">
      <w:pPr>
        <w:pStyle w:val="FootnoteText"/>
        <w:widowControl w:val="0"/>
      </w:pPr>
      <w:r>
        <w:rPr>
          <w:rStyle w:val="FootnoteReference"/>
        </w:rPr>
        <w:footnoteRef/>
      </w:r>
      <w:r>
        <w:t xml:space="preserve"> U.S. Census Bureau, 2017 NAICS Definitions, “515112 Radio Stations,” </w:t>
      </w:r>
      <w:hyperlink r:id="rId9" w:history="1">
        <w:hyperlink r:id="rId10" w:history="1">
          <w:r>
            <w:rPr>
              <w:rStyle w:val="Hyperlink"/>
              <w:szCs w:val="22"/>
            </w:rPr>
            <w:t>https://www.census.gov/cgi-bin/sssd/naics/naicsrch?input=515112&amp;search=2017+NAICS+Search&amp;search=2017</w:t>
          </w:r>
        </w:hyperlink>
      </w:hyperlink>
      <w:r>
        <w:t xml:space="preserve">. </w:t>
      </w:r>
      <w:r>
        <w:rPr>
          <w:szCs w:val="22"/>
        </w:rPr>
        <w:t xml:space="preserve"> </w:t>
      </w:r>
    </w:p>
  </w:footnote>
  <w:footnote w:id="37">
    <w:p w:rsidR="00B8253B" w:rsidP="00B8253B" w14:paraId="7BFD4EB9" w14:textId="77777777">
      <w:pPr>
        <w:pStyle w:val="FootnoteText"/>
        <w:widowControl w:val="0"/>
      </w:pPr>
      <w:r>
        <w:rPr>
          <w:rStyle w:val="FootnoteReference"/>
        </w:rPr>
        <w:footnoteRef/>
      </w:r>
      <w:r>
        <w:t xml:space="preserve"> 13 CFR § 121.201; NAICS code </w:t>
      </w:r>
      <w:r>
        <w:rPr>
          <w:bCs/>
        </w:rPr>
        <w:t>515112</w:t>
      </w:r>
      <w:r>
        <w:t>.</w:t>
      </w:r>
    </w:p>
  </w:footnote>
  <w:footnote w:id="38">
    <w:p w:rsidR="00B8253B" w:rsidP="00B8253B" w14:paraId="3FC21601" w14:textId="77777777">
      <w:pPr>
        <w:pStyle w:val="FootnoteText"/>
        <w:widowControl w:val="0"/>
      </w:pPr>
      <w:r>
        <w:rPr>
          <w:rStyle w:val="FootnoteReference"/>
        </w:rPr>
        <w:footnoteRef/>
      </w:r>
      <w:r>
        <w:t xml:space="preserve"> U.S. Census Bureau, Table No. EC0751SSSZ4, </w:t>
      </w:r>
      <w:r>
        <w:rPr>
          <w:i/>
        </w:rPr>
        <w:t>Information: Subject Series – Establishment and Firm Size: Receipts Size of Firms for the United States: 2012</w:t>
      </w:r>
      <w:r>
        <w:t xml:space="preserve"> (515112), </w:t>
      </w:r>
      <w:hyperlink r:id="rId11" w:history="1">
        <w:r>
          <w:rPr>
            <w:rStyle w:val="Hyperlink"/>
          </w:rPr>
          <w:t>https://data.census.gov/cedsci/table?q=EC1251SSSZ4&amp;hidePreview=false&amp;tid=ECNSIZE2012.EC1251SSSZ4&amp;vintage=2012</w:t>
        </w:r>
      </w:hyperlink>
      <w:r>
        <w:t>.</w:t>
      </w:r>
    </w:p>
  </w:footnote>
  <w:footnote w:id="39">
    <w:p w:rsidR="00B8253B" w:rsidP="00B8253B" w14:paraId="13D2F583" w14:textId="77777777">
      <w:pPr>
        <w:pStyle w:val="FootnoteText"/>
        <w:widowControl w:val="0"/>
      </w:pPr>
      <w:r>
        <w:rPr>
          <w:rStyle w:val="FootnoteReference"/>
        </w:rPr>
        <w:footnoteRef/>
      </w:r>
      <w:r>
        <w:t xml:space="preserve"> </w:t>
      </w:r>
      <w:r>
        <w:rPr>
          <w:i/>
        </w:rPr>
        <w:t>Id.</w:t>
      </w:r>
    </w:p>
  </w:footnote>
  <w:footnote w:id="40">
    <w:p w:rsidR="00B8253B" w:rsidP="00B8253B" w14:paraId="1F217191" w14:textId="77777777">
      <w:pPr>
        <w:pStyle w:val="FootnoteText"/>
        <w:widowControl w:val="0"/>
      </w:pPr>
      <w:r>
        <w:rPr>
          <w:rStyle w:val="FootnoteReference"/>
        </w:rPr>
        <w:footnoteRef/>
      </w:r>
      <w:r>
        <w:t xml:space="preserve"> </w:t>
      </w:r>
      <w:r>
        <w:rPr>
          <w:i/>
        </w:rPr>
        <w:t>See Broadcast Station Totals as of June 30, 2020</w:t>
      </w:r>
      <w:r>
        <w:t>, Press Release, FCC (</w:t>
      </w:r>
      <w:r w:rsidRPr="00984D06">
        <w:rPr>
          <w:i/>
          <w:iCs/>
        </w:rPr>
        <w:t>June 2020 Broadcast Station Totals</w:t>
      </w:r>
      <w:r>
        <w:t xml:space="preserve">), available online at </w:t>
      </w:r>
      <w:hyperlink r:id="rId2" w:history="1">
        <w:r>
          <w:rPr>
            <w:rStyle w:val="Hyperlink"/>
          </w:rPr>
          <w:t>https://www.fcc.gov/document/broadcast-station-totals-june-30-2020</w:t>
        </w:r>
      </w:hyperlink>
      <w:r>
        <w:t xml:space="preserve">.  </w:t>
      </w:r>
    </w:p>
  </w:footnote>
  <w:footnote w:id="41">
    <w:p w:rsidR="00B8253B" w:rsidP="00B8253B" w14:paraId="610E8C62" w14:textId="77777777">
      <w:pPr>
        <w:pStyle w:val="FootnoteText"/>
        <w:widowControl w:val="0"/>
      </w:pPr>
      <w:r>
        <w:rPr>
          <w:rStyle w:val="FootnoteReference"/>
        </w:rPr>
        <w:footnoteRef/>
      </w:r>
      <w:r>
        <w:t xml:space="preserve"> </w:t>
      </w:r>
      <w:r>
        <w:rPr>
          <w:i/>
        </w:rPr>
        <w:t>Id.</w:t>
      </w:r>
    </w:p>
  </w:footnote>
  <w:footnote w:id="42">
    <w:p w:rsidR="00B8253B" w:rsidP="00B8253B" w14:paraId="062C7B19"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43">
    <w:p w:rsidR="00B8253B" w:rsidP="00B8253B" w14:paraId="737B2C58" w14:textId="77777777">
      <w:pPr>
        <w:pStyle w:val="FootnoteText"/>
        <w:widowControl w:val="0"/>
      </w:pPr>
      <w:r>
        <w:rPr>
          <w:rStyle w:val="FootnoteReference"/>
        </w:rPr>
        <w:footnoteRef/>
      </w:r>
      <w:r>
        <w:t xml:space="preserve"> 13 C.F.R. </w:t>
      </w:r>
      <w:r>
        <w:rPr>
          <w:szCs w:val="22"/>
        </w:rPr>
        <w:t>§ 121.102(b).</w:t>
      </w:r>
    </w:p>
  </w:footnote>
  <w:footnote w:id="44">
    <w:p w:rsidR="00B8253B" w:rsidP="00B8253B" w14:paraId="576129FF" w14:textId="77777777">
      <w:pPr>
        <w:pStyle w:val="FootnoteText"/>
        <w:widowControl w:val="0"/>
      </w:pPr>
      <w:r>
        <w:rPr>
          <w:rStyle w:val="FootnoteReference"/>
        </w:rPr>
        <w:footnoteRef/>
      </w:r>
      <w:r>
        <w:t xml:space="preserve"> U.S. Census Bureau, 2017 NAICS Definitions, “515120 Television Broadcasting,” </w:t>
      </w:r>
      <w:hyperlink r:id="rId12" w:history="1">
        <w:r>
          <w:rPr>
            <w:rStyle w:val="Hyperlink"/>
          </w:rPr>
          <w:t>https://www.census.gov/cgi-bin/sssd/naics/naicsrch?input=515120&amp;search=2017+NAICS+Search&amp;search=2017</w:t>
        </w:r>
      </w:hyperlink>
      <w:r>
        <w:t>.</w:t>
      </w:r>
    </w:p>
  </w:footnote>
  <w:footnote w:id="45">
    <w:p w:rsidR="00B8253B" w:rsidP="00B8253B" w14:paraId="4595098E"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46">
    <w:p w:rsidR="00B8253B" w:rsidP="00B8253B" w14:paraId="019C7856"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47">
    <w:p w:rsidR="00B8253B" w:rsidP="00B8253B" w14:paraId="6AC1365C"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11" w:history="1">
        <w:r>
          <w:rPr>
            <w:rStyle w:val="Hyperlink"/>
          </w:rPr>
          <w:t>https://data.census.gov/cedsci/table?q=EC1251SSSZ4&amp;hidePreview=false&amp;tid=ECNSIZE2012.EC1251SSSZ4&amp;vintage=2012</w:t>
        </w:r>
      </w:hyperlink>
      <w:r>
        <w:t>.</w:t>
      </w:r>
    </w:p>
  </w:footnote>
  <w:footnote w:id="48">
    <w:p w:rsidR="00B8253B" w:rsidP="00B8253B" w14:paraId="114F4D54" w14:textId="77777777">
      <w:pPr>
        <w:pStyle w:val="FootnoteText"/>
        <w:widowControl w:val="0"/>
      </w:pPr>
      <w:r>
        <w:rPr>
          <w:rStyle w:val="FootnoteReference"/>
        </w:rPr>
        <w:footnoteRef/>
      </w:r>
      <w:r>
        <w:t xml:space="preserve"> </w:t>
      </w:r>
      <w:r>
        <w:rPr>
          <w:i/>
        </w:rPr>
        <w:t>See</w:t>
      </w:r>
      <w:r>
        <w:t xml:space="preserve"> </w:t>
      </w:r>
      <w:r w:rsidRPr="00984D06">
        <w:rPr>
          <w:i/>
          <w:iCs/>
        </w:rPr>
        <w:t>June 2020 Broadcast Station Totals</w:t>
      </w:r>
      <w:r>
        <w:t xml:space="preserve">. </w:t>
      </w:r>
    </w:p>
  </w:footnote>
  <w:footnote w:id="49">
    <w:p w:rsidR="00B8253B" w:rsidP="00B8253B" w14:paraId="2A564FA8" w14:textId="77777777">
      <w:pPr>
        <w:pStyle w:val="FootnoteText"/>
        <w:widowControl w:val="0"/>
      </w:pPr>
      <w:r>
        <w:rPr>
          <w:rStyle w:val="FootnoteReference"/>
        </w:rPr>
        <w:footnoteRef/>
      </w:r>
      <w:r>
        <w:t xml:space="preserve"> </w:t>
      </w:r>
      <w:r>
        <w:rPr>
          <w:i/>
        </w:rPr>
        <w:t>Id</w:t>
      </w:r>
      <w:r>
        <w:t>.</w:t>
      </w:r>
    </w:p>
  </w:footnote>
  <w:footnote w:id="50">
    <w:p w:rsidR="00B8253B" w:rsidP="00B8253B" w14:paraId="4C3AA617" w14:textId="77777777">
      <w:pPr>
        <w:pStyle w:val="FootnoteText"/>
        <w:widowControl w:val="0"/>
      </w:pPr>
      <w:r>
        <w:rPr>
          <w:rStyle w:val="FootnoteReference"/>
        </w:rPr>
        <w:footnoteRef/>
      </w:r>
      <w:r>
        <w:t xml:space="preserve"> </w:t>
      </w:r>
      <w:r>
        <w:rPr>
          <w:i/>
        </w:rPr>
        <w:t>See generally</w:t>
      </w:r>
      <w:r>
        <w:t xml:space="preserve"> 5 U.S.C. § 601(4), (6).</w:t>
      </w:r>
    </w:p>
  </w:footnote>
  <w:footnote w:id="51">
    <w:p w:rsidR="00B8253B" w:rsidP="00B8253B" w14:paraId="010293D4" w14:textId="77777777">
      <w:pPr>
        <w:pStyle w:val="FootnoteText"/>
        <w:widowControl w:val="0"/>
      </w:pPr>
      <w:r>
        <w:rPr>
          <w:rStyle w:val="FootnoteReference"/>
        </w:rPr>
        <w:footnoteRef/>
      </w:r>
      <w:r>
        <w:t xml:space="preserve"> </w:t>
      </w:r>
      <w:r>
        <w:rPr>
          <w:i/>
        </w:rPr>
        <w:t>See</w:t>
      </w:r>
      <w:r>
        <w:t xml:space="preserve"> </w:t>
      </w:r>
      <w:r w:rsidRPr="00984D06">
        <w:rPr>
          <w:i/>
          <w:iCs/>
        </w:rPr>
        <w:t>June 2020 Broadcast Station Totals</w:t>
      </w:r>
      <w:r>
        <w:t>.</w:t>
      </w:r>
    </w:p>
  </w:footnote>
  <w:footnote w:id="52">
    <w:p w:rsidR="00B8253B" w:rsidP="00B8253B" w14:paraId="5AEDECD4"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53">
    <w:p w:rsidR="00B8253B" w:rsidP="00B8253B" w14:paraId="74A35F6C" w14:textId="77777777">
      <w:pPr>
        <w:pStyle w:val="FootnoteText"/>
        <w:widowControl w:val="0"/>
      </w:pPr>
      <w:r>
        <w:rPr>
          <w:rStyle w:val="FootnoteReference"/>
        </w:rPr>
        <w:footnoteRef/>
      </w:r>
      <w:r>
        <w:t xml:space="preserve"> 5 U.S.C. § 603(c)(1) – (c)(4). </w:t>
      </w:r>
    </w:p>
  </w:footnote>
  <w:footnote w:id="54">
    <w:p w:rsidR="00B8253B" w:rsidP="00B8253B" w14:paraId="3A90B8CE" w14:textId="77777777">
      <w:pPr>
        <w:pStyle w:val="FootnoteText"/>
        <w:widowControl w:val="0"/>
      </w:pPr>
      <w:r>
        <w:rPr>
          <w:rStyle w:val="FootnoteReference"/>
        </w:rPr>
        <w:footnoteRef/>
      </w:r>
      <w:r>
        <w:t xml:space="preserve"> 5 U.S.C. § 801(a)(1)(A).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194029" w14:textId="1A91D39A">
    <w:pPr>
      <w:pStyle w:val="Header"/>
      <w:rPr>
        <w:b w:val="0"/>
      </w:rPr>
    </w:pPr>
    <w:r>
      <w:tab/>
      <w:t>Federal Communications Commission</w:t>
    </w:r>
    <w:r>
      <w:tab/>
    </w:r>
    <w:r w:rsidR="00B8253B">
      <w:t>FCC 20-</w:t>
    </w:r>
    <w:r w:rsidR="003930AF">
      <w:t>106</w:t>
    </w:r>
  </w:p>
  <w:p w:rsidR="00D25FB5" w14:paraId="04BF2A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4BD27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DB2342" w14:textId="257443E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253B">
      <w:rPr>
        <w:spacing w:val="-2"/>
      </w:rPr>
      <w:t>FCC 20-</w:t>
    </w:r>
    <w:r w:rsidR="003930AF">
      <w:rPr>
        <w:spacing w:val="-2"/>
      </w:rPr>
      <w:t>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E4B" w14:paraId="5D0E995D" w14:textId="4095AFA8">
    <w:pPr>
      <w:pStyle w:val="Header"/>
      <w:rPr>
        <w:b w:val="0"/>
      </w:rPr>
    </w:pPr>
    <w:r>
      <w:tab/>
      <w:t>Federal Communications Commission</w:t>
    </w:r>
    <w:r>
      <w:tab/>
      <w:t>FCC 20-</w:t>
    </w:r>
    <w:r w:rsidR="003930AF">
      <w:t>106</w:t>
    </w:r>
  </w:p>
  <w:p w:rsidR="00972E4B" w14:paraId="141E7F85" w14:textId="4FF85E1D">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972E4B" w14:paraId="710ED90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E4B" w14:paraId="2FED2D82" w14:textId="33AB485E">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B8253B">
      <w:tab/>
      <w:t>Federal Communications Commission</w:t>
    </w:r>
    <w:r w:rsidR="00B8253B">
      <w:tab/>
    </w:r>
    <w:r w:rsidR="00B8253B">
      <w:rPr>
        <w:spacing w:val="-2"/>
      </w:rPr>
      <w:t>FCC 20-</w:t>
    </w:r>
    <w:r w:rsidR="003930AF">
      <w:rPr>
        <w:spacing w:val="-2"/>
      </w:rPr>
      <w:t>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3B"/>
    <w:rsid w:val="00036039"/>
    <w:rsid w:val="00037F90"/>
    <w:rsid w:val="000875BF"/>
    <w:rsid w:val="00096D8C"/>
    <w:rsid w:val="000C0B65"/>
    <w:rsid w:val="000D79C4"/>
    <w:rsid w:val="000E05FE"/>
    <w:rsid w:val="000E3D42"/>
    <w:rsid w:val="00122BD5"/>
    <w:rsid w:val="00133F79"/>
    <w:rsid w:val="00194A66"/>
    <w:rsid w:val="001D6BCF"/>
    <w:rsid w:val="001E01CA"/>
    <w:rsid w:val="00275CF5"/>
    <w:rsid w:val="0028301F"/>
    <w:rsid w:val="00285017"/>
    <w:rsid w:val="002A2D2E"/>
    <w:rsid w:val="002C00E8"/>
    <w:rsid w:val="00335676"/>
    <w:rsid w:val="00343749"/>
    <w:rsid w:val="003660ED"/>
    <w:rsid w:val="003930AF"/>
    <w:rsid w:val="003B0550"/>
    <w:rsid w:val="003B694F"/>
    <w:rsid w:val="003F171C"/>
    <w:rsid w:val="00412FC5"/>
    <w:rsid w:val="00422276"/>
    <w:rsid w:val="004242F1"/>
    <w:rsid w:val="00445A00"/>
    <w:rsid w:val="00451B0F"/>
    <w:rsid w:val="004C2EE3"/>
    <w:rsid w:val="004E4A22"/>
    <w:rsid w:val="00511968"/>
    <w:rsid w:val="00544746"/>
    <w:rsid w:val="0055614C"/>
    <w:rsid w:val="00566D06"/>
    <w:rsid w:val="005E14C2"/>
    <w:rsid w:val="00607BA5"/>
    <w:rsid w:val="0061180A"/>
    <w:rsid w:val="00626EB6"/>
    <w:rsid w:val="00655D03"/>
    <w:rsid w:val="00683388"/>
    <w:rsid w:val="00683F84"/>
    <w:rsid w:val="006A6A81"/>
    <w:rsid w:val="006B6F2E"/>
    <w:rsid w:val="006C4A7E"/>
    <w:rsid w:val="006F7393"/>
    <w:rsid w:val="0070224F"/>
    <w:rsid w:val="007115F7"/>
    <w:rsid w:val="00785689"/>
    <w:rsid w:val="0079754B"/>
    <w:rsid w:val="007A1E6D"/>
    <w:rsid w:val="007B0EB2"/>
    <w:rsid w:val="00810B6F"/>
    <w:rsid w:val="00822CE0"/>
    <w:rsid w:val="00841AB1"/>
    <w:rsid w:val="0088333C"/>
    <w:rsid w:val="008C68F1"/>
    <w:rsid w:val="00921803"/>
    <w:rsid w:val="00926503"/>
    <w:rsid w:val="009726D8"/>
    <w:rsid w:val="00972E4B"/>
    <w:rsid w:val="00984D06"/>
    <w:rsid w:val="009D7308"/>
    <w:rsid w:val="009F76DB"/>
    <w:rsid w:val="00A32C3B"/>
    <w:rsid w:val="00A455F0"/>
    <w:rsid w:val="00A45F4F"/>
    <w:rsid w:val="00A600A9"/>
    <w:rsid w:val="00AA55B7"/>
    <w:rsid w:val="00AA5B9E"/>
    <w:rsid w:val="00AB2407"/>
    <w:rsid w:val="00AB53DF"/>
    <w:rsid w:val="00B07E5C"/>
    <w:rsid w:val="00B811F7"/>
    <w:rsid w:val="00B8253B"/>
    <w:rsid w:val="00BA5DC6"/>
    <w:rsid w:val="00BA6196"/>
    <w:rsid w:val="00BC6D8C"/>
    <w:rsid w:val="00BE250C"/>
    <w:rsid w:val="00C34006"/>
    <w:rsid w:val="00C36B4C"/>
    <w:rsid w:val="00C426B1"/>
    <w:rsid w:val="00C66160"/>
    <w:rsid w:val="00C721AC"/>
    <w:rsid w:val="00C90D6A"/>
    <w:rsid w:val="00CA247E"/>
    <w:rsid w:val="00CA6D21"/>
    <w:rsid w:val="00CC72B6"/>
    <w:rsid w:val="00CE72B3"/>
    <w:rsid w:val="00CF1AD9"/>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3AB327-E645-4855-B345-2DE5221B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C4"/>
    <w:pPr>
      <w:widowControl w:val="0"/>
    </w:pPr>
    <w:rPr>
      <w:snapToGrid w:val="0"/>
      <w:kern w:val="28"/>
      <w:sz w:val="22"/>
    </w:rPr>
  </w:style>
  <w:style w:type="paragraph" w:styleId="Heading1">
    <w:name w:val="heading 1"/>
    <w:basedOn w:val="Normal"/>
    <w:next w:val="ParaNum"/>
    <w:qFormat/>
    <w:rsid w:val="000D79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79C4"/>
    <w:pPr>
      <w:keepNext/>
      <w:numPr>
        <w:ilvl w:val="1"/>
        <w:numId w:val="3"/>
      </w:numPr>
      <w:spacing w:after="120"/>
      <w:outlineLvl w:val="1"/>
    </w:pPr>
    <w:rPr>
      <w:b/>
    </w:rPr>
  </w:style>
  <w:style w:type="paragraph" w:styleId="Heading3">
    <w:name w:val="heading 3"/>
    <w:basedOn w:val="Normal"/>
    <w:next w:val="ParaNum"/>
    <w:qFormat/>
    <w:rsid w:val="000D79C4"/>
    <w:pPr>
      <w:keepNext/>
      <w:numPr>
        <w:ilvl w:val="2"/>
        <w:numId w:val="3"/>
      </w:numPr>
      <w:tabs>
        <w:tab w:val="left" w:pos="2160"/>
      </w:tabs>
      <w:spacing w:after="120"/>
      <w:outlineLvl w:val="2"/>
    </w:pPr>
    <w:rPr>
      <w:b/>
    </w:rPr>
  </w:style>
  <w:style w:type="paragraph" w:styleId="Heading4">
    <w:name w:val="heading 4"/>
    <w:basedOn w:val="Normal"/>
    <w:next w:val="ParaNum"/>
    <w:qFormat/>
    <w:rsid w:val="000D79C4"/>
    <w:pPr>
      <w:keepNext/>
      <w:numPr>
        <w:ilvl w:val="3"/>
        <w:numId w:val="3"/>
      </w:numPr>
      <w:tabs>
        <w:tab w:val="left" w:pos="2880"/>
      </w:tabs>
      <w:spacing w:after="120"/>
      <w:outlineLvl w:val="3"/>
    </w:pPr>
    <w:rPr>
      <w:b/>
    </w:rPr>
  </w:style>
  <w:style w:type="paragraph" w:styleId="Heading5">
    <w:name w:val="heading 5"/>
    <w:basedOn w:val="Normal"/>
    <w:next w:val="ParaNum"/>
    <w:qFormat/>
    <w:rsid w:val="000D79C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79C4"/>
    <w:pPr>
      <w:numPr>
        <w:ilvl w:val="5"/>
        <w:numId w:val="3"/>
      </w:numPr>
      <w:tabs>
        <w:tab w:val="left" w:pos="4320"/>
      </w:tabs>
      <w:spacing w:after="120"/>
      <w:outlineLvl w:val="5"/>
    </w:pPr>
    <w:rPr>
      <w:b/>
    </w:rPr>
  </w:style>
  <w:style w:type="paragraph" w:styleId="Heading7">
    <w:name w:val="heading 7"/>
    <w:basedOn w:val="Normal"/>
    <w:next w:val="ParaNum"/>
    <w:qFormat/>
    <w:rsid w:val="000D79C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79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79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7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79C4"/>
  </w:style>
  <w:style w:type="paragraph" w:customStyle="1" w:styleId="ParaNum">
    <w:name w:val="ParaNum"/>
    <w:basedOn w:val="Normal"/>
    <w:link w:val="ParaNumChar1"/>
    <w:rsid w:val="000D79C4"/>
    <w:pPr>
      <w:numPr>
        <w:numId w:val="2"/>
      </w:numPr>
      <w:tabs>
        <w:tab w:val="clear" w:pos="1080"/>
        <w:tab w:val="num" w:pos="1440"/>
      </w:tabs>
      <w:spacing w:after="120"/>
    </w:pPr>
  </w:style>
  <w:style w:type="paragraph" w:styleId="EndnoteText">
    <w:name w:val="endnote text"/>
    <w:basedOn w:val="Normal"/>
    <w:semiHidden/>
    <w:rsid w:val="000D79C4"/>
    <w:rPr>
      <w:sz w:val="20"/>
    </w:rPr>
  </w:style>
  <w:style w:type="character" w:styleId="EndnoteReference">
    <w:name w:val="endnote reference"/>
    <w:semiHidden/>
    <w:rsid w:val="000D79C4"/>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D79C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D79C4"/>
    <w:rPr>
      <w:rFonts w:ascii="Times New Roman" w:hAnsi="Times New Roman"/>
      <w:dstrike w:val="0"/>
      <w:color w:val="auto"/>
      <w:sz w:val="20"/>
      <w:vertAlign w:val="superscript"/>
    </w:rPr>
  </w:style>
  <w:style w:type="paragraph" w:styleId="TOC1">
    <w:name w:val="toc 1"/>
    <w:basedOn w:val="Normal"/>
    <w:next w:val="Normal"/>
    <w:semiHidden/>
    <w:rsid w:val="000D79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79C4"/>
    <w:pPr>
      <w:tabs>
        <w:tab w:val="left" w:pos="720"/>
        <w:tab w:val="right" w:leader="dot" w:pos="9360"/>
      </w:tabs>
      <w:suppressAutoHyphens/>
      <w:ind w:left="720" w:right="720" w:hanging="360"/>
    </w:pPr>
    <w:rPr>
      <w:noProof/>
    </w:rPr>
  </w:style>
  <w:style w:type="paragraph" w:styleId="TOC3">
    <w:name w:val="toc 3"/>
    <w:basedOn w:val="Normal"/>
    <w:next w:val="Normal"/>
    <w:semiHidden/>
    <w:rsid w:val="000D79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79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79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79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79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79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79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79C4"/>
    <w:pPr>
      <w:tabs>
        <w:tab w:val="right" w:pos="9360"/>
      </w:tabs>
      <w:suppressAutoHyphens/>
    </w:pPr>
  </w:style>
  <w:style w:type="character" w:customStyle="1" w:styleId="EquationCaption">
    <w:name w:val="_Equation Caption"/>
    <w:rsid w:val="000D79C4"/>
  </w:style>
  <w:style w:type="paragraph" w:styleId="Header">
    <w:name w:val="header"/>
    <w:basedOn w:val="Normal"/>
    <w:autoRedefine/>
    <w:rsid w:val="000D79C4"/>
    <w:pPr>
      <w:tabs>
        <w:tab w:val="center" w:pos="4680"/>
        <w:tab w:val="right" w:pos="9360"/>
      </w:tabs>
    </w:pPr>
    <w:rPr>
      <w:b/>
    </w:rPr>
  </w:style>
  <w:style w:type="paragraph" w:styleId="Footer">
    <w:name w:val="footer"/>
    <w:basedOn w:val="Normal"/>
    <w:link w:val="FooterChar"/>
    <w:uiPriority w:val="99"/>
    <w:rsid w:val="000D79C4"/>
    <w:pPr>
      <w:tabs>
        <w:tab w:val="center" w:pos="4320"/>
        <w:tab w:val="right" w:pos="8640"/>
      </w:tabs>
    </w:pPr>
  </w:style>
  <w:style w:type="character" w:styleId="PageNumber">
    <w:name w:val="page number"/>
    <w:basedOn w:val="DefaultParagraphFont"/>
    <w:rsid w:val="000D79C4"/>
  </w:style>
  <w:style w:type="paragraph" w:styleId="BlockText">
    <w:name w:val="Block Text"/>
    <w:basedOn w:val="Normal"/>
    <w:rsid w:val="000D79C4"/>
    <w:pPr>
      <w:spacing w:after="240"/>
      <w:ind w:left="1440" w:right="1440"/>
    </w:pPr>
  </w:style>
  <w:style w:type="paragraph" w:customStyle="1" w:styleId="Paratitle">
    <w:name w:val="Para title"/>
    <w:basedOn w:val="Normal"/>
    <w:rsid w:val="000D79C4"/>
    <w:pPr>
      <w:tabs>
        <w:tab w:val="center" w:pos="9270"/>
      </w:tabs>
      <w:spacing w:after="240"/>
    </w:pPr>
    <w:rPr>
      <w:spacing w:val="-2"/>
    </w:rPr>
  </w:style>
  <w:style w:type="paragraph" w:customStyle="1" w:styleId="Bullet">
    <w:name w:val="Bullet"/>
    <w:basedOn w:val="Normal"/>
    <w:rsid w:val="000D79C4"/>
    <w:pPr>
      <w:tabs>
        <w:tab w:val="left" w:pos="2160"/>
      </w:tabs>
      <w:spacing w:after="220"/>
      <w:ind w:left="2160" w:hanging="720"/>
    </w:pPr>
  </w:style>
  <w:style w:type="paragraph" w:customStyle="1" w:styleId="TableFormat">
    <w:name w:val="TableFormat"/>
    <w:basedOn w:val="Bullet"/>
    <w:rsid w:val="000D79C4"/>
    <w:pPr>
      <w:tabs>
        <w:tab w:val="clear" w:pos="2160"/>
        <w:tab w:val="left" w:pos="5040"/>
      </w:tabs>
      <w:ind w:left="5040" w:hanging="3600"/>
    </w:pPr>
  </w:style>
  <w:style w:type="paragraph" w:customStyle="1" w:styleId="TOCTitle">
    <w:name w:val="TOC Title"/>
    <w:basedOn w:val="Normal"/>
    <w:rsid w:val="000D79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79C4"/>
    <w:pPr>
      <w:jc w:val="center"/>
    </w:pPr>
    <w:rPr>
      <w:rFonts w:ascii="Times New Roman Bold" w:hAnsi="Times New Roman Bold"/>
      <w:b/>
      <w:bCs/>
      <w:caps/>
      <w:szCs w:val="22"/>
    </w:rPr>
  </w:style>
  <w:style w:type="character" w:styleId="Hyperlink">
    <w:name w:val="Hyperlink"/>
    <w:rsid w:val="000D79C4"/>
    <w:rPr>
      <w:color w:val="0000FF"/>
      <w:u w:val="single"/>
    </w:rPr>
  </w:style>
  <w:style w:type="character" w:customStyle="1" w:styleId="FooterChar">
    <w:name w:val="Footer Char"/>
    <w:link w:val="Footer"/>
    <w:uiPriority w:val="99"/>
    <w:rsid w:val="000D79C4"/>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B8253B"/>
  </w:style>
  <w:style w:type="character" w:customStyle="1" w:styleId="ParaNumChar1">
    <w:name w:val="ParaNum Char1"/>
    <w:link w:val="ParaNum"/>
    <w:rsid w:val="00B8253B"/>
    <w:rPr>
      <w:snapToGrid w:val="0"/>
      <w:kern w:val="28"/>
      <w:sz w:val="22"/>
    </w:rPr>
  </w:style>
  <w:style w:type="character" w:customStyle="1" w:styleId="ParaNumChar">
    <w:name w:val="ParaNum Char"/>
    <w:rsid w:val="003930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reports-research/reports/annual-reports-congress/11th-annual-report-congress-1945" TargetMode="External" /><Relationship Id="rId10" Type="http://schemas.openxmlformats.org/officeDocument/2006/relationships/hyperlink" Target="https://www.census.gov/cgi-bin/sssd/naics/naicsrch?input=515112&amp;search=2017+NAICS+Search&amp;search=2017" TargetMode="External" /><Relationship Id="rId11" Type="http://schemas.openxmlformats.org/officeDocument/2006/relationships/hyperlink" Target="https://data.census.gov/cedsci/table?q=EC1251SSSZ4&amp;hidePreview=false&amp;tid=ECNSIZE2012.EC1251SSSZ4&amp;vintage=2012" TargetMode="External" /><Relationship Id="rId12" Type="http://schemas.openxmlformats.org/officeDocument/2006/relationships/hyperlink" Target="https://www.census.gov/cgi-bin/sssd/naics/naicsrch?input=515120&amp;search=2017+NAICS+Search&amp;search=2017" TargetMode="External" /><Relationship Id="rId2" Type="http://schemas.openxmlformats.org/officeDocument/2006/relationships/hyperlink" Target="https://www.fcc.gov/document/broadcast-station-totals-june-30-2020" TargetMode="External" /><Relationship Id="rId3" Type="http://schemas.openxmlformats.org/officeDocument/2006/relationships/hyperlink" Target="https://www.fcc.gov/media/radio/radio-history-documents" TargetMode="External" /><Relationship Id="rId4" Type="http://schemas.openxmlformats.org/officeDocument/2006/relationships/hyperlink" Target="http://wirelessestimator.com/top-100-us-tower-companies-list/" TargetMode="External" /><Relationship Id="rId5" Type="http://schemas.openxmlformats.org/officeDocument/2006/relationships/hyperlink" Target="https://www.americantower.com/us/solutions/towers/broadcast-towers.html" TargetMode="External" /><Relationship Id="rId6" Type="http://schemas.openxmlformats.org/officeDocument/2006/relationships/hyperlink" Target="https://investor.crowncastle.com/static-files/e2d9530c-7a09-4247-8e63-449ea2bc3926" TargetMode="External" /><Relationship Id="rId7" Type="http://schemas.openxmlformats.org/officeDocument/2006/relationships/hyperlink" Target="https://www.aglmediagroup.com/insite-grows-broadcast-tower-portfolio/" TargetMode="External" /><Relationship Id="rId8" Type="http://schemas.openxmlformats.org/officeDocument/2006/relationships/hyperlink" Target="https://www.verticalbridge.com/our-partners/broadcast" TargetMode="External" /><Relationship Id="rId9" Type="http://schemas.openxmlformats.org/officeDocument/2006/relationships/hyperlink" Target="https://factfinder.census.gov/faces/affhelp/jsf/pages/metadata.xhtml?lang=en&amp;type=ib&amp;id=ib.en./ECN.NAICS2012.5151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