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515C" w:rsidRPr="00854B58" w:rsidP="00D6515C" w14:paraId="1FDB87C6" w14:textId="32254712">
      <w:pPr>
        <w:jc w:val="right"/>
        <w:rPr>
          <w:b/>
          <w:sz w:val="24"/>
        </w:rPr>
      </w:pPr>
      <w:bookmarkStart w:id="0" w:name="_Hlk508609275"/>
      <w:r>
        <w:rPr>
          <w:b/>
          <w:szCs w:val="22"/>
        </w:rPr>
        <w:t>FCC</w:t>
      </w:r>
      <w:r w:rsidR="00D766B7">
        <w:rPr>
          <w:b/>
          <w:szCs w:val="22"/>
        </w:rPr>
        <w:t xml:space="preserve"> 20-110</w:t>
      </w:r>
    </w:p>
    <w:p w:rsidR="00D6515C" w:rsidRPr="00DA470B" w:rsidP="00D6515C" w14:paraId="43F477E5" w14:textId="1A12B13A">
      <w:pPr>
        <w:spacing w:before="60"/>
        <w:jc w:val="right"/>
        <w:rPr>
          <w:b/>
          <w:szCs w:val="22"/>
        </w:rPr>
      </w:pPr>
      <w:r w:rsidRPr="004D6FC4">
        <w:rPr>
          <w:b/>
          <w:szCs w:val="22"/>
        </w:rPr>
        <w:t xml:space="preserve">Released: </w:t>
      </w:r>
      <w:r w:rsidR="002048AC">
        <w:rPr>
          <w:b/>
          <w:szCs w:val="22"/>
        </w:rPr>
        <w:t>August</w:t>
      </w:r>
      <w:r w:rsidR="007D1243">
        <w:rPr>
          <w:b/>
          <w:szCs w:val="22"/>
        </w:rPr>
        <w:t xml:space="preserve"> </w:t>
      </w:r>
      <w:r w:rsidR="002048AC">
        <w:rPr>
          <w:b/>
          <w:szCs w:val="22"/>
        </w:rPr>
        <w:t>7</w:t>
      </w:r>
      <w:r w:rsidR="00672A70">
        <w:rPr>
          <w:b/>
          <w:szCs w:val="22"/>
        </w:rPr>
        <w:t>,</w:t>
      </w:r>
      <w:r w:rsidR="00146290">
        <w:rPr>
          <w:b/>
          <w:szCs w:val="22"/>
        </w:rPr>
        <w:t xml:space="preserve"> </w:t>
      </w:r>
      <w:r w:rsidR="00473E35">
        <w:rPr>
          <w:b/>
          <w:szCs w:val="22"/>
        </w:rPr>
        <w:t>2020</w:t>
      </w:r>
    </w:p>
    <w:p w:rsidR="00D6515C" w:rsidRPr="00854B58" w:rsidP="00D6515C" w14:paraId="14A8522D" w14:textId="77777777">
      <w:pPr>
        <w:spacing w:before="60"/>
        <w:jc w:val="right"/>
        <w:rPr>
          <w:b/>
          <w:sz w:val="24"/>
        </w:rPr>
      </w:pPr>
    </w:p>
    <w:p w:rsidR="002B7C90" w:rsidRPr="00DA470B" w:rsidP="002B7C90" w14:paraId="186554DA" w14:textId="5F98F969">
      <w:pPr>
        <w:spacing w:after="240"/>
        <w:jc w:val="center"/>
        <w:rPr>
          <w:b/>
          <w:szCs w:val="22"/>
        </w:rPr>
      </w:pPr>
      <w:r w:rsidRPr="00DA470B">
        <w:rPr>
          <w:b/>
          <w:szCs w:val="22"/>
        </w:rPr>
        <w:t xml:space="preserve">AUCTION OF </w:t>
      </w:r>
      <w:r w:rsidR="002A5AC7">
        <w:rPr>
          <w:b/>
          <w:szCs w:val="22"/>
        </w:rPr>
        <w:t>FLEXIBLE-USE SERVICE LICENSES IN THE 3.7–3.98 GHz BAND</w:t>
      </w:r>
      <w:r>
        <w:rPr>
          <w:b/>
          <w:szCs w:val="22"/>
        </w:rPr>
        <w:br/>
      </w:r>
      <w:r w:rsidR="002A5AC7">
        <w:rPr>
          <w:b/>
          <w:szCs w:val="22"/>
        </w:rPr>
        <w:t>FOR NEXT-GENERATION WIRELESS SERVICES</w:t>
      </w:r>
      <w:r>
        <w:rPr>
          <w:b/>
          <w:szCs w:val="22"/>
        </w:rPr>
        <w:t xml:space="preserve"> </w:t>
      </w:r>
    </w:p>
    <w:p w:rsidR="00D6515C" w:rsidP="002A5AC7" w14:paraId="0274F422" w14:textId="08AE819E">
      <w:pPr>
        <w:spacing w:after="240"/>
        <w:jc w:val="center"/>
        <w:rPr>
          <w:b/>
          <w:szCs w:val="22"/>
        </w:rPr>
      </w:pPr>
      <w:r w:rsidRPr="005712E5">
        <w:rPr>
          <w:b/>
          <w:szCs w:val="22"/>
        </w:rPr>
        <w:t>NOTICE AND FILING REQUIREMENTS, MINIMUM OPENING BIDS, UPFRONT PAYMENTS, AND OTHER PROCEDURES FOR</w:t>
      </w:r>
      <w:r w:rsidRPr="00DA470B">
        <w:rPr>
          <w:b/>
          <w:szCs w:val="22"/>
        </w:rPr>
        <w:t xml:space="preserve"> </w:t>
      </w:r>
      <w:r>
        <w:rPr>
          <w:b/>
          <w:szCs w:val="22"/>
        </w:rPr>
        <w:t>AUCTION 10</w:t>
      </w:r>
      <w:r w:rsidR="002A5AC7">
        <w:rPr>
          <w:b/>
          <w:szCs w:val="22"/>
        </w:rPr>
        <w:t>7</w:t>
      </w:r>
      <w:r>
        <w:rPr>
          <w:b/>
          <w:szCs w:val="22"/>
        </w:rPr>
        <w:t xml:space="preserve"> </w:t>
      </w:r>
    </w:p>
    <w:p w:rsidR="00D6515C" w:rsidP="00D6515C" w14:paraId="5BC67406" w14:textId="11653486">
      <w:pPr>
        <w:spacing w:after="240"/>
        <w:jc w:val="center"/>
        <w:rPr>
          <w:b/>
          <w:szCs w:val="22"/>
        </w:rPr>
      </w:pPr>
      <w:r w:rsidRPr="005712E5">
        <w:rPr>
          <w:b/>
          <w:szCs w:val="22"/>
        </w:rPr>
        <w:t>BIDDING IN AUCTION 10</w:t>
      </w:r>
      <w:r w:rsidR="002A5AC7">
        <w:rPr>
          <w:b/>
          <w:szCs w:val="22"/>
        </w:rPr>
        <w:t>7</w:t>
      </w:r>
      <w:r w:rsidRPr="005712E5">
        <w:rPr>
          <w:b/>
          <w:szCs w:val="22"/>
        </w:rPr>
        <w:t xml:space="preserve"> SCHEDULED TO BEGIN </w:t>
      </w:r>
      <w:r w:rsidR="002A5AC7">
        <w:rPr>
          <w:b/>
          <w:szCs w:val="22"/>
        </w:rPr>
        <w:t>DECEMBER 8</w:t>
      </w:r>
      <w:r w:rsidRPr="005712E5">
        <w:rPr>
          <w:b/>
          <w:szCs w:val="22"/>
        </w:rPr>
        <w:t xml:space="preserve">, </w:t>
      </w:r>
      <w:r w:rsidR="00FE74AF">
        <w:rPr>
          <w:b/>
          <w:szCs w:val="22"/>
        </w:rPr>
        <w:t>2020</w:t>
      </w:r>
    </w:p>
    <w:p w:rsidR="00D6515C" w:rsidP="00D6515C" w14:paraId="675DE272" w14:textId="7154FD3A">
      <w:pPr>
        <w:spacing w:before="120"/>
        <w:jc w:val="center"/>
        <w:rPr>
          <w:b/>
          <w:szCs w:val="22"/>
        </w:rPr>
      </w:pPr>
      <w:r w:rsidRPr="000B47FD">
        <w:rPr>
          <w:b/>
          <w:szCs w:val="22"/>
        </w:rPr>
        <w:t xml:space="preserve">AU Docket No. </w:t>
      </w:r>
      <w:r w:rsidR="002A5AC7">
        <w:rPr>
          <w:b/>
          <w:szCs w:val="22"/>
        </w:rPr>
        <w:t>20</w:t>
      </w:r>
      <w:r w:rsidRPr="000B47FD">
        <w:rPr>
          <w:b/>
          <w:szCs w:val="22"/>
        </w:rPr>
        <w:t>-</w:t>
      </w:r>
      <w:r w:rsidR="002A5AC7">
        <w:rPr>
          <w:b/>
          <w:szCs w:val="22"/>
        </w:rPr>
        <w:t>25</w:t>
      </w:r>
    </w:p>
    <w:p w:rsidR="00EE4B2F" w:rsidP="00EE4B2F" w14:paraId="12843DEE" w14:textId="591CA376">
      <w:pPr>
        <w:pStyle w:val="TOCTitle"/>
      </w:pPr>
      <w:bookmarkStart w:id="1" w:name="TOChere"/>
      <w:r>
        <w:t>Table of Contents</w:t>
      </w:r>
    </w:p>
    <w:p w:rsidR="00EE4B2F" w:rsidP="00EE4B2F" w14:paraId="3AB7BAE9" w14:textId="181339FD">
      <w:pPr>
        <w:pStyle w:val="Paratitle"/>
      </w:pPr>
      <w:r>
        <w:t>Heading</w:t>
      </w:r>
      <w:r>
        <w:tab/>
        <w:t>Paragraph #</w:t>
      </w:r>
      <w:bookmarkStart w:id="2" w:name="start_here"/>
      <w:bookmarkEnd w:id="2"/>
    </w:p>
    <w:p w:rsidR="00EE4B2F" w:rsidP="00EE4B2F" w14:paraId="7C66C572" w14:textId="207BC146">
      <w:pPr>
        <w:pStyle w:val="TOC1"/>
        <w:rPr>
          <w:rFonts w:asciiTheme="minorHAnsi" w:eastAsiaTheme="minorEastAsia" w:hAnsiTheme="minorHAnsi" w:cstheme="minorBidi"/>
          <w:caps w:val="0"/>
          <w:snapToGrid/>
          <w:kern w:val="0"/>
          <w:szCs w:val="22"/>
        </w:rPr>
      </w:pPr>
      <w:r w:rsidRPr="003A7B22">
        <w:t>I.</w:t>
      </w:r>
      <w:r>
        <w:rPr>
          <w:rFonts w:asciiTheme="minorHAnsi" w:eastAsiaTheme="minorEastAsia" w:hAnsiTheme="minorHAnsi" w:cstheme="minorBidi"/>
          <w:caps w:val="0"/>
          <w:snapToGrid/>
          <w:kern w:val="0"/>
          <w:szCs w:val="22"/>
        </w:rPr>
        <w:tab/>
      </w:r>
      <w:r w:rsidRPr="003A7B22">
        <w:t>General Information</w:t>
      </w:r>
      <w:r>
        <w:tab/>
        <w:t>1</w:t>
      </w:r>
    </w:p>
    <w:p w:rsidR="00EE4B2F" w:rsidP="00EE4B2F" w14:paraId="0DB193E3" w14:textId="0B470F1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EE4B2F" w:rsidP="00EE4B2F" w14:paraId="70832D79" w14:textId="26606B4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 and Relevant Authority</w:t>
      </w:r>
      <w:r>
        <w:tab/>
        <w:t>3</w:t>
      </w:r>
    </w:p>
    <w:p w:rsidR="00EE4B2F" w:rsidP="00EE4B2F" w14:paraId="73747C21" w14:textId="271E68A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 xml:space="preserve">Description of Licenses to Be Offered in </w:t>
      </w:r>
      <w:r>
        <w:t>Auction 10</w:t>
      </w:r>
      <w:r w:rsidR="002A5AC7">
        <w:t>7</w:t>
      </w:r>
      <w:r>
        <w:tab/>
        <w:t>7</w:t>
      </w:r>
    </w:p>
    <w:p w:rsidR="00EE4B2F" w:rsidP="00EE4B2F" w14:paraId="56CB03E2" w14:textId="0444DED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Auction Specifics</w:t>
      </w:r>
      <w:r>
        <w:tab/>
      </w:r>
      <w:r w:rsidR="00A2548E">
        <w:t>9</w:t>
      </w:r>
    </w:p>
    <w:p w:rsidR="00EE4B2F" w:rsidP="00EE4B2F" w14:paraId="4560E5B8" w14:textId="6124746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Title and Start Date</w:t>
      </w:r>
      <w:r>
        <w:tab/>
      </w:r>
      <w:r w:rsidR="00A2548E">
        <w:t>9</w:t>
      </w:r>
    </w:p>
    <w:p w:rsidR="00EE4B2F" w:rsidP="00EE4B2F" w14:paraId="31599DE9" w14:textId="4E927F0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Dates and Deadlines</w:t>
      </w:r>
      <w:r>
        <w:tab/>
        <w:t>1</w:t>
      </w:r>
      <w:r w:rsidR="00A2548E">
        <w:t>1</w:t>
      </w:r>
    </w:p>
    <w:p w:rsidR="00EE4B2F" w:rsidP="00EE4B2F" w14:paraId="560BB3DB" w14:textId="651F8FF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Requirements for Participation</w:t>
      </w:r>
      <w:r>
        <w:tab/>
        <w:t>1</w:t>
      </w:r>
      <w:r w:rsidR="00A2548E">
        <w:t>2</w:t>
      </w:r>
    </w:p>
    <w:p w:rsidR="00EE4B2F" w:rsidP="00EE4B2F" w14:paraId="19FFCBF3" w14:textId="06E417C9">
      <w:pPr>
        <w:pStyle w:val="TOC1"/>
        <w:rPr>
          <w:rFonts w:asciiTheme="minorHAnsi" w:eastAsiaTheme="minorEastAsia" w:hAnsiTheme="minorHAnsi" w:cstheme="minorBidi"/>
          <w:caps w:val="0"/>
          <w:snapToGrid/>
          <w:kern w:val="0"/>
          <w:szCs w:val="22"/>
        </w:rPr>
      </w:pPr>
      <w:r w:rsidRPr="003A7B22">
        <w:t>II.</w:t>
      </w:r>
      <w:r>
        <w:rPr>
          <w:rFonts w:asciiTheme="minorHAnsi" w:eastAsiaTheme="minorEastAsia" w:hAnsiTheme="minorHAnsi" w:cstheme="minorBidi"/>
          <w:caps w:val="0"/>
          <w:snapToGrid/>
          <w:kern w:val="0"/>
          <w:szCs w:val="22"/>
        </w:rPr>
        <w:tab/>
      </w:r>
      <w:r w:rsidRPr="003A7B22">
        <w:t>Applying to Participate in Auction 10</w:t>
      </w:r>
      <w:r w:rsidR="002A5AC7">
        <w:t>7</w:t>
      </w:r>
      <w:r>
        <w:tab/>
        <w:t>1</w:t>
      </w:r>
      <w:r w:rsidR="00A2548E">
        <w:t>3</w:t>
      </w:r>
    </w:p>
    <w:p w:rsidR="00EE4B2F" w:rsidP="00EE4B2F" w14:paraId="053FF8A1" w14:textId="77712DF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General Information Regarding Short-Form Applications</w:t>
      </w:r>
      <w:r>
        <w:tab/>
        <w:t>1</w:t>
      </w:r>
      <w:r w:rsidR="00A2548E">
        <w:t>3</w:t>
      </w:r>
    </w:p>
    <w:p w:rsidR="00EE4B2F" w:rsidP="00EE4B2F" w14:paraId="0231F9AE" w14:textId="4BFC720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License Area Selection</w:t>
      </w:r>
      <w:r>
        <w:tab/>
        <w:t>2</w:t>
      </w:r>
      <w:r w:rsidR="00A2548E">
        <w:t>3</w:t>
      </w:r>
    </w:p>
    <w:p w:rsidR="00EE4B2F" w:rsidP="00EE4B2F" w14:paraId="52443CBC" w14:textId="2EAF83E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Disclosure of Agreements and Bidding Arrangements</w:t>
      </w:r>
      <w:r>
        <w:tab/>
        <w:t>2</w:t>
      </w:r>
      <w:r w:rsidR="00A2548E">
        <w:t>4</w:t>
      </w:r>
    </w:p>
    <w:p w:rsidR="00EE4B2F" w:rsidP="00EE4B2F" w14:paraId="1EDADECE" w14:textId="1E65384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Ownership Disclosure Requirements</w:t>
      </w:r>
      <w:r>
        <w:tab/>
        <w:t>3</w:t>
      </w:r>
      <w:r w:rsidR="00A2548E">
        <w:t>2</w:t>
      </w:r>
    </w:p>
    <w:p w:rsidR="00EE4B2F" w:rsidP="00EE4B2F" w14:paraId="4DA23B88" w14:textId="2C2D9899">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Foreign Ownership Disclosure Requirements</w:t>
      </w:r>
      <w:r>
        <w:tab/>
        <w:t>3</w:t>
      </w:r>
      <w:r w:rsidR="00A2548E">
        <w:t>4</w:t>
      </w:r>
    </w:p>
    <w:p w:rsidR="00EE4B2F" w:rsidP="00EE4B2F" w14:paraId="63D2C12C" w14:textId="6C43E904">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Information Procedures During the Auction Process</w:t>
      </w:r>
      <w:r>
        <w:tab/>
        <w:t>3</w:t>
      </w:r>
      <w:r w:rsidR="00A2548E">
        <w:t>5</w:t>
      </w:r>
    </w:p>
    <w:p w:rsidR="00EE4B2F" w:rsidP="00EE4B2F" w14:paraId="27499CFD" w14:textId="044F2A94">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 xml:space="preserve">Prohibited </w:t>
      </w:r>
      <w:r>
        <w:t>Communications and Compliance with Antitrust Laws</w:t>
      </w:r>
      <w:r>
        <w:tab/>
        <w:t>4</w:t>
      </w:r>
      <w:r w:rsidR="00A2548E">
        <w:t>1</w:t>
      </w:r>
    </w:p>
    <w:p w:rsidR="00EE4B2F" w:rsidP="00EE4B2F" w14:paraId="4E184DE2" w14:textId="6C21276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Entities Subject to Section 1.2105(c)</w:t>
      </w:r>
      <w:r>
        <w:tab/>
        <w:t>4</w:t>
      </w:r>
      <w:r w:rsidR="00A2548E">
        <w:t>2</w:t>
      </w:r>
    </w:p>
    <w:p w:rsidR="00EE4B2F" w:rsidP="00EE4B2F" w14:paraId="1570A4E1" w14:textId="4EF2CBF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Prohibition Applies Until Down Payment Deadline</w:t>
      </w:r>
      <w:r>
        <w:tab/>
        <w:t>4</w:t>
      </w:r>
      <w:r w:rsidR="00A2548E">
        <w:t>4</w:t>
      </w:r>
    </w:p>
    <w:p w:rsidR="00EE4B2F" w:rsidP="00EE4B2F" w14:paraId="1D72140C" w14:textId="5387289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Scope of Prohibition o</w:t>
      </w:r>
      <w:r w:rsidR="001B5326">
        <w:t>n</w:t>
      </w:r>
      <w:r>
        <w:t xml:space="preserve"> </w:t>
      </w:r>
      <w:r w:rsidR="00C66008">
        <w:t xml:space="preserve">Certain </w:t>
      </w:r>
      <w:r>
        <w:t>Communications; Prohibition o</w:t>
      </w:r>
      <w:r w:rsidR="001B5326">
        <w:t>n</w:t>
      </w:r>
      <w:r>
        <w:t xml:space="preserve"> Joint Bidding Agreements</w:t>
      </w:r>
      <w:r>
        <w:tab/>
        <w:t>4</w:t>
      </w:r>
      <w:r w:rsidR="00A2548E">
        <w:t>5</w:t>
      </w:r>
    </w:p>
    <w:p w:rsidR="00EE4B2F" w:rsidP="00EE4B2F" w14:paraId="3C77CEB3" w14:textId="032CA6E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Communic</w:t>
      </w:r>
      <w:r>
        <w:t>ating with Third Parties</w:t>
      </w:r>
      <w:r>
        <w:tab/>
        <w:t>5</w:t>
      </w:r>
      <w:r w:rsidR="00A2548E">
        <w:t>4</w:t>
      </w:r>
    </w:p>
    <w:p w:rsidR="00EE4B2F" w:rsidP="00EE4B2F" w14:paraId="5B4187A9" w14:textId="630BF6C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Section 1.2105(c) Certifications</w:t>
      </w:r>
      <w:r>
        <w:tab/>
        <w:t>5</w:t>
      </w:r>
      <w:r w:rsidR="00A2548E">
        <w:t>8</w:t>
      </w:r>
    </w:p>
    <w:p w:rsidR="00EE4B2F" w:rsidP="00EE4B2F" w14:paraId="7BFE480A" w14:textId="5D066092">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Duty to Report Prohibited Communications</w:t>
      </w:r>
      <w:r>
        <w:tab/>
      </w:r>
      <w:r w:rsidR="000377EC">
        <w:t>5</w:t>
      </w:r>
      <w:r w:rsidR="00A2548E">
        <w:t>9</w:t>
      </w:r>
    </w:p>
    <w:p w:rsidR="00EE4B2F" w:rsidP="00EE4B2F" w14:paraId="651EAC2E" w14:textId="58B3A7B1">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Procedures for Reporting Prohibited Communications</w:t>
      </w:r>
      <w:r>
        <w:tab/>
      </w:r>
      <w:r w:rsidR="00A2548E">
        <w:t>60</w:t>
      </w:r>
    </w:p>
    <w:p w:rsidR="00EE4B2F" w:rsidP="00EE4B2F" w14:paraId="64C046FC" w14:textId="7F35054B">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Winning Bidders Must Disclose Terms of Agreements</w:t>
      </w:r>
      <w:r>
        <w:tab/>
        <w:t>6</w:t>
      </w:r>
      <w:r w:rsidR="00A2548E">
        <w:t>3</w:t>
      </w:r>
    </w:p>
    <w:p w:rsidR="00EE4B2F" w:rsidP="00EE4B2F" w14:paraId="3F702F6D" w14:textId="3018FFD7">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Additional Information Con</w:t>
      </w:r>
      <w:r>
        <w:t>cerning Prohibition o</w:t>
      </w:r>
      <w:r w:rsidR="00615D51">
        <w:t>n</w:t>
      </w:r>
      <w:r>
        <w:t xml:space="preserve"> Certain Communications in Commission Auctions</w:t>
      </w:r>
      <w:r>
        <w:tab/>
        <w:t>6</w:t>
      </w:r>
      <w:r w:rsidR="00A2548E">
        <w:t>4</w:t>
      </w:r>
    </w:p>
    <w:p w:rsidR="00EE4B2F" w:rsidP="00EE4B2F" w14:paraId="4DD8486E" w14:textId="4A1B9CAB">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Antitrust Laws</w:t>
      </w:r>
      <w:r>
        <w:tab/>
        <w:t>6</w:t>
      </w:r>
      <w:r w:rsidR="00A2548E">
        <w:t>5</w:t>
      </w:r>
    </w:p>
    <w:p w:rsidR="00EE4B2F" w:rsidP="00EE4B2F" w14:paraId="7D5F8A03" w14:textId="2056237D">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Provisions for Small Businesses and Rural Service Providers</w:t>
      </w:r>
      <w:r>
        <w:tab/>
        <w:t>6</w:t>
      </w:r>
      <w:r w:rsidR="00A2548E">
        <w:t>7</w:t>
      </w:r>
    </w:p>
    <w:p w:rsidR="00EE4B2F" w:rsidP="00EE4B2F" w14:paraId="553E7E10" w14:textId="239C444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Small Business Bidding Credit</w:t>
      </w:r>
      <w:r>
        <w:tab/>
      </w:r>
      <w:r w:rsidR="00A2548E">
        <w:t>70</w:t>
      </w:r>
    </w:p>
    <w:p w:rsidR="00EE4B2F" w:rsidP="00EE4B2F" w14:paraId="59771815" w14:textId="3CF552A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Rural Service Provider Bidding Credit</w:t>
      </w:r>
      <w:r>
        <w:tab/>
        <w:t>7</w:t>
      </w:r>
      <w:r w:rsidR="00A2548E">
        <w:t>4</w:t>
      </w:r>
    </w:p>
    <w:p w:rsidR="00EE4B2F" w:rsidP="00EE4B2F" w14:paraId="48E3C987" w14:textId="2A6FD2B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 xml:space="preserve">Caps on </w:t>
      </w:r>
      <w:r>
        <w:t>Bidding Credits</w:t>
      </w:r>
      <w:r>
        <w:tab/>
        <w:t>7</w:t>
      </w:r>
      <w:r w:rsidR="00A2548E">
        <w:t>6</w:t>
      </w:r>
    </w:p>
    <w:p w:rsidR="00EE4B2F" w:rsidP="00EE4B2F" w14:paraId="65B70919" w14:textId="1EF3835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Attributable Interests</w:t>
      </w:r>
      <w:r>
        <w:tab/>
        <w:t>7</w:t>
      </w:r>
      <w:r w:rsidR="00A2548E">
        <w:t>8</w:t>
      </w:r>
    </w:p>
    <w:p w:rsidR="00EE4B2F" w:rsidP="00EE4B2F" w14:paraId="39E4E1BE" w14:textId="7F0321D5">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Provisions Regarding Former and Current Defaulters</w:t>
      </w:r>
      <w:r>
        <w:tab/>
        <w:t>8</w:t>
      </w:r>
      <w:r w:rsidR="00A2548E">
        <w:t>8</w:t>
      </w:r>
    </w:p>
    <w:p w:rsidR="00EE4B2F" w:rsidP="00EE4B2F" w14:paraId="1CB511D0" w14:textId="3635D82C">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Optional Applicant Status Identification</w:t>
      </w:r>
      <w:r>
        <w:tab/>
        <w:t>9</w:t>
      </w:r>
      <w:r w:rsidR="00A2548E">
        <w:t>3</w:t>
      </w:r>
    </w:p>
    <w:p w:rsidR="00EE4B2F" w:rsidP="00EE4B2F" w14:paraId="69791F98" w14:textId="4AB2EA1F">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Modifications to FCC Form 175</w:t>
      </w:r>
      <w:r>
        <w:tab/>
        <w:t>9</w:t>
      </w:r>
      <w:r w:rsidR="00A2548E">
        <w:t>4</w:t>
      </w:r>
    </w:p>
    <w:p w:rsidR="00EE4B2F" w:rsidP="00EE4B2F" w14:paraId="66BDEB8C" w14:textId="4CCC94C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Only Minor Modifications Allowed</w:t>
      </w:r>
      <w:r>
        <w:tab/>
        <w:t>9</w:t>
      </w:r>
      <w:r w:rsidR="00A2548E">
        <w:t>4</w:t>
      </w:r>
    </w:p>
    <w:p w:rsidR="00EE4B2F" w:rsidP="00EE4B2F" w14:paraId="1F025831" w14:textId="5F75921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 xml:space="preserve">Duty to Maintain Accuracy </w:t>
      </w:r>
      <w:r>
        <w:t>and Completeness of FCC Form 175</w:t>
      </w:r>
      <w:r>
        <w:tab/>
        <w:t>9</w:t>
      </w:r>
      <w:r w:rsidR="00A2548E">
        <w:t>5</w:t>
      </w:r>
    </w:p>
    <w:p w:rsidR="00EE4B2F" w:rsidP="00EE4B2F" w14:paraId="37FE0CB8" w14:textId="3C72E58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Modifying an FCC Form 175</w:t>
      </w:r>
      <w:r>
        <w:tab/>
        <w:t>9</w:t>
      </w:r>
      <w:r w:rsidR="00A2548E">
        <w:t>6</w:t>
      </w:r>
    </w:p>
    <w:p w:rsidR="00EE4B2F" w:rsidP="00EE4B2F" w14:paraId="283ABC2C" w14:textId="1EDC7670">
      <w:pPr>
        <w:pStyle w:val="TOC1"/>
        <w:rPr>
          <w:rFonts w:asciiTheme="minorHAnsi" w:eastAsiaTheme="minorEastAsia" w:hAnsiTheme="minorHAnsi" w:cstheme="minorBidi"/>
          <w:caps w:val="0"/>
          <w:snapToGrid/>
          <w:kern w:val="0"/>
          <w:szCs w:val="22"/>
        </w:rPr>
      </w:pPr>
      <w:r w:rsidRPr="003A7B22">
        <w:t>III.</w:t>
      </w:r>
      <w:r>
        <w:rPr>
          <w:rFonts w:asciiTheme="minorHAnsi" w:eastAsiaTheme="minorEastAsia" w:hAnsiTheme="minorHAnsi" w:cstheme="minorBidi"/>
          <w:caps w:val="0"/>
          <w:snapToGrid/>
          <w:kern w:val="0"/>
          <w:szCs w:val="22"/>
        </w:rPr>
        <w:tab/>
      </w:r>
      <w:r w:rsidRPr="003A7B22">
        <w:t>Preparing for Bidding in Auction 10</w:t>
      </w:r>
      <w:r w:rsidR="002A5AC7">
        <w:t>7</w:t>
      </w:r>
      <w:r>
        <w:tab/>
        <w:t>10</w:t>
      </w:r>
      <w:r w:rsidR="00A2548E">
        <w:t>3</w:t>
      </w:r>
    </w:p>
    <w:p w:rsidR="00EE4B2F" w:rsidP="00EE4B2F" w14:paraId="7051A8D7" w14:textId="0AB86CF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Due Diligence</w:t>
      </w:r>
      <w:r>
        <w:tab/>
        <w:t>10</w:t>
      </w:r>
      <w:r w:rsidR="00A2548E">
        <w:t>3</w:t>
      </w:r>
    </w:p>
    <w:p w:rsidR="00EE4B2F" w:rsidP="00EE4B2F" w14:paraId="07C73D8A" w14:textId="60394E7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Licensing Considerations</w:t>
      </w:r>
      <w:r>
        <w:tab/>
        <w:t>10</w:t>
      </w:r>
      <w:r w:rsidR="00C912B3">
        <w:t>8</w:t>
      </w:r>
    </w:p>
    <w:p w:rsidR="00EE4B2F" w:rsidP="00EE4B2F" w14:paraId="01908D4F" w14:textId="11842C6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rsidR="008E3CF6">
        <w:t>Transition of Incumbent Operations</w:t>
      </w:r>
      <w:r>
        <w:tab/>
        <w:t>10</w:t>
      </w:r>
      <w:r w:rsidR="00A2548E">
        <w:t>8</w:t>
      </w:r>
    </w:p>
    <w:p w:rsidR="00EE4B2F" w:rsidP="00EE4B2F" w14:paraId="2189CFB1" w14:textId="16A8715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International Coordination</w:t>
      </w:r>
      <w:r>
        <w:tab/>
        <w:t>1</w:t>
      </w:r>
      <w:r w:rsidR="00927A73">
        <w:t>0</w:t>
      </w:r>
      <w:r w:rsidR="002D493E">
        <w:t>9</w:t>
      </w:r>
    </w:p>
    <w:p w:rsidR="00EE4B2F" w:rsidP="00EE4B2F" w14:paraId="3EF1716C" w14:textId="570FFA9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Environmental Review Requirements</w:t>
      </w:r>
      <w:r>
        <w:tab/>
        <w:t>1</w:t>
      </w:r>
      <w:r w:rsidR="00B01E0E">
        <w:t>1</w:t>
      </w:r>
      <w:r w:rsidR="002D493E">
        <w:t>1</w:t>
      </w:r>
    </w:p>
    <w:p w:rsidR="00EE4B2F" w:rsidP="00EE4B2F" w14:paraId="4F992373" w14:textId="1B0DDF6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rsidR="00A11955">
        <w:t>Mobile Spectrum Holdings Policies</w:t>
      </w:r>
      <w:r>
        <w:tab/>
        <w:t>1</w:t>
      </w:r>
      <w:r w:rsidR="00DA52F5">
        <w:t>1</w:t>
      </w:r>
      <w:r w:rsidR="002D493E">
        <w:t>2</w:t>
      </w:r>
    </w:p>
    <w:p w:rsidR="00EE4B2F" w:rsidP="00EE4B2F" w14:paraId="40F1C174" w14:textId="7E405D1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Bidder Education</w:t>
      </w:r>
      <w:r>
        <w:tab/>
        <w:t>1</w:t>
      </w:r>
      <w:r w:rsidR="00DA52F5">
        <w:t>1</w:t>
      </w:r>
      <w:r w:rsidR="002D493E">
        <w:t>3</w:t>
      </w:r>
    </w:p>
    <w:p w:rsidR="00EE4B2F" w:rsidP="00EE4B2F" w14:paraId="15974E58" w14:textId="0848BBD9">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 xml:space="preserve">Short-Form Applications:  Due Before 6:00 p.m. ET on </w:t>
      </w:r>
      <w:r w:rsidR="002A5AC7">
        <w:t>September 22</w:t>
      </w:r>
      <w:r>
        <w:t>, 2020</w:t>
      </w:r>
      <w:r>
        <w:tab/>
        <w:t>1</w:t>
      </w:r>
      <w:r w:rsidR="00BD2A8C">
        <w:t>1</w:t>
      </w:r>
      <w:r w:rsidR="002D493E">
        <w:t>6</w:t>
      </w:r>
    </w:p>
    <w:p w:rsidR="00EE4B2F" w:rsidP="00EE4B2F" w14:paraId="68A53938" w14:textId="09BE382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Application Processing and Minor Modifications</w:t>
      </w:r>
      <w:r>
        <w:tab/>
        <w:t>1</w:t>
      </w:r>
      <w:r w:rsidR="00BD2A8C">
        <w:t>1</w:t>
      </w:r>
      <w:r w:rsidR="002D493E">
        <w:t>9</w:t>
      </w:r>
    </w:p>
    <w:p w:rsidR="00EE4B2F" w:rsidP="00EE4B2F" w14:paraId="2590FC7A" w14:textId="617DA66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 xml:space="preserve">Public Notice of </w:t>
      </w:r>
      <w:r>
        <w:t>Applicants’ Initial Application Status and Opportunity for Minor Modifications</w:t>
      </w:r>
      <w:r>
        <w:tab/>
        <w:t>1</w:t>
      </w:r>
      <w:r w:rsidR="001227E5">
        <w:t>1</w:t>
      </w:r>
      <w:r w:rsidR="002D493E">
        <w:t>9</w:t>
      </w:r>
    </w:p>
    <w:p w:rsidR="00EE4B2F" w:rsidP="00EE4B2F" w14:paraId="463293B6" w14:textId="2C64D27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Public Notice of Applicants’ Final Application Status After Upfront Payment Deadline</w:t>
      </w:r>
      <w:r>
        <w:tab/>
        <w:t>1</w:t>
      </w:r>
      <w:r w:rsidR="001227E5">
        <w:t>2</w:t>
      </w:r>
      <w:r w:rsidR="002D493E">
        <w:t>2</w:t>
      </w:r>
    </w:p>
    <w:p w:rsidR="00EE4B2F" w:rsidP="00EE4B2F" w14:paraId="1D597A39" w14:textId="32EC244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Upfront Payments</w:t>
      </w:r>
      <w:r>
        <w:tab/>
        <w:t>1</w:t>
      </w:r>
      <w:r w:rsidR="001227E5">
        <w:t>2</w:t>
      </w:r>
      <w:r w:rsidR="002D493E">
        <w:t>3</w:t>
      </w:r>
    </w:p>
    <w:p w:rsidR="00EE4B2F" w:rsidP="00EE4B2F" w14:paraId="0CB28CAA" w14:textId="2837D4D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 for Auction 1</w:t>
      </w:r>
      <w:r>
        <w:t>0</w:t>
      </w:r>
      <w:r w:rsidR="002A5AC7">
        <w:t>7</w:t>
      </w:r>
      <w:r>
        <w:tab/>
        <w:t>1</w:t>
      </w:r>
      <w:r w:rsidR="001227E5">
        <w:t>2</w:t>
      </w:r>
      <w:r w:rsidR="002D493E">
        <w:t>4</w:t>
      </w:r>
    </w:p>
    <w:p w:rsidR="00EE4B2F" w:rsidRPr="00FE3B8D" w:rsidP="00EE4B2F" w14:paraId="38CB12D3" w14:textId="7A7F2298">
      <w:pPr>
        <w:pStyle w:val="TOC3"/>
        <w:tabs>
          <w:tab w:val="left" w:pos="360"/>
        </w:tabs>
        <w:rPr>
          <w:rFonts w:eastAsiaTheme="minorEastAsia"/>
          <w:snapToGrid/>
          <w:kern w:val="0"/>
          <w:szCs w:val="22"/>
        </w:rPr>
      </w:pPr>
      <w:r w:rsidRPr="0089315F">
        <w:t>2.</w:t>
      </w:r>
      <w:r w:rsidRPr="00FE3B8D">
        <w:rPr>
          <w:rFonts w:eastAsiaTheme="minorEastAsia"/>
          <w:snapToGrid/>
          <w:kern w:val="0"/>
          <w:szCs w:val="22"/>
        </w:rPr>
        <w:tab/>
      </w:r>
      <w:r w:rsidRPr="0089315F">
        <w:t>Completing and Submitting FCC Form 159</w:t>
      </w:r>
      <w:r w:rsidRPr="0089315F">
        <w:tab/>
        <w:t>1</w:t>
      </w:r>
      <w:r w:rsidR="002D493E">
        <w:t>30</w:t>
      </w:r>
    </w:p>
    <w:p w:rsidR="00EE4B2F" w:rsidRPr="00FE3B8D" w:rsidP="00EE4B2F" w14:paraId="619E03EA" w14:textId="7A5F24CA">
      <w:pPr>
        <w:pStyle w:val="TOC3"/>
        <w:tabs>
          <w:tab w:val="left" w:pos="360"/>
        </w:tabs>
        <w:rPr>
          <w:rFonts w:eastAsiaTheme="minorEastAsia"/>
          <w:snapToGrid/>
          <w:kern w:val="0"/>
          <w:szCs w:val="22"/>
        </w:rPr>
      </w:pPr>
      <w:r w:rsidRPr="0089315F">
        <w:t>3.</w:t>
      </w:r>
      <w:r w:rsidRPr="00FE3B8D">
        <w:rPr>
          <w:rFonts w:eastAsiaTheme="minorEastAsia"/>
          <w:snapToGrid/>
          <w:kern w:val="0"/>
          <w:szCs w:val="22"/>
        </w:rPr>
        <w:tab/>
      </w:r>
      <w:r w:rsidRPr="0089315F">
        <w:t>Upfront Payments and Bidding Eligibility</w:t>
      </w:r>
      <w:r w:rsidRPr="0089315F">
        <w:tab/>
        <w:t>1</w:t>
      </w:r>
      <w:r w:rsidRPr="0089315F" w:rsidR="00DA35E6">
        <w:t>3</w:t>
      </w:r>
      <w:r w:rsidR="002D493E">
        <w:t>2</w:t>
      </w:r>
    </w:p>
    <w:p w:rsidR="00EE4B2F" w:rsidRPr="00FE3B8D" w:rsidP="00EE4B2F" w14:paraId="06090AFE" w14:textId="4BAE82CC">
      <w:pPr>
        <w:pStyle w:val="TOC2"/>
        <w:tabs>
          <w:tab w:val="left" w:pos="360"/>
        </w:tabs>
        <w:rPr>
          <w:rFonts w:eastAsiaTheme="minorEastAsia"/>
          <w:snapToGrid/>
          <w:kern w:val="0"/>
          <w:szCs w:val="22"/>
        </w:rPr>
      </w:pPr>
      <w:r w:rsidRPr="0089315F">
        <w:t>G.</w:t>
      </w:r>
      <w:r w:rsidRPr="00FE3B8D">
        <w:rPr>
          <w:rFonts w:eastAsiaTheme="minorEastAsia"/>
          <w:snapToGrid/>
          <w:kern w:val="0"/>
          <w:szCs w:val="22"/>
        </w:rPr>
        <w:tab/>
      </w:r>
      <w:r w:rsidRPr="0089315F">
        <w:t>Auction Registration</w:t>
      </w:r>
      <w:r w:rsidRPr="0089315F">
        <w:tab/>
        <w:t>1</w:t>
      </w:r>
      <w:r w:rsidRPr="0089315F" w:rsidR="00DA35E6">
        <w:t>3</w:t>
      </w:r>
      <w:r w:rsidR="003B2E51">
        <w:t>9</w:t>
      </w:r>
    </w:p>
    <w:p w:rsidR="00EE4B2F" w:rsidRPr="00FE3B8D" w:rsidP="00EE4B2F" w14:paraId="23F763BA" w14:textId="00FC445B">
      <w:pPr>
        <w:pStyle w:val="TOC2"/>
        <w:tabs>
          <w:tab w:val="left" w:pos="360"/>
        </w:tabs>
        <w:rPr>
          <w:rFonts w:eastAsiaTheme="minorEastAsia"/>
          <w:snapToGrid/>
          <w:kern w:val="0"/>
          <w:szCs w:val="22"/>
        </w:rPr>
      </w:pPr>
      <w:r w:rsidRPr="0089315F">
        <w:t>H.</w:t>
      </w:r>
      <w:r w:rsidRPr="00FE3B8D">
        <w:rPr>
          <w:rFonts w:eastAsiaTheme="minorEastAsia"/>
          <w:snapToGrid/>
          <w:kern w:val="0"/>
          <w:szCs w:val="22"/>
        </w:rPr>
        <w:tab/>
      </w:r>
      <w:r w:rsidRPr="00FE3B8D" w:rsidR="0089315F">
        <w:rPr>
          <w:rFonts w:eastAsiaTheme="minorEastAsia"/>
          <w:snapToGrid/>
          <w:kern w:val="0"/>
          <w:szCs w:val="22"/>
        </w:rPr>
        <w:t>Remo</w:t>
      </w:r>
      <w:r w:rsidR="0089315F">
        <w:rPr>
          <w:rFonts w:eastAsiaTheme="minorEastAsia"/>
          <w:snapToGrid/>
          <w:kern w:val="0"/>
          <w:szCs w:val="22"/>
        </w:rPr>
        <w:t xml:space="preserve">te Electronic Bidding via the </w:t>
      </w:r>
      <w:r w:rsidRPr="0089315F">
        <w:t>FCC Auction Bidding System</w:t>
      </w:r>
      <w:r w:rsidRPr="0089315F">
        <w:tab/>
        <w:t>1</w:t>
      </w:r>
      <w:r w:rsidR="00B01E0E">
        <w:t>4</w:t>
      </w:r>
      <w:r w:rsidR="003B2E51">
        <w:t>2</w:t>
      </w:r>
    </w:p>
    <w:p w:rsidR="00EE4B2F" w:rsidRPr="00FE3B8D" w:rsidP="00EE4B2F" w14:paraId="64B9ABE9" w14:textId="028C438B">
      <w:pPr>
        <w:pStyle w:val="TOC2"/>
        <w:tabs>
          <w:tab w:val="left" w:pos="360"/>
        </w:tabs>
        <w:rPr>
          <w:rFonts w:eastAsiaTheme="minorEastAsia"/>
          <w:snapToGrid/>
          <w:kern w:val="0"/>
          <w:szCs w:val="22"/>
        </w:rPr>
      </w:pPr>
      <w:r w:rsidRPr="0089315F">
        <w:t>I.</w:t>
      </w:r>
      <w:r w:rsidRPr="00FE3B8D">
        <w:rPr>
          <w:rFonts w:eastAsiaTheme="minorEastAsia"/>
          <w:snapToGrid/>
          <w:kern w:val="0"/>
          <w:szCs w:val="22"/>
        </w:rPr>
        <w:tab/>
      </w:r>
      <w:r w:rsidRPr="0089315F">
        <w:t>Mock Auction</w:t>
      </w:r>
      <w:r w:rsidRPr="0089315F">
        <w:tab/>
        <w:t>1</w:t>
      </w:r>
      <w:r w:rsidRPr="0089315F" w:rsidR="00DA35E6">
        <w:t>4</w:t>
      </w:r>
      <w:r w:rsidR="003B2E51">
        <w:t>6</w:t>
      </w:r>
    </w:p>
    <w:p w:rsidR="00EE4B2F" w:rsidRPr="00FE3B8D" w:rsidP="00EE4B2F" w14:paraId="42050593" w14:textId="5CCA55F7">
      <w:pPr>
        <w:pStyle w:val="TOC2"/>
        <w:tabs>
          <w:tab w:val="left" w:pos="360"/>
        </w:tabs>
        <w:rPr>
          <w:rFonts w:eastAsiaTheme="minorEastAsia"/>
          <w:snapToGrid/>
          <w:kern w:val="0"/>
          <w:szCs w:val="22"/>
        </w:rPr>
      </w:pPr>
      <w:r w:rsidRPr="0089315F">
        <w:t>J.</w:t>
      </w:r>
      <w:r w:rsidRPr="00FE3B8D">
        <w:rPr>
          <w:rFonts w:eastAsiaTheme="minorEastAsia"/>
          <w:snapToGrid/>
          <w:kern w:val="0"/>
          <w:szCs w:val="22"/>
        </w:rPr>
        <w:tab/>
      </w:r>
      <w:r w:rsidRPr="0089315F">
        <w:t xml:space="preserve">Auction Delay, </w:t>
      </w:r>
      <w:r w:rsidRPr="0089315F">
        <w:t>Suspension, or Cancellation</w:t>
      </w:r>
      <w:r w:rsidRPr="0089315F">
        <w:tab/>
        <w:t>1</w:t>
      </w:r>
      <w:r w:rsidRPr="0089315F" w:rsidR="00DA35E6">
        <w:t>4</w:t>
      </w:r>
      <w:r w:rsidR="003B2E51">
        <w:t>8</w:t>
      </w:r>
    </w:p>
    <w:p w:rsidR="00EE4B2F" w:rsidP="00EE4B2F" w14:paraId="55B3C2E0" w14:textId="2150697D">
      <w:pPr>
        <w:pStyle w:val="TOC2"/>
        <w:tabs>
          <w:tab w:val="left" w:pos="360"/>
        </w:tabs>
        <w:rPr>
          <w:rFonts w:asciiTheme="minorHAnsi" w:eastAsiaTheme="minorEastAsia" w:hAnsiTheme="minorHAnsi" w:cstheme="minorBidi"/>
          <w:snapToGrid/>
          <w:kern w:val="0"/>
          <w:szCs w:val="22"/>
        </w:rPr>
      </w:pPr>
      <w:r w:rsidRPr="0089315F">
        <w:t>K.</w:t>
      </w:r>
      <w:r w:rsidRPr="007E4E6A">
        <w:rPr>
          <w:rFonts w:eastAsiaTheme="minorEastAsia"/>
          <w:snapToGrid/>
          <w:kern w:val="0"/>
          <w:szCs w:val="22"/>
        </w:rPr>
        <w:tab/>
      </w:r>
      <w:r w:rsidRPr="0089315F">
        <w:t>Fraud Alert</w:t>
      </w:r>
      <w:r>
        <w:tab/>
        <w:t>1</w:t>
      </w:r>
      <w:r w:rsidR="00DA35E6">
        <w:t>4</w:t>
      </w:r>
      <w:r w:rsidR="003B2E51">
        <w:t>9</w:t>
      </w:r>
    </w:p>
    <w:p w:rsidR="00EE4B2F" w:rsidP="00EE4B2F" w14:paraId="6C47E97C" w14:textId="415DCDE7">
      <w:pPr>
        <w:pStyle w:val="TOC1"/>
        <w:rPr>
          <w:rFonts w:asciiTheme="minorHAnsi" w:eastAsiaTheme="minorEastAsia" w:hAnsiTheme="minorHAnsi" w:cstheme="minorBidi"/>
          <w:caps w:val="0"/>
          <w:snapToGrid/>
          <w:kern w:val="0"/>
          <w:szCs w:val="22"/>
        </w:rPr>
      </w:pPr>
      <w:r w:rsidRPr="003A7B22">
        <w:t>IV.</w:t>
      </w:r>
      <w:r>
        <w:rPr>
          <w:rFonts w:asciiTheme="minorHAnsi" w:eastAsiaTheme="minorEastAsia" w:hAnsiTheme="minorHAnsi" w:cstheme="minorBidi"/>
          <w:caps w:val="0"/>
          <w:snapToGrid/>
          <w:kern w:val="0"/>
          <w:szCs w:val="22"/>
        </w:rPr>
        <w:tab/>
      </w:r>
      <w:r w:rsidRPr="003A7B22">
        <w:t>Bidding Procedures</w:t>
      </w:r>
      <w:r>
        <w:tab/>
        <w:t>1</w:t>
      </w:r>
      <w:r w:rsidR="00B01E0E">
        <w:t>5</w:t>
      </w:r>
      <w:r w:rsidR="003B2E51">
        <w:t>2</w:t>
      </w:r>
    </w:p>
    <w:p w:rsidR="00EE4B2F" w:rsidP="00EE4B2F" w14:paraId="1DD51948" w14:textId="0BF1A11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 xml:space="preserve">Clock </w:t>
      </w:r>
      <w:r w:rsidR="002A5AC7">
        <w:t>Phase</w:t>
      </w:r>
      <w:r>
        <w:tab/>
      </w:r>
      <w:r w:rsidR="00281D24">
        <w:t>15</w:t>
      </w:r>
      <w:r w:rsidR="003B2E51">
        <w:t>4</w:t>
      </w:r>
    </w:p>
    <w:p w:rsidR="00D92A6A" w:rsidP="006842AD" w14:paraId="14C9038A" w14:textId="31D02B1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Clock Auction Design</w:t>
      </w:r>
      <w:r>
        <w:tab/>
      </w:r>
      <w:r w:rsidR="004B1A9E">
        <w:t>15</w:t>
      </w:r>
      <w:r w:rsidR="003B2E51">
        <w:t>4</w:t>
      </w:r>
    </w:p>
    <w:p w:rsidR="00FE2E15" w:rsidP="00FE2E15" w14:paraId="6D988313" w14:textId="6F671BBE">
      <w:pPr>
        <w:pStyle w:val="TOC3"/>
        <w:tabs>
          <w:tab w:val="left" w:pos="360"/>
        </w:tabs>
        <w:rPr>
          <w:rFonts w:asciiTheme="minorHAnsi" w:eastAsiaTheme="minorEastAsia" w:hAnsiTheme="minorHAnsi" w:cstheme="minorBidi"/>
          <w:snapToGrid/>
          <w:kern w:val="0"/>
          <w:szCs w:val="22"/>
        </w:rPr>
      </w:pPr>
      <w:r>
        <w:t>2</w:t>
      </w:r>
      <w:r w:rsidR="00D92A6A">
        <w:t>.</w:t>
      </w:r>
      <w:r w:rsidR="00D92A6A">
        <w:rPr>
          <w:rFonts w:asciiTheme="minorHAnsi" w:eastAsiaTheme="minorEastAsia" w:hAnsiTheme="minorHAnsi" w:cstheme="minorBidi"/>
          <w:snapToGrid/>
          <w:kern w:val="0"/>
          <w:szCs w:val="22"/>
        </w:rPr>
        <w:tab/>
      </w:r>
      <w:r w:rsidR="00F54303">
        <w:t>Generic License Blocks and Bidding Categories</w:t>
      </w:r>
      <w:r w:rsidR="00D92A6A">
        <w:tab/>
      </w:r>
      <w:r w:rsidR="004C5B0C">
        <w:t>1</w:t>
      </w:r>
      <w:r w:rsidR="00BE7AA3">
        <w:t>5</w:t>
      </w:r>
      <w:r w:rsidR="003B2E51">
        <w:t>7</w:t>
      </w:r>
    </w:p>
    <w:p w:rsidR="00FE2E15" w:rsidRPr="00D92A6A" w:rsidP="00FE2E15" w14:paraId="03079E9F" w14:textId="5B7133D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rsidR="000C2F84">
        <w:t>Bidding Rounds</w:t>
      </w:r>
      <w:r>
        <w:tab/>
        <w:t>1</w:t>
      </w:r>
      <w:r w:rsidR="003B2E51">
        <w:t>60</w:t>
      </w:r>
    </w:p>
    <w:p w:rsidR="00D92A6A" w:rsidP="00D92A6A" w14:paraId="1ABAE74B" w14:textId="7C134534">
      <w:pPr>
        <w:pStyle w:val="TOC3"/>
        <w:tabs>
          <w:tab w:val="left" w:pos="360"/>
        </w:tabs>
        <w:rPr>
          <w:rFonts w:asciiTheme="minorHAnsi" w:eastAsiaTheme="minorEastAsia" w:hAnsiTheme="minorHAnsi" w:cstheme="minorBidi"/>
          <w:snapToGrid/>
          <w:kern w:val="0"/>
          <w:szCs w:val="22"/>
        </w:rPr>
      </w:pPr>
      <w:r>
        <w:t>4</w:t>
      </w:r>
      <w:r w:rsidR="00FE2E15">
        <w:t>.</w:t>
      </w:r>
      <w:r w:rsidR="00FE2E15">
        <w:tab/>
      </w:r>
      <w:r>
        <w:t>Stopping Rule</w:t>
      </w:r>
      <w:r>
        <w:tab/>
      </w:r>
      <w:r w:rsidR="004C5B0C">
        <w:t>1</w:t>
      </w:r>
      <w:r w:rsidR="00BE7AA3">
        <w:t>6</w:t>
      </w:r>
      <w:r w:rsidR="003B2E51">
        <w:t>4</w:t>
      </w:r>
    </w:p>
    <w:p w:rsidR="00D92A6A" w:rsidRPr="00D92A6A" w:rsidP="00D92A6A" w14:paraId="0F47D668" w14:textId="7E567781">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 xml:space="preserve">Availability of Bidding </w:t>
      </w:r>
      <w:r>
        <w:t>Information</w:t>
      </w:r>
      <w:r>
        <w:tab/>
      </w:r>
      <w:r w:rsidR="004C5B0C">
        <w:t>1</w:t>
      </w:r>
      <w:r w:rsidR="001D3099">
        <w:t>6</w:t>
      </w:r>
      <w:r w:rsidR="003B2E51">
        <w:t>5</w:t>
      </w:r>
    </w:p>
    <w:p w:rsidR="00FE6F6E" w:rsidRPr="00D92A6A" w:rsidP="00FE6F6E" w14:paraId="691DD9BA" w14:textId="07F95057">
      <w:pPr>
        <w:pStyle w:val="TOC3"/>
        <w:tabs>
          <w:tab w:val="left" w:pos="360"/>
        </w:tabs>
        <w:rPr>
          <w:rFonts w:asciiTheme="minorHAnsi" w:eastAsiaTheme="minorEastAsia" w:hAnsiTheme="minorHAnsi" w:cstheme="minorBidi"/>
          <w:snapToGrid/>
          <w:kern w:val="0"/>
          <w:szCs w:val="22"/>
        </w:rPr>
      </w:pPr>
      <w:r>
        <w:t>6</w:t>
      </w:r>
      <w:r w:rsidR="00D92A6A">
        <w:t>.</w:t>
      </w:r>
      <w:r w:rsidR="00D92A6A">
        <w:rPr>
          <w:rFonts w:asciiTheme="minorHAnsi" w:eastAsiaTheme="minorEastAsia" w:hAnsiTheme="minorHAnsi" w:cstheme="minorBidi"/>
          <w:snapToGrid/>
          <w:kern w:val="0"/>
          <w:szCs w:val="22"/>
        </w:rPr>
        <w:tab/>
      </w:r>
      <w:bookmarkStart w:id="3" w:name="_Hlk44492579"/>
      <w:bookmarkEnd w:id="1"/>
      <w:r>
        <w:t>Activity Requirement and Activity Upper Limit</w:t>
      </w:r>
      <w:r>
        <w:tab/>
        <w:t>16</w:t>
      </w:r>
      <w:r w:rsidR="003B2E51">
        <w:t>8</w:t>
      </w:r>
    </w:p>
    <w:p w:rsidR="00FE6F6E" w:rsidRPr="00D92A6A" w:rsidP="00FE6F6E" w14:paraId="39369108" w14:textId="028BCA2A">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Acceptable Bids</w:t>
      </w:r>
      <w:r>
        <w:tab/>
        <w:t>17</w:t>
      </w:r>
      <w:r w:rsidR="003B2E51">
        <w:t>9</w:t>
      </w:r>
    </w:p>
    <w:p w:rsidR="00FE6F6E" w:rsidRPr="00D92A6A" w:rsidP="00FE6F6E" w14:paraId="7D66BF49" w14:textId="77777777">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Bids to Change Demand, Bid Types, and Bid Processing</w:t>
      </w:r>
      <w:r>
        <w:tab/>
        <w:t>186</w:t>
      </w:r>
    </w:p>
    <w:p w:rsidR="00FE6F6E" w:rsidRPr="00D92A6A" w:rsidP="00FE6F6E" w14:paraId="69C55C7C" w14:textId="77777777">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Winning Bids in the Clock Phase</w:t>
      </w:r>
      <w:r>
        <w:tab/>
        <w:t>201</w:t>
      </w:r>
    </w:p>
    <w:p w:rsidR="00FE6F6E" w:rsidRPr="00281D24" w:rsidP="00FE6F6E" w14:paraId="537A02BF" w14:textId="77777777">
      <w:pPr>
        <w:pStyle w:val="TOC2"/>
        <w:tabs>
          <w:tab w:val="left" w:pos="360"/>
        </w:tabs>
        <w:rPr>
          <w:rFonts w:asciiTheme="minorHAnsi" w:eastAsiaTheme="minorEastAsia" w:hAnsiTheme="minorHAnsi" w:cstheme="minorBidi"/>
          <w:snapToGrid/>
          <w:kern w:val="0"/>
          <w:szCs w:val="22"/>
        </w:rPr>
      </w:pPr>
      <w:r>
        <w:rPr>
          <w:rFonts w:eastAsia="Calibri"/>
          <w:snapToGrid/>
        </w:rPr>
        <w:t>B</w:t>
      </w:r>
      <w:r w:rsidRPr="003A7B22">
        <w:rPr>
          <w:rFonts w:eastAsia="Calibri"/>
          <w:snapToGrid/>
        </w:rPr>
        <w:t>.</w:t>
      </w:r>
      <w:r>
        <w:rPr>
          <w:rFonts w:asciiTheme="minorHAnsi" w:eastAsiaTheme="minorEastAsia" w:hAnsiTheme="minorHAnsi" w:cstheme="minorBidi"/>
          <w:snapToGrid/>
          <w:kern w:val="0"/>
          <w:szCs w:val="22"/>
        </w:rPr>
        <w:tab/>
      </w:r>
      <w:r>
        <w:rPr>
          <w:rFonts w:eastAsia="Calibri"/>
          <w:snapToGrid/>
        </w:rPr>
        <w:t>Assignment Phase</w:t>
      </w:r>
      <w:r>
        <w:tab/>
        <w:t>202</w:t>
      </w:r>
    </w:p>
    <w:p w:rsidR="00FE6F6E" w:rsidP="00FE6F6E" w14:paraId="0AC84357" w14:textId="77777777">
      <w:pPr>
        <w:pStyle w:val="TOC3"/>
        <w:tabs>
          <w:tab w:val="left" w:pos="360"/>
        </w:tabs>
      </w:pPr>
      <w:r>
        <w:t>1.</w:t>
      </w:r>
      <w:r>
        <w:rPr>
          <w:rFonts w:asciiTheme="minorHAnsi" w:eastAsiaTheme="minorEastAsia" w:hAnsiTheme="minorHAnsi" w:cstheme="minorBidi"/>
          <w:snapToGrid/>
          <w:kern w:val="0"/>
          <w:szCs w:val="22"/>
        </w:rPr>
        <w:tab/>
      </w:r>
      <w:r>
        <w:t>Sequencing and Grouping of PEAs</w:t>
      </w:r>
      <w:r>
        <w:tab/>
        <w:t>206</w:t>
      </w:r>
    </w:p>
    <w:p w:rsidR="00FE6F6E" w:rsidRPr="00281D24" w:rsidP="00FE6F6E" w14:paraId="3FCC0DF0" w14:textId="77777777">
      <w:pPr>
        <w:pStyle w:val="TOC3"/>
        <w:tabs>
          <w:tab w:val="left" w:pos="360"/>
        </w:tabs>
      </w:pPr>
      <w:r>
        <w:t>2.</w:t>
      </w:r>
      <w:r>
        <w:rPr>
          <w:rFonts w:asciiTheme="minorHAnsi" w:eastAsiaTheme="minorEastAsia" w:hAnsiTheme="minorHAnsi" w:cstheme="minorBidi"/>
          <w:snapToGrid/>
          <w:kern w:val="0"/>
          <w:szCs w:val="22"/>
        </w:rPr>
        <w:tab/>
      </w:r>
      <w:r>
        <w:t>Acceptable Bids and Bid Processing</w:t>
      </w:r>
      <w:r>
        <w:tab/>
        <w:t>210</w:t>
      </w:r>
    </w:p>
    <w:p w:rsidR="00FE6F6E" w:rsidP="00FE6F6E" w14:paraId="123F85E9"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Information Available to Bidders During the Assignment Phase</w:t>
      </w:r>
      <w:r>
        <w:tab/>
        <w:t>215</w:t>
      </w:r>
    </w:p>
    <w:p w:rsidR="00FE6F6E" w:rsidP="00FE6F6E" w14:paraId="2A00E754" w14:textId="77777777">
      <w:pPr>
        <w:pStyle w:val="TOC3"/>
        <w:tabs>
          <w:tab w:val="left" w:pos="360"/>
        </w:tabs>
      </w:pPr>
      <w:r>
        <w:rPr>
          <w:rFonts w:asciiTheme="minorHAnsi" w:eastAsiaTheme="minorEastAsia" w:hAnsiTheme="minorHAnsi" w:cstheme="minorBidi"/>
          <w:snapToGrid/>
          <w:kern w:val="0"/>
          <w:szCs w:val="22"/>
        </w:rPr>
        <w:t>4.</w:t>
      </w:r>
      <w:r>
        <w:rPr>
          <w:rFonts w:asciiTheme="minorHAnsi" w:eastAsiaTheme="minorEastAsia" w:hAnsiTheme="minorHAnsi" w:cstheme="minorBidi"/>
          <w:snapToGrid/>
          <w:kern w:val="0"/>
          <w:szCs w:val="22"/>
        </w:rPr>
        <w:tab/>
      </w:r>
      <w:r>
        <w:t>Final Payment Calculations</w:t>
      </w:r>
      <w:r>
        <w:tab/>
        <w:t>217</w:t>
      </w:r>
    </w:p>
    <w:p w:rsidR="00FE6F6E" w:rsidP="00FE6F6E" w14:paraId="7FB75761" w14:textId="77777777">
      <w:pPr>
        <w:pStyle w:val="TOC2"/>
        <w:tabs>
          <w:tab w:val="left" w:pos="360"/>
        </w:tabs>
        <w:rPr>
          <w:rFonts w:eastAsia="Calibri"/>
          <w:snapToGrid/>
        </w:rPr>
      </w:pPr>
      <w:r>
        <w:rPr>
          <w:rFonts w:eastAsia="Calibri"/>
          <w:snapToGrid/>
        </w:rPr>
        <w:t>C</w:t>
      </w:r>
      <w:r w:rsidRPr="003A7B22">
        <w:rPr>
          <w:rFonts w:eastAsia="Calibri"/>
          <w:snapToGrid/>
        </w:rPr>
        <w:t>.</w:t>
      </w:r>
      <w:r>
        <w:rPr>
          <w:rFonts w:asciiTheme="minorHAnsi" w:eastAsiaTheme="minorEastAsia" w:hAnsiTheme="minorHAnsi" w:cstheme="minorBidi"/>
          <w:snapToGrid/>
          <w:kern w:val="0"/>
          <w:szCs w:val="22"/>
        </w:rPr>
        <w:tab/>
      </w:r>
      <w:r>
        <w:rPr>
          <w:rFonts w:eastAsia="Calibri"/>
          <w:snapToGrid/>
        </w:rPr>
        <w:t>License Authorizations for Interim and Final Assignments</w:t>
      </w:r>
      <w:r>
        <w:tab/>
        <w:t>219</w:t>
      </w:r>
    </w:p>
    <w:p w:rsidR="00FE6F6E" w:rsidRPr="00281D24" w:rsidP="00FE6F6E" w14:paraId="37A02A96" w14:textId="2FEC94DF">
      <w:pPr>
        <w:pStyle w:val="TOC2"/>
        <w:tabs>
          <w:tab w:val="left" w:pos="360"/>
        </w:tabs>
        <w:rPr>
          <w:rFonts w:asciiTheme="minorHAnsi" w:eastAsiaTheme="minorEastAsia" w:hAnsiTheme="minorHAnsi" w:cstheme="minorBidi"/>
          <w:snapToGrid/>
          <w:kern w:val="0"/>
          <w:szCs w:val="22"/>
        </w:rPr>
      </w:pPr>
      <w:r>
        <w:rPr>
          <w:rFonts w:eastAsia="Calibri"/>
          <w:snapToGrid/>
        </w:rPr>
        <w:t>D</w:t>
      </w:r>
      <w:r w:rsidRPr="003A7B22">
        <w:rPr>
          <w:rFonts w:eastAsia="Calibri"/>
          <w:snapToGrid/>
        </w:rPr>
        <w:t>.</w:t>
      </w:r>
      <w:r>
        <w:rPr>
          <w:rFonts w:asciiTheme="minorHAnsi" w:eastAsiaTheme="minorEastAsia" w:hAnsiTheme="minorHAnsi" w:cstheme="minorBidi"/>
          <w:snapToGrid/>
          <w:kern w:val="0"/>
          <w:szCs w:val="22"/>
        </w:rPr>
        <w:tab/>
      </w:r>
      <w:r>
        <w:rPr>
          <w:rFonts w:eastAsia="Calibri"/>
          <w:snapToGrid/>
        </w:rPr>
        <w:t xml:space="preserve">Calculating Individual </w:t>
      </w:r>
      <w:r>
        <w:rPr>
          <w:rFonts w:eastAsia="Calibri"/>
          <w:snapToGrid/>
        </w:rPr>
        <w:t>“Per-License” Prices</w:t>
      </w:r>
      <w:r>
        <w:tab/>
        <w:t>223</w:t>
      </w:r>
    </w:p>
    <w:p w:rsidR="00FE6F6E" w:rsidRPr="00281D24" w:rsidP="00FE6F6E" w14:paraId="168E8A32" w14:textId="0F1864DF">
      <w:pPr>
        <w:pStyle w:val="TOC2"/>
        <w:tabs>
          <w:tab w:val="left" w:pos="360"/>
        </w:tabs>
        <w:rPr>
          <w:rFonts w:asciiTheme="minorHAnsi" w:eastAsiaTheme="minorEastAsia" w:hAnsiTheme="minorHAnsi" w:cstheme="minorBidi"/>
          <w:snapToGrid/>
          <w:kern w:val="0"/>
          <w:szCs w:val="22"/>
        </w:rPr>
      </w:pPr>
      <w:r>
        <w:rPr>
          <w:rFonts w:eastAsia="Calibri"/>
          <w:snapToGrid/>
        </w:rPr>
        <w:t>E</w:t>
      </w:r>
      <w:r w:rsidRPr="003A7B22">
        <w:rPr>
          <w:rFonts w:eastAsia="Calibri"/>
          <w:snapToGrid/>
        </w:rPr>
        <w:t>.</w:t>
      </w:r>
      <w:r>
        <w:rPr>
          <w:rFonts w:asciiTheme="minorHAnsi" w:eastAsiaTheme="minorEastAsia" w:hAnsiTheme="minorHAnsi" w:cstheme="minorBidi"/>
          <w:snapToGrid/>
          <w:kern w:val="0"/>
          <w:szCs w:val="22"/>
        </w:rPr>
        <w:tab/>
      </w:r>
      <w:r>
        <w:rPr>
          <w:rFonts w:eastAsia="Calibri"/>
          <w:snapToGrid/>
        </w:rPr>
        <w:t>Auction Results</w:t>
      </w:r>
      <w:r>
        <w:tab/>
        <w:t>225</w:t>
      </w:r>
    </w:p>
    <w:p w:rsidR="00FE6F6E" w:rsidRPr="004C5B0C" w:rsidP="00FE6F6E" w14:paraId="75586180" w14:textId="4B3DB7DC">
      <w:pPr>
        <w:pStyle w:val="TOC2"/>
        <w:tabs>
          <w:tab w:val="left" w:pos="360"/>
        </w:tabs>
        <w:rPr>
          <w:rFonts w:asciiTheme="minorHAnsi" w:eastAsiaTheme="minorEastAsia" w:hAnsiTheme="minorHAnsi" w:cstheme="minorBidi"/>
          <w:snapToGrid/>
          <w:kern w:val="0"/>
          <w:szCs w:val="22"/>
        </w:rPr>
      </w:pPr>
      <w:r>
        <w:rPr>
          <w:rFonts w:eastAsia="Calibri"/>
          <w:snapToGrid/>
        </w:rPr>
        <w:t>F</w:t>
      </w:r>
      <w:r w:rsidRPr="003A7B22">
        <w:rPr>
          <w:rFonts w:eastAsia="Calibri"/>
          <w:snapToGrid/>
        </w:rPr>
        <w:t>.</w:t>
      </w:r>
      <w:r>
        <w:rPr>
          <w:rFonts w:asciiTheme="minorHAnsi" w:eastAsiaTheme="minorEastAsia" w:hAnsiTheme="minorHAnsi" w:cstheme="minorBidi"/>
          <w:snapToGrid/>
          <w:kern w:val="0"/>
          <w:szCs w:val="22"/>
        </w:rPr>
        <w:tab/>
      </w:r>
      <w:r>
        <w:rPr>
          <w:rFonts w:eastAsia="Calibri"/>
          <w:snapToGrid/>
        </w:rPr>
        <w:t>Auction Announcements</w:t>
      </w:r>
      <w:r>
        <w:tab/>
        <w:t>226</w:t>
      </w:r>
    </w:p>
    <w:p w:rsidR="00FE6F6E" w:rsidP="00FE6F6E" w14:paraId="5AA15453" w14:textId="19C33EAD">
      <w:pPr>
        <w:pStyle w:val="TOC1"/>
        <w:rPr>
          <w:rFonts w:asciiTheme="minorHAnsi" w:eastAsiaTheme="minorEastAsia" w:hAnsiTheme="minorHAnsi" w:cstheme="minorBidi"/>
          <w:caps w:val="0"/>
          <w:snapToGrid/>
          <w:kern w:val="0"/>
          <w:szCs w:val="22"/>
        </w:rPr>
      </w:pPr>
      <w:r w:rsidRPr="00D92A6A">
        <w:rPr>
          <w:rFonts w:eastAsiaTheme="minorEastAsia"/>
          <w:caps w:val="0"/>
          <w:snapToGrid/>
          <w:kern w:val="0"/>
          <w:szCs w:val="22"/>
        </w:rPr>
        <w:t>V.</w:t>
      </w:r>
      <w:r w:rsidRPr="00D92A6A">
        <w:rPr>
          <w:rFonts w:eastAsiaTheme="minorEastAsia"/>
          <w:caps w:val="0"/>
          <w:snapToGrid/>
          <w:kern w:val="0"/>
          <w:szCs w:val="22"/>
        </w:rPr>
        <w:tab/>
      </w:r>
      <w:r w:rsidRPr="00D92A6A">
        <w:t>Post-Auction</w:t>
      </w:r>
      <w:r w:rsidRPr="003A7B22">
        <w:t xml:space="preserve"> Procedures</w:t>
      </w:r>
      <w:r>
        <w:tab/>
        <w:t>227</w:t>
      </w:r>
    </w:p>
    <w:p w:rsidR="00FE6F6E" w:rsidP="00FE6F6E" w14:paraId="7A2CD27C" w14:textId="72483ED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228</w:t>
      </w:r>
    </w:p>
    <w:p w:rsidR="00FE6F6E" w:rsidP="00FE6F6E" w14:paraId="2493D330" w14:textId="589F058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229</w:t>
      </w:r>
    </w:p>
    <w:p w:rsidR="00FE6F6E" w:rsidP="00FE6F6E" w14:paraId="5619A0E4" w14:textId="206D256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 (FCC Form 601)</w:t>
      </w:r>
      <w:r>
        <w:tab/>
        <w:t>230</w:t>
      </w:r>
    </w:p>
    <w:p w:rsidR="00FE6F6E" w:rsidP="00FE6F6E" w14:paraId="303E3D78" w14:textId="43A22A7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Ownership Disclosure Information Report (FCC Form 602)</w:t>
      </w:r>
      <w:r>
        <w:tab/>
      </w:r>
      <w:r>
        <w:t>233</w:t>
      </w:r>
    </w:p>
    <w:p w:rsidR="00FE6F6E" w:rsidP="00FE6F6E" w14:paraId="5EC8FAFC" w14:textId="3F43803A">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Default and Disqualification</w:t>
      </w:r>
      <w:r>
        <w:tab/>
        <w:t>236</w:t>
      </w:r>
    </w:p>
    <w:p w:rsidR="00FE6F6E" w:rsidP="00FE6F6E" w14:paraId="5F517FF2" w14:textId="1B9B13FA">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Refund of Remaining Upfront Payment Balance</w:t>
      </w:r>
      <w:r>
        <w:tab/>
        <w:t>239</w:t>
      </w:r>
    </w:p>
    <w:p w:rsidR="00FE6F6E" w:rsidP="00FE6F6E" w14:paraId="54A63E0E" w14:textId="5AB03BB0">
      <w:pPr>
        <w:pStyle w:val="TOC1"/>
        <w:rPr>
          <w:rFonts w:asciiTheme="minorHAnsi" w:eastAsiaTheme="minorEastAsia" w:hAnsiTheme="minorHAnsi" w:cstheme="minorBidi"/>
          <w:caps w:val="0"/>
          <w:snapToGrid/>
          <w:kern w:val="0"/>
          <w:szCs w:val="22"/>
        </w:rPr>
      </w:pPr>
      <w:r w:rsidRPr="003A7B22">
        <w:t>VI.</w:t>
      </w:r>
      <w:r>
        <w:rPr>
          <w:rFonts w:asciiTheme="minorHAnsi" w:eastAsiaTheme="minorEastAsia" w:hAnsiTheme="minorHAnsi" w:cstheme="minorBidi"/>
          <w:caps w:val="0"/>
          <w:snapToGrid/>
          <w:kern w:val="0"/>
          <w:szCs w:val="22"/>
        </w:rPr>
        <w:tab/>
      </w:r>
      <w:r w:rsidRPr="003A7B22">
        <w:t xml:space="preserve">Procedural </w:t>
      </w:r>
      <w:bookmarkEnd w:id="3"/>
      <w:r w:rsidRPr="003A7B22">
        <w:t>Matters</w:t>
      </w:r>
      <w:r>
        <w:tab/>
        <w:t>241</w:t>
      </w:r>
    </w:p>
    <w:p w:rsidR="00FE6F6E" w:rsidRPr="00C638AB" w:rsidP="00C638AB" w14:paraId="28A03B0D" w14:textId="43D11F45">
      <w:pPr>
        <w:pStyle w:val="TOC3"/>
        <w:tabs>
          <w:tab w:val="left" w:pos="360"/>
        </w:tabs>
        <w:spacing w:after="240"/>
        <w:ind w:left="0" w:firstLine="0"/>
        <w:rPr>
          <w:szCs w:val="22"/>
        </w:rPr>
      </w:pPr>
      <w:r>
        <w:rPr>
          <w:szCs w:val="22"/>
        </w:rPr>
        <w:t>APPENDIX</w:t>
      </w:r>
      <w:r w:rsidR="00777B66">
        <w:rPr>
          <w:szCs w:val="22"/>
        </w:rPr>
        <w:t>:  Commenter Short Names</w:t>
      </w:r>
    </w:p>
    <w:p w:rsidR="00D6515C" w:rsidRPr="002709CB" w:rsidP="00D6515C" w14:paraId="747D1C3D" w14:textId="11DD5751">
      <w:pPr>
        <w:pStyle w:val="Heading1"/>
        <w:rPr>
          <w:rFonts w:ascii="Times New Roman" w:hAnsi="Times New Roman"/>
          <w:szCs w:val="22"/>
        </w:rPr>
      </w:pPr>
      <w:bookmarkStart w:id="4" w:name="_Toc6383442"/>
      <w:bookmarkStart w:id="5" w:name="_Toc7525767"/>
      <w:bookmarkStart w:id="6" w:name="_Toc8657122"/>
      <w:bookmarkStart w:id="7" w:name="_Toc9410648"/>
      <w:bookmarkStart w:id="8" w:name="_Toc9430054"/>
      <w:bookmarkStart w:id="9" w:name="_Toc10116817"/>
      <w:bookmarkStart w:id="10" w:name="_Toc10646123"/>
      <w:bookmarkStart w:id="11" w:name="_Toc11156527"/>
      <w:bookmarkStart w:id="12" w:name="_Toc11244271"/>
      <w:bookmarkStart w:id="13" w:name="_Toc11653527"/>
      <w:bookmarkStart w:id="14" w:name="_Toc11678107"/>
      <w:bookmarkStart w:id="15" w:name="_Toc13654694"/>
      <w:bookmarkStart w:id="16" w:name="_Toc24459413"/>
      <w:bookmarkStart w:id="17" w:name="_Toc24459510"/>
      <w:bookmarkStart w:id="18" w:name="_Toc25926207"/>
      <w:bookmarkStart w:id="19" w:name="_Toc25926785"/>
      <w:bookmarkStart w:id="20" w:name="_Toc25926906"/>
      <w:bookmarkStart w:id="21" w:name="_Toc27038966"/>
      <w:bookmarkStart w:id="22" w:name="_Toc29813110"/>
      <w:bookmarkStart w:id="23" w:name="_Toc29886835"/>
      <w:bookmarkStart w:id="24" w:name="_Toc29999439"/>
      <w:bookmarkStart w:id="25" w:name="_Toc30699365"/>
      <w:bookmarkStart w:id="26" w:name="_Toc30701445"/>
      <w:bookmarkStart w:id="27" w:name="_Toc31189266"/>
      <w:bookmarkStart w:id="28" w:name="_Toc31189720"/>
      <w:bookmarkStart w:id="29" w:name="_Toc31193087"/>
      <w:bookmarkStart w:id="30" w:name="_Toc31195838"/>
      <w:bookmarkStart w:id="31" w:name="_Toc31199962"/>
      <w:bookmarkStart w:id="32" w:name="_Toc31713729"/>
      <w:bookmarkStart w:id="33" w:name="_Toc31822638"/>
      <w:bookmarkStart w:id="34" w:name="_Toc33629795"/>
      <w:bookmarkStart w:id="35" w:name="_Toc33696647"/>
      <w:r w:rsidRPr="002709CB">
        <w:rPr>
          <w:rFonts w:ascii="Times New Roman" w:hAnsi="Times New Roman"/>
        </w:rPr>
        <w:t>General Information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D6515C" w:rsidRPr="002709CB" w:rsidP="000C230C" w14:paraId="7EB1511C" w14:textId="77777777">
      <w:pPr>
        <w:pStyle w:val="Heading2"/>
      </w:pPr>
      <w:bookmarkStart w:id="36" w:name="_Toc6383443"/>
      <w:bookmarkStart w:id="37" w:name="_Toc7525768"/>
      <w:bookmarkStart w:id="38" w:name="_Toc8657123"/>
      <w:bookmarkStart w:id="39" w:name="_Toc9410649"/>
      <w:bookmarkStart w:id="40" w:name="_Toc9430055"/>
      <w:bookmarkStart w:id="41" w:name="_Toc10116818"/>
      <w:bookmarkStart w:id="42" w:name="_Toc10646124"/>
      <w:bookmarkStart w:id="43" w:name="_Toc11156528"/>
      <w:bookmarkStart w:id="44" w:name="_Toc11244272"/>
      <w:bookmarkStart w:id="45" w:name="_Toc11653528"/>
      <w:bookmarkStart w:id="46" w:name="_Toc11678108"/>
      <w:bookmarkStart w:id="47" w:name="_Toc13654695"/>
      <w:bookmarkStart w:id="48" w:name="_Toc24459414"/>
      <w:bookmarkStart w:id="49" w:name="_Toc24459511"/>
      <w:bookmarkStart w:id="50" w:name="_Toc25926208"/>
      <w:bookmarkStart w:id="51" w:name="_Toc25926786"/>
      <w:bookmarkStart w:id="52" w:name="_Toc25926907"/>
      <w:bookmarkStart w:id="53" w:name="_Toc27038967"/>
      <w:bookmarkStart w:id="54" w:name="_Toc29813111"/>
      <w:bookmarkStart w:id="55" w:name="_Toc29886836"/>
      <w:bookmarkStart w:id="56" w:name="_Toc29999440"/>
      <w:bookmarkStart w:id="57" w:name="_Toc30699366"/>
      <w:bookmarkStart w:id="58" w:name="_Toc30701446"/>
      <w:bookmarkStart w:id="59" w:name="_Toc31189267"/>
      <w:bookmarkStart w:id="60" w:name="_Toc31189721"/>
      <w:bookmarkStart w:id="61" w:name="_Toc31193088"/>
      <w:bookmarkStart w:id="62" w:name="_Toc31195839"/>
      <w:bookmarkStart w:id="63" w:name="_Toc31199963"/>
      <w:bookmarkStart w:id="64" w:name="_Toc31713730"/>
      <w:bookmarkStart w:id="65" w:name="_Toc31822639"/>
      <w:bookmarkStart w:id="66" w:name="_Toc33629796"/>
      <w:bookmarkStart w:id="67" w:name="_Toc33696648"/>
      <w:r w:rsidRPr="002709CB">
        <w:t>Introduction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6515C" w:rsidRPr="00435180" w:rsidP="00D850FB" w14:paraId="7381903C" w14:textId="7B774B77">
      <w:pPr>
        <w:pStyle w:val="ParaNum"/>
        <w:widowControl/>
        <w:autoSpaceDE w:val="0"/>
        <w:autoSpaceDN w:val="0"/>
        <w:adjustRightInd w:val="0"/>
        <w:rPr>
          <w:szCs w:val="22"/>
        </w:rPr>
      </w:pPr>
      <w:r w:rsidRPr="00435180">
        <w:rPr>
          <w:szCs w:val="22"/>
        </w:rPr>
        <w:t xml:space="preserve">By this Public Notice, we establish the procedures to be used for </w:t>
      </w:r>
      <w:r w:rsidRPr="00435180">
        <w:rPr>
          <w:szCs w:val="22"/>
        </w:rPr>
        <w:t>Auction 10</w:t>
      </w:r>
      <w:r w:rsidR="00F066FF">
        <w:rPr>
          <w:szCs w:val="22"/>
        </w:rPr>
        <w:t>7</w:t>
      </w:r>
      <w:r w:rsidR="003A0F53">
        <w:rPr>
          <w:szCs w:val="22"/>
        </w:rPr>
        <w:t>,</w:t>
      </w:r>
      <w:r w:rsidR="009471FE">
        <w:rPr>
          <w:szCs w:val="22"/>
        </w:rPr>
        <w:t xml:space="preserve"> </w:t>
      </w:r>
      <w:r w:rsidRPr="009471FE" w:rsidR="009471FE">
        <w:rPr>
          <w:szCs w:val="22"/>
        </w:rPr>
        <w:t>the auction of new flexible-use overlay licenses in the 3.7–3.98 GHz band (the “3.7 GHz Service”).</w:t>
      </w:r>
      <w:r w:rsidR="001F15C8">
        <w:rPr>
          <w:szCs w:val="22"/>
        </w:rPr>
        <w:t xml:space="preserve">  </w:t>
      </w:r>
      <w:r w:rsidRPr="00435180">
        <w:rPr>
          <w:szCs w:val="22"/>
        </w:rPr>
        <w:t>Auction 10</w:t>
      </w:r>
      <w:r w:rsidR="00FD5A95">
        <w:rPr>
          <w:szCs w:val="22"/>
        </w:rPr>
        <w:t>7</w:t>
      </w:r>
      <w:r w:rsidR="001F15C8">
        <w:rPr>
          <w:szCs w:val="22"/>
        </w:rPr>
        <w:t xml:space="preserve"> </w:t>
      </w:r>
      <w:r w:rsidR="00E74354">
        <w:rPr>
          <w:szCs w:val="22"/>
        </w:rPr>
        <w:t xml:space="preserve">is </w:t>
      </w:r>
      <w:r w:rsidR="00D24843">
        <w:rPr>
          <w:szCs w:val="22"/>
        </w:rPr>
        <w:t xml:space="preserve">the Commission’s </w:t>
      </w:r>
      <w:r w:rsidR="002B5C3D">
        <w:rPr>
          <w:szCs w:val="22"/>
        </w:rPr>
        <w:t xml:space="preserve">second </w:t>
      </w:r>
      <w:r w:rsidR="00947D1E">
        <w:rPr>
          <w:szCs w:val="22"/>
        </w:rPr>
        <w:t xml:space="preserve">scheduled </w:t>
      </w:r>
      <w:r w:rsidR="002B5C3D">
        <w:rPr>
          <w:szCs w:val="22"/>
        </w:rPr>
        <w:t>auction of</w:t>
      </w:r>
      <w:r w:rsidR="00195D80">
        <w:rPr>
          <w:szCs w:val="22"/>
        </w:rPr>
        <w:t xml:space="preserve"> mid-band spectrum</w:t>
      </w:r>
      <w:r w:rsidR="00947D1E">
        <w:rPr>
          <w:szCs w:val="22"/>
        </w:rPr>
        <w:t xml:space="preserve">, which </w:t>
      </w:r>
      <w:r w:rsidR="00FF73ED">
        <w:rPr>
          <w:szCs w:val="22"/>
        </w:rPr>
        <w:t>is intended to</w:t>
      </w:r>
      <w:r w:rsidRPr="00004F7D" w:rsidR="00004F7D">
        <w:rPr>
          <w:szCs w:val="22"/>
        </w:rPr>
        <w:t xml:space="preserve"> further the deployment of fifth-generation (5G) wireless</w:t>
      </w:r>
      <w:r w:rsidR="00DB3D69">
        <w:rPr>
          <w:szCs w:val="22"/>
        </w:rPr>
        <w:t>, the Internet of Things (IoT),</w:t>
      </w:r>
      <w:r w:rsidRPr="00004F7D" w:rsidR="00004F7D">
        <w:rPr>
          <w:szCs w:val="22"/>
        </w:rPr>
        <w:t xml:space="preserve"> and other advanced spectrum-based services across the country</w:t>
      </w:r>
      <w:r w:rsidRPr="00435180">
        <w:rPr>
          <w:szCs w:val="22"/>
        </w:rPr>
        <w:t>.</w:t>
      </w:r>
    </w:p>
    <w:p w:rsidR="00D6515C" w:rsidRPr="00435180" w:rsidP="00D850FB" w14:paraId="4C8751BF" w14:textId="5232438E">
      <w:pPr>
        <w:pStyle w:val="ParaNum"/>
        <w:widowControl/>
        <w:autoSpaceDE w:val="0"/>
        <w:autoSpaceDN w:val="0"/>
        <w:adjustRightInd w:val="0"/>
        <w:rPr>
          <w:szCs w:val="22"/>
        </w:rPr>
      </w:pPr>
      <w:r w:rsidRPr="00435180">
        <w:rPr>
          <w:szCs w:val="22"/>
        </w:rPr>
        <w:t>The bidding for new licenses in Auction 10</w:t>
      </w:r>
      <w:r w:rsidR="00CD5B9E">
        <w:rPr>
          <w:szCs w:val="22"/>
        </w:rPr>
        <w:t>7</w:t>
      </w:r>
      <w:r w:rsidRPr="00435180">
        <w:rPr>
          <w:szCs w:val="22"/>
        </w:rPr>
        <w:t xml:space="preserve"> is scheduled to commence on </w:t>
      </w:r>
      <w:r w:rsidR="00057AE1">
        <w:rPr>
          <w:szCs w:val="22"/>
        </w:rPr>
        <w:t>December 8</w:t>
      </w:r>
      <w:r w:rsidRPr="00435180">
        <w:rPr>
          <w:szCs w:val="22"/>
        </w:rPr>
        <w:t>, 20</w:t>
      </w:r>
      <w:r w:rsidR="00222E0A">
        <w:rPr>
          <w:szCs w:val="22"/>
        </w:rPr>
        <w:t>20</w:t>
      </w:r>
      <w:r w:rsidRPr="00435180">
        <w:rPr>
          <w:szCs w:val="22"/>
        </w:rPr>
        <w:t>.  This Public N</w:t>
      </w:r>
      <w:r w:rsidRPr="00435180">
        <w:rPr>
          <w:szCs w:val="22"/>
        </w:rPr>
        <w:t>otice provides details regarding the procedures, terms, conditions, dates, and deadlines governing participation in Auction 10</w:t>
      </w:r>
      <w:r w:rsidR="00CE1796">
        <w:rPr>
          <w:szCs w:val="22"/>
        </w:rPr>
        <w:t>7</w:t>
      </w:r>
      <w:r w:rsidRPr="00435180">
        <w:rPr>
          <w:szCs w:val="22"/>
        </w:rPr>
        <w:t xml:space="preserve"> bidding, as well as an overview of the post-auction application and payment processes.  </w:t>
      </w:r>
    </w:p>
    <w:p w:rsidR="00D6515C" w:rsidRPr="00435180" w:rsidP="000C230C" w14:paraId="7E57E147" w14:textId="77777777">
      <w:pPr>
        <w:pStyle w:val="Heading2"/>
      </w:pPr>
      <w:bookmarkStart w:id="68" w:name="_Toc6383444"/>
      <w:bookmarkStart w:id="69" w:name="_Toc7525769"/>
      <w:bookmarkStart w:id="70" w:name="_Toc8657124"/>
      <w:bookmarkStart w:id="71" w:name="_Toc9410650"/>
      <w:bookmarkStart w:id="72" w:name="_Toc9430056"/>
      <w:bookmarkStart w:id="73" w:name="_Toc10116819"/>
      <w:bookmarkStart w:id="74" w:name="_Toc10646125"/>
      <w:bookmarkStart w:id="75" w:name="_Toc11156529"/>
      <w:bookmarkStart w:id="76" w:name="_Toc11244273"/>
      <w:bookmarkStart w:id="77" w:name="_Toc11653529"/>
      <w:bookmarkStart w:id="78" w:name="_Toc11678109"/>
      <w:bookmarkStart w:id="79" w:name="_Toc13654696"/>
      <w:bookmarkStart w:id="80" w:name="_Toc24459415"/>
      <w:bookmarkStart w:id="81" w:name="_Toc24459512"/>
      <w:bookmarkStart w:id="82" w:name="_Toc25926209"/>
      <w:bookmarkStart w:id="83" w:name="_Toc25926787"/>
      <w:bookmarkStart w:id="84" w:name="_Toc25926908"/>
      <w:bookmarkStart w:id="85" w:name="_Toc27038968"/>
      <w:bookmarkStart w:id="86" w:name="_Toc29813112"/>
      <w:bookmarkStart w:id="87" w:name="_Toc29886837"/>
      <w:bookmarkStart w:id="88" w:name="_Toc29999441"/>
      <w:bookmarkStart w:id="89" w:name="_Toc30699367"/>
      <w:bookmarkStart w:id="90" w:name="_Toc30701447"/>
      <w:bookmarkStart w:id="91" w:name="_Toc31189268"/>
      <w:bookmarkStart w:id="92" w:name="_Toc31189722"/>
      <w:bookmarkStart w:id="93" w:name="_Toc31193089"/>
      <w:bookmarkStart w:id="94" w:name="_Toc31195840"/>
      <w:bookmarkStart w:id="95" w:name="_Toc31199964"/>
      <w:bookmarkStart w:id="96" w:name="_Toc31713731"/>
      <w:bookmarkStart w:id="97" w:name="_Toc31822640"/>
      <w:bookmarkStart w:id="98" w:name="_Toc33629797"/>
      <w:bookmarkStart w:id="99" w:name="_Toc33696649"/>
      <w:r w:rsidRPr="00435180">
        <w:t>Background and Relevant Authority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5D77E9" w:rsidP="00D850FB" w14:paraId="00C4E506" w14:textId="6B0E0F63">
      <w:pPr>
        <w:pStyle w:val="ParaNum"/>
        <w:widowControl/>
        <w:autoSpaceDE w:val="0"/>
        <w:autoSpaceDN w:val="0"/>
        <w:adjustRightInd w:val="0"/>
        <w:rPr>
          <w:szCs w:val="22"/>
        </w:rPr>
      </w:pPr>
      <w:r>
        <w:rPr>
          <w:szCs w:val="22"/>
        </w:rPr>
        <w:t>In th</w:t>
      </w:r>
      <w:r>
        <w:rPr>
          <w:szCs w:val="22"/>
        </w:rPr>
        <w:t xml:space="preserve">e </w:t>
      </w:r>
      <w:r>
        <w:rPr>
          <w:i/>
          <w:szCs w:val="22"/>
        </w:rPr>
        <w:t>3.</w:t>
      </w:r>
      <w:r w:rsidR="00273DA6">
        <w:rPr>
          <w:i/>
          <w:szCs w:val="22"/>
        </w:rPr>
        <w:t>7</w:t>
      </w:r>
      <w:r>
        <w:rPr>
          <w:i/>
          <w:szCs w:val="22"/>
        </w:rPr>
        <w:t xml:space="preserve"> GHz</w:t>
      </w:r>
      <w:r w:rsidR="000407AC">
        <w:rPr>
          <w:i/>
          <w:szCs w:val="22"/>
        </w:rPr>
        <w:t xml:space="preserve"> Report and</w:t>
      </w:r>
      <w:r w:rsidRPr="00435180" w:rsidR="00777B66">
        <w:rPr>
          <w:i/>
          <w:szCs w:val="22"/>
        </w:rPr>
        <w:t xml:space="preserve"> Order</w:t>
      </w:r>
      <w:r w:rsidRPr="00435180" w:rsidR="00777B66">
        <w:rPr>
          <w:szCs w:val="22"/>
        </w:rPr>
        <w:t xml:space="preserve">, the Commission made </w:t>
      </w:r>
      <w:r>
        <w:rPr>
          <w:szCs w:val="22"/>
        </w:rPr>
        <w:t xml:space="preserve">available </w:t>
      </w:r>
      <w:r w:rsidR="001956CF">
        <w:rPr>
          <w:szCs w:val="22"/>
        </w:rPr>
        <w:t>280 megahertz of spectrum in the 3.7–3.98 GHz band for licensed use</w:t>
      </w:r>
      <w:r w:rsidRPr="00435180" w:rsidR="001956CF">
        <w:rPr>
          <w:szCs w:val="22"/>
        </w:rPr>
        <w:t>.</w:t>
      </w:r>
      <w:r>
        <w:rPr>
          <w:rStyle w:val="FootnoteReference"/>
          <w:szCs w:val="22"/>
        </w:rPr>
        <w:footnoteReference w:id="3"/>
      </w:r>
      <w:r w:rsidRPr="00435180" w:rsidR="001956CF">
        <w:rPr>
          <w:szCs w:val="22"/>
        </w:rPr>
        <w:t xml:space="preserve">  </w:t>
      </w:r>
      <w:r w:rsidR="001956CF">
        <w:rPr>
          <w:szCs w:val="22"/>
        </w:rPr>
        <w:t xml:space="preserve">In that Order, </w:t>
      </w:r>
      <w:r w:rsidR="001956CF">
        <w:t xml:space="preserve">the Commission </w:t>
      </w:r>
      <w:r w:rsidR="00491840">
        <w:t xml:space="preserve">proposed to modify </w:t>
      </w:r>
      <w:r w:rsidR="00050EF9">
        <w:t xml:space="preserve">the licenses and </w:t>
      </w:r>
      <w:r w:rsidR="001956CF">
        <w:t xml:space="preserve">market access authorizations of incumbent Fixed Satellite Service (FSS) </w:t>
      </w:r>
      <w:r w:rsidR="00DC6E54">
        <w:t xml:space="preserve">operators, transmit-receive earth station licensees, and Fixed </w:t>
      </w:r>
      <w:r w:rsidR="001956CF">
        <w:t>Service (FS) licensees to clear the 3.7</w:t>
      </w:r>
      <w:r w:rsidR="001956CF">
        <w:rPr>
          <w:snapToGrid/>
        </w:rPr>
        <w:t>–</w:t>
      </w:r>
      <w:r w:rsidR="001956CF">
        <w:t>4.0 GHz band for new flexible-use terrestrial operations in the contiguous United States.</w:t>
      </w:r>
      <w:r>
        <w:rPr>
          <w:rStyle w:val="FootnoteReference"/>
        </w:rPr>
        <w:footnoteReference w:id="4"/>
      </w:r>
      <w:r w:rsidR="001956CF">
        <w:rPr>
          <w:szCs w:val="22"/>
        </w:rPr>
        <w:t xml:space="preserve">  Among other things</w:t>
      </w:r>
      <w:r w:rsidRPr="00435180" w:rsidR="001956CF">
        <w:rPr>
          <w:szCs w:val="22"/>
        </w:rPr>
        <w:t xml:space="preserve">, the Commission </w:t>
      </w:r>
      <w:r w:rsidR="001956CF">
        <w:rPr>
          <w:szCs w:val="22"/>
        </w:rPr>
        <w:t>authorized both fixed and mobile operations in the 3.7–3.98 GHz band</w:t>
      </w:r>
      <w:r w:rsidRPr="00435180" w:rsidR="001956CF">
        <w:rPr>
          <w:szCs w:val="22"/>
        </w:rPr>
        <w:t xml:space="preserve"> </w:t>
      </w:r>
      <w:r w:rsidR="001956CF">
        <w:rPr>
          <w:szCs w:val="22"/>
        </w:rPr>
        <w:t xml:space="preserve">using geographic area licensing, </w:t>
      </w:r>
      <w:r w:rsidRPr="00435180" w:rsidR="001956CF">
        <w:rPr>
          <w:szCs w:val="22"/>
        </w:rPr>
        <w:t xml:space="preserve">established licensing and operating rules for </w:t>
      </w:r>
      <w:r w:rsidR="001956CF">
        <w:rPr>
          <w:szCs w:val="22"/>
        </w:rPr>
        <w:t>the new 3.7 GHz Service,</w:t>
      </w:r>
      <w:r w:rsidRPr="00F177CF" w:rsidR="001956CF">
        <w:rPr>
          <w:szCs w:val="22"/>
        </w:rPr>
        <w:t xml:space="preserve"> </w:t>
      </w:r>
      <w:r w:rsidRPr="00435180" w:rsidR="001956CF">
        <w:rPr>
          <w:szCs w:val="22"/>
        </w:rPr>
        <w:t xml:space="preserve">and decided to use its competitive bidding rules to </w:t>
      </w:r>
      <w:r w:rsidR="001956CF">
        <w:rPr>
          <w:szCs w:val="22"/>
        </w:rPr>
        <w:t xml:space="preserve">assign 3.7 GHz Service </w:t>
      </w:r>
      <w:r w:rsidRPr="00435180" w:rsidR="00F177CF">
        <w:rPr>
          <w:szCs w:val="22"/>
        </w:rPr>
        <w:t>license</w:t>
      </w:r>
      <w:r w:rsidR="008A4CD7">
        <w:rPr>
          <w:szCs w:val="22"/>
        </w:rPr>
        <w:t>s</w:t>
      </w:r>
      <w:r w:rsidR="00E77574">
        <w:rPr>
          <w:szCs w:val="22"/>
        </w:rPr>
        <w:t>.</w:t>
      </w:r>
      <w:r>
        <w:rPr>
          <w:rStyle w:val="FootnoteReference"/>
          <w:szCs w:val="22"/>
        </w:rPr>
        <w:footnoteReference w:id="5"/>
      </w:r>
    </w:p>
    <w:p w:rsidR="00D6515C" w:rsidRPr="00435180" w:rsidP="00D850FB" w14:paraId="0C6A5948" w14:textId="7492D66E">
      <w:pPr>
        <w:pStyle w:val="ParaNum"/>
        <w:widowControl/>
        <w:autoSpaceDE w:val="0"/>
        <w:autoSpaceDN w:val="0"/>
        <w:adjustRightInd w:val="0"/>
        <w:rPr>
          <w:szCs w:val="22"/>
        </w:rPr>
      </w:pPr>
      <w:r w:rsidRPr="00435180">
        <w:rPr>
          <w:szCs w:val="22"/>
        </w:rPr>
        <w:t xml:space="preserve">On </w:t>
      </w:r>
      <w:r w:rsidR="00E12ADD">
        <w:rPr>
          <w:szCs w:val="22"/>
        </w:rPr>
        <w:t>March 3, 2020</w:t>
      </w:r>
      <w:r w:rsidRPr="00435180">
        <w:rPr>
          <w:szCs w:val="22"/>
        </w:rPr>
        <w:t>, in accordance with section 309(j)(3) of the Communications Act of 1934, as amended,</w:t>
      </w:r>
      <w:r>
        <w:rPr>
          <w:rStyle w:val="FootnoteReference"/>
          <w:szCs w:val="22"/>
        </w:rPr>
        <w:footnoteReference w:id="6"/>
      </w:r>
      <w:r w:rsidRPr="00435180">
        <w:rPr>
          <w:szCs w:val="22"/>
        </w:rPr>
        <w:t xml:space="preserve"> we released a public notice seeking comment on </w:t>
      </w:r>
      <w:r w:rsidR="00935E56">
        <w:rPr>
          <w:szCs w:val="22"/>
        </w:rPr>
        <w:t xml:space="preserve">certain </w:t>
      </w:r>
      <w:r w:rsidRPr="00435180">
        <w:rPr>
          <w:szCs w:val="22"/>
        </w:rPr>
        <w:t>competitive bidding procedures and various oth</w:t>
      </w:r>
      <w:r w:rsidRPr="00435180">
        <w:rPr>
          <w:szCs w:val="22"/>
        </w:rPr>
        <w:t>er procedures to be used in Auction 10</w:t>
      </w:r>
      <w:r w:rsidR="005119A2">
        <w:rPr>
          <w:szCs w:val="22"/>
        </w:rPr>
        <w:t>7</w:t>
      </w:r>
      <w:r w:rsidRPr="00435180">
        <w:rPr>
          <w:szCs w:val="22"/>
        </w:rPr>
        <w:t>.</w:t>
      </w:r>
      <w:r>
        <w:rPr>
          <w:rStyle w:val="FootnoteReference"/>
          <w:szCs w:val="22"/>
        </w:rPr>
        <w:footnoteReference w:id="7"/>
      </w:r>
      <w:r w:rsidRPr="00435180">
        <w:rPr>
          <w:szCs w:val="22"/>
        </w:rPr>
        <w:t xml:space="preserve">  We received comments from </w:t>
      </w:r>
      <w:r w:rsidR="00065CB4">
        <w:rPr>
          <w:szCs w:val="22"/>
        </w:rPr>
        <w:t xml:space="preserve">seven </w:t>
      </w:r>
      <w:r w:rsidRPr="00435180">
        <w:rPr>
          <w:szCs w:val="22"/>
        </w:rPr>
        <w:t xml:space="preserve">parties in response to the </w:t>
      </w:r>
      <w:r w:rsidRPr="00435180">
        <w:rPr>
          <w:i/>
          <w:iCs/>
          <w:szCs w:val="22"/>
        </w:rPr>
        <w:t>Auction 10</w:t>
      </w:r>
      <w:r w:rsidR="009E72F7">
        <w:rPr>
          <w:i/>
          <w:iCs/>
          <w:szCs w:val="22"/>
        </w:rPr>
        <w:t>7</w:t>
      </w:r>
      <w:r w:rsidRPr="00435180">
        <w:rPr>
          <w:i/>
          <w:iCs/>
          <w:szCs w:val="22"/>
        </w:rPr>
        <w:t xml:space="preserve"> Comment Public Notice</w:t>
      </w:r>
      <w:r w:rsidRPr="00435180">
        <w:rPr>
          <w:iCs/>
          <w:szCs w:val="22"/>
        </w:rPr>
        <w:t xml:space="preserve">, </w:t>
      </w:r>
      <w:r w:rsidR="00806683">
        <w:rPr>
          <w:iCs/>
          <w:szCs w:val="22"/>
        </w:rPr>
        <w:t>including</w:t>
      </w:r>
      <w:r w:rsidR="004E3313">
        <w:rPr>
          <w:iCs/>
          <w:szCs w:val="22"/>
        </w:rPr>
        <w:t xml:space="preserve"> </w:t>
      </w:r>
      <w:r w:rsidR="00DB6753">
        <w:rPr>
          <w:iCs/>
          <w:szCs w:val="22"/>
        </w:rPr>
        <w:t>five</w:t>
      </w:r>
      <w:r w:rsidRPr="00435180" w:rsidR="006037FE">
        <w:rPr>
          <w:iCs/>
          <w:szCs w:val="22"/>
        </w:rPr>
        <w:t xml:space="preserve"> </w:t>
      </w:r>
      <w:r w:rsidRPr="00435180">
        <w:rPr>
          <w:iCs/>
          <w:szCs w:val="22"/>
        </w:rPr>
        <w:t>reply comments.</w:t>
      </w:r>
      <w:r>
        <w:rPr>
          <w:rStyle w:val="FootnoteReference"/>
          <w:szCs w:val="22"/>
        </w:rPr>
        <w:footnoteReference w:id="8"/>
      </w:r>
      <w:r w:rsidRPr="00435180">
        <w:rPr>
          <w:szCs w:val="22"/>
        </w:rPr>
        <w:t xml:space="preserve">  </w:t>
      </w:r>
      <w:r w:rsidRPr="00530B03" w:rsidR="00530B03">
        <w:rPr>
          <w:szCs w:val="22"/>
        </w:rPr>
        <w:t>In this Public Notice, we resolve all open issues raised in</w:t>
      </w:r>
      <w:r w:rsidR="00EA4811">
        <w:rPr>
          <w:szCs w:val="22"/>
        </w:rPr>
        <w:t xml:space="preserve"> the</w:t>
      </w:r>
      <w:r w:rsidRPr="00530B03" w:rsidR="00530B03">
        <w:rPr>
          <w:szCs w:val="22"/>
        </w:rPr>
        <w:t xml:space="preserve"> </w:t>
      </w:r>
      <w:r w:rsidRPr="00B87B80" w:rsidR="00530B03">
        <w:rPr>
          <w:i/>
          <w:iCs/>
          <w:szCs w:val="22"/>
        </w:rPr>
        <w:t>Auction 10</w:t>
      </w:r>
      <w:r w:rsidR="00022AC9">
        <w:rPr>
          <w:i/>
          <w:iCs/>
          <w:szCs w:val="22"/>
        </w:rPr>
        <w:t>7</w:t>
      </w:r>
      <w:r w:rsidRPr="00B87B80" w:rsidR="00530B03">
        <w:rPr>
          <w:i/>
          <w:iCs/>
          <w:szCs w:val="22"/>
        </w:rPr>
        <w:t xml:space="preserve"> Comment Public Notice</w:t>
      </w:r>
      <w:r w:rsidRPr="00530B03" w:rsidR="00530B03">
        <w:rPr>
          <w:szCs w:val="22"/>
        </w:rPr>
        <w:t xml:space="preserve"> and address the comments received.</w:t>
      </w:r>
    </w:p>
    <w:p w:rsidR="00D6515C" w:rsidRPr="00435180" w:rsidP="00D850FB" w14:paraId="66EFD5A1" w14:textId="0131AC60">
      <w:pPr>
        <w:pStyle w:val="ParaNum"/>
        <w:widowControl/>
        <w:autoSpaceDE w:val="0"/>
        <w:autoSpaceDN w:val="0"/>
        <w:adjustRightInd w:val="0"/>
        <w:rPr>
          <w:szCs w:val="22"/>
        </w:rPr>
      </w:pPr>
      <w:r w:rsidRPr="00435180">
        <w:rPr>
          <w:szCs w:val="22"/>
        </w:rPr>
        <w:t>Other Commission rules and decisions provide the underlying authority for the procedures we adopt today for Auction 10</w:t>
      </w:r>
      <w:r w:rsidR="00022AC9">
        <w:rPr>
          <w:szCs w:val="22"/>
        </w:rPr>
        <w:t>7</w:t>
      </w:r>
      <w:r w:rsidRPr="00435180">
        <w:rPr>
          <w:szCs w:val="22"/>
        </w:rPr>
        <w:t>.  Among other things, prospective applicants should familiarize themselves wit</w:t>
      </w:r>
      <w:r w:rsidRPr="00435180">
        <w:rPr>
          <w:szCs w:val="22"/>
        </w:rPr>
        <w:t>h the Commission’s general competitive bidding rules,</w:t>
      </w:r>
      <w:r>
        <w:rPr>
          <w:rStyle w:val="FootnoteReference"/>
          <w:szCs w:val="22"/>
        </w:rPr>
        <w:footnoteReference w:id="9"/>
      </w:r>
      <w:r w:rsidRPr="00435180">
        <w:rPr>
          <w:szCs w:val="22"/>
        </w:rPr>
        <w:t xml:space="preserve"> including recent amendments and clarifications</w:t>
      </w:r>
      <w:r w:rsidR="005576B5">
        <w:rPr>
          <w:szCs w:val="22"/>
        </w:rPr>
        <w:t xml:space="preserve"> thereto</w:t>
      </w:r>
      <w:r w:rsidRPr="00435180">
        <w:rPr>
          <w:szCs w:val="22"/>
        </w:rPr>
        <w:t>, as well as Commission decisions regarding competitive bidding procedures, application requirements, and obligations of Commission licensees.</w:t>
      </w:r>
      <w:r>
        <w:rPr>
          <w:rStyle w:val="FootnoteReference"/>
          <w:szCs w:val="22"/>
        </w:rPr>
        <w:footnoteReference w:id="10"/>
      </w:r>
      <w:r w:rsidRPr="00435180">
        <w:rPr>
          <w:szCs w:val="22"/>
        </w:rPr>
        <w:t xml:space="preserve">  </w:t>
      </w:r>
      <w:r w:rsidR="005C1C17">
        <w:rPr>
          <w:szCs w:val="22"/>
        </w:rPr>
        <w:t xml:space="preserve">Prospective </w:t>
      </w:r>
      <w:r w:rsidR="007C1974">
        <w:rPr>
          <w:szCs w:val="22"/>
        </w:rPr>
        <w:t xml:space="preserve">applicants </w:t>
      </w:r>
      <w:r w:rsidR="006052B9">
        <w:rPr>
          <w:szCs w:val="22"/>
        </w:rPr>
        <w:t>also should familiarize themselves with the Commission’s rules regarding the 3.7 GHz Service.</w:t>
      </w:r>
      <w:r>
        <w:rPr>
          <w:rStyle w:val="FootnoteReference"/>
          <w:szCs w:val="22"/>
        </w:rPr>
        <w:footnoteReference w:id="11"/>
      </w:r>
      <w:r w:rsidR="006052B9">
        <w:rPr>
          <w:szCs w:val="22"/>
        </w:rPr>
        <w:t xml:space="preserve">  In addition, </w:t>
      </w:r>
      <w:r w:rsidR="005C1C17">
        <w:rPr>
          <w:szCs w:val="22"/>
        </w:rPr>
        <w:t>a</w:t>
      </w:r>
      <w:r w:rsidRPr="00435180">
        <w:rPr>
          <w:szCs w:val="22"/>
        </w:rPr>
        <w:t>pplicants must be thoroughly familiar with the procedures, terms, and conditions contained in this Public Notice and any f</w:t>
      </w:r>
      <w:r w:rsidRPr="00435180">
        <w:rPr>
          <w:szCs w:val="22"/>
        </w:rPr>
        <w:t xml:space="preserve">uture public notices that may be released in this proceeding.  </w:t>
      </w:r>
    </w:p>
    <w:p w:rsidR="00D6515C" w:rsidRPr="00435180" w:rsidP="00D850FB" w14:paraId="19E35D5A" w14:textId="6ACF45BE">
      <w:pPr>
        <w:pStyle w:val="ParaNum"/>
        <w:widowControl/>
        <w:autoSpaceDE w:val="0"/>
        <w:autoSpaceDN w:val="0"/>
        <w:adjustRightInd w:val="0"/>
        <w:rPr>
          <w:szCs w:val="22"/>
        </w:rPr>
      </w:pPr>
      <w:r w:rsidRPr="00435180">
        <w:rPr>
          <w:szCs w:val="22"/>
        </w:rPr>
        <w:t>The terms contained in the Commission’s rules, relevant orders, and public notices are not negotiable.  The Commission may amend or supplement the information contained in its public notices a</w:t>
      </w:r>
      <w:r w:rsidRPr="00435180">
        <w:rPr>
          <w:szCs w:val="22"/>
        </w:rPr>
        <w:t xml:space="preserve">t any time and will </w:t>
      </w:r>
      <w:r w:rsidRPr="00D850FB">
        <w:t>issue</w:t>
      </w:r>
      <w:r w:rsidRPr="00435180">
        <w:rPr>
          <w:szCs w:val="22"/>
        </w:rPr>
        <w:t xml:space="preserve"> public notices to convey any new or </w:t>
      </w:r>
      <w:r w:rsidRPr="00435180" w:rsidR="00165621">
        <w:rPr>
          <w:szCs w:val="22"/>
        </w:rPr>
        <w:t xml:space="preserve">supplemental </w:t>
      </w:r>
      <w:r w:rsidR="00165621">
        <w:rPr>
          <w:szCs w:val="22"/>
        </w:rPr>
        <w:t xml:space="preserve">generally applicable </w:t>
      </w:r>
      <w:r w:rsidRPr="00435180" w:rsidR="00165621">
        <w:rPr>
          <w:szCs w:val="22"/>
        </w:rPr>
        <w:t xml:space="preserve">information to applicants.  </w:t>
      </w:r>
      <w:r w:rsidRPr="00435180">
        <w:rPr>
          <w:szCs w:val="22"/>
        </w:rPr>
        <w:t>In addition, we affirm the well-established authority of the Wireless Telecommunications Bureau (</w:t>
      </w:r>
      <w:r w:rsidR="00E31030">
        <w:rPr>
          <w:szCs w:val="22"/>
        </w:rPr>
        <w:t>WTB</w:t>
      </w:r>
      <w:r w:rsidRPr="00435180">
        <w:rPr>
          <w:szCs w:val="22"/>
        </w:rPr>
        <w:t xml:space="preserve">) and </w:t>
      </w:r>
      <w:r w:rsidR="00BE1012">
        <w:rPr>
          <w:szCs w:val="22"/>
        </w:rPr>
        <w:t xml:space="preserve">the </w:t>
      </w:r>
      <w:r w:rsidRPr="00435180">
        <w:rPr>
          <w:szCs w:val="22"/>
        </w:rPr>
        <w:t xml:space="preserve">Office of </w:t>
      </w:r>
      <w:r w:rsidRPr="00435180">
        <w:rPr>
          <w:szCs w:val="22"/>
        </w:rPr>
        <w:t>Economics and Analytics (</w:t>
      </w:r>
      <w:r w:rsidR="00C406C0">
        <w:rPr>
          <w:szCs w:val="22"/>
        </w:rPr>
        <w:t>OEA</w:t>
      </w:r>
      <w:r w:rsidRPr="00435180">
        <w:rPr>
          <w:szCs w:val="22"/>
        </w:rPr>
        <w:t>) to establish further procedures during the course of this auction.</w:t>
      </w:r>
      <w:r>
        <w:rPr>
          <w:rStyle w:val="FootnoteReference"/>
          <w:szCs w:val="22"/>
        </w:rPr>
        <w:footnoteReference w:id="12"/>
      </w:r>
      <w:r w:rsidRPr="00435180">
        <w:rPr>
          <w:szCs w:val="22"/>
        </w:rPr>
        <w:t xml:space="preserve">  It is the responsibility of all applicants to remain current with all Commission rules and with all public notices pertaining to Auction 10</w:t>
      </w:r>
      <w:r w:rsidR="00CC1D61">
        <w:rPr>
          <w:szCs w:val="22"/>
        </w:rPr>
        <w:t>7</w:t>
      </w:r>
      <w:r w:rsidRPr="00435180">
        <w:rPr>
          <w:szCs w:val="22"/>
        </w:rPr>
        <w:t xml:space="preserve">.  </w:t>
      </w:r>
      <w:bookmarkStart w:id="100" w:name="_Hlk31720095"/>
      <w:r w:rsidRPr="00435180">
        <w:rPr>
          <w:szCs w:val="22"/>
        </w:rPr>
        <w:t>Copies of mos</w:t>
      </w:r>
      <w:r w:rsidRPr="00435180">
        <w:rPr>
          <w:szCs w:val="22"/>
        </w:rPr>
        <w:t xml:space="preserve">t auctions-related Commission documents, including public notices, can be retrieved from the Commission’s FCC Auctions Internet site at </w:t>
      </w:r>
      <w:hyperlink r:id="rId5" w:history="1">
        <w:r w:rsidRPr="00435180">
          <w:rPr>
            <w:rStyle w:val="Hyperlink"/>
            <w:szCs w:val="22"/>
          </w:rPr>
          <w:t>www.fcc.gov/auctions</w:t>
        </w:r>
      </w:hyperlink>
      <w:r w:rsidRPr="00435180">
        <w:rPr>
          <w:szCs w:val="22"/>
        </w:rPr>
        <w:t xml:space="preserve">.  Additionally, documents are </w:t>
      </w:r>
      <w:bookmarkEnd w:id="100"/>
      <w:r w:rsidRPr="00435180" w:rsidR="00EB12A7">
        <w:rPr>
          <w:szCs w:val="22"/>
        </w:rPr>
        <w:t>available at the Commission’s headquarters</w:t>
      </w:r>
      <w:r w:rsidR="00EB12A7">
        <w:rPr>
          <w:szCs w:val="22"/>
        </w:rPr>
        <w:t xml:space="preserve"> </w:t>
      </w:r>
      <w:r w:rsidRPr="00435180" w:rsidR="00EB12A7">
        <w:rPr>
          <w:szCs w:val="22"/>
        </w:rPr>
        <w:t>during normal business hours</w:t>
      </w:r>
      <w:r w:rsidR="004F71EB">
        <w:rPr>
          <w:szCs w:val="22"/>
        </w:rPr>
        <w:t xml:space="preserve"> when the building is open</w:t>
      </w:r>
      <w:r w:rsidR="007734D9">
        <w:rPr>
          <w:szCs w:val="22"/>
        </w:rPr>
        <w:t xml:space="preserve"> to the public</w:t>
      </w:r>
      <w:r w:rsidRPr="00435180" w:rsidR="00EB12A7">
        <w:rPr>
          <w:szCs w:val="22"/>
        </w:rPr>
        <w:t>.</w:t>
      </w:r>
      <w:r>
        <w:rPr>
          <w:rStyle w:val="FootnoteReference"/>
          <w:szCs w:val="22"/>
        </w:rPr>
        <w:footnoteReference w:id="13"/>
      </w:r>
      <w:r w:rsidR="00EB12A7">
        <w:rPr>
          <w:szCs w:val="22"/>
        </w:rPr>
        <w:t xml:space="preserve">  </w:t>
      </w:r>
      <w:r w:rsidR="00D86AA4">
        <w:rPr>
          <w:szCs w:val="22"/>
        </w:rPr>
        <w:t xml:space="preserve">Contact Auctions Division staff at </w:t>
      </w:r>
      <w:hyperlink r:id="rId6" w:history="1">
        <w:r w:rsidRPr="00CC1D61" w:rsidR="00CC1D61">
          <w:rPr>
            <w:rStyle w:val="Hyperlink"/>
            <w:szCs w:val="22"/>
          </w:rPr>
          <w:t>auction107@fcc.gov</w:t>
        </w:r>
      </w:hyperlink>
      <w:r w:rsidR="00D86AA4">
        <w:rPr>
          <w:szCs w:val="22"/>
        </w:rPr>
        <w:t xml:space="preserve"> or (202) 418-0660 for guidance.</w:t>
      </w:r>
    </w:p>
    <w:p w:rsidR="00D6515C" w:rsidRPr="00435180" w:rsidP="000C230C" w14:paraId="428113B2" w14:textId="3DE19909">
      <w:pPr>
        <w:pStyle w:val="Heading2"/>
      </w:pPr>
      <w:bookmarkStart w:id="101" w:name="_Toc6383445"/>
      <w:bookmarkStart w:id="102" w:name="_Toc7525770"/>
      <w:bookmarkStart w:id="103" w:name="_Toc8657125"/>
      <w:bookmarkStart w:id="104" w:name="_Toc9410651"/>
      <w:bookmarkStart w:id="105" w:name="_Toc9430057"/>
      <w:bookmarkStart w:id="106" w:name="_Toc10116820"/>
      <w:bookmarkStart w:id="107" w:name="_Toc10646126"/>
      <w:bookmarkStart w:id="108" w:name="_Toc11156530"/>
      <w:bookmarkStart w:id="109" w:name="_Toc11244274"/>
      <w:bookmarkStart w:id="110" w:name="_Toc11653530"/>
      <w:bookmarkStart w:id="111" w:name="_Toc11678110"/>
      <w:bookmarkStart w:id="112" w:name="_Toc13654697"/>
      <w:bookmarkStart w:id="113" w:name="_Toc24459416"/>
      <w:bookmarkStart w:id="114" w:name="_Toc24459513"/>
      <w:bookmarkStart w:id="115" w:name="_Toc29886838"/>
      <w:bookmarkStart w:id="116" w:name="_Toc29999442"/>
      <w:bookmarkStart w:id="117" w:name="_Toc30699368"/>
      <w:bookmarkStart w:id="118" w:name="_Toc30701448"/>
      <w:bookmarkStart w:id="119" w:name="_Toc31189269"/>
      <w:bookmarkStart w:id="120" w:name="_Toc31189723"/>
      <w:bookmarkStart w:id="121" w:name="_Toc31193090"/>
      <w:bookmarkStart w:id="122" w:name="_Toc31195841"/>
      <w:bookmarkStart w:id="123" w:name="_Toc31199965"/>
      <w:bookmarkStart w:id="124" w:name="_Toc31713732"/>
      <w:bookmarkStart w:id="125" w:name="_Toc31822641"/>
      <w:bookmarkStart w:id="126" w:name="_Toc33629798"/>
      <w:bookmarkStart w:id="127" w:name="_Toc33696650"/>
      <w:bookmarkStart w:id="128" w:name="_Toc25926210"/>
      <w:bookmarkStart w:id="129" w:name="_Toc25926788"/>
      <w:bookmarkStart w:id="130" w:name="_Toc25926909"/>
      <w:bookmarkStart w:id="131" w:name="_Toc27038969"/>
      <w:bookmarkStart w:id="132" w:name="_Toc29813113"/>
      <w:r w:rsidRPr="00435180">
        <w:t xml:space="preserve">Description </w:t>
      </w:r>
      <w:r w:rsidRPr="00435180" w:rsidR="00777B66">
        <w:t>of Licenses to Be Offered in Auction 10</w:t>
      </w:r>
      <w:r w:rsidR="00A726DE">
        <w:t>7</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391BFC">
        <w:t xml:space="preserve"> </w:t>
      </w:r>
      <w:bookmarkEnd w:id="128"/>
      <w:bookmarkEnd w:id="129"/>
      <w:bookmarkEnd w:id="130"/>
      <w:bookmarkEnd w:id="131"/>
      <w:bookmarkEnd w:id="132"/>
    </w:p>
    <w:p w:rsidR="005C5783" w:rsidRPr="000F412A" w:rsidP="00D850FB" w14:paraId="23222723" w14:textId="494DEFCE">
      <w:pPr>
        <w:pStyle w:val="ParaNum"/>
        <w:widowControl/>
        <w:autoSpaceDE w:val="0"/>
        <w:autoSpaceDN w:val="0"/>
        <w:adjustRightInd w:val="0"/>
        <w:rPr>
          <w:snapToGrid/>
          <w:kern w:val="0"/>
          <w:szCs w:val="22"/>
        </w:rPr>
      </w:pPr>
      <w:bookmarkStart w:id="133" w:name="_Hlk509219493"/>
      <w:r>
        <w:t>Auction 10</w:t>
      </w:r>
      <w:r w:rsidR="001A6EAF">
        <w:t>7</w:t>
      </w:r>
      <w:r>
        <w:t xml:space="preserve"> will offer </w:t>
      </w:r>
      <w:r w:rsidR="00A726DE">
        <w:t>5</w:t>
      </w:r>
      <w:r w:rsidR="0034766B">
        <w:t>,</w:t>
      </w:r>
      <w:r w:rsidR="00A726DE">
        <w:t xml:space="preserve">684 new </w:t>
      </w:r>
      <w:r w:rsidR="0087449D">
        <w:t xml:space="preserve">flexible-use </w:t>
      </w:r>
      <w:r w:rsidR="00A726DE">
        <w:t>overlay licenses</w:t>
      </w:r>
      <w:r>
        <w:t xml:space="preserve"> </w:t>
      </w:r>
      <w:r w:rsidR="00A82619">
        <w:t xml:space="preserve">for </w:t>
      </w:r>
      <w:r w:rsidR="00B26BB4">
        <w:t xml:space="preserve">spectrum in the 3.7–3.98 GHz </w:t>
      </w:r>
      <w:r w:rsidR="003F38AB">
        <w:t>b</w:t>
      </w:r>
      <w:r w:rsidR="00B26BB4">
        <w:t xml:space="preserve">and </w:t>
      </w:r>
      <w:r w:rsidR="003F38AB">
        <w:t xml:space="preserve">throughout the </w:t>
      </w:r>
      <w:r w:rsidR="00E70732">
        <w:t>contiguous United States subject to clearing requirements</w:t>
      </w:r>
      <w:r>
        <w:t>.</w:t>
      </w:r>
      <w:r>
        <w:rPr>
          <w:rStyle w:val="FootnoteReference"/>
          <w:szCs w:val="22"/>
        </w:rPr>
        <w:footnoteReference w:id="14"/>
      </w:r>
      <w:r>
        <w:t xml:space="preserve">  </w:t>
      </w:r>
      <w:bookmarkStart w:id="134" w:name="_Hlk46396397"/>
      <w:bookmarkStart w:id="135" w:name="_Hlk46398138"/>
      <w:r w:rsidR="00B758B0">
        <w:t xml:space="preserve">The 280 </w:t>
      </w:r>
      <w:r w:rsidR="00B758B0">
        <w:t>megahertz of spectrum</w:t>
      </w:r>
      <w:r w:rsidR="00E407DD">
        <w:t xml:space="preserve"> </w:t>
      </w:r>
      <w:r w:rsidR="001C1537">
        <w:t xml:space="preserve">available in Auction 107 </w:t>
      </w:r>
      <w:r w:rsidR="0003274C">
        <w:t xml:space="preserve">will be </w:t>
      </w:r>
      <w:r w:rsidR="00E83C8A">
        <w:t>licensed on an unpaired basis</w:t>
      </w:r>
      <w:r w:rsidR="00E53DB2">
        <w:t xml:space="preserve"> in three blocks divided </w:t>
      </w:r>
      <w:r w:rsidR="00403FEB">
        <w:t xml:space="preserve">into 20-megahertz sub-blocks </w:t>
      </w:r>
      <w:r w:rsidR="006D4BBD">
        <w:t xml:space="preserve">by </w:t>
      </w:r>
      <w:r w:rsidR="00654607">
        <w:t>partial economic area (</w:t>
      </w:r>
      <w:r w:rsidR="006D4BBD">
        <w:t>PEA</w:t>
      </w:r>
      <w:r w:rsidR="00654607">
        <w:t>)</w:t>
      </w:r>
      <w:r w:rsidR="0042091A">
        <w:t xml:space="preserve"> </w:t>
      </w:r>
      <w:r w:rsidRPr="0042091A" w:rsidR="0042091A">
        <w:t>in the contiguous states and the District of Columbia</w:t>
      </w:r>
      <w:bookmarkEnd w:id="134"/>
      <w:r w:rsidRPr="0042091A" w:rsidR="0042091A">
        <w:t xml:space="preserve"> (PEAs 1–41, 43–211, 213–263, 265–297, 299–359, and 361–411)</w:t>
      </w:r>
      <w:bookmarkEnd w:id="135"/>
      <w:r>
        <w:t>.</w:t>
      </w:r>
      <w:r>
        <w:rPr>
          <w:rStyle w:val="FootnoteReference"/>
          <w:szCs w:val="22"/>
        </w:rPr>
        <w:footnoteReference w:id="15"/>
      </w:r>
      <w:r>
        <w:t xml:space="preserve"> </w:t>
      </w:r>
      <w:r w:rsidR="00DD0346">
        <w:t xml:space="preserve"> </w:t>
      </w:r>
      <w:bookmarkStart w:id="136" w:name="_Hlk46398102"/>
      <w:r w:rsidRPr="00876CB2" w:rsidR="00EC2874">
        <w:t>Specifically, the A Block will cover 100 megahertz from 3.7–3.8 GHz in five 20-megahertz sub-blocks:</w:t>
      </w:r>
      <w:r w:rsidR="00EC2874">
        <w:t xml:space="preserve"> </w:t>
      </w:r>
      <w:r w:rsidRPr="00876CB2" w:rsidR="00EC2874">
        <w:t xml:space="preserve"> 3700–3720 MHz (A1), 3720–3740 MHz (A2), 3740–3760 MHz (A3), 3760–3780 MHz (A4), and 3780–3800 MHz (A5). </w:t>
      </w:r>
      <w:r w:rsidR="00EC2874">
        <w:t xml:space="preserve"> </w:t>
      </w:r>
      <w:r w:rsidRPr="00876CB2" w:rsidR="00EC2874">
        <w:t xml:space="preserve">The B Block will cover 100 megahertz from 3.8–3.9 GHz in five 20-megahertz sub-blocks: </w:t>
      </w:r>
      <w:r w:rsidR="00EC2874">
        <w:t xml:space="preserve"> </w:t>
      </w:r>
      <w:r w:rsidRPr="00876CB2" w:rsidR="00EC2874">
        <w:t xml:space="preserve">3800–3820 MHz (B1), 3820–3840 MHz (B2), 3840–3860 MHz (B3), 3860–3880 MHz (B4), and 3880–3900 MHz (B5). </w:t>
      </w:r>
      <w:r w:rsidR="00EC2874">
        <w:t xml:space="preserve"> </w:t>
      </w:r>
      <w:r w:rsidRPr="00876CB2" w:rsidR="00876CB2">
        <w:t xml:space="preserve">The C Block will cover 80 megahertz from 3.9–3.98 GHz, and four 20-megahertz sub-blocks will be licensed for flexible use: </w:t>
      </w:r>
      <w:r w:rsidR="00D00EAA">
        <w:t xml:space="preserve"> </w:t>
      </w:r>
      <w:r w:rsidRPr="00876CB2" w:rsidR="00876CB2">
        <w:t xml:space="preserve">3900–3920 MHz (C1), 3920–3940 MHz (C2), 3940–3960 MHz (C3), and 3960–3980 MHz (C4). </w:t>
      </w:r>
      <w:r w:rsidR="00D00EAA">
        <w:t xml:space="preserve"> </w:t>
      </w:r>
      <w:r w:rsidR="00D3359E">
        <w:t xml:space="preserve">The 20 megahertz at 3980–4000 MHz will be a </w:t>
      </w:r>
      <w:r w:rsidR="006450CB">
        <w:t>guard band and not available for auction.</w:t>
      </w:r>
      <w:bookmarkEnd w:id="136"/>
      <w:r w:rsidR="006450CB">
        <w:t xml:space="preserve">  </w:t>
      </w:r>
      <w:bookmarkStart w:id="137" w:name="_Hlk46396483"/>
      <w:r w:rsidRPr="006450CB" w:rsidR="006450CB">
        <w:t>3.7 GHz Service licenses will be issued for 15-year, renewable license terms.</w:t>
      </w:r>
      <w:bookmarkEnd w:id="137"/>
      <w:r>
        <w:rPr>
          <w:rStyle w:val="FootnoteReference"/>
        </w:rPr>
        <w:footnoteReference w:id="16"/>
      </w:r>
      <w:r w:rsidRPr="00CC6EA5" w:rsidR="006450CB">
        <w:t xml:space="preserve"> </w:t>
      </w:r>
      <w:r w:rsidR="006450CB">
        <w:t xml:space="preserve"> </w:t>
      </w:r>
      <w:r w:rsidRPr="007C57ED" w:rsidR="006450CB">
        <w:t>A licensee</w:t>
      </w:r>
      <w:r w:rsidRPr="007C57ED" w:rsidR="007C57ED">
        <w:t xml:space="preserve"> in the 3.7–3.98 GHz band may provide any services permitted under terrestrial fixed or mobile allocations, as set forth in the non-Federal Government column of the Table of Frequency Allocations in section 2.106 of the Commission’s rules</w:t>
      </w:r>
      <w:r w:rsidR="004B4191">
        <w:t>.</w:t>
      </w:r>
      <w:r>
        <w:rPr>
          <w:rStyle w:val="FootnoteReference"/>
        </w:rPr>
        <w:footnoteReference w:id="17"/>
      </w:r>
    </w:p>
    <w:p w:rsidR="004D0D5A" w:rsidRPr="003C4866" w:rsidP="00D850FB" w14:paraId="5123695B" w14:textId="6329B8EB">
      <w:pPr>
        <w:pStyle w:val="ParaNum"/>
        <w:widowControl/>
        <w:autoSpaceDE w:val="0"/>
        <w:autoSpaceDN w:val="0"/>
        <w:adjustRightInd w:val="0"/>
        <w:rPr>
          <w:snapToGrid/>
          <w:kern w:val="0"/>
          <w:szCs w:val="22"/>
        </w:rPr>
      </w:pPr>
      <w:bookmarkStart w:id="138" w:name="_Hlk46398196"/>
      <w:r>
        <w:t>On June 1, 202</w:t>
      </w:r>
      <w:r>
        <w:t xml:space="preserve">0, WTB announced </w:t>
      </w:r>
      <w:r w:rsidR="00D71AF9">
        <w:t xml:space="preserve">that </w:t>
      </w:r>
      <w:r w:rsidR="006F3C31">
        <w:t xml:space="preserve">incumbent </w:t>
      </w:r>
      <w:r w:rsidR="00D71AF9">
        <w:t>satellite operators had</w:t>
      </w:r>
      <w:r w:rsidR="00EB58A3">
        <w:t>, in aggregate,</w:t>
      </w:r>
      <w:r w:rsidR="00DB35E4">
        <w:t xml:space="preserve"> made sufficient c</w:t>
      </w:r>
      <w:r w:rsidR="005E1A83">
        <w:t xml:space="preserve">ommitments </w:t>
      </w:r>
      <w:r w:rsidR="00D71AF9">
        <w:rPr>
          <w:szCs w:val="22"/>
        </w:rPr>
        <w:t>to clear the 3.7</w:t>
      </w:r>
      <w:r w:rsidR="00184C19">
        <w:rPr>
          <w:szCs w:val="22"/>
        </w:rPr>
        <w:t>–</w:t>
      </w:r>
      <w:r w:rsidR="00D71AF9">
        <w:rPr>
          <w:szCs w:val="22"/>
        </w:rPr>
        <w:t xml:space="preserve">4.0 GHz band on the accelerated timeline described in the </w:t>
      </w:r>
      <w:r w:rsidRPr="002025A0" w:rsidR="00D71AF9">
        <w:rPr>
          <w:i/>
          <w:iCs/>
          <w:szCs w:val="22"/>
        </w:rPr>
        <w:t xml:space="preserve">3.7 GHz Report </w:t>
      </w:r>
      <w:r w:rsidRPr="00D850FB" w:rsidR="00D71AF9">
        <w:rPr>
          <w:i/>
          <w:iCs/>
          <w:szCs w:val="22"/>
        </w:rPr>
        <w:t>and</w:t>
      </w:r>
      <w:r w:rsidRPr="002025A0" w:rsidR="00D71AF9">
        <w:rPr>
          <w:i/>
          <w:iCs/>
          <w:szCs w:val="22"/>
        </w:rPr>
        <w:t xml:space="preserve"> Order</w:t>
      </w:r>
      <w:r w:rsidR="00C23264">
        <w:rPr>
          <w:szCs w:val="22"/>
        </w:rPr>
        <w:t>, there</w:t>
      </w:r>
      <w:r w:rsidR="006F3C31">
        <w:rPr>
          <w:szCs w:val="22"/>
        </w:rPr>
        <w:t>by trigger</w:t>
      </w:r>
      <w:r w:rsidR="0046725B">
        <w:rPr>
          <w:szCs w:val="22"/>
        </w:rPr>
        <w:t>ing accelerated clearing of the band</w:t>
      </w:r>
      <w:bookmarkEnd w:id="138"/>
      <w:r w:rsidR="0046725B">
        <w:rPr>
          <w:szCs w:val="22"/>
        </w:rPr>
        <w:t>.</w:t>
      </w:r>
      <w:r>
        <w:rPr>
          <w:rStyle w:val="FootnoteReference"/>
          <w:szCs w:val="22"/>
        </w:rPr>
        <w:footnoteReference w:id="18"/>
      </w:r>
      <w:r w:rsidR="00D71AF9">
        <w:rPr>
          <w:szCs w:val="22"/>
        </w:rPr>
        <w:t xml:space="preserve">  </w:t>
      </w:r>
      <w:bookmarkStart w:id="139" w:name="_Hlk46398205"/>
      <w:r w:rsidR="00442C6A">
        <w:rPr>
          <w:szCs w:val="22"/>
        </w:rPr>
        <w:t xml:space="preserve">As a result, licenses in the A Block in 46 of the top 50 PEAs—PEAs 1–4, 6–10, 12–19, 21–41, and 43–50—will be subject to the </w:t>
      </w:r>
      <w:r w:rsidR="00442C6A">
        <w:t xml:space="preserve">Phase I accelerated relocation deadline, and licenses in the B and C Blocks in the 46 PEAs and in the A, B, and C Blocks in the remaining 360 PEAs will be subject to the Phase II </w:t>
      </w:r>
      <w:r w:rsidR="00B5140C">
        <w:t>accelerated relocation deadline</w:t>
      </w:r>
      <w:bookmarkEnd w:id="139"/>
      <w:r w:rsidR="00B5140C">
        <w:t>.</w:t>
      </w:r>
      <w:r>
        <w:rPr>
          <w:rStyle w:val="FootnoteReference"/>
        </w:rPr>
        <w:footnoteReference w:id="19"/>
      </w:r>
      <w:r w:rsidR="00B5140C">
        <w:t xml:space="preserve">  </w:t>
      </w:r>
    </w:p>
    <w:p w:rsidR="00D6515C" w:rsidRPr="00435180" w:rsidP="000C230C" w14:paraId="3955E183" w14:textId="77777777">
      <w:pPr>
        <w:pStyle w:val="Heading2"/>
      </w:pPr>
      <w:bookmarkStart w:id="140" w:name="_Toc6383446"/>
      <w:bookmarkStart w:id="141" w:name="_Toc7525771"/>
      <w:bookmarkStart w:id="142" w:name="_Toc8657126"/>
      <w:bookmarkStart w:id="143" w:name="_Toc9410652"/>
      <w:bookmarkStart w:id="144" w:name="_Toc9430058"/>
      <w:bookmarkStart w:id="145" w:name="_Toc10116821"/>
      <w:bookmarkStart w:id="146" w:name="_Toc10646127"/>
      <w:bookmarkStart w:id="147" w:name="_Toc11156531"/>
      <w:bookmarkStart w:id="148" w:name="_Toc11244275"/>
      <w:bookmarkStart w:id="149" w:name="_Toc11653531"/>
      <w:bookmarkStart w:id="150" w:name="_Toc11678111"/>
      <w:bookmarkStart w:id="151" w:name="_Toc13654698"/>
      <w:bookmarkStart w:id="152" w:name="_Toc24459417"/>
      <w:bookmarkStart w:id="153" w:name="_Toc24459514"/>
      <w:bookmarkStart w:id="154" w:name="_Toc25926211"/>
      <w:bookmarkStart w:id="155" w:name="_Toc25926789"/>
      <w:bookmarkStart w:id="156" w:name="_Toc25926910"/>
      <w:bookmarkStart w:id="157" w:name="_Toc27038970"/>
      <w:bookmarkStart w:id="158" w:name="_Toc29813114"/>
      <w:bookmarkStart w:id="159" w:name="_Toc29886839"/>
      <w:bookmarkStart w:id="160" w:name="_Toc29999443"/>
      <w:bookmarkStart w:id="161" w:name="_Toc30699369"/>
      <w:bookmarkStart w:id="162" w:name="_Toc30701449"/>
      <w:bookmarkStart w:id="163" w:name="_Toc31189270"/>
      <w:bookmarkStart w:id="164" w:name="_Toc31189724"/>
      <w:bookmarkStart w:id="165" w:name="_Toc31193091"/>
      <w:bookmarkStart w:id="166" w:name="_Toc31195842"/>
      <w:bookmarkStart w:id="167" w:name="_Toc31199966"/>
      <w:bookmarkStart w:id="168" w:name="_Toc31713733"/>
      <w:bookmarkStart w:id="169" w:name="_Toc31822642"/>
      <w:bookmarkStart w:id="170" w:name="_Toc33629799"/>
      <w:bookmarkStart w:id="171" w:name="_Toc33696651"/>
      <w:bookmarkEnd w:id="133"/>
      <w:r w:rsidRPr="00435180">
        <w:t>Auction Specifics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D6515C" w:rsidRPr="00435180" w:rsidP="00D6515C" w14:paraId="2EB9246D" w14:textId="77777777">
      <w:pPr>
        <w:pStyle w:val="Heading3"/>
        <w:rPr>
          <w:szCs w:val="22"/>
        </w:rPr>
      </w:pPr>
      <w:bookmarkStart w:id="172" w:name="_Toc6383447"/>
      <w:bookmarkStart w:id="173" w:name="_Toc7525772"/>
      <w:bookmarkStart w:id="174" w:name="_Toc8657127"/>
      <w:bookmarkStart w:id="175" w:name="_Toc9410653"/>
      <w:bookmarkStart w:id="176" w:name="_Toc9430059"/>
      <w:bookmarkStart w:id="177" w:name="_Toc10116822"/>
      <w:bookmarkStart w:id="178" w:name="_Toc10646128"/>
      <w:bookmarkStart w:id="179" w:name="_Toc11156532"/>
      <w:bookmarkStart w:id="180" w:name="_Toc11244276"/>
      <w:bookmarkStart w:id="181" w:name="_Toc11653532"/>
      <w:bookmarkStart w:id="182" w:name="_Toc11678112"/>
      <w:bookmarkStart w:id="183" w:name="_Toc13654699"/>
      <w:bookmarkStart w:id="184" w:name="_Toc24459418"/>
      <w:bookmarkStart w:id="185" w:name="_Toc24459515"/>
      <w:bookmarkStart w:id="186" w:name="_Toc25926212"/>
      <w:bookmarkStart w:id="187" w:name="_Toc25926790"/>
      <w:bookmarkStart w:id="188" w:name="_Toc25926911"/>
      <w:bookmarkStart w:id="189" w:name="_Toc27038971"/>
      <w:bookmarkStart w:id="190" w:name="_Toc29813115"/>
      <w:bookmarkStart w:id="191" w:name="_Toc29886840"/>
      <w:bookmarkStart w:id="192" w:name="_Toc29999444"/>
      <w:bookmarkStart w:id="193" w:name="_Toc30699370"/>
      <w:bookmarkStart w:id="194" w:name="_Toc30701450"/>
      <w:bookmarkStart w:id="195" w:name="_Toc31189271"/>
      <w:bookmarkStart w:id="196" w:name="_Toc31189725"/>
      <w:bookmarkStart w:id="197" w:name="_Toc31193092"/>
      <w:bookmarkStart w:id="198" w:name="_Toc31195843"/>
      <w:bookmarkStart w:id="199" w:name="_Toc31199967"/>
      <w:bookmarkStart w:id="200" w:name="_Toc31713734"/>
      <w:bookmarkStart w:id="201" w:name="_Toc31822643"/>
      <w:bookmarkStart w:id="202" w:name="_Toc33629800"/>
      <w:bookmarkStart w:id="203" w:name="_Toc33696652"/>
      <w:r w:rsidRPr="00435180">
        <w:rPr>
          <w:szCs w:val="22"/>
        </w:rPr>
        <w:t>Auction Title and Start Date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7D0774" w:rsidP="00D850FB" w14:paraId="3BB5B806" w14:textId="40910498">
      <w:pPr>
        <w:pStyle w:val="ParaNum"/>
        <w:widowControl/>
        <w:autoSpaceDE w:val="0"/>
        <w:autoSpaceDN w:val="0"/>
        <w:adjustRightInd w:val="0"/>
        <w:rPr>
          <w:szCs w:val="22"/>
        </w:rPr>
      </w:pPr>
      <w:r w:rsidRPr="00435180">
        <w:rPr>
          <w:szCs w:val="22"/>
        </w:rPr>
        <w:t xml:space="preserve">The auction of </w:t>
      </w:r>
      <w:r w:rsidR="00AE6DEC">
        <w:rPr>
          <w:szCs w:val="22"/>
        </w:rPr>
        <w:t xml:space="preserve">licenses </w:t>
      </w:r>
      <w:r w:rsidR="00080736">
        <w:rPr>
          <w:szCs w:val="22"/>
        </w:rPr>
        <w:t xml:space="preserve">in the </w:t>
      </w:r>
      <w:r w:rsidRPr="00AE6DEC" w:rsidR="00AE6DEC">
        <w:rPr>
          <w:szCs w:val="22"/>
        </w:rPr>
        <w:t xml:space="preserve">3.7–3.98 GHz </w:t>
      </w:r>
      <w:r w:rsidR="00080736">
        <w:rPr>
          <w:szCs w:val="22"/>
        </w:rPr>
        <w:t xml:space="preserve">band </w:t>
      </w:r>
      <w:r w:rsidRPr="00435180">
        <w:rPr>
          <w:szCs w:val="22"/>
        </w:rPr>
        <w:t>will be referred to as “Auction 10</w:t>
      </w:r>
      <w:r w:rsidR="00AC2877">
        <w:rPr>
          <w:szCs w:val="22"/>
        </w:rPr>
        <w:t>7</w:t>
      </w:r>
      <w:r w:rsidRPr="00435180">
        <w:rPr>
          <w:szCs w:val="22"/>
        </w:rPr>
        <w:t>.”  Bidding in Auction 10</w:t>
      </w:r>
      <w:r w:rsidR="00E0303D">
        <w:rPr>
          <w:szCs w:val="22"/>
        </w:rPr>
        <w:t>7</w:t>
      </w:r>
      <w:r w:rsidRPr="00435180">
        <w:rPr>
          <w:szCs w:val="22"/>
        </w:rPr>
        <w:t xml:space="preserve"> will begin on </w:t>
      </w:r>
      <w:r w:rsidR="00080736">
        <w:rPr>
          <w:szCs w:val="22"/>
        </w:rPr>
        <w:t>T</w:t>
      </w:r>
      <w:r w:rsidR="00E0303D">
        <w:rPr>
          <w:szCs w:val="22"/>
        </w:rPr>
        <w:t>uesday</w:t>
      </w:r>
      <w:r w:rsidRPr="00435180">
        <w:rPr>
          <w:szCs w:val="22"/>
        </w:rPr>
        <w:t xml:space="preserve">, </w:t>
      </w:r>
      <w:r w:rsidR="00E0303D">
        <w:rPr>
          <w:szCs w:val="22"/>
        </w:rPr>
        <w:t>December 8</w:t>
      </w:r>
      <w:r w:rsidRPr="00435180">
        <w:rPr>
          <w:szCs w:val="22"/>
        </w:rPr>
        <w:t>, 20</w:t>
      </w:r>
      <w:r w:rsidR="00080736">
        <w:rPr>
          <w:szCs w:val="22"/>
        </w:rPr>
        <w:t>20</w:t>
      </w:r>
      <w:r w:rsidRPr="00435180">
        <w:rPr>
          <w:szCs w:val="22"/>
        </w:rPr>
        <w:t>.  Pre-bidding dates and deadlines are listed below.  The initial schedule for bidding rounds in Auction 10</w:t>
      </w:r>
      <w:r w:rsidR="00E0303D">
        <w:rPr>
          <w:szCs w:val="22"/>
        </w:rPr>
        <w:t>7</w:t>
      </w:r>
      <w:r w:rsidRPr="00435180">
        <w:rPr>
          <w:szCs w:val="22"/>
        </w:rPr>
        <w:t xml:space="preserve"> will be announced by public notice at least one week before bidding </w:t>
      </w:r>
      <w:r w:rsidR="00BE296E">
        <w:rPr>
          <w:szCs w:val="22"/>
        </w:rPr>
        <w:t>begins</w:t>
      </w:r>
      <w:r w:rsidR="00A52575">
        <w:rPr>
          <w:szCs w:val="22"/>
        </w:rPr>
        <w:t>.</w:t>
      </w:r>
    </w:p>
    <w:p w:rsidR="00D6515C" w:rsidRPr="00435180" w:rsidP="00D850FB" w14:paraId="0FB7282B" w14:textId="157FAB86">
      <w:pPr>
        <w:pStyle w:val="ParaNum"/>
        <w:widowControl/>
        <w:autoSpaceDE w:val="0"/>
        <w:autoSpaceDN w:val="0"/>
        <w:adjustRightInd w:val="0"/>
        <w:rPr>
          <w:szCs w:val="22"/>
        </w:rPr>
      </w:pPr>
      <w:r>
        <w:rPr>
          <w:szCs w:val="22"/>
        </w:rPr>
        <w:t>U</w:t>
      </w:r>
      <w:r w:rsidRPr="00435180" w:rsidR="00777B66">
        <w:rPr>
          <w:szCs w:val="22"/>
        </w:rPr>
        <w:t>nless otherwise announced, bidding on all licenses will be conducted on each business day until bidding has stopped on all licenses.</w:t>
      </w:r>
    </w:p>
    <w:p w:rsidR="00D6515C" w:rsidRPr="00435180" w:rsidP="00D6515C" w14:paraId="008CA070" w14:textId="77777777">
      <w:pPr>
        <w:pStyle w:val="Heading3"/>
        <w:rPr>
          <w:szCs w:val="22"/>
        </w:rPr>
      </w:pPr>
      <w:bookmarkStart w:id="204" w:name="_Toc6383448"/>
      <w:bookmarkStart w:id="205" w:name="_Toc7525773"/>
      <w:bookmarkStart w:id="206" w:name="_Toc8657128"/>
      <w:bookmarkStart w:id="207" w:name="_Toc9410654"/>
      <w:bookmarkStart w:id="208" w:name="_Toc9430060"/>
      <w:bookmarkStart w:id="209" w:name="_Toc10116823"/>
      <w:bookmarkStart w:id="210" w:name="_Toc10646129"/>
      <w:bookmarkStart w:id="211" w:name="_Toc11156533"/>
      <w:bookmarkStart w:id="212" w:name="_Toc11244277"/>
      <w:bookmarkStart w:id="213" w:name="_Toc11653533"/>
      <w:bookmarkStart w:id="214" w:name="_Toc11678113"/>
      <w:bookmarkStart w:id="215" w:name="_Toc13654700"/>
      <w:bookmarkStart w:id="216" w:name="_Toc24459419"/>
      <w:bookmarkStart w:id="217" w:name="_Toc24459516"/>
      <w:bookmarkStart w:id="218" w:name="_Toc25926213"/>
      <w:bookmarkStart w:id="219" w:name="_Toc25926791"/>
      <w:bookmarkStart w:id="220" w:name="_Toc25926912"/>
      <w:bookmarkStart w:id="221" w:name="_Toc27038972"/>
      <w:bookmarkStart w:id="222" w:name="_Toc29813116"/>
      <w:bookmarkStart w:id="223" w:name="_Toc29886841"/>
      <w:bookmarkStart w:id="224" w:name="_Toc29999445"/>
      <w:bookmarkStart w:id="225" w:name="_Toc30699371"/>
      <w:bookmarkStart w:id="226" w:name="_Toc30701451"/>
      <w:bookmarkStart w:id="227" w:name="_Toc31189272"/>
      <w:bookmarkStart w:id="228" w:name="_Toc31189726"/>
      <w:bookmarkStart w:id="229" w:name="_Toc31193093"/>
      <w:bookmarkStart w:id="230" w:name="_Toc31195844"/>
      <w:bookmarkStart w:id="231" w:name="_Toc31199968"/>
      <w:bookmarkStart w:id="232" w:name="_Toc31713735"/>
      <w:bookmarkStart w:id="233" w:name="_Toc31822644"/>
      <w:bookmarkStart w:id="234" w:name="_Toc33629801"/>
      <w:bookmarkStart w:id="235" w:name="_Toc33696653"/>
      <w:r w:rsidRPr="00435180">
        <w:rPr>
          <w:szCs w:val="22"/>
        </w:rPr>
        <w:t>Auction Dates and Deadlines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D6515C" w:rsidRPr="00435180" w:rsidP="00D850FB" w14:paraId="2DF39F9D" w14:textId="18960689">
      <w:pPr>
        <w:pStyle w:val="ParaNum"/>
        <w:widowControl/>
        <w:autoSpaceDE w:val="0"/>
        <w:autoSpaceDN w:val="0"/>
        <w:adjustRightInd w:val="0"/>
        <w:rPr>
          <w:szCs w:val="22"/>
        </w:rPr>
      </w:pPr>
      <w:r w:rsidRPr="00435180">
        <w:rPr>
          <w:szCs w:val="22"/>
        </w:rPr>
        <w:t>The following dates and deadlines apply to Auction 10</w:t>
      </w:r>
      <w:r w:rsidR="00E0303D">
        <w:rPr>
          <w:szCs w:val="22"/>
        </w:rPr>
        <w:t>7</w:t>
      </w:r>
      <w:r w:rsidRPr="00435180">
        <w:rPr>
          <w:szCs w:val="22"/>
        </w:rPr>
        <w:t>:</w:t>
      </w:r>
    </w:p>
    <w:p w:rsidR="00D6515C" w:rsidRPr="00435180" w:rsidP="00D6515C" w14:paraId="763F02FB" w14:textId="1502DC41">
      <w:pPr>
        <w:tabs>
          <w:tab w:val="left" w:leader="dot" w:pos="5040"/>
        </w:tabs>
        <w:spacing w:after="120"/>
        <w:ind w:right="-547"/>
        <w:rPr>
          <w:szCs w:val="22"/>
        </w:rPr>
      </w:pPr>
      <w:r w:rsidRPr="00435180">
        <w:rPr>
          <w:szCs w:val="22"/>
        </w:rPr>
        <w:t>Auction Application Tutorial Available (via Internet)</w:t>
      </w:r>
      <w:r w:rsidRPr="00435180">
        <w:rPr>
          <w:szCs w:val="22"/>
        </w:rPr>
        <w:tab/>
      </w:r>
      <w:r w:rsidR="00AE0AAD">
        <w:rPr>
          <w:szCs w:val="22"/>
        </w:rPr>
        <w:t xml:space="preserve">No later than </w:t>
      </w:r>
      <w:r w:rsidR="00FF28FD">
        <w:rPr>
          <w:szCs w:val="22"/>
        </w:rPr>
        <w:t xml:space="preserve">August </w:t>
      </w:r>
      <w:r w:rsidR="00451888">
        <w:rPr>
          <w:szCs w:val="22"/>
        </w:rPr>
        <w:t>21</w:t>
      </w:r>
      <w:r w:rsidRPr="00435180">
        <w:rPr>
          <w:szCs w:val="22"/>
        </w:rPr>
        <w:t>, 20</w:t>
      </w:r>
      <w:r w:rsidR="00080736">
        <w:rPr>
          <w:szCs w:val="22"/>
        </w:rPr>
        <w:t>20</w:t>
      </w:r>
    </w:p>
    <w:p w:rsidR="00D6515C" w:rsidRPr="00435180" w:rsidP="00D6515C" w14:paraId="6A623E52" w14:textId="77777777">
      <w:pPr>
        <w:keepNext/>
        <w:tabs>
          <w:tab w:val="left" w:leader="dot" w:pos="5040"/>
        </w:tabs>
        <w:rPr>
          <w:szCs w:val="22"/>
        </w:rPr>
      </w:pPr>
      <w:r w:rsidRPr="00435180">
        <w:rPr>
          <w:szCs w:val="22"/>
        </w:rPr>
        <w:t xml:space="preserve">Short-Form Application (FCC Form 175) </w:t>
      </w:r>
    </w:p>
    <w:p w:rsidR="00D6515C" w:rsidRPr="00435180" w:rsidP="00D6515C" w14:paraId="55FDBE02" w14:textId="786DD475">
      <w:pPr>
        <w:tabs>
          <w:tab w:val="left" w:leader="dot" w:pos="5040"/>
        </w:tabs>
        <w:spacing w:after="120"/>
        <w:ind w:right="-547"/>
        <w:rPr>
          <w:szCs w:val="22"/>
        </w:rPr>
      </w:pPr>
      <w:r w:rsidRPr="00435180">
        <w:rPr>
          <w:szCs w:val="22"/>
        </w:rPr>
        <w:t>Filing Window Opens</w:t>
      </w:r>
      <w:r w:rsidRPr="00435180">
        <w:rPr>
          <w:szCs w:val="22"/>
        </w:rPr>
        <w:tab/>
      </w:r>
      <w:r w:rsidR="003C23E4">
        <w:rPr>
          <w:szCs w:val="22"/>
        </w:rPr>
        <w:t>September 9</w:t>
      </w:r>
      <w:r w:rsidRPr="00435180">
        <w:rPr>
          <w:szCs w:val="22"/>
        </w:rPr>
        <w:t>, 20</w:t>
      </w:r>
      <w:r w:rsidR="00080736">
        <w:rPr>
          <w:szCs w:val="22"/>
        </w:rPr>
        <w:t>20</w:t>
      </w:r>
      <w:r w:rsidR="0026423C">
        <w:rPr>
          <w:szCs w:val="22"/>
        </w:rPr>
        <w:t>,</w:t>
      </w:r>
      <w:r w:rsidRPr="00435180">
        <w:rPr>
          <w:szCs w:val="22"/>
        </w:rPr>
        <w:t xml:space="preserve"> 12:00 p.m. Eastern Time (ET)</w:t>
      </w:r>
    </w:p>
    <w:p w:rsidR="00D6515C" w:rsidRPr="00435180" w:rsidP="00D6515C" w14:paraId="026F33FD" w14:textId="77777777">
      <w:pPr>
        <w:keepNext/>
        <w:tabs>
          <w:tab w:val="left" w:leader="dot" w:pos="5040"/>
        </w:tabs>
        <w:rPr>
          <w:szCs w:val="22"/>
        </w:rPr>
      </w:pPr>
      <w:r w:rsidRPr="00435180">
        <w:rPr>
          <w:szCs w:val="22"/>
        </w:rPr>
        <w:t xml:space="preserve">Short-Form Application (FCC Form 175) </w:t>
      </w:r>
    </w:p>
    <w:p w:rsidR="00D6515C" w:rsidRPr="00435180" w:rsidP="00D6515C" w14:paraId="7F2A1B8A" w14:textId="0D87A958">
      <w:pPr>
        <w:tabs>
          <w:tab w:val="left" w:leader="dot" w:pos="5040"/>
        </w:tabs>
        <w:spacing w:after="120"/>
        <w:ind w:right="-547"/>
        <w:rPr>
          <w:szCs w:val="22"/>
        </w:rPr>
      </w:pPr>
      <w:r w:rsidRPr="00435180">
        <w:rPr>
          <w:szCs w:val="22"/>
        </w:rPr>
        <w:t>Filing Window Deadline</w:t>
      </w:r>
      <w:r w:rsidRPr="00435180">
        <w:rPr>
          <w:szCs w:val="22"/>
        </w:rPr>
        <w:tab/>
      </w:r>
      <w:r w:rsidR="00AC37A9">
        <w:rPr>
          <w:szCs w:val="22"/>
        </w:rPr>
        <w:t>September 22</w:t>
      </w:r>
      <w:r w:rsidRPr="00435180">
        <w:rPr>
          <w:szCs w:val="22"/>
        </w:rPr>
        <w:t>, 20</w:t>
      </w:r>
      <w:r w:rsidR="00080736">
        <w:rPr>
          <w:szCs w:val="22"/>
        </w:rPr>
        <w:t>20</w:t>
      </w:r>
      <w:r w:rsidR="0026423C">
        <w:rPr>
          <w:szCs w:val="22"/>
        </w:rPr>
        <w:t>,</w:t>
      </w:r>
      <w:r w:rsidRPr="00435180">
        <w:rPr>
          <w:szCs w:val="22"/>
        </w:rPr>
        <w:t xml:space="preserve"> 6:00 p.m. ET</w:t>
      </w:r>
    </w:p>
    <w:p w:rsidR="00D6515C" w:rsidRPr="00435180" w:rsidP="00D6515C" w14:paraId="0D6F8AE7" w14:textId="536170F1">
      <w:pPr>
        <w:tabs>
          <w:tab w:val="left" w:leader="dot" w:pos="5040"/>
        </w:tabs>
        <w:spacing w:after="120"/>
        <w:ind w:right="-547"/>
        <w:rPr>
          <w:szCs w:val="22"/>
        </w:rPr>
      </w:pPr>
      <w:r w:rsidRPr="00435180">
        <w:rPr>
          <w:szCs w:val="22"/>
        </w:rPr>
        <w:t xml:space="preserve">Upfront Payments (via wire </w:t>
      </w:r>
      <w:r w:rsidRPr="00435180">
        <w:rPr>
          <w:szCs w:val="22"/>
        </w:rPr>
        <w:t>transfer)</w:t>
      </w:r>
      <w:r w:rsidRPr="00435180">
        <w:rPr>
          <w:szCs w:val="22"/>
        </w:rPr>
        <w:tab/>
      </w:r>
      <w:r w:rsidR="008F364E">
        <w:rPr>
          <w:szCs w:val="22"/>
        </w:rPr>
        <w:t>November 2</w:t>
      </w:r>
      <w:r w:rsidRPr="00435180">
        <w:rPr>
          <w:szCs w:val="22"/>
        </w:rPr>
        <w:t xml:space="preserve">, </w:t>
      </w:r>
      <w:r w:rsidR="00A8179A">
        <w:rPr>
          <w:szCs w:val="22"/>
        </w:rPr>
        <w:t>2020</w:t>
      </w:r>
      <w:r w:rsidR="0026423C">
        <w:rPr>
          <w:szCs w:val="22"/>
        </w:rPr>
        <w:t>,</w:t>
      </w:r>
      <w:r w:rsidRPr="00435180">
        <w:rPr>
          <w:szCs w:val="22"/>
        </w:rPr>
        <w:t xml:space="preserve"> 6:00 p.m. ET</w:t>
      </w:r>
    </w:p>
    <w:p w:rsidR="00D6515C" w:rsidRPr="00435180" w:rsidP="00D6515C" w14:paraId="0B307D96" w14:textId="11DAB9AE">
      <w:pPr>
        <w:tabs>
          <w:tab w:val="left" w:leader="dot" w:pos="5040"/>
        </w:tabs>
        <w:spacing w:after="120"/>
        <w:ind w:right="-547"/>
        <w:rPr>
          <w:szCs w:val="22"/>
        </w:rPr>
      </w:pPr>
      <w:r w:rsidRPr="00435180">
        <w:rPr>
          <w:szCs w:val="22"/>
        </w:rPr>
        <w:t xml:space="preserve">Bidding Tutorial Available (via Internet) </w:t>
      </w:r>
      <w:r w:rsidRPr="00435180">
        <w:rPr>
          <w:szCs w:val="22"/>
        </w:rPr>
        <w:tab/>
      </w:r>
      <w:r w:rsidR="0079171C">
        <w:rPr>
          <w:szCs w:val="22"/>
        </w:rPr>
        <w:t xml:space="preserve">No later than </w:t>
      </w:r>
      <w:r w:rsidR="00FB2D48">
        <w:rPr>
          <w:szCs w:val="22"/>
        </w:rPr>
        <w:t xml:space="preserve">November </w:t>
      </w:r>
      <w:r w:rsidR="00451888">
        <w:rPr>
          <w:szCs w:val="22"/>
        </w:rPr>
        <w:t>13</w:t>
      </w:r>
      <w:r w:rsidRPr="00435180">
        <w:rPr>
          <w:szCs w:val="22"/>
        </w:rPr>
        <w:t>, 20</w:t>
      </w:r>
      <w:r w:rsidR="00080736">
        <w:rPr>
          <w:szCs w:val="22"/>
        </w:rPr>
        <w:t>20</w:t>
      </w:r>
    </w:p>
    <w:p w:rsidR="00D6515C" w:rsidRPr="00435180" w:rsidP="00D6515C" w14:paraId="5E4EA9C6" w14:textId="2FD52A26">
      <w:pPr>
        <w:tabs>
          <w:tab w:val="left" w:leader="dot" w:pos="5040"/>
        </w:tabs>
        <w:spacing w:after="120"/>
        <w:ind w:right="-547"/>
        <w:rPr>
          <w:szCs w:val="22"/>
        </w:rPr>
      </w:pPr>
      <w:r w:rsidRPr="00435180">
        <w:rPr>
          <w:szCs w:val="22"/>
        </w:rPr>
        <w:t>Mock Auction</w:t>
      </w:r>
      <w:r w:rsidRPr="00435180">
        <w:rPr>
          <w:szCs w:val="22"/>
        </w:rPr>
        <w:tab/>
      </w:r>
      <w:r w:rsidR="00CB30F5">
        <w:rPr>
          <w:szCs w:val="22"/>
        </w:rPr>
        <w:t>December 3</w:t>
      </w:r>
      <w:r w:rsidRPr="00435180">
        <w:rPr>
          <w:szCs w:val="22"/>
        </w:rPr>
        <w:t>, 20</w:t>
      </w:r>
      <w:r w:rsidR="00080736">
        <w:rPr>
          <w:szCs w:val="22"/>
        </w:rPr>
        <w:t>20</w:t>
      </w:r>
    </w:p>
    <w:p w:rsidR="00D6515C" w:rsidRPr="00435180" w:rsidP="00D6515C" w14:paraId="0AD3F94F" w14:textId="5FB4F103">
      <w:pPr>
        <w:widowControl/>
        <w:tabs>
          <w:tab w:val="left" w:leader="dot" w:pos="5040"/>
        </w:tabs>
        <w:spacing w:after="240"/>
        <w:rPr>
          <w:szCs w:val="22"/>
        </w:rPr>
      </w:pPr>
      <w:r w:rsidRPr="00435180">
        <w:rPr>
          <w:szCs w:val="22"/>
        </w:rPr>
        <w:t>Bidding Begins in Auction 10</w:t>
      </w:r>
      <w:r w:rsidR="00897B29">
        <w:rPr>
          <w:szCs w:val="22"/>
        </w:rPr>
        <w:t>7</w:t>
      </w:r>
      <w:r w:rsidRPr="00435180">
        <w:rPr>
          <w:szCs w:val="22"/>
        </w:rPr>
        <w:tab/>
      </w:r>
      <w:r w:rsidR="002D6008">
        <w:rPr>
          <w:szCs w:val="22"/>
        </w:rPr>
        <w:t>December 8</w:t>
      </w:r>
      <w:r w:rsidRPr="00435180">
        <w:rPr>
          <w:szCs w:val="22"/>
        </w:rPr>
        <w:t>, 20</w:t>
      </w:r>
      <w:r w:rsidR="00080736">
        <w:rPr>
          <w:szCs w:val="22"/>
        </w:rPr>
        <w:t>20</w:t>
      </w:r>
    </w:p>
    <w:p w:rsidR="00D6515C" w:rsidRPr="00435180" w:rsidP="00D6515C" w14:paraId="01100027" w14:textId="77777777">
      <w:pPr>
        <w:pStyle w:val="Heading3"/>
        <w:rPr>
          <w:szCs w:val="22"/>
        </w:rPr>
      </w:pPr>
      <w:bookmarkStart w:id="236" w:name="_Toc6383449"/>
      <w:bookmarkStart w:id="237" w:name="_Toc7525774"/>
      <w:bookmarkStart w:id="238" w:name="_Toc8657129"/>
      <w:bookmarkStart w:id="239" w:name="_Toc9410655"/>
      <w:bookmarkStart w:id="240" w:name="_Toc9430061"/>
      <w:bookmarkStart w:id="241" w:name="_Toc10116824"/>
      <w:bookmarkStart w:id="242" w:name="_Toc10646130"/>
      <w:bookmarkStart w:id="243" w:name="_Toc11156534"/>
      <w:bookmarkStart w:id="244" w:name="_Toc11244278"/>
      <w:bookmarkStart w:id="245" w:name="_Toc11653534"/>
      <w:bookmarkStart w:id="246" w:name="_Toc11678114"/>
      <w:bookmarkStart w:id="247" w:name="_Toc13654701"/>
      <w:bookmarkStart w:id="248" w:name="_Toc24459420"/>
      <w:bookmarkStart w:id="249" w:name="_Toc24459517"/>
      <w:bookmarkStart w:id="250" w:name="_Toc25926214"/>
      <w:bookmarkStart w:id="251" w:name="_Toc25926792"/>
      <w:bookmarkStart w:id="252" w:name="_Toc25926913"/>
      <w:bookmarkStart w:id="253" w:name="_Toc27038973"/>
      <w:bookmarkStart w:id="254" w:name="_Toc29813117"/>
      <w:bookmarkStart w:id="255" w:name="_Toc29886842"/>
      <w:bookmarkStart w:id="256" w:name="_Toc29999446"/>
      <w:bookmarkStart w:id="257" w:name="_Toc30699372"/>
      <w:bookmarkStart w:id="258" w:name="_Toc30701452"/>
      <w:bookmarkStart w:id="259" w:name="_Toc31189273"/>
      <w:bookmarkStart w:id="260" w:name="_Toc31189727"/>
      <w:bookmarkStart w:id="261" w:name="_Toc31193094"/>
      <w:bookmarkStart w:id="262" w:name="_Toc31195845"/>
      <w:bookmarkStart w:id="263" w:name="_Toc31199969"/>
      <w:bookmarkStart w:id="264" w:name="_Toc31713736"/>
      <w:bookmarkStart w:id="265" w:name="_Toc31822645"/>
      <w:bookmarkStart w:id="266" w:name="_Toc33629802"/>
      <w:bookmarkStart w:id="267" w:name="_Toc33696654"/>
      <w:r w:rsidRPr="00435180">
        <w:rPr>
          <w:szCs w:val="22"/>
        </w:rPr>
        <w:t>Requirements for Participation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D6515C" w:rsidRPr="00435180" w:rsidP="00D850FB" w14:paraId="5DE29156" w14:textId="0C6E8BB7">
      <w:pPr>
        <w:pStyle w:val="ParaNum"/>
        <w:widowControl/>
        <w:autoSpaceDE w:val="0"/>
        <w:autoSpaceDN w:val="0"/>
        <w:adjustRightInd w:val="0"/>
        <w:rPr>
          <w:szCs w:val="22"/>
        </w:rPr>
      </w:pPr>
      <w:r w:rsidRPr="00435180">
        <w:rPr>
          <w:szCs w:val="22"/>
        </w:rPr>
        <w:t xml:space="preserve">Those wishing to </w:t>
      </w:r>
      <w:r w:rsidRPr="00435180">
        <w:rPr>
          <w:szCs w:val="22"/>
        </w:rPr>
        <w:t>participate in Auction 10</w:t>
      </w:r>
      <w:r w:rsidR="0044353B">
        <w:rPr>
          <w:szCs w:val="22"/>
        </w:rPr>
        <w:t>7</w:t>
      </w:r>
      <w:r w:rsidRPr="00435180">
        <w:rPr>
          <w:szCs w:val="22"/>
        </w:rPr>
        <w:t xml:space="preserve"> must:  </w:t>
      </w:r>
    </w:p>
    <w:p w:rsidR="00D6515C" w:rsidRPr="00435180" w:rsidP="002314BA" w14:paraId="57EE80C9" w14:textId="52A7FFC3">
      <w:pPr>
        <w:widowControl/>
        <w:numPr>
          <w:ilvl w:val="0"/>
          <w:numId w:val="5"/>
        </w:numPr>
        <w:spacing w:after="160" w:line="259" w:lineRule="auto"/>
        <w:ind w:left="720" w:hanging="360"/>
        <w:rPr>
          <w:szCs w:val="22"/>
        </w:rPr>
      </w:pPr>
      <w:r w:rsidRPr="00435180">
        <w:rPr>
          <w:szCs w:val="22"/>
        </w:rPr>
        <w:t>Submit a short-form application (FCC Form 175) electronically prior to 6:00 p.m. ET on</w:t>
      </w:r>
      <w:r w:rsidR="004619AC">
        <w:rPr>
          <w:szCs w:val="22"/>
        </w:rPr>
        <w:t xml:space="preserve"> </w:t>
      </w:r>
      <w:r w:rsidR="0070280A">
        <w:rPr>
          <w:szCs w:val="22"/>
        </w:rPr>
        <w:t>September 22</w:t>
      </w:r>
      <w:r w:rsidRPr="00435180">
        <w:rPr>
          <w:szCs w:val="22"/>
        </w:rPr>
        <w:t>, 20</w:t>
      </w:r>
      <w:r w:rsidR="002245AE">
        <w:rPr>
          <w:szCs w:val="22"/>
        </w:rPr>
        <w:t>20</w:t>
      </w:r>
      <w:r w:rsidRPr="00435180">
        <w:rPr>
          <w:szCs w:val="22"/>
        </w:rPr>
        <w:t>, following the electronic filing procedures set forth in the FCC Form 175 Instructions.</w:t>
      </w:r>
      <w:r>
        <w:rPr>
          <w:rStyle w:val="FootnoteReference"/>
          <w:szCs w:val="22"/>
        </w:rPr>
        <w:footnoteReference w:id="20"/>
      </w:r>
      <w:r w:rsidRPr="00435180">
        <w:rPr>
          <w:szCs w:val="22"/>
        </w:rPr>
        <w:t xml:space="preserve">  </w:t>
      </w:r>
    </w:p>
    <w:p w:rsidR="00D6515C" w:rsidRPr="00435180" w:rsidP="002314BA" w14:paraId="73CF7D94" w14:textId="6521D8DF">
      <w:pPr>
        <w:widowControl/>
        <w:numPr>
          <w:ilvl w:val="0"/>
          <w:numId w:val="4"/>
        </w:numPr>
        <w:spacing w:after="160" w:line="259" w:lineRule="auto"/>
        <w:ind w:left="720" w:hanging="360"/>
        <w:rPr>
          <w:szCs w:val="22"/>
        </w:rPr>
      </w:pPr>
      <w:r w:rsidRPr="00435180">
        <w:rPr>
          <w:szCs w:val="22"/>
        </w:rPr>
        <w:t>Submit a sufficient upf</w:t>
      </w:r>
      <w:r w:rsidRPr="00435180">
        <w:rPr>
          <w:szCs w:val="22"/>
        </w:rPr>
        <w:t xml:space="preserve">ront payment and an FCC Remittance Advice Form (FCC Form 159) by 6:00 p.m. ET on </w:t>
      </w:r>
      <w:r w:rsidR="00576410">
        <w:rPr>
          <w:szCs w:val="22"/>
        </w:rPr>
        <w:t>November 2</w:t>
      </w:r>
      <w:r w:rsidRPr="00435180">
        <w:rPr>
          <w:szCs w:val="22"/>
        </w:rPr>
        <w:t>, 20</w:t>
      </w:r>
      <w:r w:rsidR="002245AE">
        <w:rPr>
          <w:szCs w:val="22"/>
        </w:rPr>
        <w:t>20</w:t>
      </w:r>
      <w:r w:rsidRPr="00435180">
        <w:rPr>
          <w:szCs w:val="22"/>
        </w:rPr>
        <w:t xml:space="preserve">, following the procedures and instructions set forth in the FCC Form 159 Instructions.  </w:t>
      </w:r>
    </w:p>
    <w:p w:rsidR="00D6515C" w:rsidRPr="00435180" w:rsidP="002314BA" w14:paraId="7A117971" w14:textId="77777777">
      <w:pPr>
        <w:widowControl/>
        <w:numPr>
          <w:ilvl w:val="0"/>
          <w:numId w:val="4"/>
        </w:numPr>
        <w:spacing w:after="160" w:line="259" w:lineRule="auto"/>
        <w:ind w:left="720" w:hanging="360"/>
        <w:rPr>
          <w:szCs w:val="22"/>
        </w:rPr>
      </w:pPr>
      <w:r w:rsidRPr="00435180">
        <w:rPr>
          <w:szCs w:val="22"/>
        </w:rPr>
        <w:t>Comply with all provisions outlined in this Public Notice and applica</w:t>
      </w:r>
      <w:r w:rsidRPr="00435180">
        <w:rPr>
          <w:szCs w:val="22"/>
        </w:rPr>
        <w:t>ble Commission rules.</w:t>
      </w:r>
    </w:p>
    <w:p w:rsidR="00D6515C" w:rsidRPr="00435180" w:rsidP="00D6515C" w14:paraId="0B6CECCC" w14:textId="6D6A738C">
      <w:pPr>
        <w:pStyle w:val="Heading1"/>
        <w:rPr>
          <w:rFonts w:ascii="Times New Roman" w:hAnsi="Times New Roman"/>
          <w:szCs w:val="22"/>
        </w:rPr>
      </w:pPr>
      <w:bookmarkStart w:id="268" w:name="_Toc6383450"/>
      <w:bookmarkStart w:id="269" w:name="_Toc7525775"/>
      <w:bookmarkStart w:id="270" w:name="_Toc8657130"/>
      <w:bookmarkStart w:id="271" w:name="_Toc9410656"/>
      <w:bookmarkStart w:id="272" w:name="_Toc9430062"/>
      <w:bookmarkStart w:id="273" w:name="_Toc10116825"/>
      <w:bookmarkStart w:id="274" w:name="_Toc10646131"/>
      <w:bookmarkStart w:id="275" w:name="_Toc11156535"/>
      <w:bookmarkStart w:id="276" w:name="_Toc11244279"/>
      <w:bookmarkStart w:id="277" w:name="_Toc11653535"/>
      <w:bookmarkStart w:id="278" w:name="_Toc11678115"/>
      <w:bookmarkStart w:id="279" w:name="_Toc13654702"/>
      <w:bookmarkStart w:id="280" w:name="_Toc24459421"/>
      <w:bookmarkStart w:id="281" w:name="_Toc24459518"/>
      <w:bookmarkStart w:id="282" w:name="_Toc25926215"/>
      <w:bookmarkStart w:id="283" w:name="_Toc25926793"/>
      <w:bookmarkStart w:id="284" w:name="_Toc25926914"/>
      <w:bookmarkStart w:id="285" w:name="_Toc27038974"/>
      <w:bookmarkStart w:id="286" w:name="_Toc29813118"/>
      <w:bookmarkStart w:id="287" w:name="_Toc29886843"/>
      <w:bookmarkStart w:id="288" w:name="_Toc29999447"/>
      <w:bookmarkStart w:id="289" w:name="_Toc30699373"/>
      <w:bookmarkStart w:id="290" w:name="_Toc30701453"/>
      <w:bookmarkStart w:id="291" w:name="_Toc31189274"/>
      <w:bookmarkStart w:id="292" w:name="_Toc31189728"/>
      <w:bookmarkStart w:id="293" w:name="_Toc31193095"/>
      <w:bookmarkStart w:id="294" w:name="_Toc31195846"/>
      <w:bookmarkStart w:id="295" w:name="_Toc31199970"/>
      <w:bookmarkStart w:id="296" w:name="_Toc31713737"/>
      <w:bookmarkStart w:id="297" w:name="_Toc31822646"/>
      <w:bookmarkStart w:id="298" w:name="_Toc33629803"/>
      <w:bookmarkStart w:id="299" w:name="_Toc33696655"/>
      <w:r w:rsidRPr="00435180">
        <w:rPr>
          <w:rFonts w:ascii="Times New Roman" w:hAnsi="Times New Roman"/>
          <w:szCs w:val="22"/>
        </w:rPr>
        <w:t>Applying to Participate in Auction 10</w:t>
      </w:r>
      <w:r w:rsidR="00576410">
        <w:rPr>
          <w:rFonts w:ascii="Times New Roman" w:hAnsi="Times New Roman"/>
          <w:szCs w:val="22"/>
        </w:rPr>
        <w:t>7</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D6515C" w:rsidRPr="00435180" w:rsidP="000C230C" w14:paraId="6CC5149D" w14:textId="77777777">
      <w:pPr>
        <w:pStyle w:val="Heading2"/>
      </w:pPr>
      <w:bookmarkStart w:id="300" w:name="_Toc6383451"/>
      <w:bookmarkStart w:id="301" w:name="_Toc7525776"/>
      <w:bookmarkStart w:id="302" w:name="_Toc8657131"/>
      <w:bookmarkStart w:id="303" w:name="_Toc9410657"/>
      <w:bookmarkStart w:id="304" w:name="_Toc9430063"/>
      <w:bookmarkStart w:id="305" w:name="_Toc10116826"/>
      <w:bookmarkStart w:id="306" w:name="_Toc10646132"/>
      <w:bookmarkStart w:id="307" w:name="_Toc11156536"/>
      <w:bookmarkStart w:id="308" w:name="_Toc11244280"/>
      <w:bookmarkStart w:id="309" w:name="_Toc11653536"/>
      <w:bookmarkStart w:id="310" w:name="_Toc11678116"/>
      <w:bookmarkStart w:id="311" w:name="_Toc13654703"/>
      <w:bookmarkStart w:id="312" w:name="_Toc24459422"/>
      <w:bookmarkStart w:id="313" w:name="_Toc24459519"/>
      <w:bookmarkStart w:id="314" w:name="_Toc25926216"/>
      <w:bookmarkStart w:id="315" w:name="_Toc25926794"/>
      <w:bookmarkStart w:id="316" w:name="_Toc25926915"/>
      <w:bookmarkStart w:id="317" w:name="_Toc27038975"/>
      <w:bookmarkStart w:id="318" w:name="_Toc29813119"/>
      <w:bookmarkStart w:id="319" w:name="_Toc29886844"/>
      <w:bookmarkStart w:id="320" w:name="_Toc29999448"/>
      <w:bookmarkStart w:id="321" w:name="_Toc30699374"/>
      <w:bookmarkStart w:id="322" w:name="_Toc30701454"/>
      <w:bookmarkStart w:id="323" w:name="_Toc31189275"/>
      <w:bookmarkStart w:id="324" w:name="_Toc31189729"/>
      <w:bookmarkStart w:id="325" w:name="_Toc31193096"/>
      <w:bookmarkStart w:id="326" w:name="_Toc31195847"/>
      <w:bookmarkStart w:id="327" w:name="_Toc31199971"/>
      <w:bookmarkStart w:id="328" w:name="_Toc31713738"/>
      <w:bookmarkStart w:id="329" w:name="_Toc31822647"/>
      <w:bookmarkStart w:id="330" w:name="_Toc33629804"/>
      <w:bookmarkStart w:id="331" w:name="_Toc33696656"/>
      <w:r w:rsidRPr="00435180">
        <w:t>General Information Regarding Short-Form Applications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D6515C" w:rsidRPr="00435180" w:rsidP="00D850FB" w14:paraId="5FB4C850" w14:textId="471BA7DA">
      <w:pPr>
        <w:pStyle w:val="ParaNum"/>
        <w:widowControl/>
        <w:autoSpaceDE w:val="0"/>
        <w:autoSpaceDN w:val="0"/>
        <w:adjustRightInd w:val="0"/>
        <w:rPr>
          <w:szCs w:val="22"/>
        </w:rPr>
      </w:pPr>
      <w:r w:rsidRPr="00435180">
        <w:rPr>
          <w:szCs w:val="22"/>
        </w:rPr>
        <w:t>An application to participate in Auction 10</w:t>
      </w:r>
      <w:r w:rsidR="00576410">
        <w:rPr>
          <w:szCs w:val="22"/>
        </w:rPr>
        <w:t>7</w:t>
      </w:r>
      <w:r w:rsidRPr="00435180">
        <w:rPr>
          <w:szCs w:val="22"/>
        </w:rPr>
        <w:t xml:space="preserve">, referred to as a short-form application or FCC Form 175, provides information that the </w:t>
      </w:r>
      <w:r w:rsidRPr="00435180">
        <w:rPr>
          <w:szCs w:val="22"/>
        </w:rPr>
        <w:t>Commission uses to determine whether the applicant has the legal, technical, and financial qualifications to participate in a Commission auction for spectrum licenses.</w:t>
      </w:r>
      <w:r>
        <w:rPr>
          <w:rStyle w:val="FootnoteReference"/>
          <w:szCs w:val="22"/>
        </w:rPr>
        <w:footnoteReference w:id="21"/>
      </w:r>
      <w:r w:rsidRPr="00435180">
        <w:rPr>
          <w:szCs w:val="22"/>
        </w:rPr>
        <w:t xml:space="preserve">  The short-form application is the first part of the Commission’s two-phased auction a</w:t>
      </w:r>
      <w:r w:rsidRPr="00435180">
        <w:rPr>
          <w:szCs w:val="22"/>
        </w:rPr>
        <w:t>pplication process.  In the first phase, a party seeking to participate in Auction 10</w:t>
      </w:r>
      <w:r w:rsidR="00BC38F5">
        <w:rPr>
          <w:szCs w:val="22"/>
        </w:rPr>
        <w:t>7</w:t>
      </w:r>
      <w:r w:rsidRPr="00435180">
        <w:rPr>
          <w:szCs w:val="22"/>
        </w:rPr>
        <w:t xml:space="preserve"> must file a short-form application in which it certifies, under penalty of perjury, </w:t>
      </w:r>
      <w:r w:rsidR="00873181">
        <w:rPr>
          <w:szCs w:val="22"/>
        </w:rPr>
        <w:t>that it is qualified to participate</w:t>
      </w:r>
      <w:r w:rsidRPr="00435180">
        <w:rPr>
          <w:szCs w:val="22"/>
        </w:rPr>
        <w:t>.</w:t>
      </w:r>
      <w:r>
        <w:rPr>
          <w:rStyle w:val="FootnoteReference"/>
          <w:szCs w:val="22"/>
        </w:rPr>
        <w:footnoteReference w:id="22"/>
      </w:r>
      <w:r w:rsidRPr="00435180">
        <w:rPr>
          <w:szCs w:val="22"/>
        </w:rPr>
        <w:t xml:space="preserve">  Eligibility to participate in Auction 10</w:t>
      </w:r>
      <w:r w:rsidR="002645B5">
        <w:rPr>
          <w:szCs w:val="22"/>
        </w:rPr>
        <w:t>7</w:t>
      </w:r>
      <w:r w:rsidRPr="00435180">
        <w:rPr>
          <w:szCs w:val="22"/>
        </w:rPr>
        <w:t xml:space="preserve"> is </w:t>
      </w:r>
      <w:r w:rsidRPr="00435180">
        <w:rPr>
          <w:szCs w:val="22"/>
        </w:rPr>
        <w:t>based on an applicant’s short-form application and certifications and on the applicant’s submission of a sufficient upfront payment for the auction.</w:t>
      </w:r>
      <w:r>
        <w:rPr>
          <w:rStyle w:val="FootnoteReference"/>
          <w:szCs w:val="22"/>
        </w:rPr>
        <w:footnoteReference w:id="23"/>
      </w:r>
      <w:r w:rsidRPr="00435180">
        <w:rPr>
          <w:szCs w:val="22"/>
        </w:rPr>
        <w:t xml:space="preserve">  </w:t>
      </w:r>
      <w:r w:rsidR="00097835">
        <w:rPr>
          <w:szCs w:val="22"/>
        </w:rPr>
        <w:t>After bidding closes, i</w:t>
      </w:r>
      <w:r w:rsidRPr="00435180">
        <w:rPr>
          <w:szCs w:val="22"/>
        </w:rPr>
        <w:t>n the second phase of the process, each winning bidder must file a more comprehen</w:t>
      </w:r>
      <w:r w:rsidRPr="00435180">
        <w:rPr>
          <w:szCs w:val="22"/>
        </w:rPr>
        <w:t>sive post-auction, long-form application (FCC Form 601) for the licenses it wins in the auction, and it must have a complete and accurate ownership disclosure information report (FCC Form 602) on file with the Commission.</w:t>
      </w:r>
      <w:r>
        <w:rPr>
          <w:rStyle w:val="FootnoteReference"/>
          <w:szCs w:val="22"/>
        </w:rPr>
        <w:footnoteReference w:id="24"/>
      </w:r>
    </w:p>
    <w:p w:rsidR="00D6515C" w:rsidRPr="00435180" w:rsidP="00D850FB" w14:paraId="357599E0" w14:textId="14289D03">
      <w:pPr>
        <w:pStyle w:val="ParaNum"/>
        <w:widowControl/>
        <w:autoSpaceDE w:val="0"/>
        <w:autoSpaceDN w:val="0"/>
        <w:adjustRightInd w:val="0"/>
        <w:rPr>
          <w:szCs w:val="22"/>
        </w:rPr>
      </w:pPr>
      <w:r w:rsidRPr="00435180">
        <w:rPr>
          <w:szCs w:val="22"/>
        </w:rPr>
        <w:t>A party seeking to participate i</w:t>
      </w:r>
      <w:r w:rsidRPr="00435180">
        <w:rPr>
          <w:szCs w:val="22"/>
        </w:rPr>
        <w:t>n Auction 10</w:t>
      </w:r>
      <w:r w:rsidR="00553A30">
        <w:rPr>
          <w:szCs w:val="22"/>
        </w:rPr>
        <w:t>7</w:t>
      </w:r>
      <w:r w:rsidRPr="00435180">
        <w:rPr>
          <w:szCs w:val="22"/>
        </w:rPr>
        <w:t xml:space="preserve"> must file an FCC Form 175 electronically via the Auction Application System prior to 6:00 p.m. ET on </w:t>
      </w:r>
      <w:r w:rsidR="00240444">
        <w:rPr>
          <w:szCs w:val="22"/>
        </w:rPr>
        <w:t>September 22</w:t>
      </w:r>
      <w:r w:rsidRPr="00435180">
        <w:rPr>
          <w:szCs w:val="22"/>
        </w:rPr>
        <w:t>, 20</w:t>
      </w:r>
      <w:r w:rsidR="002245AE">
        <w:rPr>
          <w:szCs w:val="22"/>
        </w:rPr>
        <w:t>20</w:t>
      </w:r>
      <w:r w:rsidRPr="00435180">
        <w:rPr>
          <w:szCs w:val="22"/>
        </w:rPr>
        <w:t xml:space="preserve">, following the </w:t>
      </w:r>
      <w:r w:rsidRPr="00435180">
        <w:rPr>
          <w:szCs w:val="22"/>
        </w:rPr>
        <w:t>procedures prescribed in the FCC Form 175 Instructions.  If an applicant claims eligibility for a bidding c</w:t>
      </w:r>
      <w:r w:rsidRPr="00435180">
        <w:rPr>
          <w:szCs w:val="22"/>
        </w:rPr>
        <w:t xml:space="preserve">redit, </w:t>
      </w:r>
      <w:r w:rsidRPr="00435180" w:rsidR="00555163">
        <w:rPr>
          <w:szCs w:val="22"/>
        </w:rPr>
        <w:t>the</w:t>
      </w:r>
      <w:r w:rsidR="00555163">
        <w:rPr>
          <w:szCs w:val="22"/>
        </w:rPr>
        <w:t>n the</w:t>
      </w:r>
      <w:r w:rsidRPr="00435180" w:rsidR="00555163">
        <w:rPr>
          <w:szCs w:val="22"/>
        </w:rPr>
        <w:t xml:space="preserve"> </w:t>
      </w:r>
      <w:r w:rsidRPr="00435180">
        <w:rPr>
          <w:szCs w:val="22"/>
        </w:rPr>
        <w:t xml:space="preserve">information provided in its FCC Form 175 as of the filing date will be used to determine whether the applicant may request the claimed bidding credit.  Below we describe more fully the information disclosures and certifications required in </w:t>
      </w:r>
      <w:r w:rsidRPr="00435180">
        <w:rPr>
          <w:szCs w:val="22"/>
        </w:rPr>
        <w:t>the short-form application.  An applicant that files an FCC Form 175 for Auction 10</w:t>
      </w:r>
      <w:r w:rsidR="00553A30">
        <w:rPr>
          <w:szCs w:val="22"/>
        </w:rPr>
        <w:t>7</w:t>
      </w:r>
      <w:r w:rsidRPr="00435180">
        <w:rPr>
          <w:szCs w:val="22"/>
        </w:rPr>
        <w:t xml:space="preserve"> will be subject to the Commission’s rule prohibiting certain communications.</w:t>
      </w:r>
      <w:r>
        <w:rPr>
          <w:rStyle w:val="FootnoteReference"/>
          <w:szCs w:val="22"/>
        </w:rPr>
        <w:footnoteReference w:id="25"/>
      </w:r>
      <w:r w:rsidRPr="00435180">
        <w:rPr>
          <w:szCs w:val="22"/>
        </w:rPr>
        <w:t xml:space="preserve">  An applicant is subject to the prohibition beginning at the deadline for filing short-form </w:t>
      </w:r>
      <w:r w:rsidRPr="00435180">
        <w:rPr>
          <w:szCs w:val="22"/>
        </w:rPr>
        <w:t xml:space="preserve">applications—6:00 p.m. ET on </w:t>
      </w:r>
      <w:r w:rsidR="00E85C60">
        <w:rPr>
          <w:szCs w:val="22"/>
        </w:rPr>
        <w:t>September 22</w:t>
      </w:r>
      <w:r w:rsidRPr="00435180">
        <w:rPr>
          <w:szCs w:val="22"/>
        </w:rPr>
        <w:t>, 20</w:t>
      </w:r>
      <w:r w:rsidR="002245AE">
        <w:rPr>
          <w:szCs w:val="22"/>
        </w:rPr>
        <w:t>20</w:t>
      </w:r>
      <w:r w:rsidRPr="00435180">
        <w:rPr>
          <w:szCs w:val="22"/>
        </w:rPr>
        <w:t>.</w:t>
      </w:r>
      <w:r>
        <w:rPr>
          <w:rStyle w:val="FootnoteReference"/>
          <w:szCs w:val="22"/>
        </w:rPr>
        <w:footnoteReference w:id="26"/>
      </w:r>
    </w:p>
    <w:p w:rsidR="00D6515C" w:rsidRPr="00435180" w:rsidP="00D850FB" w14:paraId="7B9D0707" w14:textId="596A3088">
      <w:pPr>
        <w:pStyle w:val="ParaNum"/>
        <w:widowControl/>
        <w:autoSpaceDE w:val="0"/>
        <w:autoSpaceDN w:val="0"/>
        <w:adjustRightInd w:val="0"/>
        <w:rPr>
          <w:szCs w:val="22"/>
        </w:rPr>
      </w:pPr>
      <w:r w:rsidRPr="00435180">
        <w:rPr>
          <w:szCs w:val="22"/>
        </w:rPr>
        <w:t xml:space="preserve">An applicant bears full responsibility for submitting an accurate, complete, and timely short-form application.  Each applicant must make a series of certifications under penalty of perjury on its FCC </w:t>
      </w:r>
      <w:r w:rsidRPr="00435180">
        <w:rPr>
          <w:szCs w:val="22"/>
        </w:rPr>
        <w:t>Form 175 related to the information provided in its application and its participation in the auction, and it must confirm that it is legally, technically, financially, and otherwise qualified to hold a license.</w:t>
      </w:r>
      <w:r>
        <w:rPr>
          <w:rStyle w:val="FootnoteReference"/>
          <w:szCs w:val="22"/>
        </w:rPr>
        <w:footnoteReference w:id="27"/>
      </w:r>
      <w:r w:rsidRPr="00435180">
        <w:rPr>
          <w:szCs w:val="22"/>
        </w:rPr>
        <w:t xml:space="preserve">  If an Auction 10</w:t>
      </w:r>
      <w:r w:rsidR="007D0AF9">
        <w:rPr>
          <w:szCs w:val="22"/>
        </w:rPr>
        <w:t>7</w:t>
      </w:r>
      <w:r w:rsidRPr="00435180">
        <w:rPr>
          <w:szCs w:val="22"/>
        </w:rPr>
        <w:t xml:space="preserve"> applicant fails to make </w:t>
      </w:r>
      <w:r w:rsidRPr="00435180">
        <w:rPr>
          <w:szCs w:val="22"/>
        </w:rPr>
        <w:t xml:space="preserve">the required certifications in its FCC Form 175 by the filing deadline, </w:t>
      </w:r>
      <w:r w:rsidR="00B17141">
        <w:rPr>
          <w:szCs w:val="22"/>
        </w:rPr>
        <w:t xml:space="preserve">then </w:t>
      </w:r>
      <w:r w:rsidRPr="00435180">
        <w:rPr>
          <w:szCs w:val="22"/>
        </w:rPr>
        <w:t>its application will be deemed unacceptable for filing and cannot be corrected after the filing deadline.</w:t>
      </w:r>
      <w:r>
        <w:rPr>
          <w:rStyle w:val="FootnoteReference"/>
          <w:szCs w:val="22"/>
        </w:rPr>
        <w:footnoteReference w:id="28"/>
      </w:r>
      <w:r w:rsidRPr="00435180">
        <w:rPr>
          <w:szCs w:val="22"/>
        </w:rPr>
        <w:t xml:space="preserve">  </w:t>
      </w:r>
    </w:p>
    <w:p w:rsidR="00D6515C" w:rsidRPr="00435180" w:rsidP="00D850FB" w14:paraId="5223A3E2" w14:textId="59D4AF24">
      <w:pPr>
        <w:pStyle w:val="ParaNum"/>
        <w:widowControl/>
        <w:autoSpaceDE w:val="0"/>
        <w:autoSpaceDN w:val="0"/>
        <w:adjustRightInd w:val="0"/>
        <w:rPr>
          <w:szCs w:val="22"/>
        </w:rPr>
      </w:pPr>
      <w:r w:rsidRPr="00435180">
        <w:rPr>
          <w:szCs w:val="22"/>
        </w:rPr>
        <w:t>An applicant should note that submitting an FCC Form 175 (and any ame</w:t>
      </w:r>
      <w:r w:rsidRPr="00435180">
        <w:rPr>
          <w:szCs w:val="22"/>
        </w:rPr>
        <w:t xml:space="preserve">ndments thereto) constitutes a representation by the certifying official that he or she is an authorized representative of the applicant with authority to bind the applicant, that he or she has read the form’s instructions and certifications, and that the </w:t>
      </w:r>
      <w:r w:rsidRPr="00435180">
        <w:rPr>
          <w:szCs w:val="22"/>
        </w:rPr>
        <w:t>contents of the application, its certifications, and any attachments are true and correct.</w:t>
      </w:r>
      <w:r>
        <w:rPr>
          <w:rStyle w:val="FootnoteReference"/>
          <w:szCs w:val="22"/>
        </w:rPr>
        <w:footnoteReference w:id="29"/>
      </w:r>
      <w:r w:rsidRPr="00435180">
        <w:rPr>
          <w:szCs w:val="22"/>
        </w:rPr>
        <w:t xml:space="preserve">  Submitting a false certification to the Commission may result in penalties, including monetary forfeitures, license forfeitures, ineligibility to participate in f</w:t>
      </w:r>
      <w:r w:rsidRPr="00435180">
        <w:rPr>
          <w:szCs w:val="22"/>
        </w:rPr>
        <w:t>uture auctions, and/or criminal prosecution.</w:t>
      </w:r>
    </w:p>
    <w:p w:rsidR="00D6515C" w:rsidRPr="00435180" w:rsidP="00D850FB" w14:paraId="3C52F72F" w14:textId="458B06A7">
      <w:pPr>
        <w:pStyle w:val="ParaNum"/>
        <w:widowControl/>
        <w:autoSpaceDE w:val="0"/>
        <w:autoSpaceDN w:val="0"/>
        <w:adjustRightInd w:val="0"/>
        <w:rPr>
          <w:szCs w:val="22"/>
        </w:rPr>
      </w:pPr>
      <w:r w:rsidRPr="00435180">
        <w:rPr>
          <w:szCs w:val="22"/>
        </w:rPr>
        <w:t>Applicants are cautioned that</w:t>
      </w:r>
      <w:r w:rsidR="0063437C">
        <w:rPr>
          <w:szCs w:val="22"/>
        </w:rPr>
        <w:t>,</w:t>
      </w:r>
      <w:r w:rsidRPr="00435180">
        <w:rPr>
          <w:szCs w:val="22"/>
        </w:rPr>
        <w:t xml:space="preserve"> because the required information submitted in FCC Form 175 bears on each applicant’s qualifications, requests for confidential treatment will not be routinely granted.  The Commission </w:t>
      </w:r>
      <w:r w:rsidR="002B750A">
        <w:rPr>
          <w:szCs w:val="22"/>
        </w:rPr>
        <w:t xml:space="preserve">generally </w:t>
      </w:r>
      <w:r w:rsidRPr="00435180">
        <w:rPr>
          <w:szCs w:val="22"/>
        </w:rPr>
        <w:t>has held that it may publicly release confidential business i</w:t>
      </w:r>
      <w:r w:rsidRPr="00435180">
        <w:rPr>
          <w:szCs w:val="22"/>
        </w:rPr>
        <w:t>nformation where the party has put that information at issue in a Commission proceeding or where the Commission has identified a compelling public interest in disclosing the information.</w:t>
      </w:r>
      <w:r>
        <w:rPr>
          <w:rStyle w:val="FootnoteReference"/>
          <w:szCs w:val="22"/>
        </w:rPr>
        <w:footnoteReference w:id="30"/>
      </w:r>
      <w:r w:rsidRPr="00435180">
        <w:rPr>
          <w:szCs w:val="22"/>
        </w:rPr>
        <w:t xml:space="preserve">  In this regard, the Commission specifically </w:t>
      </w:r>
      <w:r w:rsidRPr="00435180" w:rsidR="00610A0B">
        <w:rPr>
          <w:szCs w:val="22"/>
        </w:rPr>
        <w:t xml:space="preserve">has </w:t>
      </w:r>
      <w:r w:rsidRPr="00435180">
        <w:rPr>
          <w:szCs w:val="22"/>
        </w:rPr>
        <w:t>held that informat</w:t>
      </w:r>
      <w:r w:rsidRPr="00435180">
        <w:rPr>
          <w:szCs w:val="22"/>
        </w:rPr>
        <w:t>ion submitted in support of receiving bidding credits in auction proceedings should be made available to the public.</w:t>
      </w:r>
      <w:r>
        <w:rPr>
          <w:rStyle w:val="FootnoteReference"/>
          <w:szCs w:val="22"/>
        </w:rPr>
        <w:footnoteReference w:id="31"/>
      </w:r>
      <w:r w:rsidRPr="00435180">
        <w:rPr>
          <w:szCs w:val="22"/>
        </w:rPr>
        <w:t xml:space="preserve">  </w:t>
      </w:r>
    </w:p>
    <w:p w:rsidR="000D40F5" w:rsidP="00D850FB" w14:paraId="11C0AF4F" w14:textId="018B1661">
      <w:pPr>
        <w:pStyle w:val="ParaNum"/>
        <w:widowControl/>
        <w:autoSpaceDE w:val="0"/>
        <w:autoSpaceDN w:val="0"/>
        <w:adjustRightInd w:val="0"/>
        <w:rPr>
          <w:szCs w:val="22"/>
        </w:rPr>
      </w:pPr>
      <w:r w:rsidRPr="005712E5">
        <w:rPr>
          <w:szCs w:val="22"/>
        </w:rPr>
        <w:t>An applicant must designate at least one individual as an authorized bidder, and no more than three, in its FCC Form 175.  The Commissi</w:t>
      </w:r>
      <w:r w:rsidRPr="005712E5">
        <w:rPr>
          <w:szCs w:val="22"/>
        </w:rPr>
        <w:t>on’s rules prohibit an individual from serving as an authorized bidder for more than one auction applicant.</w:t>
      </w:r>
      <w:r>
        <w:rPr>
          <w:rStyle w:val="FootnoteReference"/>
          <w:szCs w:val="22"/>
        </w:rPr>
        <w:footnoteReference w:id="32"/>
      </w:r>
      <w:r w:rsidRPr="005712E5">
        <w:rPr>
          <w:szCs w:val="22"/>
        </w:rPr>
        <w:t xml:space="preserve">  </w:t>
      </w:r>
    </w:p>
    <w:p w:rsidR="00D6515C" w:rsidRPr="00435180" w:rsidP="00D850FB" w14:paraId="55E196FF" w14:textId="4D985977">
      <w:pPr>
        <w:pStyle w:val="ParaNum"/>
        <w:widowControl/>
        <w:autoSpaceDE w:val="0"/>
        <w:autoSpaceDN w:val="0"/>
        <w:adjustRightInd w:val="0"/>
        <w:rPr>
          <w:szCs w:val="22"/>
        </w:rPr>
      </w:pPr>
      <w:r>
        <w:rPr>
          <w:szCs w:val="22"/>
        </w:rPr>
        <w:t>No</w:t>
      </w:r>
      <w:r w:rsidR="0020630A">
        <w:rPr>
          <w:szCs w:val="22"/>
        </w:rPr>
        <w:t xml:space="preserve"> </w:t>
      </w:r>
      <w:r w:rsidR="0081686C">
        <w:rPr>
          <w:szCs w:val="22"/>
        </w:rPr>
        <w:t xml:space="preserve">individual or entity may file more than one short-form application or have a </w:t>
      </w:r>
      <w:r w:rsidR="00170A30">
        <w:rPr>
          <w:szCs w:val="22"/>
        </w:rPr>
        <w:t>controlling interest in more than one short-form application</w:t>
      </w:r>
      <w:r w:rsidRPr="00435180" w:rsidR="00777B66">
        <w:rPr>
          <w:szCs w:val="22"/>
        </w:rPr>
        <w:t>.</w:t>
      </w:r>
      <w:r>
        <w:rPr>
          <w:rStyle w:val="FootnoteReference"/>
          <w:szCs w:val="22"/>
        </w:rPr>
        <w:footnoteReference w:id="33"/>
      </w:r>
      <w:r w:rsidRPr="00435180" w:rsidR="00777B66">
        <w:rPr>
          <w:szCs w:val="22"/>
        </w:rPr>
        <w:t xml:space="preserve">  If a party submits multiple short-form applications for an auction, </w:t>
      </w:r>
      <w:r w:rsidR="00B17141">
        <w:rPr>
          <w:szCs w:val="22"/>
        </w:rPr>
        <w:t xml:space="preserve">then </w:t>
      </w:r>
      <w:r w:rsidRPr="00435180" w:rsidR="00777B66">
        <w:rPr>
          <w:szCs w:val="22"/>
        </w:rPr>
        <w:t xml:space="preserve">only one application may </w:t>
      </w:r>
      <w:r w:rsidR="00B17141">
        <w:rPr>
          <w:szCs w:val="22"/>
        </w:rPr>
        <w:t>form</w:t>
      </w:r>
      <w:r w:rsidRPr="00435180" w:rsidR="00777B66">
        <w:rPr>
          <w:szCs w:val="22"/>
        </w:rPr>
        <w:t xml:space="preserve"> the basis for that party to become qualified to bid in that auction.</w:t>
      </w:r>
      <w:r>
        <w:rPr>
          <w:rStyle w:val="FootnoteReference"/>
          <w:szCs w:val="22"/>
        </w:rPr>
        <w:footnoteReference w:id="34"/>
      </w:r>
      <w:r w:rsidRPr="00435180" w:rsidR="00777B66">
        <w:rPr>
          <w:szCs w:val="22"/>
        </w:rPr>
        <w:t xml:space="preserve">  </w:t>
      </w:r>
    </w:p>
    <w:p w:rsidR="00D6515C" w:rsidRPr="00435180" w:rsidP="00D850FB" w14:paraId="4A6A9512" w14:textId="622295CD">
      <w:pPr>
        <w:pStyle w:val="ParaNum"/>
        <w:widowControl/>
        <w:autoSpaceDE w:val="0"/>
        <w:autoSpaceDN w:val="0"/>
        <w:adjustRightInd w:val="0"/>
        <w:rPr>
          <w:szCs w:val="22"/>
        </w:rPr>
      </w:pPr>
      <w:r w:rsidRPr="00435180">
        <w:rPr>
          <w:szCs w:val="22"/>
        </w:rPr>
        <w:t xml:space="preserve">Similarly, and consistent with the Commission’s general </w:t>
      </w:r>
      <w:r>
        <w:rPr>
          <w:szCs w:val="22"/>
        </w:rPr>
        <w:t>prohibition o</w:t>
      </w:r>
      <w:r w:rsidR="00615D51">
        <w:rPr>
          <w:szCs w:val="22"/>
        </w:rPr>
        <w:t>n</w:t>
      </w:r>
      <w:r w:rsidRPr="00435180">
        <w:rPr>
          <w:szCs w:val="22"/>
        </w:rPr>
        <w:t xml:space="preserve"> joint bi</w:t>
      </w:r>
      <w:r w:rsidRPr="00435180">
        <w:rPr>
          <w:szCs w:val="22"/>
        </w:rPr>
        <w:t xml:space="preserve">dding agreements, a party generally </w:t>
      </w:r>
      <w:r w:rsidRPr="00435180" w:rsidR="00FB2218">
        <w:rPr>
          <w:szCs w:val="22"/>
        </w:rPr>
        <w:t xml:space="preserve">is </w:t>
      </w:r>
      <w:r w:rsidRPr="00435180">
        <w:rPr>
          <w:szCs w:val="22"/>
        </w:rPr>
        <w:t>permitted to participate in a Commission auction only through a single bidding entity.</w:t>
      </w:r>
      <w:r>
        <w:rPr>
          <w:rStyle w:val="FootnoteReference"/>
          <w:szCs w:val="22"/>
        </w:rPr>
        <w:footnoteReference w:id="35"/>
      </w:r>
      <w:r w:rsidRPr="00435180">
        <w:rPr>
          <w:szCs w:val="22"/>
        </w:rPr>
        <w:t xml:space="preserve">  Accordingly, the filing of applications in Auction 10</w:t>
      </w:r>
      <w:r w:rsidR="00840CE2">
        <w:rPr>
          <w:szCs w:val="22"/>
        </w:rPr>
        <w:t>7</w:t>
      </w:r>
      <w:r w:rsidRPr="00435180">
        <w:rPr>
          <w:szCs w:val="22"/>
        </w:rPr>
        <w:t xml:space="preserve"> by multiple entities controlled by the same individual or set of individuals generally</w:t>
      </w:r>
      <w:r w:rsidR="00416679">
        <w:rPr>
          <w:szCs w:val="22"/>
        </w:rPr>
        <w:t xml:space="preserve"> </w:t>
      </w:r>
      <w:r w:rsidRPr="00435180" w:rsidR="00416679">
        <w:rPr>
          <w:szCs w:val="22"/>
        </w:rPr>
        <w:t>will</w:t>
      </w:r>
      <w:r w:rsidRPr="00435180">
        <w:rPr>
          <w:szCs w:val="22"/>
        </w:rPr>
        <w:t xml:space="preserve"> not be permitted.</w:t>
      </w:r>
      <w:r>
        <w:rPr>
          <w:rStyle w:val="FootnoteReference"/>
          <w:szCs w:val="22"/>
        </w:rPr>
        <w:footnoteReference w:id="36"/>
      </w:r>
      <w:r w:rsidRPr="00435180">
        <w:rPr>
          <w:szCs w:val="22"/>
        </w:rPr>
        <w:t xml:space="preserve">  As noted by the Commission in adopting the </w:t>
      </w:r>
      <w:r>
        <w:rPr>
          <w:szCs w:val="22"/>
        </w:rPr>
        <w:t>prohibition o</w:t>
      </w:r>
      <w:r w:rsidR="00615D51">
        <w:rPr>
          <w:szCs w:val="22"/>
        </w:rPr>
        <w:t>n</w:t>
      </w:r>
      <w:r w:rsidRPr="00435180">
        <w:rPr>
          <w:szCs w:val="22"/>
        </w:rPr>
        <w:t xml:space="preserve"> applications by commonly controlled entities, this rule, in conjunction with the pro</w:t>
      </w:r>
      <w:r w:rsidRPr="00435180">
        <w:rPr>
          <w:szCs w:val="22"/>
        </w:rPr>
        <w:t>hibition against joint bidding agreements, protects the competitiveness of our auctions.</w:t>
      </w:r>
      <w:r>
        <w:rPr>
          <w:rStyle w:val="FootnoteReference"/>
          <w:szCs w:val="22"/>
        </w:rPr>
        <w:footnoteReference w:id="37"/>
      </w:r>
      <w:r w:rsidRPr="00435180">
        <w:rPr>
          <w:szCs w:val="22"/>
        </w:rPr>
        <w:t xml:space="preserve">  </w:t>
      </w:r>
    </w:p>
    <w:p w:rsidR="00D6515C" w:rsidRPr="00435180" w:rsidP="00D850FB" w14:paraId="05E8E30C" w14:textId="63D9D22E">
      <w:pPr>
        <w:pStyle w:val="ParaNum"/>
        <w:widowControl/>
        <w:autoSpaceDE w:val="0"/>
        <w:autoSpaceDN w:val="0"/>
        <w:adjustRightInd w:val="0"/>
        <w:rPr>
          <w:szCs w:val="22"/>
        </w:rPr>
      </w:pPr>
      <w:r w:rsidRPr="00435180">
        <w:rPr>
          <w:szCs w:val="22"/>
        </w:rPr>
        <w:t>After the initial short-form application filing deadline, Commission staff will review all timely submitted applications for Auction 10</w:t>
      </w:r>
      <w:r w:rsidR="003D107A">
        <w:rPr>
          <w:szCs w:val="22"/>
        </w:rPr>
        <w:t>7</w:t>
      </w:r>
      <w:r w:rsidRPr="00435180">
        <w:rPr>
          <w:szCs w:val="22"/>
        </w:rPr>
        <w:t xml:space="preserve"> to determine whether each </w:t>
      </w:r>
      <w:r w:rsidRPr="00435180">
        <w:rPr>
          <w:szCs w:val="22"/>
        </w:rPr>
        <w:t xml:space="preserve">application complies with the application requirements and whether </w:t>
      </w:r>
      <w:r w:rsidR="00FB1982">
        <w:rPr>
          <w:szCs w:val="22"/>
        </w:rPr>
        <w:t>the applicant</w:t>
      </w:r>
      <w:r w:rsidRPr="00435180" w:rsidR="00FB1982">
        <w:rPr>
          <w:szCs w:val="22"/>
        </w:rPr>
        <w:t xml:space="preserve"> </w:t>
      </w:r>
      <w:r w:rsidRPr="00435180">
        <w:rPr>
          <w:szCs w:val="22"/>
        </w:rPr>
        <w:t xml:space="preserve">has provided all required information concerning </w:t>
      </w:r>
      <w:r w:rsidR="006777E1">
        <w:rPr>
          <w:szCs w:val="22"/>
        </w:rPr>
        <w:t>its</w:t>
      </w:r>
      <w:r w:rsidRPr="00435180" w:rsidR="006777E1">
        <w:rPr>
          <w:szCs w:val="22"/>
        </w:rPr>
        <w:t xml:space="preserve"> </w:t>
      </w:r>
      <w:r w:rsidRPr="00435180">
        <w:rPr>
          <w:szCs w:val="22"/>
        </w:rPr>
        <w:t>qualifications for bidding.  After this review is completed, a public notice will be released announcing the status of app</w:t>
      </w:r>
      <w:r w:rsidRPr="00435180">
        <w:rPr>
          <w:szCs w:val="22"/>
        </w:rPr>
        <w:t>lications and identifying the applications that are complete and those that are incomplete because of minor defects that may be corrected.  This public notice also will establish an application resubmission filing window, during which an applicant may make</w:t>
      </w:r>
      <w:r w:rsidRPr="00435180">
        <w:rPr>
          <w:szCs w:val="22"/>
        </w:rPr>
        <w:t xml:space="preserve"> permissible minor modifications to its application to address identified deficiencies.</w:t>
      </w:r>
      <w:r>
        <w:rPr>
          <w:rStyle w:val="FootnoteReference"/>
          <w:szCs w:val="22"/>
        </w:rPr>
        <w:footnoteReference w:id="38"/>
      </w:r>
      <w:r w:rsidRPr="00435180">
        <w:rPr>
          <w:szCs w:val="22"/>
        </w:rPr>
        <w:t xml:space="preserve">  The public notice will include the deadline for resubmitting modified applications.  To become a qualified bidder, an applicant must have a complete application (i.e</w:t>
      </w:r>
      <w:r w:rsidRPr="00435180">
        <w:rPr>
          <w:szCs w:val="22"/>
        </w:rPr>
        <w:t>.,</w:t>
      </w:r>
      <w:r w:rsidRPr="00FC5B86" w:rsidR="00FC5B86">
        <w:rPr>
          <w:szCs w:val="22"/>
        </w:rPr>
        <w:t xml:space="preserve"> </w:t>
      </w:r>
      <w:r w:rsidR="00FC5B86">
        <w:rPr>
          <w:szCs w:val="22"/>
        </w:rPr>
        <w:t>have timely filed a</w:t>
      </w:r>
      <w:r w:rsidR="00B467CF">
        <w:rPr>
          <w:szCs w:val="22"/>
        </w:rPr>
        <w:t xml:space="preserve">n </w:t>
      </w:r>
      <w:r w:rsidR="00FC5B86">
        <w:rPr>
          <w:szCs w:val="22"/>
        </w:rPr>
        <w:t>application</w:t>
      </w:r>
      <w:r w:rsidRPr="00B467CF" w:rsidR="00B467CF">
        <w:rPr>
          <w:szCs w:val="22"/>
        </w:rPr>
        <w:t xml:space="preserve"> </w:t>
      </w:r>
      <w:r w:rsidR="00B467CF">
        <w:rPr>
          <w:szCs w:val="22"/>
        </w:rPr>
        <w:t>that is deemed complete after the deadline for correcting</w:t>
      </w:r>
      <w:r w:rsidRPr="00435180">
        <w:rPr>
          <w:szCs w:val="22"/>
        </w:rPr>
        <w:t xml:space="preserve"> any identified deficiencies)</w:t>
      </w:r>
      <w:r w:rsidR="00107705">
        <w:rPr>
          <w:szCs w:val="22"/>
        </w:rPr>
        <w:t>,</w:t>
      </w:r>
      <w:r w:rsidRPr="00435180">
        <w:rPr>
          <w:szCs w:val="22"/>
        </w:rPr>
        <w:t xml:space="preserve"> and </w:t>
      </w:r>
      <w:r w:rsidR="00107705">
        <w:rPr>
          <w:szCs w:val="22"/>
        </w:rPr>
        <w:t xml:space="preserve">must </w:t>
      </w:r>
      <w:r w:rsidRPr="00435180">
        <w:rPr>
          <w:szCs w:val="22"/>
        </w:rPr>
        <w:t xml:space="preserve">make a timely and sufficient upfront payment.  </w:t>
      </w:r>
      <w:r w:rsidRPr="00435180" w:rsidR="00AF43B7">
        <w:rPr>
          <w:szCs w:val="22"/>
        </w:rPr>
        <w:t>Qualified bidders will be identified by public notice at least 10 days prior to the mock auction.</w:t>
      </w:r>
    </w:p>
    <w:p w:rsidR="00D6515C" w:rsidRPr="00435180" w:rsidP="00D850FB" w14:paraId="525AE5E7" w14:textId="0EDFB4BE">
      <w:pPr>
        <w:pStyle w:val="ParaNum"/>
        <w:widowControl/>
        <w:autoSpaceDE w:val="0"/>
        <w:autoSpaceDN w:val="0"/>
        <w:adjustRightInd w:val="0"/>
        <w:rPr>
          <w:szCs w:val="22"/>
        </w:rPr>
      </w:pPr>
      <w:r w:rsidRPr="00435180">
        <w:rPr>
          <w:szCs w:val="22"/>
        </w:rPr>
        <w:t>Below we discuss additional details regarding certain information required to be submitted in the FCC Form 175.  An applicant should consult the Commission’s rules to ensure that, in addition to the materials described below, all requ</w:t>
      </w:r>
      <w:r w:rsidRPr="00435180">
        <w:rPr>
          <w:szCs w:val="22"/>
        </w:rPr>
        <w:t xml:space="preserve">ired information is included in its short-form application.  To the extent the information in this Public Notice does not address a potential applicant’s specific operating structure, or if the applicant needs additional information or guidance </w:t>
      </w:r>
      <w:r w:rsidRPr="00435180" w:rsidR="00BF59BE">
        <w:rPr>
          <w:szCs w:val="22"/>
        </w:rPr>
        <w:t xml:space="preserve">concerning the </w:t>
      </w:r>
      <w:r w:rsidR="00BF59BE">
        <w:rPr>
          <w:szCs w:val="22"/>
        </w:rPr>
        <w:t xml:space="preserve">described </w:t>
      </w:r>
      <w:r w:rsidRPr="00435180" w:rsidR="00BF59BE">
        <w:rPr>
          <w:szCs w:val="22"/>
        </w:rPr>
        <w:t xml:space="preserve">disclosure </w:t>
      </w:r>
      <w:r w:rsidRPr="00435180">
        <w:rPr>
          <w:szCs w:val="22"/>
        </w:rPr>
        <w:t>requirements, the applicant should review the educational materials for Auction 10</w:t>
      </w:r>
      <w:r w:rsidR="00FB378E">
        <w:rPr>
          <w:szCs w:val="22"/>
        </w:rPr>
        <w:t>7</w:t>
      </w:r>
      <w:r w:rsidR="00656967">
        <w:rPr>
          <w:szCs w:val="22"/>
        </w:rPr>
        <w:t xml:space="preserve"> (</w:t>
      </w:r>
      <w:r w:rsidR="009E2DA8">
        <w:rPr>
          <w:szCs w:val="22"/>
        </w:rPr>
        <w:t xml:space="preserve">see </w:t>
      </w:r>
      <w:r w:rsidR="00656967">
        <w:rPr>
          <w:szCs w:val="22"/>
        </w:rPr>
        <w:t>the Education section of the Auction 10</w:t>
      </w:r>
      <w:r w:rsidR="003D107A">
        <w:rPr>
          <w:szCs w:val="22"/>
        </w:rPr>
        <w:t>7</w:t>
      </w:r>
      <w:r w:rsidR="00656967">
        <w:rPr>
          <w:szCs w:val="22"/>
        </w:rPr>
        <w:t xml:space="preserve"> website at </w:t>
      </w:r>
      <w:hyperlink r:id="rId7" w:history="1">
        <w:r w:rsidR="003D107A">
          <w:rPr>
            <w:rStyle w:val="Hyperlink"/>
            <w:szCs w:val="22"/>
          </w:rPr>
          <w:t>www.fcc.gov</w:t>
        </w:r>
        <w:r w:rsidR="007D3E4F">
          <w:rPr>
            <w:rStyle w:val="Hyperlink"/>
            <w:szCs w:val="22"/>
          </w:rPr>
          <w:t>/auction/107</w:t>
        </w:r>
      </w:hyperlink>
      <w:r w:rsidR="00650AF4">
        <w:rPr>
          <w:szCs w:val="22"/>
        </w:rPr>
        <w:t>)</w:t>
      </w:r>
      <w:r w:rsidRPr="00435180">
        <w:rPr>
          <w:szCs w:val="22"/>
        </w:rPr>
        <w:t xml:space="preserve"> and/o</w:t>
      </w:r>
      <w:r w:rsidRPr="00435180">
        <w:rPr>
          <w:szCs w:val="22"/>
        </w:rPr>
        <w:t>r use the contact information provided in this Public Notice to consult with Commission staff to better understand the information it must submit in its short-form application.</w:t>
      </w:r>
    </w:p>
    <w:p w:rsidR="00D6515C" w:rsidRPr="00435180" w:rsidP="000C230C" w14:paraId="04329EA5" w14:textId="77777777">
      <w:pPr>
        <w:pStyle w:val="Heading2"/>
      </w:pPr>
      <w:bookmarkStart w:id="332" w:name="_Toc6383452"/>
      <w:bookmarkStart w:id="333" w:name="_Toc7525777"/>
      <w:bookmarkStart w:id="334" w:name="_Toc8657132"/>
      <w:bookmarkStart w:id="335" w:name="_Toc9410658"/>
      <w:bookmarkStart w:id="336" w:name="_Toc9430064"/>
      <w:bookmarkStart w:id="337" w:name="_Toc10116827"/>
      <w:bookmarkStart w:id="338" w:name="_Toc10646133"/>
      <w:bookmarkStart w:id="339" w:name="_Toc11156537"/>
      <w:bookmarkStart w:id="340" w:name="_Toc11244281"/>
      <w:bookmarkStart w:id="341" w:name="_Toc11653537"/>
      <w:bookmarkStart w:id="342" w:name="_Toc11678117"/>
      <w:bookmarkStart w:id="343" w:name="_Toc13654704"/>
      <w:bookmarkStart w:id="344" w:name="_Toc24459423"/>
      <w:bookmarkStart w:id="345" w:name="_Toc24459520"/>
      <w:bookmarkStart w:id="346" w:name="_Toc25926217"/>
      <w:bookmarkStart w:id="347" w:name="_Toc25926795"/>
      <w:bookmarkStart w:id="348" w:name="_Toc25926916"/>
      <w:bookmarkStart w:id="349" w:name="_Toc27038976"/>
      <w:bookmarkStart w:id="350" w:name="_Toc29813120"/>
      <w:bookmarkStart w:id="351" w:name="_Toc29886845"/>
      <w:bookmarkStart w:id="352" w:name="_Toc29999449"/>
      <w:bookmarkStart w:id="353" w:name="_Toc30699375"/>
      <w:bookmarkStart w:id="354" w:name="_Toc30701455"/>
      <w:bookmarkStart w:id="355" w:name="_Toc31189276"/>
      <w:bookmarkStart w:id="356" w:name="_Toc31189730"/>
      <w:bookmarkStart w:id="357" w:name="_Toc31193097"/>
      <w:bookmarkStart w:id="358" w:name="_Toc31195848"/>
      <w:bookmarkStart w:id="359" w:name="_Toc31199972"/>
      <w:bookmarkStart w:id="360" w:name="_Toc31713739"/>
      <w:bookmarkStart w:id="361" w:name="_Toc31822648"/>
      <w:bookmarkStart w:id="362" w:name="_Toc33629805"/>
      <w:bookmarkStart w:id="363" w:name="_Toc33696657"/>
      <w:r w:rsidRPr="00435180">
        <w:t>License Area Selection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416646" w:rsidRPr="00416646" w:rsidP="00D850FB" w14:paraId="5D74D00D" w14:textId="36612074">
      <w:pPr>
        <w:pStyle w:val="ParaNum"/>
        <w:widowControl/>
        <w:autoSpaceDE w:val="0"/>
        <w:autoSpaceDN w:val="0"/>
        <w:adjustRightInd w:val="0"/>
        <w:rPr>
          <w:szCs w:val="22"/>
        </w:rPr>
      </w:pPr>
      <w:r w:rsidRPr="00435180">
        <w:rPr>
          <w:szCs w:val="22"/>
        </w:rPr>
        <w:t xml:space="preserve">An applicant must select all the license areas on which </w:t>
      </w:r>
      <w:r w:rsidRPr="00435180">
        <w:rPr>
          <w:szCs w:val="22"/>
        </w:rPr>
        <w:t xml:space="preserve">it may want to bid from the list of available </w:t>
      </w:r>
      <w:r w:rsidR="00074592">
        <w:rPr>
          <w:szCs w:val="22"/>
        </w:rPr>
        <w:t>PEAs</w:t>
      </w:r>
      <w:r w:rsidRPr="00435180" w:rsidR="00074592">
        <w:rPr>
          <w:szCs w:val="22"/>
        </w:rPr>
        <w:t xml:space="preserve"> </w:t>
      </w:r>
      <w:r w:rsidRPr="00435180">
        <w:rPr>
          <w:szCs w:val="22"/>
        </w:rPr>
        <w:t xml:space="preserve">on its FCC Form 175.  An applicant must carefully review and verify its </w:t>
      </w:r>
      <w:r w:rsidR="00074592">
        <w:rPr>
          <w:szCs w:val="22"/>
        </w:rPr>
        <w:t>PEA</w:t>
      </w:r>
      <w:r w:rsidRPr="00435180" w:rsidR="00074592">
        <w:rPr>
          <w:szCs w:val="22"/>
        </w:rPr>
        <w:t xml:space="preserve"> </w:t>
      </w:r>
      <w:r w:rsidRPr="00435180">
        <w:rPr>
          <w:szCs w:val="22"/>
        </w:rPr>
        <w:t xml:space="preserve">selections </w:t>
      </w:r>
      <w:r w:rsidRPr="00435180">
        <w:rPr>
          <w:szCs w:val="22"/>
        </w:rPr>
        <w:t>before the FCC Form 175 filing deadline because those selections cannot be changed after the auction application filin</w:t>
      </w:r>
      <w:r w:rsidRPr="00435180">
        <w:rPr>
          <w:szCs w:val="22"/>
        </w:rPr>
        <w:t>g deadline.</w:t>
      </w:r>
      <w:r>
        <w:rPr>
          <w:rStyle w:val="FootnoteReference"/>
          <w:szCs w:val="22"/>
        </w:rPr>
        <w:footnoteReference w:id="39"/>
      </w:r>
      <w:r w:rsidRPr="00435180">
        <w:rPr>
          <w:szCs w:val="22"/>
        </w:rPr>
        <w:t xml:space="preserve">  </w:t>
      </w:r>
      <w:r w:rsidR="00E81493">
        <w:rPr>
          <w:szCs w:val="22"/>
        </w:rPr>
        <w:t xml:space="preserve">An applicant is not required to </w:t>
      </w:r>
      <w:r w:rsidR="002919E1">
        <w:rPr>
          <w:szCs w:val="22"/>
        </w:rPr>
        <w:t>place bids on any or all of the license areas selected, but t</w:t>
      </w:r>
      <w:r w:rsidRPr="00435180">
        <w:rPr>
          <w:szCs w:val="22"/>
        </w:rPr>
        <w:t xml:space="preserve">he FCC Auction Bidding System (bidding system) will not accept bids for blocks </w:t>
      </w:r>
      <w:r w:rsidR="001E1B36">
        <w:rPr>
          <w:szCs w:val="22"/>
        </w:rPr>
        <w:t xml:space="preserve">located </w:t>
      </w:r>
      <w:r w:rsidRPr="00435180">
        <w:rPr>
          <w:szCs w:val="22"/>
        </w:rPr>
        <w:t xml:space="preserve">in </w:t>
      </w:r>
      <w:r w:rsidR="00074592">
        <w:rPr>
          <w:szCs w:val="22"/>
        </w:rPr>
        <w:t>PEAs</w:t>
      </w:r>
      <w:r w:rsidRPr="00435180" w:rsidR="00074592">
        <w:rPr>
          <w:szCs w:val="22"/>
        </w:rPr>
        <w:t xml:space="preserve"> </w:t>
      </w:r>
      <w:r w:rsidRPr="00435180">
        <w:rPr>
          <w:szCs w:val="22"/>
        </w:rPr>
        <w:t xml:space="preserve">that </w:t>
      </w:r>
      <w:r w:rsidR="00440D24">
        <w:rPr>
          <w:szCs w:val="22"/>
        </w:rPr>
        <w:t xml:space="preserve">the applicant did </w:t>
      </w:r>
      <w:r w:rsidRPr="00435180">
        <w:rPr>
          <w:szCs w:val="22"/>
        </w:rPr>
        <w:t xml:space="preserve">not select </w:t>
      </w:r>
      <w:r w:rsidR="008C25AF">
        <w:rPr>
          <w:szCs w:val="22"/>
        </w:rPr>
        <w:t>in</w:t>
      </w:r>
      <w:r w:rsidRPr="00435180">
        <w:rPr>
          <w:szCs w:val="22"/>
        </w:rPr>
        <w:t xml:space="preserve"> </w:t>
      </w:r>
      <w:r w:rsidR="00440D24">
        <w:rPr>
          <w:szCs w:val="22"/>
        </w:rPr>
        <w:t xml:space="preserve">its </w:t>
      </w:r>
      <w:r w:rsidRPr="00435180">
        <w:rPr>
          <w:szCs w:val="22"/>
        </w:rPr>
        <w:t>FCC Form 175</w:t>
      </w:r>
      <w:r w:rsidRPr="00435180">
        <w:rPr>
          <w:szCs w:val="22"/>
        </w:rPr>
        <w:t>.</w:t>
      </w:r>
      <w:r w:rsidR="00FA062E">
        <w:rPr>
          <w:szCs w:val="22"/>
        </w:rPr>
        <w:t xml:space="preserve">  The </w:t>
      </w:r>
      <w:r w:rsidR="006B7446">
        <w:rPr>
          <w:szCs w:val="22"/>
        </w:rPr>
        <w:t xml:space="preserve">auction application </w:t>
      </w:r>
      <w:r w:rsidR="00FA062E">
        <w:rPr>
          <w:szCs w:val="22"/>
        </w:rPr>
        <w:t>system</w:t>
      </w:r>
      <w:r w:rsidR="000036C8">
        <w:rPr>
          <w:szCs w:val="22"/>
        </w:rPr>
        <w:t>, however,</w:t>
      </w:r>
      <w:r w:rsidR="00FA062E">
        <w:rPr>
          <w:szCs w:val="22"/>
        </w:rPr>
        <w:t xml:space="preserve"> will </w:t>
      </w:r>
      <w:r w:rsidR="00971A50">
        <w:rPr>
          <w:szCs w:val="22"/>
        </w:rPr>
        <w:t xml:space="preserve">provide an applicant the </w:t>
      </w:r>
      <w:r w:rsidR="00D64462">
        <w:rPr>
          <w:szCs w:val="22"/>
        </w:rPr>
        <w:t>option</w:t>
      </w:r>
      <w:r w:rsidR="00971A50">
        <w:rPr>
          <w:szCs w:val="22"/>
        </w:rPr>
        <w:t xml:space="preserve"> to select “all </w:t>
      </w:r>
      <w:r w:rsidR="009A4535">
        <w:rPr>
          <w:szCs w:val="22"/>
        </w:rPr>
        <w:t>PEAs</w:t>
      </w:r>
      <w:r w:rsidR="00D64462">
        <w:rPr>
          <w:szCs w:val="22"/>
        </w:rPr>
        <w:t>.”</w:t>
      </w:r>
    </w:p>
    <w:p w:rsidR="00D6515C" w:rsidRPr="00435180" w:rsidP="000C230C" w14:paraId="13CE6FF5" w14:textId="054D52C6">
      <w:pPr>
        <w:pStyle w:val="Heading2"/>
      </w:pPr>
      <w:bookmarkStart w:id="364" w:name="_Toc6383453"/>
      <w:bookmarkStart w:id="365" w:name="_Toc7525778"/>
      <w:bookmarkStart w:id="366" w:name="_Toc8657133"/>
      <w:bookmarkStart w:id="367" w:name="_Toc9410659"/>
      <w:bookmarkStart w:id="368" w:name="_Toc9430065"/>
      <w:bookmarkStart w:id="369" w:name="_Toc10116828"/>
      <w:bookmarkStart w:id="370" w:name="_Toc10646134"/>
      <w:bookmarkStart w:id="371" w:name="_Toc11156538"/>
      <w:bookmarkStart w:id="372" w:name="_Toc11244282"/>
      <w:bookmarkStart w:id="373" w:name="_Toc11653538"/>
      <w:bookmarkStart w:id="374" w:name="_Toc11678118"/>
      <w:bookmarkStart w:id="375" w:name="_Toc13654705"/>
      <w:bookmarkStart w:id="376" w:name="_Toc24459425"/>
      <w:bookmarkStart w:id="377" w:name="_Toc24459522"/>
      <w:bookmarkStart w:id="378" w:name="_Toc25926218"/>
      <w:bookmarkStart w:id="379" w:name="_Toc25926796"/>
      <w:bookmarkStart w:id="380" w:name="_Toc25926917"/>
      <w:bookmarkStart w:id="381" w:name="_Toc27038977"/>
      <w:bookmarkStart w:id="382" w:name="_Toc29813121"/>
      <w:bookmarkStart w:id="383" w:name="_Toc29886846"/>
      <w:bookmarkStart w:id="384" w:name="_Toc29999450"/>
      <w:bookmarkStart w:id="385" w:name="_Toc30699376"/>
      <w:bookmarkStart w:id="386" w:name="_Toc30701456"/>
      <w:bookmarkStart w:id="387" w:name="_Toc31189277"/>
      <w:bookmarkStart w:id="388" w:name="_Toc31189731"/>
      <w:bookmarkStart w:id="389" w:name="_Toc31193098"/>
      <w:bookmarkStart w:id="390" w:name="_Toc31195849"/>
      <w:bookmarkStart w:id="391" w:name="_Toc31199973"/>
      <w:bookmarkStart w:id="392" w:name="_Toc31713740"/>
      <w:bookmarkStart w:id="393" w:name="_Toc31822649"/>
      <w:bookmarkStart w:id="394" w:name="_Toc33629806"/>
      <w:bookmarkStart w:id="395" w:name="_Toc33696658"/>
      <w:r w:rsidRPr="00435180">
        <w:t>Disclosure of Agreements and Bidding Arrangements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D6515C" w:rsidRPr="00435180" w:rsidP="00D850FB" w14:paraId="71A9CC03" w14:textId="790F7F09">
      <w:pPr>
        <w:pStyle w:val="ParaNum"/>
        <w:widowControl/>
        <w:autoSpaceDE w:val="0"/>
        <w:autoSpaceDN w:val="0"/>
        <w:adjustRightInd w:val="0"/>
        <w:rPr>
          <w:szCs w:val="22"/>
        </w:rPr>
      </w:pPr>
      <w:r w:rsidRPr="00435180">
        <w:rPr>
          <w:szCs w:val="22"/>
        </w:rPr>
        <w:t xml:space="preserve">An applicant must provide in its FCC Form 175 a brief description of, and identify each party to, </w:t>
      </w:r>
      <w:r w:rsidRPr="00435180">
        <w:rPr>
          <w:szCs w:val="22"/>
        </w:rPr>
        <w:t>any partnerships, joint ventures, consortia or agreements, arrangements, or understandings of any kind relating to the licenses being auctioned, including any agreements that address or communicate directly or indirectly bids (including specific prices), b</w:t>
      </w:r>
      <w:r w:rsidRPr="00435180">
        <w:rPr>
          <w:szCs w:val="22"/>
        </w:rPr>
        <w:t>idding strategies (including the specific licenses on which to bid or not to bid), or the post-auction market structure, to which the applicant, or any party that controls or is controlled by the applicant, is a party.</w:t>
      </w:r>
      <w:r>
        <w:rPr>
          <w:rStyle w:val="FootnoteReference"/>
          <w:szCs w:val="22"/>
        </w:rPr>
        <w:footnoteReference w:id="40"/>
      </w:r>
      <w:r w:rsidRPr="00435180">
        <w:rPr>
          <w:szCs w:val="22"/>
        </w:rPr>
        <w:t xml:space="preserve">  In connection with the agreement d</w:t>
      </w:r>
      <w:r w:rsidRPr="00435180">
        <w:rPr>
          <w:szCs w:val="22"/>
        </w:rPr>
        <w:t xml:space="preserve">isclosure requirement, the applicant must certify under penalty of perjury in its FCC Form 175 that it has described, and identified each party to, any such agreements, arrangements, or understandings </w:t>
      </w:r>
      <w:r w:rsidR="00CA128D">
        <w:rPr>
          <w:szCs w:val="22"/>
        </w:rPr>
        <w:t>to which it (</w:t>
      </w:r>
      <w:r w:rsidR="000C2EA4">
        <w:rPr>
          <w:szCs w:val="22"/>
        </w:rPr>
        <w:t xml:space="preserve">or </w:t>
      </w:r>
      <w:r w:rsidRPr="00435180" w:rsidR="000C2EA4">
        <w:rPr>
          <w:szCs w:val="22"/>
        </w:rPr>
        <w:t>any party that</w:t>
      </w:r>
      <w:r w:rsidR="000C2EA4">
        <w:rPr>
          <w:szCs w:val="22"/>
        </w:rPr>
        <w:t xml:space="preserve"> </w:t>
      </w:r>
      <w:r w:rsidRPr="00435180" w:rsidR="000C2EA4">
        <w:rPr>
          <w:szCs w:val="22"/>
        </w:rPr>
        <w:t>controls</w:t>
      </w:r>
      <w:r w:rsidR="00312E9F">
        <w:rPr>
          <w:szCs w:val="22"/>
        </w:rPr>
        <w:t xml:space="preserve"> it</w:t>
      </w:r>
      <w:r w:rsidRPr="00435180" w:rsidR="000C2EA4">
        <w:rPr>
          <w:szCs w:val="22"/>
        </w:rPr>
        <w:t xml:space="preserve"> or </w:t>
      </w:r>
      <w:r w:rsidR="00312E9F">
        <w:rPr>
          <w:szCs w:val="22"/>
        </w:rPr>
        <w:t>that</w:t>
      </w:r>
      <w:r w:rsidRPr="00435180" w:rsidR="000C2EA4">
        <w:rPr>
          <w:szCs w:val="22"/>
        </w:rPr>
        <w:t xml:space="preserve"> control</w:t>
      </w:r>
      <w:r w:rsidR="00312E9F">
        <w:rPr>
          <w:szCs w:val="22"/>
        </w:rPr>
        <w:t>s</w:t>
      </w:r>
      <w:r w:rsidR="000C2EA4">
        <w:rPr>
          <w:szCs w:val="22"/>
        </w:rPr>
        <w:t>)</w:t>
      </w:r>
      <w:r w:rsidR="002F4F34">
        <w:rPr>
          <w:szCs w:val="22"/>
        </w:rPr>
        <w:t xml:space="preserve"> is a </w:t>
      </w:r>
      <w:r w:rsidR="00DA2D86">
        <w:rPr>
          <w:szCs w:val="22"/>
        </w:rPr>
        <w:t>party</w:t>
      </w:r>
      <w:r w:rsidRPr="00435180">
        <w:rPr>
          <w:szCs w:val="22"/>
        </w:rPr>
        <w:t>.</w:t>
      </w:r>
      <w:r>
        <w:rPr>
          <w:rStyle w:val="FootnoteReference"/>
          <w:szCs w:val="22"/>
        </w:rPr>
        <w:footnoteReference w:id="41"/>
      </w:r>
      <w:r w:rsidRPr="00435180">
        <w:rPr>
          <w:szCs w:val="22"/>
        </w:rPr>
        <w:t xml:space="preserve">  </w:t>
      </w:r>
      <w:r w:rsidR="005A09EA">
        <w:rPr>
          <w:szCs w:val="22"/>
        </w:rPr>
        <w:t>If, after the FCC Form 175 filing deadline, a</w:t>
      </w:r>
      <w:r w:rsidRPr="00435180" w:rsidR="005A09EA">
        <w:rPr>
          <w:szCs w:val="22"/>
        </w:rPr>
        <w:t>n auction applicant enters into any agreement relating to the licenses being auctioned</w:t>
      </w:r>
      <w:r w:rsidR="005A09EA">
        <w:rPr>
          <w:szCs w:val="22"/>
        </w:rPr>
        <w:t xml:space="preserve">, </w:t>
      </w:r>
      <w:r w:rsidR="005914A0">
        <w:rPr>
          <w:szCs w:val="22"/>
        </w:rPr>
        <w:t>the</w:t>
      </w:r>
      <w:r w:rsidR="009274AF">
        <w:rPr>
          <w:szCs w:val="22"/>
        </w:rPr>
        <w:t>n it</w:t>
      </w:r>
      <w:r w:rsidRPr="00435180" w:rsidR="005A09EA">
        <w:rPr>
          <w:szCs w:val="22"/>
        </w:rPr>
        <w:t xml:space="preserve"> is subject to the</w:t>
      </w:r>
      <w:r w:rsidR="005914A0">
        <w:rPr>
          <w:szCs w:val="22"/>
        </w:rPr>
        <w:t>se</w:t>
      </w:r>
      <w:r w:rsidRPr="00435180" w:rsidR="005A09EA">
        <w:rPr>
          <w:szCs w:val="22"/>
        </w:rPr>
        <w:t xml:space="preserve"> same disclosure obligations</w:t>
      </w:r>
      <w:r w:rsidR="005A09EA">
        <w:rPr>
          <w:szCs w:val="22"/>
        </w:rPr>
        <w:t>.</w:t>
      </w:r>
      <w:r w:rsidRPr="00435180" w:rsidR="005A09EA">
        <w:rPr>
          <w:szCs w:val="22"/>
        </w:rPr>
        <w:t xml:space="preserve"> </w:t>
      </w:r>
      <w:r w:rsidR="005A09EA">
        <w:rPr>
          <w:szCs w:val="22"/>
        </w:rPr>
        <w:t xml:space="preserve"> All applicants </w:t>
      </w:r>
      <w:r w:rsidRPr="00435180" w:rsidR="005A09EA">
        <w:rPr>
          <w:szCs w:val="22"/>
        </w:rPr>
        <w:t xml:space="preserve">must maintain the accuracy and completeness of the information in </w:t>
      </w:r>
      <w:r w:rsidR="005A09EA">
        <w:rPr>
          <w:szCs w:val="22"/>
        </w:rPr>
        <w:t>their</w:t>
      </w:r>
      <w:r w:rsidRPr="00435180" w:rsidR="005A09EA">
        <w:rPr>
          <w:szCs w:val="22"/>
        </w:rPr>
        <w:t xml:space="preserve"> pending auction application</w:t>
      </w:r>
      <w:r w:rsidRPr="00435180">
        <w:rPr>
          <w:szCs w:val="22"/>
        </w:rPr>
        <w:t>.</w:t>
      </w:r>
      <w:r>
        <w:rPr>
          <w:rStyle w:val="FootnoteReference"/>
          <w:szCs w:val="22"/>
        </w:rPr>
        <w:footnoteReference w:id="42"/>
      </w:r>
    </w:p>
    <w:p w:rsidR="00D6515C" w:rsidRPr="00435180" w:rsidP="00D850FB" w14:paraId="1A049045" w14:textId="7E619F06">
      <w:pPr>
        <w:pStyle w:val="ParaNum"/>
        <w:widowControl/>
        <w:autoSpaceDE w:val="0"/>
        <w:autoSpaceDN w:val="0"/>
        <w:adjustRightInd w:val="0"/>
        <w:rPr>
          <w:szCs w:val="22"/>
        </w:rPr>
      </w:pPr>
      <w:r w:rsidRPr="00435180">
        <w:rPr>
          <w:szCs w:val="22"/>
        </w:rPr>
        <w:t xml:space="preserve">For purposes of making the required agreement disclosures on the FCC Form 175, if parties agree in principle on all material terms prior to the application filing deadline, </w:t>
      </w:r>
      <w:r w:rsidR="00CE1C1E">
        <w:rPr>
          <w:szCs w:val="22"/>
        </w:rPr>
        <w:t xml:space="preserve">then </w:t>
      </w:r>
      <w:r w:rsidRPr="00435180">
        <w:rPr>
          <w:szCs w:val="22"/>
        </w:rPr>
        <w:t>each party to the agreement that is submitting an auction application must pro</w:t>
      </w:r>
      <w:r w:rsidRPr="00435180">
        <w:rPr>
          <w:szCs w:val="22"/>
        </w:rPr>
        <w:t>vide a brief description of, and identify the other party or parties to, the agreement on its respective FCC Form 175,</w:t>
      </w:r>
      <w:r>
        <w:rPr>
          <w:rStyle w:val="FootnoteReference"/>
          <w:szCs w:val="22"/>
        </w:rPr>
        <w:footnoteReference w:id="43"/>
      </w:r>
      <w:r w:rsidRPr="00435180">
        <w:rPr>
          <w:szCs w:val="22"/>
        </w:rPr>
        <w:t xml:space="preserve"> even if the agreement has not been reduced to writing.</w:t>
      </w:r>
      <w:r>
        <w:rPr>
          <w:rStyle w:val="FootnoteReference"/>
          <w:szCs w:val="22"/>
        </w:rPr>
        <w:footnoteReference w:id="44"/>
      </w:r>
      <w:r w:rsidRPr="00435180">
        <w:rPr>
          <w:szCs w:val="22"/>
        </w:rPr>
        <w:t xml:space="preserve">  </w:t>
      </w:r>
      <w:r w:rsidR="00722924">
        <w:rPr>
          <w:szCs w:val="22"/>
        </w:rPr>
        <w:t>P</w:t>
      </w:r>
      <w:r w:rsidRPr="00435180">
        <w:rPr>
          <w:szCs w:val="22"/>
        </w:rPr>
        <w:t>arties</w:t>
      </w:r>
      <w:r w:rsidR="00722924">
        <w:rPr>
          <w:szCs w:val="22"/>
        </w:rPr>
        <w:t xml:space="preserve"> that</w:t>
      </w:r>
      <w:r w:rsidRPr="00435180">
        <w:rPr>
          <w:szCs w:val="22"/>
        </w:rPr>
        <w:t xml:space="preserve"> have not agreed in principle by the FCC Form 175 filing deadline</w:t>
      </w:r>
      <w:r w:rsidRPr="00435180">
        <w:rPr>
          <w:szCs w:val="22"/>
        </w:rPr>
        <w:t xml:space="preserve"> should not describe, or include the names of parties to, the discussions on their applications.</w:t>
      </w:r>
      <w:r>
        <w:rPr>
          <w:rStyle w:val="FootnoteReference"/>
          <w:szCs w:val="22"/>
        </w:rPr>
        <w:footnoteReference w:id="45"/>
      </w:r>
    </w:p>
    <w:p w:rsidR="00D6515C" w:rsidRPr="00435180" w:rsidP="00D850FB" w14:paraId="3C1F603D" w14:textId="6EA81716">
      <w:pPr>
        <w:pStyle w:val="ParaNum"/>
        <w:widowControl/>
        <w:autoSpaceDE w:val="0"/>
        <w:autoSpaceDN w:val="0"/>
        <w:adjustRightInd w:val="0"/>
        <w:rPr>
          <w:szCs w:val="22"/>
        </w:rPr>
      </w:pPr>
      <w:r w:rsidRPr="00435180">
        <w:rPr>
          <w:szCs w:val="22"/>
        </w:rPr>
        <w:t xml:space="preserve">The Commission’s rules generally prohibit joint bidding and other arrangements involving auction applicants (including any party that controls or is </w:t>
      </w:r>
      <w:r w:rsidRPr="00435180">
        <w:rPr>
          <w:szCs w:val="22"/>
        </w:rPr>
        <w:t>controlled by such applicants).</w:t>
      </w:r>
      <w:r>
        <w:rPr>
          <w:rStyle w:val="FootnoteReference"/>
          <w:szCs w:val="22"/>
        </w:rPr>
        <w:footnoteReference w:id="46"/>
      </w:r>
      <w:r w:rsidRPr="00435180">
        <w:rPr>
          <w:szCs w:val="22"/>
        </w:rPr>
        <w:t xml:space="preserve">  For purposes of the </w:t>
      </w:r>
      <w:r>
        <w:rPr>
          <w:szCs w:val="22"/>
        </w:rPr>
        <w:t>prohibition</w:t>
      </w:r>
      <w:r w:rsidRPr="00435180">
        <w:rPr>
          <w:szCs w:val="22"/>
        </w:rPr>
        <w:t xml:space="preserve">, </w:t>
      </w:r>
      <w:r w:rsidR="00E70874">
        <w:rPr>
          <w:szCs w:val="22"/>
        </w:rPr>
        <w:t xml:space="preserve">a </w:t>
      </w:r>
      <w:r w:rsidRPr="00435180">
        <w:rPr>
          <w:szCs w:val="22"/>
        </w:rPr>
        <w:t>joint bidding arrangement include</w:t>
      </w:r>
      <w:r w:rsidR="00E70874">
        <w:rPr>
          <w:szCs w:val="22"/>
        </w:rPr>
        <w:t>s</w:t>
      </w:r>
      <w:r w:rsidRPr="00435180">
        <w:rPr>
          <w:szCs w:val="22"/>
        </w:rPr>
        <w:t xml:space="preserve"> </w:t>
      </w:r>
      <w:r w:rsidR="00E70874">
        <w:rPr>
          <w:szCs w:val="22"/>
        </w:rPr>
        <w:t xml:space="preserve">any </w:t>
      </w:r>
      <w:r w:rsidRPr="00435180">
        <w:rPr>
          <w:szCs w:val="22"/>
        </w:rPr>
        <w:t>arrangement relating to the licenses being auctioned that address</w:t>
      </w:r>
      <w:r w:rsidR="00151FCF">
        <w:rPr>
          <w:szCs w:val="22"/>
        </w:rPr>
        <w:t>es</w:t>
      </w:r>
      <w:r w:rsidRPr="00435180">
        <w:rPr>
          <w:szCs w:val="22"/>
        </w:rPr>
        <w:t xml:space="preserve"> or communicate</w:t>
      </w:r>
      <w:r w:rsidR="00151FCF">
        <w:rPr>
          <w:szCs w:val="22"/>
        </w:rPr>
        <w:t>s</w:t>
      </w:r>
      <w:r w:rsidRPr="00435180">
        <w:rPr>
          <w:szCs w:val="22"/>
        </w:rPr>
        <w:t>, directly or indirectly, bidding at the auction, bidding strate</w:t>
      </w:r>
      <w:r w:rsidRPr="00435180">
        <w:rPr>
          <w:szCs w:val="22"/>
        </w:rPr>
        <w:t>gies, including arrangements regarding price or the specific licenses on which to bid, and any such arrangement relating to the post-auction market structure.</w:t>
      </w:r>
      <w:r>
        <w:rPr>
          <w:rStyle w:val="FootnoteReference"/>
          <w:szCs w:val="22"/>
        </w:rPr>
        <w:footnoteReference w:id="47"/>
      </w:r>
      <w:r w:rsidRPr="00435180">
        <w:rPr>
          <w:szCs w:val="22"/>
        </w:rPr>
        <w:t xml:space="preserve">    </w:t>
      </w:r>
    </w:p>
    <w:p w:rsidR="00D6515C" w:rsidRPr="00435180" w:rsidP="00D850FB" w14:paraId="1ABBCE57" w14:textId="4A17B71B">
      <w:pPr>
        <w:pStyle w:val="ParaNum"/>
        <w:widowControl/>
        <w:autoSpaceDE w:val="0"/>
        <w:autoSpaceDN w:val="0"/>
        <w:adjustRightInd w:val="0"/>
        <w:rPr>
          <w:snapToGrid/>
          <w:kern w:val="0"/>
          <w:szCs w:val="22"/>
        </w:rPr>
      </w:pPr>
      <w:r w:rsidRPr="00435180">
        <w:rPr>
          <w:szCs w:val="22"/>
        </w:rPr>
        <w:t>This prohibition applies to joint bidding arrangements involving two or more nationwide pro</w:t>
      </w:r>
      <w:r w:rsidRPr="00435180">
        <w:rPr>
          <w:szCs w:val="22"/>
        </w:rPr>
        <w:t>viders,</w:t>
      </w:r>
      <w:r>
        <w:rPr>
          <w:rStyle w:val="FootnoteReference"/>
          <w:szCs w:val="22"/>
        </w:rPr>
        <w:footnoteReference w:id="48"/>
      </w:r>
      <w:r w:rsidRPr="00435180">
        <w:rPr>
          <w:szCs w:val="22"/>
        </w:rPr>
        <w:t xml:space="preserve"> as well as joint bidding arrangements involving a nationwide provider and one or more non-nationwide providers,</w:t>
      </w:r>
      <w:r>
        <w:rPr>
          <w:rStyle w:val="FootnoteReference"/>
          <w:szCs w:val="22"/>
        </w:rPr>
        <w:footnoteReference w:id="49"/>
      </w:r>
      <w:r w:rsidRPr="00435180">
        <w:rPr>
          <w:szCs w:val="22"/>
        </w:rPr>
        <w:t xml:space="preserve"> where </w:t>
      </w:r>
      <w:r w:rsidR="001505DA">
        <w:rPr>
          <w:szCs w:val="22"/>
        </w:rPr>
        <w:t>at least one</w:t>
      </w:r>
      <w:r w:rsidRPr="00435180" w:rsidR="001505DA">
        <w:rPr>
          <w:szCs w:val="22"/>
        </w:rPr>
        <w:t xml:space="preserve"> </w:t>
      </w:r>
      <w:r w:rsidRPr="00435180">
        <w:rPr>
          <w:szCs w:val="22"/>
        </w:rPr>
        <w:t>party to the arrangement is an applicant for the auction.</w:t>
      </w:r>
      <w:r>
        <w:rPr>
          <w:rStyle w:val="FootnoteReference"/>
          <w:szCs w:val="22"/>
        </w:rPr>
        <w:footnoteReference w:id="50"/>
      </w:r>
      <w:r w:rsidR="00BC25E5">
        <w:rPr>
          <w:szCs w:val="22"/>
        </w:rPr>
        <w:t xml:space="preserve">  In the </w:t>
      </w:r>
      <w:r w:rsidR="00423612">
        <w:rPr>
          <w:i/>
          <w:szCs w:val="22"/>
        </w:rPr>
        <w:t xml:space="preserve">Updating Part 1 </w:t>
      </w:r>
      <w:r w:rsidR="00BC25E5">
        <w:rPr>
          <w:i/>
          <w:szCs w:val="22"/>
        </w:rPr>
        <w:t>Report and Order</w:t>
      </w:r>
      <w:r w:rsidR="00BC25E5">
        <w:rPr>
          <w:szCs w:val="22"/>
        </w:rPr>
        <w:t xml:space="preserve">, the Commission stated that entities that qualify </w:t>
      </w:r>
      <w:r w:rsidR="00EF1984">
        <w:rPr>
          <w:szCs w:val="22"/>
        </w:rPr>
        <w:t xml:space="preserve">as </w:t>
      </w:r>
      <w:r w:rsidR="00BC25E5">
        <w:rPr>
          <w:szCs w:val="22"/>
        </w:rPr>
        <w:t xml:space="preserve">nationwide providers </w:t>
      </w:r>
      <w:r w:rsidRPr="00BC25E5" w:rsidR="00BC25E5">
        <w:rPr>
          <w:szCs w:val="22"/>
        </w:rPr>
        <w:t xml:space="preserve">generally </w:t>
      </w:r>
      <w:r w:rsidR="00BC25E5">
        <w:rPr>
          <w:szCs w:val="22"/>
        </w:rPr>
        <w:t xml:space="preserve">would </w:t>
      </w:r>
      <w:r w:rsidRPr="00BC25E5" w:rsidR="00BC25E5">
        <w:rPr>
          <w:szCs w:val="22"/>
        </w:rPr>
        <w:t>be identified in procedures public notices released before each auction</w:t>
      </w:r>
      <w:r w:rsidR="00BC25E5">
        <w:rPr>
          <w:szCs w:val="22"/>
        </w:rPr>
        <w:t>.</w:t>
      </w:r>
      <w:r>
        <w:rPr>
          <w:rStyle w:val="FootnoteReference"/>
          <w:szCs w:val="22"/>
        </w:rPr>
        <w:footnoteReference w:id="51"/>
      </w:r>
      <w:r w:rsidR="00BC25E5">
        <w:rPr>
          <w:szCs w:val="22"/>
        </w:rPr>
        <w:t xml:space="preserve"> </w:t>
      </w:r>
      <w:r w:rsidRPr="00435180">
        <w:rPr>
          <w:szCs w:val="22"/>
        </w:rPr>
        <w:t xml:space="preserve"> </w:t>
      </w:r>
      <w:r w:rsidR="00BC25E5">
        <w:rPr>
          <w:szCs w:val="22"/>
        </w:rPr>
        <w:t>To that end, and c</w:t>
      </w:r>
      <w:r w:rsidR="00B44C7C">
        <w:rPr>
          <w:szCs w:val="22"/>
        </w:rPr>
        <w:t xml:space="preserve">onsistent with our decisions in </w:t>
      </w:r>
      <w:r w:rsidR="00BC25E5">
        <w:rPr>
          <w:szCs w:val="22"/>
        </w:rPr>
        <w:t>recent</w:t>
      </w:r>
      <w:r w:rsidR="00B44C7C">
        <w:rPr>
          <w:szCs w:val="22"/>
        </w:rPr>
        <w:t xml:space="preserve"> spectrum auctions</w:t>
      </w:r>
      <w:r w:rsidRPr="00435180">
        <w:rPr>
          <w:szCs w:val="22"/>
        </w:rPr>
        <w:t>,</w:t>
      </w:r>
      <w:r>
        <w:rPr>
          <w:rStyle w:val="FootnoteReference"/>
          <w:szCs w:val="22"/>
        </w:rPr>
        <w:footnoteReference w:id="52"/>
      </w:r>
      <w:r w:rsidRPr="00435180">
        <w:rPr>
          <w:szCs w:val="22"/>
        </w:rPr>
        <w:t xml:space="preserve"> we consider AT&amp;T, T-Mobile, and Verizon to be “nationwide providers” for the purpose of implementing our competitive bidding rules in Auction 10</w:t>
      </w:r>
      <w:r w:rsidR="00BF1891">
        <w:rPr>
          <w:szCs w:val="22"/>
        </w:rPr>
        <w:t>7</w:t>
      </w:r>
      <w:r w:rsidRPr="00435180">
        <w:rPr>
          <w:szCs w:val="22"/>
        </w:rPr>
        <w:t>.</w:t>
      </w:r>
      <w:r>
        <w:rPr>
          <w:rStyle w:val="FootnoteReference"/>
          <w:szCs w:val="22"/>
        </w:rPr>
        <w:footnoteReference w:id="53"/>
      </w:r>
      <w:r w:rsidRPr="00435180">
        <w:rPr>
          <w:szCs w:val="22"/>
        </w:rPr>
        <w:t xml:space="preserve">  </w:t>
      </w:r>
    </w:p>
    <w:p w:rsidR="00D6515C" w:rsidRPr="00435180" w:rsidP="00D850FB" w14:paraId="31E7B2B4" w14:textId="21BEF034">
      <w:pPr>
        <w:pStyle w:val="ParaNum"/>
        <w:widowControl/>
        <w:autoSpaceDE w:val="0"/>
        <w:autoSpaceDN w:val="0"/>
        <w:adjustRightInd w:val="0"/>
        <w:rPr>
          <w:snapToGrid/>
          <w:kern w:val="0"/>
          <w:szCs w:val="22"/>
        </w:rPr>
      </w:pPr>
      <w:r>
        <w:rPr>
          <w:szCs w:val="22"/>
        </w:rPr>
        <w:t>Under certain circumstances, a</w:t>
      </w:r>
      <w:r w:rsidR="00785967">
        <w:rPr>
          <w:szCs w:val="22"/>
        </w:rPr>
        <w:t xml:space="preserve"> n</w:t>
      </w:r>
      <w:r w:rsidRPr="00435180" w:rsidR="00777B66">
        <w:rPr>
          <w:szCs w:val="22"/>
        </w:rPr>
        <w:t xml:space="preserve">on-nationwide provider may enter into </w:t>
      </w:r>
      <w:r w:rsidR="00AA52EA">
        <w:rPr>
          <w:szCs w:val="22"/>
        </w:rPr>
        <w:t xml:space="preserve">an </w:t>
      </w:r>
      <w:r w:rsidRPr="00435180" w:rsidR="00777B66">
        <w:rPr>
          <w:szCs w:val="22"/>
        </w:rPr>
        <w:t>agreement to form a consortium or a joint venture (as applicable) that result</w:t>
      </w:r>
      <w:r w:rsidR="00075D27">
        <w:rPr>
          <w:szCs w:val="22"/>
        </w:rPr>
        <w:t>s</w:t>
      </w:r>
      <w:r w:rsidRPr="00435180" w:rsidR="00777B66">
        <w:rPr>
          <w:szCs w:val="22"/>
        </w:rPr>
        <w:t xml:space="preserve"> in a single party applying to participate in an auction.</w:t>
      </w:r>
      <w:r>
        <w:rPr>
          <w:rStyle w:val="FootnoteReference"/>
          <w:szCs w:val="22"/>
        </w:rPr>
        <w:footnoteReference w:id="54"/>
      </w:r>
      <w:r w:rsidRPr="00435180" w:rsidR="00777B66">
        <w:rPr>
          <w:szCs w:val="22"/>
        </w:rPr>
        <w:t xml:space="preserve">  Specifically, a designated entity (DE) can participate in one consortium or joint venture in an auction</w:t>
      </w:r>
      <w:r w:rsidR="002305CF">
        <w:rPr>
          <w:szCs w:val="22"/>
        </w:rPr>
        <w:t>,</w:t>
      </w:r>
      <w:r>
        <w:rPr>
          <w:rStyle w:val="FootnoteReference"/>
          <w:szCs w:val="22"/>
        </w:rPr>
        <w:footnoteReference w:id="55"/>
      </w:r>
      <w:r w:rsidRPr="00435180" w:rsidR="00777B66">
        <w:rPr>
          <w:szCs w:val="22"/>
        </w:rPr>
        <w:t xml:space="preserve"> and non-nationwide providers that are not designated entities may participate in an auction </w:t>
      </w:r>
      <w:r w:rsidRPr="00435180" w:rsidR="00777B66">
        <w:rPr>
          <w:szCs w:val="22"/>
        </w:rPr>
        <w:t>through only one joint venture.</w:t>
      </w:r>
      <w:r>
        <w:rPr>
          <w:rStyle w:val="FootnoteReference"/>
          <w:szCs w:val="22"/>
        </w:rPr>
        <w:footnoteReference w:id="56"/>
      </w:r>
      <w:r w:rsidRPr="00435180" w:rsidR="00777B66">
        <w:rPr>
          <w:szCs w:val="22"/>
        </w:rPr>
        <w:t xml:space="preserve">  </w:t>
      </w:r>
      <w:r w:rsidR="00B00A31">
        <w:rPr>
          <w:szCs w:val="22"/>
        </w:rPr>
        <w:t>A non-nationwide provider</w:t>
      </w:r>
      <w:r w:rsidR="006D7969">
        <w:rPr>
          <w:szCs w:val="22"/>
        </w:rPr>
        <w:t xml:space="preserve"> may enter into only one agreement to form a consortium or joint venture (as applicable), and </w:t>
      </w:r>
      <w:r w:rsidR="00445ED7">
        <w:rPr>
          <w:szCs w:val="22"/>
        </w:rPr>
        <w:t xml:space="preserve">such consortium or joint venture shall be the exclusive bidding vehicle for its members in </w:t>
      </w:r>
      <w:r w:rsidR="00D751AE">
        <w:rPr>
          <w:szCs w:val="22"/>
        </w:rPr>
        <w:t>the</w:t>
      </w:r>
      <w:r w:rsidR="00445ED7">
        <w:rPr>
          <w:szCs w:val="22"/>
        </w:rPr>
        <w:t xml:space="preserve"> auction.</w:t>
      </w:r>
      <w:r>
        <w:rPr>
          <w:rStyle w:val="FootnoteReference"/>
          <w:szCs w:val="22"/>
        </w:rPr>
        <w:footnoteReference w:id="57"/>
      </w:r>
      <w:r w:rsidR="00445ED7">
        <w:rPr>
          <w:szCs w:val="22"/>
        </w:rPr>
        <w:t xml:space="preserve">  </w:t>
      </w:r>
      <w:r w:rsidRPr="00435180" w:rsidR="00777B66">
        <w:rPr>
          <w:szCs w:val="22"/>
        </w:rPr>
        <w:t xml:space="preserve">The general </w:t>
      </w:r>
      <w:r w:rsidR="00777B66">
        <w:rPr>
          <w:szCs w:val="22"/>
        </w:rPr>
        <w:t>prohibition o</w:t>
      </w:r>
      <w:r w:rsidR="00615D51">
        <w:rPr>
          <w:szCs w:val="22"/>
        </w:rPr>
        <w:t>n</w:t>
      </w:r>
      <w:r w:rsidRPr="00435180" w:rsidR="00777B66">
        <w:rPr>
          <w:szCs w:val="22"/>
        </w:rPr>
        <w:t xml:space="preserve"> joint bidding arrangements excludes certain agreements, including those that are solely operational in nature,</w:t>
      </w:r>
      <w:r>
        <w:rPr>
          <w:rStyle w:val="FootnoteReference"/>
          <w:szCs w:val="22"/>
        </w:rPr>
        <w:footnoteReference w:id="58"/>
      </w:r>
      <w:r w:rsidRPr="00435180" w:rsidR="00777B66">
        <w:rPr>
          <w:szCs w:val="22"/>
        </w:rPr>
        <w:t xml:space="preserve"> as defined in section 1.2105(a)(2)(ix)(A)-(C) of the Commission’s rules.</w:t>
      </w:r>
      <w:r>
        <w:rPr>
          <w:rStyle w:val="FootnoteReference"/>
          <w:szCs w:val="22"/>
        </w:rPr>
        <w:footnoteReference w:id="59"/>
      </w:r>
    </w:p>
    <w:p w:rsidR="00D6515C" w:rsidRPr="00435180" w:rsidP="00D850FB" w14:paraId="20BF67BA" w14:textId="04E1EC3A">
      <w:pPr>
        <w:pStyle w:val="ParaNum"/>
        <w:widowControl/>
        <w:autoSpaceDE w:val="0"/>
        <w:autoSpaceDN w:val="0"/>
        <w:adjustRightInd w:val="0"/>
        <w:rPr>
          <w:szCs w:val="22"/>
        </w:rPr>
      </w:pPr>
      <w:r w:rsidRPr="00435180">
        <w:rPr>
          <w:szCs w:val="22"/>
        </w:rPr>
        <w:t xml:space="preserve">To implement the </w:t>
      </w:r>
      <w:r>
        <w:rPr>
          <w:szCs w:val="22"/>
        </w:rPr>
        <w:t>prohibition o</w:t>
      </w:r>
      <w:r w:rsidR="00615D51">
        <w:rPr>
          <w:szCs w:val="22"/>
        </w:rPr>
        <w:t>n</w:t>
      </w:r>
      <w:r w:rsidRPr="00435180">
        <w:rPr>
          <w:szCs w:val="22"/>
        </w:rPr>
        <w:t xml:space="preserve"> joint bidding arrangements, the Commission’s rules require each applicant to certify in its short-form application that it has disclosed any arrange</w:t>
      </w:r>
      <w:r w:rsidRPr="00435180">
        <w:rPr>
          <w:szCs w:val="22"/>
        </w:rPr>
        <w:t>ments or understandings of any kind relating to the licenses being auctioned to which it (or any party that controls or is controlled by it) is a party.</w:t>
      </w:r>
      <w:r>
        <w:rPr>
          <w:rStyle w:val="FootnoteReference"/>
          <w:szCs w:val="22"/>
        </w:rPr>
        <w:footnoteReference w:id="60"/>
      </w:r>
      <w:r w:rsidRPr="00435180">
        <w:rPr>
          <w:szCs w:val="22"/>
        </w:rPr>
        <w:t xml:space="preserve">  The applicant must also certify that it (or any party that controls or is controlled by it) has not </w:t>
      </w:r>
      <w:r w:rsidRPr="00435180">
        <w:rPr>
          <w:szCs w:val="22"/>
        </w:rPr>
        <w:t>entered and will not enter into any arrangement or understanding of any kind relating directly or indirectly to bidding at auction with, among others, any other applicant or a nationwide provider.</w:t>
      </w:r>
      <w:r>
        <w:rPr>
          <w:rStyle w:val="FootnoteReference"/>
          <w:szCs w:val="22"/>
        </w:rPr>
        <w:footnoteReference w:id="61"/>
      </w:r>
    </w:p>
    <w:p w:rsidR="00D6515C" w:rsidRPr="00435180" w:rsidP="00D850FB" w14:paraId="69FB1738" w14:textId="694ADCA0">
      <w:pPr>
        <w:pStyle w:val="ParaNum"/>
        <w:widowControl/>
        <w:autoSpaceDE w:val="0"/>
        <w:autoSpaceDN w:val="0"/>
        <w:adjustRightInd w:val="0"/>
        <w:rPr>
          <w:szCs w:val="22"/>
        </w:rPr>
      </w:pPr>
      <w:r w:rsidRPr="00435180">
        <w:rPr>
          <w:szCs w:val="22"/>
        </w:rPr>
        <w:t>Although the Commission’s rules do not prohibit auction a</w:t>
      </w:r>
      <w:r w:rsidRPr="00435180">
        <w:rPr>
          <w:szCs w:val="22"/>
        </w:rPr>
        <w:t>pplicants from communicating about matters that are within the scope of an excepted agreement that has been disclosed in an FCC Form 175,</w:t>
      </w:r>
      <w:r>
        <w:rPr>
          <w:rStyle w:val="FootnoteReference"/>
          <w:szCs w:val="22"/>
        </w:rPr>
        <w:footnoteReference w:id="62"/>
      </w:r>
      <w:r w:rsidRPr="00435180">
        <w:rPr>
          <w:szCs w:val="22"/>
        </w:rPr>
        <w:t xml:space="preserve"> the Commission reminds applicants that certain discussions or exchanges could nonetheless touch upon impermissible s</w:t>
      </w:r>
      <w:r w:rsidRPr="00435180">
        <w:rPr>
          <w:szCs w:val="22"/>
        </w:rPr>
        <w:t>ubject matters,</w:t>
      </w:r>
      <w:r>
        <w:rPr>
          <w:rStyle w:val="FootnoteReference"/>
          <w:szCs w:val="22"/>
        </w:rPr>
        <w:footnoteReference w:id="63"/>
      </w:r>
      <w:r w:rsidRPr="00435180">
        <w:rPr>
          <w:szCs w:val="22"/>
        </w:rPr>
        <w:t xml:space="preserve"> and that compliance with the Commission’s rules will not insulate a party from enforcement of the antitrust laws.</w:t>
      </w:r>
      <w:r>
        <w:rPr>
          <w:rStyle w:val="FootnoteReference"/>
          <w:szCs w:val="22"/>
        </w:rPr>
        <w:footnoteReference w:id="64"/>
      </w:r>
    </w:p>
    <w:p w:rsidR="00D6515C" w:rsidRPr="00435180" w:rsidP="00D850FB" w14:paraId="60B6B893" w14:textId="04C0A544">
      <w:pPr>
        <w:pStyle w:val="ParaNum"/>
        <w:widowControl/>
        <w:autoSpaceDE w:val="0"/>
        <w:autoSpaceDN w:val="0"/>
        <w:adjustRightInd w:val="0"/>
        <w:rPr>
          <w:szCs w:val="22"/>
        </w:rPr>
      </w:pPr>
      <w:r w:rsidRPr="00435180">
        <w:rPr>
          <w:szCs w:val="22"/>
        </w:rPr>
        <w:t>Applicants should bear in mind that a winning bidder will be required to disclose in its FCC Form 601 post-auction applica</w:t>
      </w:r>
      <w:r w:rsidRPr="00435180">
        <w:rPr>
          <w:szCs w:val="22"/>
        </w:rPr>
        <w:t>tion the specific terms, conditions, and parties involved in any agreement relating to the licenses being auctioned into which it had entered prior to the time bidding was completed.</w:t>
      </w:r>
      <w:r>
        <w:rPr>
          <w:rStyle w:val="FootnoteReference"/>
          <w:szCs w:val="22"/>
        </w:rPr>
        <w:footnoteReference w:id="65"/>
      </w:r>
      <w:r w:rsidRPr="00435180">
        <w:rPr>
          <w:szCs w:val="22"/>
        </w:rPr>
        <w:t xml:space="preserve">  This applies to any bidding consortium, joint venture, partnership, or</w:t>
      </w:r>
      <w:r w:rsidRPr="00435180">
        <w:rPr>
          <w:szCs w:val="22"/>
        </w:rPr>
        <w:t xml:space="preserve"> other agreement, arrangement, or understanding of any kind entered into relating to the competitive bidding process, including any agreements relating to the licenses being auctioned that address or communicate directly or indirectly bids (including speci</w:t>
      </w:r>
      <w:r w:rsidRPr="00435180">
        <w:rPr>
          <w:szCs w:val="22"/>
        </w:rPr>
        <w:t>fic prices), bidding strategies (including the specific licenses on which to bid or not to bid), or the post-auction market structure, to which the applicant, or any party that controls or is controlled by the applicant, is a party.</w:t>
      </w:r>
      <w:r>
        <w:rPr>
          <w:rStyle w:val="FootnoteReference"/>
          <w:szCs w:val="22"/>
        </w:rPr>
        <w:footnoteReference w:id="66"/>
      </w:r>
    </w:p>
    <w:p w:rsidR="00D6515C" w:rsidRPr="00435180" w:rsidP="000C230C" w14:paraId="5CD3DB8F" w14:textId="77777777">
      <w:pPr>
        <w:pStyle w:val="Heading2"/>
      </w:pPr>
      <w:bookmarkStart w:id="396" w:name="_Toc6383454"/>
      <w:bookmarkStart w:id="397" w:name="_Toc7525779"/>
      <w:bookmarkStart w:id="398" w:name="_Toc8657134"/>
      <w:bookmarkStart w:id="399" w:name="_Toc9410660"/>
      <w:bookmarkStart w:id="400" w:name="_Toc9430066"/>
      <w:bookmarkStart w:id="401" w:name="_Toc10116829"/>
      <w:bookmarkStart w:id="402" w:name="_Toc10646135"/>
      <w:bookmarkStart w:id="403" w:name="_Toc11156539"/>
      <w:bookmarkStart w:id="404" w:name="_Toc11244283"/>
      <w:bookmarkStart w:id="405" w:name="_Toc11653539"/>
      <w:bookmarkStart w:id="406" w:name="_Toc11678119"/>
      <w:bookmarkStart w:id="407" w:name="_Toc13654706"/>
      <w:bookmarkStart w:id="408" w:name="_Toc24459426"/>
      <w:bookmarkStart w:id="409" w:name="_Toc24459523"/>
      <w:bookmarkStart w:id="410" w:name="_Toc25926219"/>
      <w:bookmarkStart w:id="411" w:name="_Toc25926797"/>
      <w:bookmarkStart w:id="412" w:name="_Toc25926918"/>
      <w:bookmarkStart w:id="413" w:name="_Toc27038978"/>
      <w:bookmarkStart w:id="414" w:name="_Toc29813122"/>
      <w:bookmarkStart w:id="415" w:name="_Toc29886847"/>
      <w:bookmarkStart w:id="416" w:name="_Toc29999451"/>
      <w:bookmarkStart w:id="417" w:name="_Toc30699377"/>
      <w:bookmarkStart w:id="418" w:name="_Toc30701457"/>
      <w:bookmarkStart w:id="419" w:name="_Toc31189278"/>
      <w:bookmarkStart w:id="420" w:name="_Toc31189732"/>
      <w:bookmarkStart w:id="421" w:name="_Toc31193099"/>
      <w:bookmarkStart w:id="422" w:name="_Toc31195850"/>
      <w:bookmarkStart w:id="423" w:name="_Toc31199974"/>
      <w:bookmarkStart w:id="424" w:name="_Toc31713741"/>
      <w:bookmarkStart w:id="425" w:name="_Toc31822650"/>
      <w:bookmarkStart w:id="426" w:name="_Toc33629807"/>
      <w:bookmarkStart w:id="427" w:name="_Toc33696659"/>
      <w:r w:rsidRPr="00435180">
        <w:t xml:space="preserve">Ownership </w:t>
      </w:r>
      <w:r w:rsidRPr="00435180">
        <w:t>Disclosure Requirements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D6515C" w:rsidRPr="00435180" w:rsidP="00D850FB" w14:paraId="469AD5F7" w14:textId="68D9112C">
      <w:pPr>
        <w:pStyle w:val="ParaNum"/>
        <w:widowControl/>
        <w:autoSpaceDE w:val="0"/>
        <w:autoSpaceDN w:val="0"/>
        <w:adjustRightInd w:val="0"/>
        <w:rPr>
          <w:szCs w:val="22"/>
        </w:rPr>
      </w:pPr>
      <w:r w:rsidRPr="00435180">
        <w:rPr>
          <w:szCs w:val="22"/>
        </w:rPr>
        <w:t>Each applicant must comply with the applicable Part 1 ownership disclosure requirements and provide information required by sections 1.2105 and 1.2112, and, where applicable, section 1.2110, of the Commission’s rules.</w:t>
      </w:r>
      <w:r>
        <w:rPr>
          <w:rStyle w:val="FootnoteReference"/>
          <w:szCs w:val="22"/>
        </w:rPr>
        <w:footnoteReference w:id="67"/>
      </w:r>
      <w:r w:rsidRPr="00435180">
        <w:rPr>
          <w:szCs w:val="22"/>
        </w:rPr>
        <w:t xml:space="preserve">  Specificall</w:t>
      </w:r>
      <w:r w:rsidRPr="00435180">
        <w:rPr>
          <w:szCs w:val="22"/>
        </w:rPr>
        <w:t>y, in completing FCC Form 175, an applicant must fully disclose information regarding the real party- or parties-in-interest in the applicant or application and the ownership structure of the applicant, including both direct and indirect ownership interest</w:t>
      </w:r>
      <w:r w:rsidRPr="00435180">
        <w:rPr>
          <w:szCs w:val="22"/>
        </w:rPr>
        <w:t xml:space="preserve">s of 10% or more, as prescribed in sections 1.2105 and 1.2112 and, where applicable, section </w:t>
      </w:r>
      <w:r w:rsidRPr="00435180">
        <w:rPr>
          <w:szCs w:val="22"/>
        </w:rPr>
        <w:t>1.2110 of the Commission’s rules.</w:t>
      </w:r>
      <w:r>
        <w:rPr>
          <w:rStyle w:val="FootnoteReference"/>
          <w:szCs w:val="22"/>
        </w:rPr>
        <w:footnoteReference w:id="68"/>
      </w:r>
      <w:r w:rsidRPr="00435180">
        <w:rPr>
          <w:szCs w:val="22"/>
        </w:rPr>
        <w:t xml:space="preserve">  Each applicant is responsible for ensuring that information submitted in its short-form application is complete and accurate. </w:t>
      </w:r>
    </w:p>
    <w:p w:rsidR="00D6515C" w:rsidRPr="00435180" w:rsidP="00D850FB" w14:paraId="3D0F367A" w14:textId="1BCC1EFA">
      <w:pPr>
        <w:pStyle w:val="ParaNum"/>
        <w:widowControl/>
        <w:autoSpaceDE w:val="0"/>
        <w:autoSpaceDN w:val="0"/>
        <w:adjustRightInd w:val="0"/>
        <w:rPr>
          <w:szCs w:val="22"/>
        </w:rPr>
      </w:pPr>
      <w:r w:rsidRPr="00435180">
        <w:rPr>
          <w:szCs w:val="22"/>
        </w:rPr>
        <w:t>In certain circumstances, an applicant may have previously filed an FCC Form 602 ownership disclosure information report or filed an auction application for a previous auction in which ownership information was disclosed.  The most current ownership infor</w:t>
      </w:r>
      <w:r w:rsidRPr="00435180">
        <w:rPr>
          <w:szCs w:val="22"/>
        </w:rPr>
        <w:t xml:space="preserve">mation contained in any FCC Form 602 or previous auction application on file with the Commission that used the same </w:t>
      </w:r>
      <w:r w:rsidR="00D64FC7">
        <w:rPr>
          <w:szCs w:val="22"/>
        </w:rPr>
        <w:t>FCC Registration Number (</w:t>
      </w:r>
      <w:r w:rsidRPr="00435180">
        <w:rPr>
          <w:szCs w:val="22"/>
        </w:rPr>
        <w:t>FRN</w:t>
      </w:r>
      <w:r w:rsidR="00D64FC7">
        <w:rPr>
          <w:szCs w:val="22"/>
        </w:rPr>
        <w:t>)</w:t>
      </w:r>
      <w:r w:rsidRPr="00435180">
        <w:rPr>
          <w:szCs w:val="22"/>
        </w:rPr>
        <w:t xml:space="preserve"> the applicant is using to submit its FCC Form 175 will automatically be pre-filled into certain ownership sect</w:t>
      </w:r>
      <w:r w:rsidRPr="00435180">
        <w:rPr>
          <w:szCs w:val="22"/>
        </w:rPr>
        <w:t>ions on the applicant’s FCC Form 175,</w:t>
      </w:r>
      <w:r>
        <w:rPr>
          <w:rStyle w:val="FootnoteReference"/>
          <w:szCs w:val="22"/>
        </w:rPr>
        <w:footnoteReference w:id="69"/>
      </w:r>
      <w:r w:rsidRPr="00435180">
        <w:rPr>
          <w:szCs w:val="22"/>
        </w:rPr>
        <w:t xml:space="preserve"> </w:t>
      </w:r>
      <w:r w:rsidRPr="00435180">
        <w:rPr>
          <w:color w:val="000000"/>
          <w:szCs w:val="22"/>
        </w:rPr>
        <w:t>if such information is in an electronic format compatible with FCC Form 175</w:t>
      </w:r>
      <w:r w:rsidRPr="00435180">
        <w:rPr>
          <w:szCs w:val="22"/>
        </w:rPr>
        <w:t>.</w:t>
      </w:r>
      <w:r>
        <w:rPr>
          <w:rStyle w:val="FootnoteReference"/>
          <w:szCs w:val="22"/>
        </w:rPr>
        <w:footnoteReference w:id="70"/>
      </w:r>
      <w:r w:rsidRPr="00435180">
        <w:rPr>
          <w:szCs w:val="22"/>
        </w:rPr>
        <w:t xml:space="preserve">  Each applicant must carefully review any ownership information automatically entered into its FCC Form 175, including any ownership atta</w:t>
      </w:r>
      <w:r w:rsidRPr="00435180">
        <w:rPr>
          <w:szCs w:val="22"/>
        </w:rPr>
        <w:t>chments, to confirm that all information supplied on FCC Form 175 is complete and accurate as of the application filing deadline.  Any information that needs to be corrected or updated must be changed directly in FCC Form 175.</w:t>
      </w:r>
    </w:p>
    <w:p w:rsidR="00D6515C" w:rsidRPr="00435180" w:rsidP="000C230C" w14:paraId="0BA9C6AE" w14:textId="77777777">
      <w:pPr>
        <w:pStyle w:val="Heading2"/>
      </w:pPr>
      <w:bookmarkStart w:id="428" w:name="_Toc6383455"/>
      <w:bookmarkStart w:id="429" w:name="_Toc7525780"/>
      <w:bookmarkStart w:id="430" w:name="_Toc8657135"/>
      <w:bookmarkStart w:id="431" w:name="_Toc9410661"/>
      <w:bookmarkStart w:id="432" w:name="_Toc9430067"/>
      <w:bookmarkStart w:id="433" w:name="_Toc10116830"/>
      <w:bookmarkStart w:id="434" w:name="_Toc10646136"/>
      <w:bookmarkStart w:id="435" w:name="_Toc11156540"/>
      <w:bookmarkStart w:id="436" w:name="_Toc11244284"/>
      <w:bookmarkStart w:id="437" w:name="_Toc11653540"/>
      <w:bookmarkStart w:id="438" w:name="_Toc11678120"/>
      <w:bookmarkStart w:id="439" w:name="_Toc13654707"/>
      <w:bookmarkStart w:id="440" w:name="_Toc24459427"/>
      <w:bookmarkStart w:id="441" w:name="_Toc24459524"/>
      <w:bookmarkStart w:id="442" w:name="_Toc25926220"/>
      <w:bookmarkStart w:id="443" w:name="_Toc25926798"/>
      <w:bookmarkStart w:id="444" w:name="_Toc25926919"/>
      <w:bookmarkStart w:id="445" w:name="_Toc27038979"/>
      <w:bookmarkStart w:id="446" w:name="_Toc29813123"/>
      <w:bookmarkStart w:id="447" w:name="_Toc29886848"/>
      <w:bookmarkStart w:id="448" w:name="_Toc29999452"/>
      <w:bookmarkStart w:id="449" w:name="_Toc30699378"/>
      <w:bookmarkStart w:id="450" w:name="_Toc30701458"/>
      <w:bookmarkStart w:id="451" w:name="_Toc31189279"/>
      <w:bookmarkStart w:id="452" w:name="_Toc31189733"/>
      <w:bookmarkStart w:id="453" w:name="_Toc31193100"/>
      <w:bookmarkStart w:id="454" w:name="_Toc31195851"/>
      <w:bookmarkStart w:id="455" w:name="_Toc31199975"/>
      <w:bookmarkStart w:id="456" w:name="_Toc31713742"/>
      <w:bookmarkStart w:id="457" w:name="_Toc31822651"/>
      <w:bookmarkStart w:id="458" w:name="_Toc33629808"/>
      <w:bookmarkStart w:id="459" w:name="_Toc33696660"/>
      <w:r w:rsidRPr="00435180">
        <w:t xml:space="preserve">Foreign Ownership Disclosure </w:t>
      </w:r>
      <w:r w:rsidRPr="00435180">
        <w:t>Requirements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D6515C" w:rsidRPr="00435180" w:rsidP="00D850FB" w14:paraId="0B37CB52" w14:textId="2157D9C4">
      <w:pPr>
        <w:pStyle w:val="ParaNum"/>
        <w:widowControl/>
        <w:autoSpaceDE w:val="0"/>
        <w:autoSpaceDN w:val="0"/>
        <w:adjustRightInd w:val="0"/>
        <w:rPr>
          <w:szCs w:val="22"/>
        </w:rPr>
      </w:pPr>
      <w:r w:rsidRPr="00435180">
        <w:rPr>
          <w:szCs w:val="22"/>
        </w:rPr>
        <w:t>Section 310 of the Communications Act requires the Commission to review foreign investment in radio station licenses and imposes specific restrictions on who may hold certain types of radio licenses.</w:t>
      </w:r>
      <w:r>
        <w:rPr>
          <w:rStyle w:val="FootnoteReference"/>
          <w:szCs w:val="22"/>
        </w:rPr>
        <w:footnoteReference w:id="71"/>
      </w:r>
      <w:r w:rsidRPr="00435180">
        <w:rPr>
          <w:szCs w:val="22"/>
        </w:rPr>
        <w:t xml:space="preserve">  Section 310 applies to applications for </w:t>
      </w:r>
      <w:r w:rsidRPr="00435180">
        <w:rPr>
          <w:szCs w:val="22"/>
        </w:rPr>
        <w:t>initial radio licenses, applications for assignments and transfers of control of radio licenses, and spectrum leasing arrangements under the Commission’s secondary market rules.</w:t>
      </w:r>
      <w:r>
        <w:rPr>
          <w:rStyle w:val="FootnoteReference"/>
          <w:szCs w:val="22"/>
        </w:rPr>
        <w:footnoteReference w:id="72"/>
      </w:r>
      <w:r w:rsidRPr="00435180">
        <w:rPr>
          <w:szCs w:val="22"/>
        </w:rPr>
        <w:t xml:space="preserve">  In completing FCC Form 175, an applicant is required to disclose informatio</w:t>
      </w:r>
      <w:r w:rsidRPr="00435180">
        <w:rPr>
          <w:szCs w:val="22"/>
        </w:rPr>
        <w:t xml:space="preserve">n concerning foreign ownership of the applicant.  If an applicant has foreign ownership interests in excess of the applicable limit or benchmark set forth in section 310(b), </w:t>
      </w:r>
      <w:r w:rsidR="004B5155">
        <w:rPr>
          <w:szCs w:val="22"/>
        </w:rPr>
        <w:t xml:space="preserve">then </w:t>
      </w:r>
      <w:r w:rsidRPr="00435180">
        <w:rPr>
          <w:szCs w:val="22"/>
        </w:rPr>
        <w:t>it may seek to participate in Auction 10</w:t>
      </w:r>
      <w:r w:rsidR="00DA6217">
        <w:rPr>
          <w:szCs w:val="22"/>
        </w:rPr>
        <w:t>7</w:t>
      </w:r>
      <w:r w:rsidRPr="00435180">
        <w:rPr>
          <w:szCs w:val="22"/>
        </w:rPr>
        <w:t xml:space="preserve"> as long as it has filed a petition for declaratory ruling with the Commission prior to the FCC Form 175 filing deadline.</w:t>
      </w:r>
      <w:r>
        <w:rPr>
          <w:rStyle w:val="FootnoteReference"/>
          <w:szCs w:val="22"/>
        </w:rPr>
        <w:footnoteReference w:id="73"/>
      </w:r>
      <w:r w:rsidRPr="00435180">
        <w:rPr>
          <w:szCs w:val="22"/>
        </w:rPr>
        <w:t xml:space="preserve">  An applicant must certify in its FCC Form 175 that, as of the deadline for filing its application to participate in the auction, th</w:t>
      </w:r>
      <w:r w:rsidRPr="00435180">
        <w:rPr>
          <w:szCs w:val="22"/>
        </w:rPr>
        <w:t>e applicant either is in compliance with the foreign ownership provisions of section 310 or has filed a petition for declaratory ruling requesting Commission approval to exceed the applicable foreign ownership limit or benchmark in section 310(b) that is p</w:t>
      </w:r>
      <w:r w:rsidRPr="00435180">
        <w:rPr>
          <w:szCs w:val="22"/>
        </w:rPr>
        <w:t>ending before, or has been granted by, the Commission.</w:t>
      </w:r>
      <w:r>
        <w:rPr>
          <w:rStyle w:val="FootnoteReference"/>
          <w:szCs w:val="22"/>
        </w:rPr>
        <w:footnoteReference w:id="74"/>
      </w:r>
      <w:bookmarkStart w:id="460" w:name="_Toc6383456"/>
    </w:p>
    <w:p w:rsidR="00D6515C" w:rsidRPr="00435180" w:rsidP="000C230C" w14:paraId="767FAE8D" w14:textId="77777777">
      <w:pPr>
        <w:pStyle w:val="Heading2"/>
      </w:pPr>
      <w:bookmarkStart w:id="461" w:name="_Toc7525781"/>
      <w:bookmarkStart w:id="462" w:name="_Toc8657136"/>
      <w:bookmarkStart w:id="463" w:name="_Toc9410662"/>
      <w:bookmarkStart w:id="464" w:name="_Toc9430068"/>
      <w:bookmarkStart w:id="465" w:name="_Toc10116831"/>
      <w:bookmarkStart w:id="466" w:name="_Toc10646137"/>
      <w:bookmarkStart w:id="467" w:name="_Toc11156541"/>
      <w:bookmarkStart w:id="468" w:name="_Toc11244285"/>
      <w:bookmarkStart w:id="469" w:name="_Toc11653541"/>
      <w:bookmarkStart w:id="470" w:name="_Toc11678121"/>
      <w:bookmarkStart w:id="471" w:name="_Toc13654708"/>
      <w:bookmarkStart w:id="472" w:name="_Toc24459428"/>
      <w:bookmarkStart w:id="473" w:name="_Toc24459525"/>
      <w:bookmarkStart w:id="474" w:name="_Toc25926221"/>
      <w:bookmarkStart w:id="475" w:name="_Toc25926799"/>
      <w:bookmarkStart w:id="476" w:name="_Toc25926920"/>
      <w:bookmarkStart w:id="477" w:name="_Toc27038980"/>
      <w:bookmarkStart w:id="478" w:name="_Toc29813124"/>
      <w:bookmarkStart w:id="479" w:name="_Toc29886849"/>
      <w:bookmarkStart w:id="480" w:name="_Toc29999453"/>
      <w:bookmarkStart w:id="481" w:name="_Toc30699379"/>
      <w:bookmarkStart w:id="482" w:name="_Toc30701459"/>
      <w:bookmarkStart w:id="483" w:name="_Toc31189280"/>
      <w:bookmarkStart w:id="484" w:name="_Toc31189734"/>
      <w:bookmarkStart w:id="485" w:name="_Toc31193101"/>
      <w:bookmarkStart w:id="486" w:name="_Toc31195852"/>
      <w:bookmarkStart w:id="487" w:name="_Toc31199976"/>
      <w:bookmarkStart w:id="488" w:name="_Toc31713743"/>
      <w:bookmarkStart w:id="489" w:name="_Toc31822652"/>
      <w:bookmarkStart w:id="490" w:name="_Toc33629809"/>
      <w:bookmarkStart w:id="491" w:name="_Toc33696661"/>
      <w:r w:rsidRPr="00435180">
        <w:t>Information Procedures During the Auction Process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bookmarkEnd w:id="460"/>
    <w:p w:rsidR="00D6515C" w:rsidRPr="00435180" w:rsidP="00D850FB" w14:paraId="1B58460B" w14:textId="2D4EB613">
      <w:pPr>
        <w:pStyle w:val="ParaNum"/>
        <w:widowControl/>
        <w:autoSpaceDE w:val="0"/>
        <w:autoSpaceDN w:val="0"/>
        <w:adjustRightInd w:val="0"/>
        <w:rPr>
          <w:szCs w:val="22"/>
        </w:rPr>
      </w:pPr>
      <w:r w:rsidRPr="00435180">
        <w:rPr>
          <w:szCs w:val="22"/>
        </w:rPr>
        <w:t>Consistent with past practice in several prior spectrum license auctions,</w:t>
      </w:r>
      <w:r>
        <w:rPr>
          <w:rStyle w:val="FootnoteReference"/>
          <w:szCs w:val="22"/>
        </w:rPr>
        <w:footnoteReference w:id="75"/>
      </w:r>
      <w:r w:rsidRPr="00435180">
        <w:rPr>
          <w:szCs w:val="22"/>
        </w:rPr>
        <w:t xml:space="preserve"> we adopt our proposal to limit information available in Auction 10</w:t>
      </w:r>
      <w:r w:rsidR="00FA0FC6">
        <w:rPr>
          <w:szCs w:val="22"/>
        </w:rPr>
        <w:t>7</w:t>
      </w:r>
      <w:r w:rsidRPr="00435180">
        <w:rPr>
          <w:szCs w:val="22"/>
        </w:rPr>
        <w:t xml:space="preserve"> in or</w:t>
      </w:r>
      <w:r w:rsidRPr="00435180">
        <w:rPr>
          <w:szCs w:val="22"/>
        </w:rPr>
        <w:t>der to prevent the identification of bidders placing particular bids until after the bidding has closed.</w:t>
      </w:r>
      <w:r>
        <w:rPr>
          <w:rStyle w:val="FootnoteReference"/>
          <w:snapToGrid/>
          <w:kern w:val="0"/>
          <w:szCs w:val="22"/>
        </w:rPr>
        <w:footnoteReference w:id="76"/>
      </w:r>
      <w:r w:rsidRPr="00435180">
        <w:rPr>
          <w:szCs w:val="22"/>
        </w:rPr>
        <w:t xml:space="preserve">  More specifically, we will not make public until after bidding has closed</w:t>
      </w:r>
      <w:bookmarkStart w:id="492" w:name="_Hlk509220161"/>
      <w:r w:rsidRPr="00435180">
        <w:rPr>
          <w:szCs w:val="22"/>
        </w:rPr>
        <w:t>:</w:t>
      </w:r>
      <w:bookmarkEnd w:id="492"/>
      <w:r w:rsidRPr="00435180">
        <w:rPr>
          <w:szCs w:val="22"/>
        </w:rPr>
        <w:t xml:space="preserve">  (1) the license areas that an applicant selects for bidding in its short</w:t>
      </w:r>
      <w:r w:rsidRPr="00435180">
        <w:rPr>
          <w:szCs w:val="22"/>
        </w:rPr>
        <w:t>-form application</w:t>
      </w:r>
      <w:r w:rsidR="001D5141">
        <w:rPr>
          <w:szCs w:val="22"/>
        </w:rPr>
        <w:t>,</w:t>
      </w:r>
      <w:r w:rsidRPr="00435180">
        <w:rPr>
          <w:szCs w:val="22"/>
        </w:rPr>
        <w:t xml:space="preserve"> (2) the amount of any upfront payment made by or on behalf of an applicant</w:t>
      </w:r>
      <w:r w:rsidR="001D5141">
        <w:rPr>
          <w:szCs w:val="22"/>
        </w:rPr>
        <w:t>,</w:t>
      </w:r>
      <w:r w:rsidRPr="00435180">
        <w:rPr>
          <w:szCs w:val="22"/>
        </w:rPr>
        <w:t xml:space="preserve"> (3) any applicant’s bidding eligibility</w:t>
      </w:r>
      <w:r w:rsidR="001D5141">
        <w:rPr>
          <w:szCs w:val="22"/>
        </w:rPr>
        <w:t>,</w:t>
      </w:r>
      <w:r w:rsidRPr="00435180">
        <w:rPr>
          <w:szCs w:val="22"/>
        </w:rPr>
        <w:t xml:space="preserve"> and (4) any other bidding-related information that might reveal the identity of the bidder placing a bid.</w:t>
      </w:r>
    </w:p>
    <w:p w:rsidR="00D6515C" w:rsidRPr="00435180" w:rsidP="00D850FB" w14:paraId="2483E05A" w14:textId="3D48BCA3">
      <w:pPr>
        <w:pStyle w:val="ParaNum"/>
        <w:widowControl/>
        <w:autoSpaceDE w:val="0"/>
        <w:autoSpaceDN w:val="0"/>
        <w:adjustRightInd w:val="0"/>
        <w:rPr>
          <w:szCs w:val="22"/>
        </w:rPr>
      </w:pPr>
      <w:r w:rsidRPr="00435180">
        <w:rPr>
          <w:szCs w:val="22"/>
        </w:rPr>
        <w:t>The limited in</w:t>
      </w:r>
      <w:r w:rsidRPr="00435180">
        <w:rPr>
          <w:szCs w:val="22"/>
        </w:rPr>
        <w:t>formation procedures used in past auctions have helped safeguard against potential anticompetitive behavior such as retaliatory bidding and collusion.</w:t>
      </w:r>
      <w:r>
        <w:rPr>
          <w:szCs w:val="22"/>
          <w:vertAlign w:val="superscript"/>
        </w:rPr>
        <w:footnoteReference w:id="77"/>
      </w:r>
      <w:r w:rsidRPr="00435180">
        <w:rPr>
          <w:szCs w:val="22"/>
        </w:rPr>
        <w:t xml:space="preserve">  We find nothing in the record </w:t>
      </w:r>
      <w:r w:rsidR="00517988">
        <w:rPr>
          <w:szCs w:val="22"/>
        </w:rPr>
        <w:t xml:space="preserve">to </w:t>
      </w:r>
      <w:r w:rsidRPr="00435180">
        <w:rPr>
          <w:szCs w:val="22"/>
        </w:rPr>
        <w:t>suggest that we depart from our now-established practice of implement</w:t>
      </w:r>
      <w:r w:rsidRPr="00435180">
        <w:rPr>
          <w:szCs w:val="22"/>
        </w:rPr>
        <w:t>ing these procedures in wireless spectrum auctions.  We find that the competitive benefits associated with limiting information disclosure support adoption of such procedures and outweigh the potential benefits of full disclosure.</w:t>
      </w:r>
      <w:r>
        <w:rPr>
          <w:szCs w:val="22"/>
          <w:vertAlign w:val="superscript"/>
        </w:rPr>
        <w:footnoteReference w:id="78"/>
      </w:r>
    </w:p>
    <w:p w:rsidR="00D6515C" w:rsidRPr="00435180" w:rsidP="00D850FB" w14:paraId="724293B1" w14:textId="2A7983B2">
      <w:pPr>
        <w:pStyle w:val="ParaNum"/>
        <w:widowControl/>
        <w:autoSpaceDE w:val="0"/>
        <w:autoSpaceDN w:val="0"/>
        <w:adjustRightInd w:val="0"/>
        <w:rPr>
          <w:szCs w:val="22"/>
        </w:rPr>
      </w:pPr>
      <w:r w:rsidRPr="00435180">
        <w:rPr>
          <w:szCs w:val="22"/>
        </w:rPr>
        <w:t xml:space="preserve">Once the bidding </w:t>
      </w:r>
      <w:r w:rsidR="00850188">
        <w:rPr>
          <w:szCs w:val="22"/>
        </w:rPr>
        <w:t xml:space="preserve">begins </w:t>
      </w:r>
      <w:r w:rsidRPr="00435180">
        <w:rPr>
          <w:szCs w:val="22"/>
        </w:rPr>
        <w:t>in Auction 10</w:t>
      </w:r>
      <w:r w:rsidR="00D74238">
        <w:rPr>
          <w:szCs w:val="22"/>
        </w:rPr>
        <w:t>7</w:t>
      </w:r>
      <w:r w:rsidRPr="00435180">
        <w:rPr>
          <w:szCs w:val="22"/>
        </w:rPr>
        <w:t>, under the limited information procedures (sometimes also referred to as anonymous bidding), information to be made public after each round of bidding will include</w:t>
      </w:r>
      <w:r w:rsidR="00066BAD">
        <w:rPr>
          <w:szCs w:val="22"/>
        </w:rPr>
        <w:t>,</w:t>
      </w:r>
      <w:r w:rsidRPr="00435180">
        <w:rPr>
          <w:szCs w:val="22"/>
        </w:rPr>
        <w:t xml:space="preserve"> for license</w:t>
      </w:r>
      <w:r w:rsidR="00945EC6">
        <w:rPr>
          <w:szCs w:val="22"/>
        </w:rPr>
        <w:t>s</w:t>
      </w:r>
      <w:r w:rsidRPr="00435180">
        <w:rPr>
          <w:szCs w:val="22"/>
        </w:rPr>
        <w:t xml:space="preserve"> in each geographic area</w:t>
      </w:r>
      <w:r w:rsidR="00482A9C">
        <w:rPr>
          <w:szCs w:val="22"/>
        </w:rPr>
        <w:t>,</w:t>
      </w:r>
      <w:r w:rsidR="00850188">
        <w:rPr>
          <w:szCs w:val="22"/>
        </w:rPr>
        <w:t xml:space="preserve"> </w:t>
      </w:r>
      <w:r w:rsidRPr="00435180">
        <w:rPr>
          <w:szCs w:val="22"/>
        </w:rPr>
        <w:t>the supply, the aggregate demand, the</w:t>
      </w:r>
      <w:r w:rsidRPr="00435180">
        <w:rPr>
          <w:szCs w:val="22"/>
        </w:rPr>
        <w:t xml:space="preserve"> price at the end of the last completed round, and the price for the next round.  The identities of bidders placing specific bids and the net bid amounts (reflecting bidding credits) will </w:t>
      </w:r>
      <w:r w:rsidRPr="00435180">
        <w:rPr>
          <w:i/>
          <w:szCs w:val="22"/>
        </w:rPr>
        <w:t>not</w:t>
      </w:r>
      <w:r w:rsidRPr="00435180">
        <w:rPr>
          <w:szCs w:val="22"/>
        </w:rPr>
        <w:t xml:space="preserve"> be disclosed until after the close of bidding.</w:t>
      </w:r>
      <w:r>
        <w:rPr>
          <w:rStyle w:val="FootnoteReference"/>
          <w:szCs w:val="22"/>
        </w:rPr>
        <w:footnoteReference w:id="79"/>
      </w:r>
    </w:p>
    <w:p w:rsidR="00D6515C" w:rsidRPr="00435180" w:rsidP="00D850FB" w14:paraId="7F28D393" w14:textId="3854CA42">
      <w:pPr>
        <w:pStyle w:val="ParaNum"/>
        <w:widowControl/>
        <w:autoSpaceDE w:val="0"/>
        <w:autoSpaceDN w:val="0"/>
        <w:adjustRightInd w:val="0"/>
        <w:rPr>
          <w:szCs w:val="22"/>
        </w:rPr>
      </w:pPr>
      <w:r w:rsidRPr="00435180">
        <w:rPr>
          <w:szCs w:val="22"/>
        </w:rPr>
        <w:t xml:space="preserve">Throughout the </w:t>
      </w:r>
      <w:r w:rsidRPr="00435180">
        <w:rPr>
          <w:szCs w:val="22"/>
        </w:rPr>
        <w:t xml:space="preserve">auction, bidders will have access to additional </w:t>
      </w:r>
      <w:bookmarkStart w:id="493" w:name="_Hlk508969454"/>
      <w:r w:rsidRPr="00435180">
        <w:rPr>
          <w:szCs w:val="22"/>
        </w:rPr>
        <w:t>information related to their own bidding</w:t>
      </w:r>
      <w:bookmarkEnd w:id="493"/>
      <w:r w:rsidRPr="00435180">
        <w:rPr>
          <w:szCs w:val="22"/>
        </w:rPr>
        <w:t xml:space="preserve"> and bid</w:t>
      </w:r>
      <w:r w:rsidR="00C71D8D">
        <w:rPr>
          <w:szCs w:val="22"/>
        </w:rPr>
        <w:t>ding</w:t>
      </w:r>
      <w:r w:rsidRPr="00435180">
        <w:rPr>
          <w:szCs w:val="22"/>
        </w:rPr>
        <w:t xml:space="preserve"> eligibility through the Commission’s bidding system.  For example, bidders will be able to view their own level of eligibility, </w:t>
      </w:r>
      <w:r w:rsidR="00585806">
        <w:rPr>
          <w:szCs w:val="22"/>
        </w:rPr>
        <w:t xml:space="preserve">both </w:t>
      </w:r>
      <w:r w:rsidRPr="00435180">
        <w:rPr>
          <w:szCs w:val="22"/>
        </w:rPr>
        <w:t xml:space="preserve">before and during the auction.  </w:t>
      </w:r>
    </w:p>
    <w:p w:rsidR="00D6515C" w:rsidRPr="00435180" w:rsidP="00D850FB" w14:paraId="5C49AC5B" w14:textId="268CCB8A">
      <w:pPr>
        <w:pStyle w:val="ParaNum"/>
        <w:widowControl/>
        <w:autoSpaceDE w:val="0"/>
        <w:autoSpaceDN w:val="0"/>
        <w:adjustRightInd w:val="0"/>
        <w:rPr>
          <w:szCs w:val="22"/>
        </w:rPr>
      </w:pPr>
      <w:r w:rsidRPr="00435180">
        <w:rPr>
          <w:rStyle w:val="CommentReference"/>
          <w:sz w:val="22"/>
          <w:szCs w:val="22"/>
        </w:rPr>
        <w:t xml:space="preserve"> </w:t>
      </w:r>
      <w:bookmarkStart w:id="494" w:name="_Hlk509220214"/>
      <w:r w:rsidRPr="00435180">
        <w:rPr>
          <w:szCs w:val="22"/>
        </w:rPr>
        <w:t xml:space="preserve">After the close of bidding, bidders’ </w:t>
      </w:r>
      <w:r w:rsidR="00362EA8">
        <w:rPr>
          <w:szCs w:val="22"/>
        </w:rPr>
        <w:t>PEA</w:t>
      </w:r>
      <w:r w:rsidRPr="00435180" w:rsidR="00362EA8">
        <w:rPr>
          <w:szCs w:val="22"/>
        </w:rPr>
        <w:t xml:space="preserve"> </w:t>
      </w:r>
      <w:r w:rsidRPr="00435180">
        <w:rPr>
          <w:szCs w:val="22"/>
        </w:rPr>
        <w:t>selections</w:t>
      </w:r>
      <w:bookmarkEnd w:id="494"/>
      <w:r w:rsidRPr="00435180">
        <w:rPr>
          <w:szCs w:val="22"/>
        </w:rPr>
        <w:t>, upfront payment amounts, bidding eligibility, bids, and other bidding-related actions will be made publicly available.</w:t>
      </w:r>
    </w:p>
    <w:p w:rsidR="00D6515C" w:rsidRPr="00435180" w:rsidP="00D850FB" w14:paraId="116605F0" w14:textId="12BE0C46">
      <w:pPr>
        <w:pStyle w:val="ParaNum"/>
        <w:widowControl/>
        <w:autoSpaceDE w:val="0"/>
        <w:autoSpaceDN w:val="0"/>
        <w:adjustRightInd w:val="0"/>
        <w:rPr>
          <w:szCs w:val="22"/>
        </w:rPr>
      </w:pPr>
      <w:r w:rsidRPr="00435180">
        <w:rPr>
          <w:szCs w:val="22"/>
        </w:rPr>
        <w:t>We warn applicants that direct or indirect communi</w:t>
      </w:r>
      <w:r w:rsidRPr="00435180">
        <w:rPr>
          <w:szCs w:val="22"/>
        </w:rPr>
        <w:t>cation to other applicants or the public disclosure of non-public information (e.g., reductions in eligibility, identities of bidders) could violate the Commission’s rule prohibiting certain communications.</w:t>
      </w:r>
      <w:r>
        <w:rPr>
          <w:rStyle w:val="FootnoteReference"/>
          <w:szCs w:val="22"/>
        </w:rPr>
        <w:footnoteReference w:id="80"/>
      </w:r>
      <w:r w:rsidRPr="00435180">
        <w:rPr>
          <w:szCs w:val="22"/>
        </w:rPr>
        <w:t xml:space="preserve">  </w:t>
      </w:r>
      <w:r w:rsidRPr="00435180">
        <w:rPr>
          <w:b/>
          <w:szCs w:val="22"/>
        </w:rPr>
        <w:t xml:space="preserve">Therefore, to the extent an </w:t>
      </w:r>
      <w:r w:rsidRPr="00435180">
        <w:rPr>
          <w:b/>
          <w:szCs w:val="22"/>
        </w:rPr>
        <w:t>applicant believes</w:t>
      </w:r>
      <w:r w:rsidRPr="00435180">
        <w:rPr>
          <w:b/>
          <w:szCs w:val="22"/>
        </w:rPr>
        <w:t xml:space="preserve"> that such a disclosure is required by law or regulation, including regulations issued by the</w:t>
      </w:r>
      <w:r w:rsidR="002C2105">
        <w:rPr>
          <w:b/>
          <w:szCs w:val="22"/>
        </w:rPr>
        <w:t xml:space="preserve"> U.S.</w:t>
      </w:r>
      <w:r w:rsidRPr="00435180">
        <w:rPr>
          <w:b/>
          <w:szCs w:val="22"/>
        </w:rPr>
        <w:t xml:space="preserve"> S</w:t>
      </w:r>
      <w:r w:rsidR="00EB3420">
        <w:rPr>
          <w:b/>
          <w:szCs w:val="22"/>
        </w:rPr>
        <w:t>ecurities</w:t>
      </w:r>
      <w:r w:rsidR="008B7D4B">
        <w:rPr>
          <w:b/>
          <w:szCs w:val="22"/>
        </w:rPr>
        <w:t xml:space="preserve"> and</w:t>
      </w:r>
      <w:r w:rsidR="00EB3420">
        <w:rPr>
          <w:b/>
          <w:szCs w:val="22"/>
        </w:rPr>
        <w:t xml:space="preserve"> </w:t>
      </w:r>
      <w:r w:rsidRPr="00435180">
        <w:rPr>
          <w:b/>
          <w:szCs w:val="22"/>
        </w:rPr>
        <w:t>E</w:t>
      </w:r>
      <w:r w:rsidR="00EB3420">
        <w:rPr>
          <w:b/>
          <w:szCs w:val="22"/>
        </w:rPr>
        <w:t xml:space="preserve">xchange </w:t>
      </w:r>
      <w:r w:rsidRPr="00435180">
        <w:rPr>
          <w:b/>
          <w:szCs w:val="22"/>
        </w:rPr>
        <w:t>C</w:t>
      </w:r>
      <w:r w:rsidR="00EB3420">
        <w:rPr>
          <w:b/>
          <w:szCs w:val="22"/>
        </w:rPr>
        <w:t>ommission (SEC)</w:t>
      </w:r>
      <w:r w:rsidRPr="00435180">
        <w:rPr>
          <w:b/>
          <w:szCs w:val="22"/>
        </w:rPr>
        <w:t>, we strongly urge that the applicant consult with the Commission staff in the Auctions Division before making such d</w:t>
      </w:r>
      <w:r w:rsidRPr="00435180">
        <w:rPr>
          <w:b/>
          <w:szCs w:val="22"/>
        </w:rPr>
        <w:t>isclosure.</w:t>
      </w:r>
    </w:p>
    <w:p w:rsidR="00D6515C" w:rsidRPr="00435180" w:rsidP="000C230C" w14:paraId="11FE8ABA" w14:textId="77777777">
      <w:pPr>
        <w:pStyle w:val="Heading2"/>
      </w:pPr>
      <w:bookmarkStart w:id="495" w:name="_Toc6383457"/>
      <w:bookmarkStart w:id="496" w:name="_Toc7525782"/>
      <w:bookmarkStart w:id="497" w:name="_Toc8657137"/>
      <w:bookmarkStart w:id="498" w:name="_Toc9410663"/>
      <w:bookmarkStart w:id="499" w:name="_Toc9430069"/>
      <w:bookmarkStart w:id="500" w:name="_Toc10116832"/>
      <w:bookmarkStart w:id="501" w:name="_Toc10646138"/>
      <w:bookmarkStart w:id="502" w:name="_Toc11156542"/>
      <w:bookmarkStart w:id="503" w:name="_Toc11244286"/>
      <w:bookmarkStart w:id="504" w:name="_Toc11653542"/>
      <w:bookmarkStart w:id="505" w:name="_Toc11678122"/>
      <w:bookmarkStart w:id="506" w:name="_Toc13654709"/>
      <w:bookmarkStart w:id="507" w:name="_Toc24459429"/>
      <w:bookmarkStart w:id="508" w:name="_Toc24459526"/>
      <w:bookmarkStart w:id="509" w:name="_Toc25926222"/>
      <w:bookmarkStart w:id="510" w:name="_Toc25926800"/>
      <w:bookmarkStart w:id="511" w:name="_Toc25926921"/>
      <w:bookmarkStart w:id="512" w:name="_Toc27038981"/>
      <w:bookmarkStart w:id="513" w:name="_Toc29813125"/>
      <w:bookmarkStart w:id="514" w:name="_Toc29886850"/>
      <w:bookmarkStart w:id="515" w:name="_Toc29999454"/>
      <w:bookmarkStart w:id="516" w:name="_Toc30699380"/>
      <w:bookmarkStart w:id="517" w:name="_Toc30701460"/>
      <w:bookmarkStart w:id="518" w:name="_Toc31189281"/>
      <w:bookmarkStart w:id="519" w:name="_Toc31189735"/>
      <w:bookmarkStart w:id="520" w:name="_Toc31193102"/>
      <w:bookmarkStart w:id="521" w:name="_Toc31195853"/>
      <w:bookmarkStart w:id="522" w:name="_Toc31199977"/>
      <w:bookmarkStart w:id="523" w:name="_Toc31713744"/>
      <w:bookmarkStart w:id="524" w:name="_Toc31822653"/>
      <w:bookmarkStart w:id="525" w:name="_Toc33629810"/>
      <w:bookmarkStart w:id="526" w:name="_Toc33696662"/>
      <w:r w:rsidRPr="00435180">
        <w:t>Prohibited Communications and Compliance with Antitrust Laws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D6515C" w:rsidRPr="00435180" w:rsidP="00D850FB" w14:paraId="6D1CC06F" w14:textId="5DDDD14E">
      <w:pPr>
        <w:pStyle w:val="ParaNum"/>
        <w:widowControl/>
        <w:autoSpaceDE w:val="0"/>
        <w:autoSpaceDN w:val="0"/>
        <w:adjustRightInd w:val="0"/>
        <w:rPr>
          <w:szCs w:val="22"/>
        </w:rPr>
      </w:pPr>
      <w:r w:rsidRPr="00435180">
        <w:rPr>
          <w:szCs w:val="22"/>
        </w:rPr>
        <w:t>The rules prohibiting certain communications set forth in section 1.2105(c) apply to each applicant that files a short-form application (FCC Form 175) in Auction 10</w:t>
      </w:r>
      <w:r w:rsidR="001D29FD">
        <w:rPr>
          <w:szCs w:val="22"/>
        </w:rPr>
        <w:t>7</w:t>
      </w:r>
      <w:r w:rsidRPr="00435180">
        <w:rPr>
          <w:szCs w:val="22"/>
        </w:rPr>
        <w:t>.</w:t>
      </w:r>
      <w:r>
        <w:rPr>
          <w:rStyle w:val="FootnoteReference"/>
          <w:szCs w:val="22"/>
        </w:rPr>
        <w:footnoteReference w:id="81"/>
      </w:r>
      <w:r w:rsidRPr="00435180">
        <w:rPr>
          <w:szCs w:val="22"/>
        </w:rPr>
        <w:t xml:space="preserve">  Section 1.2105(c)(1) of the Commission’s rules provides that, subject to specified exceptions, “[a]fter the short-form application filing deadline, all applicants are prohibited from cooperating or collaborating with respect to, communicating with or dis</w:t>
      </w:r>
      <w:r w:rsidRPr="00435180">
        <w:rPr>
          <w:szCs w:val="22"/>
        </w:rPr>
        <w:t xml:space="preserve">closing, to each other or any nationwide provider [of communications services] that is not an applicant, or, if the applicant is a nationwide provider, any non-nationwide provider that is not an applicant, in any manner the substance of their own, or each </w:t>
      </w:r>
      <w:r w:rsidRPr="00435180">
        <w:rPr>
          <w:szCs w:val="22"/>
        </w:rPr>
        <w:t>other’s, or any other applicants’ bids or bidding strategies (including post-auction market structure), or discussing or negotiating settlement agreements, until after the down payment deadline</w:t>
      </w:r>
      <w:r w:rsidR="000F1A10">
        <w:rPr>
          <w:szCs w:val="22"/>
        </w:rPr>
        <w:t xml:space="preserve"> . . . </w:t>
      </w:r>
      <w:r w:rsidRPr="00435180">
        <w:rPr>
          <w:szCs w:val="22"/>
        </w:rPr>
        <w:t>.”</w:t>
      </w:r>
      <w:r>
        <w:rPr>
          <w:rStyle w:val="FootnoteReference"/>
          <w:szCs w:val="22"/>
        </w:rPr>
        <w:footnoteReference w:id="82"/>
      </w:r>
      <w:r w:rsidRPr="00435180">
        <w:rPr>
          <w:szCs w:val="22"/>
        </w:rPr>
        <w:t xml:space="preserve">  </w:t>
      </w:r>
    </w:p>
    <w:p w:rsidR="00D6515C" w:rsidRPr="00435180" w:rsidP="00D6515C" w14:paraId="030F4B61" w14:textId="77777777">
      <w:pPr>
        <w:pStyle w:val="Heading3"/>
        <w:rPr>
          <w:szCs w:val="22"/>
        </w:rPr>
      </w:pPr>
      <w:bookmarkStart w:id="527" w:name="_Toc6383458"/>
      <w:bookmarkStart w:id="528" w:name="_Toc7525783"/>
      <w:bookmarkStart w:id="529" w:name="_Toc8657138"/>
      <w:bookmarkStart w:id="530" w:name="_Toc9410664"/>
      <w:bookmarkStart w:id="531" w:name="_Toc9430070"/>
      <w:bookmarkStart w:id="532" w:name="_Toc10116833"/>
      <w:bookmarkStart w:id="533" w:name="_Toc10646139"/>
      <w:bookmarkStart w:id="534" w:name="_Toc11156543"/>
      <w:bookmarkStart w:id="535" w:name="_Toc11244287"/>
      <w:bookmarkStart w:id="536" w:name="_Toc11653543"/>
      <w:bookmarkStart w:id="537" w:name="_Toc11678123"/>
      <w:bookmarkStart w:id="538" w:name="_Toc13654710"/>
      <w:bookmarkStart w:id="539" w:name="_Toc24459430"/>
      <w:bookmarkStart w:id="540" w:name="_Toc24459527"/>
      <w:bookmarkStart w:id="541" w:name="_Toc25926223"/>
      <w:bookmarkStart w:id="542" w:name="_Toc25926801"/>
      <w:bookmarkStart w:id="543" w:name="_Toc25926922"/>
      <w:bookmarkStart w:id="544" w:name="_Toc27038982"/>
      <w:bookmarkStart w:id="545" w:name="_Toc29813126"/>
      <w:bookmarkStart w:id="546" w:name="_Toc29886851"/>
      <w:bookmarkStart w:id="547" w:name="_Toc29999455"/>
      <w:bookmarkStart w:id="548" w:name="_Toc30699381"/>
      <w:bookmarkStart w:id="549" w:name="_Toc30701461"/>
      <w:bookmarkStart w:id="550" w:name="_Toc31189282"/>
      <w:bookmarkStart w:id="551" w:name="_Toc31189736"/>
      <w:bookmarkStart w:id="552" w:name="_Toc31193103"/>
      <w:bookmarkStart w:id="553" w:name="_Toc31195854"/>
      <w:bookmarkStart w:id="554" w:name="_Toc31199978"/>
      <w:bookmarkStart w:id="555" w:name="_Toc31713745"/>
      <w:bookmarkStart w:id="556" w:name="_Toc31822654"/>
      <w:bookmarkStart w:id="557" w:name="_Toc33629811"/>
      <w:bookmarkStart w:id="558" w:name="_Toc33696663"/>
      <w:r w:rsidRPr="00435180">
        <w:rPr>
          <w:szCs w:val="22"/>
        </w:rPr>
        <w:t>Entities Subject to Section 1.2105(c)</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D6515C" w:rsidRPr="00435180" w:rsidP="00D850FB" w14:paraId="7CCB6ED3" w14:textId="7F87CD24">
      <w:pPr>
        <w:pStyle w:val="ParaNum"/>
        <w:widowControl/>
        <w:autoSpaceDE w:val="0"/>
        <w:autoSpaceDN w:val="0"/>
        <w:adjustRightInd w:val="0"/>
        <w:rPr>
          <w:szCs w:val="22"/>
        </w:rPr>
      </w:pPr>
      <w:r w:rsidRPr="00435180">
        <w:rPr>
          <w:szCs w:val="22"/>
        </w:rPr>
        <w:t>An “applica</w:t>
      </w:r>
      <w:r w:rsidRPr="00435180">
        <w:rPr>
          <w:szCs w:val="22"/>
        </w:rPr>
        <w:t>nt” for purposes of this rule includes all “controlling interests” in the entity submitting the FCC Form 175 auction application, as well as all holders of interests amounting to 10% or more of the entity, and all officers and directors of that entity.</w:t>
      </w:r>
      <w:r>
        <w:rPr>
          <w:rStyle w:val="FootnoteReference"/>
          <w:szCs w:val="22"/>
        </w:rPr>
        <w:footnoteReference w:id="83"/>
      </w:r>
      <w:r w:rsidRPr="00435180">
        <w:rPr>
          <w:szCs w:val="22"/>
        </w:rPr>
        <w:t xml:space="preserve">  </w:t>
      </w:r>
      <w:r w:rsidRPr="00435180">
        <w:rPr>
          <w:szCs w:val="22"/>
        </w:rPr>
        <w:t>Under section 1.2105(c), a party that submits an application becomes an “applicant” under the rule at the application deadline, and that status does not change based on later developments.</w:t>
      </w:r>
      <w:r>
        <w:rPr>
          <w:rStyle w:val="FootnoteReference"/>
          <w:szCs w:val="22"/>
        </w:rPr>
        <w:footnoteReference w:id="84"/>
      </w:r>
    </w:p>
    <w:p w:rsidR="00D6515C" w:rsidRPr="00435180" w:rsidP="00D850FB" w14:paraId="23678367" w14:textId="17D5E4F4">
      <w:pPr>
        <w:pStyle w:val="ParaNum"/>
        <w:widowControl/>
        <w:autoSpaceDE w:val="0"/>
        <w:autoSpaceDN w:val="0"/>
        <w:adjustRightInd w:val="0"/>
        <w:rPr>
          <w:szCs w:val="22"/>
        </w:rPr>
      </w:pPr>
      <w:r>
        <w:rPr>
          <w:szCs w:val="22"/>
        </w:rPr>
        <w:t>W</w:t>
      </w:r>
      <w:r w:rsidRPr="00435180" w:rsidR="00777B66">
        <w:rPr>
          <w:szCs w:val="22"/>
        </w:rPr>
        <w:t>e consider AT&amp;T, T-Mobile, and Verizon to be “nationwide providers” for the purposes of the prohibited communications rule for Auction 10</w:t>
      </w:r>
      <w:r w:rsidR="00D477BE">
        <w:rPr>
          <w:szCs w:val="22"/>
        </w:rPr>
        <w:t>7</w:t>
      </w:r>
      <w:r w:rsidRPr="00435180" w:rsidR="00777B66">
        <w:rPr>
          <w:szCs w:val="22"/>
        </w:rPr>
        <w:t>.</w:t>
      </w:r>
      <w:r>
        <w:rPr>
          <w:rStyle w:val="FootnoteReference"/>
          <w:szCs w:val="22"/>
        </w:rPr>
        <w:footnoteReference w:id="85"/>
      </w:r>
      <w:r w:rsidRPr="00435180" w:rsidR="00777B66">
        <w:rPr>
          <w:szCs w:val="22"/>
        </w:rPr>
        <w:t xml:space="preserve">  </w:t>
      </w:r>
    </w:p>
    <w:p w:rsidR="00D6515C" w:rsidRPr="00435180" w:rsidP="00D6515C" w14:paraId="16D21378" w14:textId="77777777">
      <w:pPr>
        <w:pStyle w:val="Heading3"/>
        <w:rPr>
          <w:szCs w:val="22"/>
        </w:rPr>
      </w:pPr>
      <w:bookmarkStart w:id="559" w:name="_Toc6383459"/>
      <w:bookmarkStart w:id="560" w:name="_Toc7525784"/>
      <w:bookmarkStart w:id="561" w:name="_Toc8657139"/>
      <w:bookmarkStart w:id="562" w:name="_Toc9410665"/>
      <w:bookmarkStart w:id="563" w:name="_Toc9430071"/>
      <w:bookmarkStart w:id="564" w:name="_Toc10116834"/>
      <w:bookmarkStart w:id="565" w:name="_Toc10646140"/>
      <w:bookmarkStart w:id="566" w:name="_Toc11156544"/>
      <w:bookmarkStart w:id="567" w:name="_Toc11244288"/>
      <w:bookmarkStart w:id="568" w:name="_Toc11653544"/>
      <w:bookmarkStart w:id="569" w:name="_Toc11678124"/>
      <w:bookmarkStart w:id="570" w:name="_Toc13654711"/>
      <w:bookmarkStart w:id="571" w:name="_Toc24459431"/>
      <w:bookmarkStart w:id="572" w:name="_Toc24459528"/>
      <w:bookmarkStart w:id="573" w:name="_Toc25926224"/>
      <w:bookmarkStart w:id="574" w:name="_Toc25926802"/>
      <w:bookmarkStart w:id="575" w:name="_Toc25926923"/>
      <w:bookmarkStart w:id="576" w:name="_Toc27038983"/>
      <w:bookmarkStart w:id="577" w:name="_Toc29813127"/>
      <w:bookmarkStart w:id="578" w:name="_Toc29886852"/>
      <w:bookmarkStart w:id="579" w:name="_Toc29999456"/>
      <w:bookmarkStart w:id="580" w:name="_Toc30699382"/>
      <w:bookmarkStart w:id="581" w:name="_Toc30701462"/>
      <w:bookmarkStart w:id="582" w:name="_Toc31189283"/>
      <w:bookmarkStart w:id="583" w:name="_Toc31189737"/>
      <w:bookmarkStart w:id="584" w:name="_Toc31193104"/>
      <w:bookmarkStart w:id="585" w:name="_Toc31195855"/>
      <w:bookmarkStart w:id="586" w:name="_Toc31199979"/>
      <w:bookmarkStart w:id="587" w:name="_Toc31713746"/>
      <w:bookmarkStart w:id="588" w:name="_Toc31822655"/>
      <w:bookmarkStart w:id="589" w:name="_Toc33629812"/>
      <w:bookmarkStart w:id="590" w:name="_Toc33696664"/>
      <w:r w:rsidRPr="00435180">
        <w:rPr>
          <w:szCs w:val="22"/>
        </w:rPr>
        <w:t>Prohibition Applies Until Down Payment Deadline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D6515C" w:rsidRPr="00435180" w:rsidP="00D850FB" w14:paraId="1441A2F6" w14:textId="03BD1652">
      <w:pPr>
        <w:pStyle w:val="ParaNum"/>
        <w:widowControl/>
        <w:autoSpaceDE w:val="0"/>
        <w:autoSpaceDN w:val="0"/>
        <w:adjustRightInd w:val="0"/>
        <w:rPr>
          <w:szCs w:val="22"/>
        </w:rPr>
      </w:pPr>
      <w:r>
        <w:rPr>
          <w:szCs w:val="22"/>
        </w:rPr>
        <w:t>The prohibition in s</w:t>
      </w:r>
      <w:r w:rsidRPr="00435180" w:rsidR="00777B66">
        <w:rPr>
          <w:szCs w:val="22"/>
        </w:rPr>
        <w:t>ection 1.2105(c)</w:t>
      </w:r>
      <w:r w:rsidR="005F7F9B">
        <w:rPr>
          <w:szCs w:val="22"/>
        </w:rPr>
        <w:t xml:space="preserve"> on</w:t>
      </w:r>
      <w:r w:rsidRPr="00435180" w:rsidR="00777B66">
        <w:rPr>
          <w:szCs w:val="22"/>
        </w:rPr>
        <w:t xml:space="preserve"> certain communications begins at an auction’s short-form application filing deadline and ends at the auction’s down payment deadline after the auction closes, which will be announced in a future public notice.</w:t>
      </w:r>
      <w:r>
        <w:rPr>
          <w:rStyle w:val="FootnoteReference"/>
          <w:szCs w:val="22"/>
        </w:rPr>
        <w:footnoteReference w:id="86"/>
      </w:r>
      <w:r w:rsidRPr="00435180" w:rsidR="00777B66">
        <w:rPr>
          <w:szCs w:val="22"/>
        </w:rPr>
        <w:t xml:space="preserve">    </w:t>
      </w:r>
    </w:p>
    <w:p w:rsidR="00D6515C" w:rsidRPr="00435180" w:rsidP="00D6515C" w14:paraId="11DBD034" w14:textId="0954F820">
      <w:pPr>
        <w:pStyle w:val="Heading3"/>
        <w:rPr>
          <w:szCs w:val="22"/>
        </w:rPr>
      </w:pPr>
      <w:bookmarkStart w:id="591" w:name="_Toc6383460"/>
      <w:bookmarkStart w:id="592" w:name="_Toc7525785"/>
      <w:bookmarkStart w:id="593" w:name="_Toc8657140"/>
      <w:bookmarkStart w:id="594" w:name="_Toc9410666"/>
      <w:bookmarkStart w:id="595" w:name="_Toc9430072"/>
      <w:bookmarkStart w:id="596" w:name="_Toc10116835"/>
      <w:bookmarkStart w:id="597" w:name="_Toc10646141"/>
      <w:bookmarkStart w:id="598" w:name="_Toc11156545"/>
      <w:bookmarkStart w:id="599" w:name="_Toc11244289"/>
      <w:bookmarkStart w:id="600" w:name="_Toc11653545"/>
      <w:bookmarkStart w:id="601" w:name="_Toc11678125"/>
      <w:bookmarkStart w:id="602" w:name="_Toc13654712"/>
      <w:bookmarkStart w:id="603" w:name="_Toc24459432"/>
      <w:bookmarkStart w:id="604" w:name="_Toc24459529"/>
      <w:bookmarkStart w:id="605" w:name="_Toc25926225"/>
      <w:bookmarkStart w:id="606" w:name="_Toc25926803"/>
      <w:bookmarkStart w:id="607" w:name="_Toc25926924"/>
      <w:bookmarkStart w:id="608" w:name="_Toc27038984"/>
      <w:bookmarkStart w:id="609" w:name="_Toc29813128"/>
      <w:bookmarkStart w:id="610" w:name="_Toc29886853"/>
      <w:bookmarkStart w:id="611" w:name="_Toc29999457"/>
      <w:bookmarkStart w:id="612" w:name="_Toc30699383"/>
      <w:bookmarkStart w:id="613" w:name="_Toc30701463"/>
      <w:bookmarkStart w:id="614" w:name="_Toc31189284"/>
      <w:bookmarkStart w:id="615" w:name="_Toc31189738"/>
      <w:bookmarkStart w:id="616" w:name="_Toc31193105"/>
      <w:bookmarkStart w:id="617" w:name="_Toc31195856"/>
      <w:bookmarkStart w:id="618" w:name="_Toc31199980"/>
      <w:bookmarkStart w:id="619" w:name="_Toc31713747"/>
      <w:bookmarkStart w:id="620" w:name="_Toc31822656"/>
      <w:bookmarkStart w:id="621" w:name="_Toc33629813"/>
      <w:bookmarkStart w:id="622" w:name="_Toc33696665"/>
      <w:r w:rsidRPr="00435180">
        <w:rPr>
          <w:szCs w:val="22"/>
        </w:rPr>
        <w:t>Scope of Prohibition o</w:t>
      </w:r>
      <w:r w:rsidR="00615D51">
        <w:rPr>
          <w:szCs w:val="22"/>
        </w:rPr>
        <w:t>n</w:t>
      </w:r>
      <w:r w:rsidRPr="00435180">
        <w:rPr>
          <w:szCs w:val="22"/>
        </w:rPr>
        <w:t xml:space="preserve"> </w:t>
      </w:r>
      <w:r w:rsidR="00554D53">
        <w:rPr>
          <w:szCs w:val="22"/>
        </w:rPr>
        <w:t xml:space="preserve">Certain </w:t>
      </w:r>
      <w:r w:rsidRPr="00435180">
        <w:rPr>
          <w:szCs w:val="22"/>
        </w:rPr>
        <w:t>Communi</w:t>
      </w:r>
      <w:r w:rsidRPr="00435180">
        <w:rPr>
          <w:szCs w:val="22"/>
        </w:rPr>
        <w:t>cations; Prohibition o</w:t>
      </w:r>
      <w:r w:rsidR="00615D51">
        <w:rPr>
          <w:szCs w:val="22"/>
        </w:rPr>
        <w:t>n</w:t>
      </w:r>
      <w:r w:rsidRPr="00435180">
        <w:rPr>
          <w:szCs w:val="22"/>
        </w:rPr>
        <w:t xml:space="preserve"> Joint Bidding Agreements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D6515C" w:rsidRPr="00435180" w:rsidP="00D850FB" w14:paraId="38CF1CD4" w14:textId="69EF0B05">
      <w:pPr>
        <w:pStyle w:val="ParaNum"/>
        <w:widowControl/>
        <w:autoSpaceDE w:val="0"/>
        <w:autoSpaceDN w:val="0"/>
        <w:adjustRightInd w:val="0"/>
        <w:rPr>
          <w:szCs w:val="22"/>
        </w:rPr>
      </w:pPr>
      <w:r>
        <w:rPr>
          <w:szCs w:val="22"/>
        </w:rPr>
        <w:t>S</w:t>
      </w:r>
      <w:r w:rsidRPr="00435180" w:rsidR="00777B66">
        <w:rPr>
          <w:szCs w:val="22"/>
        </w:rPr>
        <w:t xml:space="preserve">ection 1.2105(c) </w:t>
      </w:r>
      <w:r>
        <w:rPr>
          <w:szCs w:val="22"/>
        </w:rPr>
        <w:t>of the Commission’s rules</w:t>
      </w:r>
      <w:r w:rsidR="00DC27F1">
        <w:rPr>
          <w:szCs w:val="22"/>
        </w:rPr>
        <w:t xml:space="preserve"> prohibits </w:t>
      </w:r>
      <w:r w:rsidR="00FB5FBD">
        <w:rPr>
          <w:szCs w:val="22"/>
        </w:rPr>
        <w:t xml:space="preserve">certain </w:t>
      </w:r>
      <w:r w:rsidR="00DC27F1">
        <w:rPr>
          <w:szCs w:val="22"/>
        </w:rPr>
        <w:t xml:space="preserve">communications between </w:t>
      </w:r>
      <w:r w:rsidRPr="00435180" w:rsidR="00777B66">
        <w:rPr>
          <w:szCs w:val="22"/>
        </w:rPr>
        <w:t>applicants for an auction</w:t>
      </w:r>
      <w:r w:rsidR="00DC70DA">
        <w:rPr>
          <w:szCs w:val="22"/>
        </w:rPr>
        <w:t>,</w:t>
      </w:r>
      <w:r w:rsidRPr="00435180" w:rsidR="00777B66">
        <w:rPr>
          <w:szCs w:val="22"/>
        </w:rPr>
        <w:t xml:space="preserve"> regardless of whether the applicants seek permits or licenses in the same geographic area or market.</w:t>
      </w:r>
      <w:r>
        <w:rPr>
          <w:rStyle w:val="FootnoteReference"/>
          <w:szCs w:val="22"/>
        </w:rPr>
        <w:footnoteReference w:id="87"/>
      </w:r>
      <w:r w:rsidRPr="00435180" w:rsidR="00777B66">
        <w:rPr>
          <w:szCs w:val="22"/>
        </w:rPr>
        <w:t xml:space="preserve">  </w:t>
      </w:r>
      <w:r w:rsidR="00DC27F1">
        <w:rPr>
          <w:szCs w:val="22"/>
        </w:rPr>
        <w:t>The</w:t>
      </w:r>
      <w:r w:rsidRPr="00435180" w:rsidR="00777B66">
        <w:rPr>
          <w:szCs w:val="22"/>
        </w:rPr>
        <w:t xml:space="preserve"> rule </w:t>
      </w:r>
      <w:r w:rsidR="00DC27F1">
        <w:rPr>
          <w:szCs w:val="22"/>
        </w:rPr>
        <w:t xml:space="preserve">also </w:t>
      </w:r>
      <w:r w:rsidRPr="00435180" w:rsidR="00777B66">
        <w:rPr>
          <w:szCs w:val="22"/>
        </w:rPr>
        <w:t>applies to communications by applicants with non-applicant nationwide providers of communications services and by nationwide applicants with non-applicant non-</w:t>
      </w:r>
      <w:r w:rsidRPr="00435180" w:rsidR="00777B66">
        <w:rPr>
          <w:szCs w:val="22"/>
        </w:rPr>
        <w:t>nationwide providers</w:t>
      </w:r>
      <w:r w:rsidR="00277976">
        <w:rPr>
          <w:szCs w:val="22"/>
        </w:rPr>
        <w:t>.</w:t>
      </w:r>
      <w:r>
        <w:rPr>
          <w:rStyle w:val="FootnoteReference"/>
          <w:szCs w:val="22"/>
        </w:rPr>
        <w:footnoteReference w:id="88"/>
      </w:r>
      <w:r w:rsidRPr="00435180" w:rsidR="00777B66">
        <w:rPr>
          <w:szCs w:val="22"/>
        </w:rPr>
        <w:t xml:space="preserve"> </w:t>
      </w:r>
      <w:r w:rsidR="00277976">
        <w:rPr>
          <w:szCs w:val="22"/>
        </w:rPr>
        <w:t xml:space="preserve"> The rule further prohibits</w:t>
      </w:r>
      <w:r w:rsidRPr="00435180" w:rsidR="00777B66">
        <w:rPr>
          <w:szCs w:val="22"/>
        </w:rPr>
        <w:t xml:space="preserve"> “joint bidding arrangement</w:t>
      </w:r>
      <w:r w:rsidR="00510945">
        <w:rPr>
          <w:szCs w:val="22"/>
        </w:rPr>
        <w:t>s</w:t>
      </w:r>
      <w:r w:rsidRPr="00435180" w:rsidR="00777B66">
        <w:rPr>
          <w:szCs w:val="22"/>
        </w:rPr>
        <w:t>,” including arrangements relating to the permits or licenses being auctioned that address or communicate, directly or indirectly, bidding at the auction, bidding strategies, including arrangements regarding price or the specific permits or licenses on which to bid, and any such arrangements relating to the post-auction market structure.</w:t>
      </w:r>
      <w:r>
        <w:rPr>
          <w:rStyle w:val="FootnoteReference"/>
          <w:szCs w:val="22"/>
        </w:rPr>
        <w:footnoteReference w:id="89"/>
      </w:r>
      <w:r w:rsidRPr="00435180" w:rsidR="00777B66">
        <w:rPr>
          <w:szCs w:val="22"/>
        </w:rPr>
        <w:t xml:space="preserve">  The rule </w:t>
      </w:r>
      <w:r w:rsidR="00277976">
        <w:rPr>
          <w:szCs w:val="22"/>
        </w:rPr>
        <w:t>allows for</w:t>
      </w:r>
      <w:r w:rsidRPr="00435180" w:rsidR="00277976">
        <w:rPr>
          <w:szCs w:val="22"/>
        </w:rPr>
        <w:t xml:space="preserve"> </w:t>
      </w:r>
      <w:r w:rsidRPr="00435180" w:rsidR="00777B66">
        <w:rPr>
          <w:szCs w:val="22"/>
        </w:rPr>
        <w:t xml:space="preserve">limited exceptions for </w:t>
      </w:r>
      <w:r w:rsidR="00277976">
        <w:rPr>
          <w:szCs w:val="22"/>
        </w:rPr>
        <w:t>communications</w:t>
      </w:r>
      <w:r w:rsidRPr="00435180" w:rsidR="00777B66">
        <w:rPr>
          <w:szCs w:val="22"/>
        </w:rPr>
        <w:t xml:space="preserve"> within the scope of any arrangement consistent with the exclusion from our rule prohibiting joint bidding, provided such arrangement is disclosed on the applicant’s auction application.</w:t>
      </w:r>
      <w:r>
        <w:rPr>
          <w:rStyle w:val="FootnoteReference"/>
          <w:szCs w:val="22"/>
        </w:rPr>
        <w:footnoteReference w:id="90"/>
      </w:r>
      <w:r w:rsidRPr="00435180" w:rsidR="00777B66">
        <w:rPr>
          <w:szCs w:val="22"/>
        </w:rPr>
        <w:t xml:space="preserve">  Applicants may communicate pursuant to any pre-existing agreements, arrangements, or understandings</w:t>
      </w:r>
      <w:r w:rsidR="0071455D">
        <w:rPr>
          <w:szCs w:val="22"/>
        </w:rPr>
        <w:t xml:space="preserve"> relating to the licenses </w:t>
      </w:r>
      <w:r w:rsidR="00601D07">
        <w:rPr>
          <w:szCs w:val="22"/>
        </w:rPr>
        <w:t>being</w:t>
      </w:r>
      <w:r w:rsidR="0071455D">
        <w:rPr>
          <w:szCs w:val="22"/>
        </w:rPr>
        <w:t xml:space="preserve"> auction</w:t>
      </w:r>
      <w:r w:rsidR="00601D07">
        <w:rPr>
          <w:szCs w:val="22"/>
        </w:rPr>
        <w:t>ed</w:t>
      </w:r>
      <w:r w:rsidRPr="00435180" w:rsidR="00777B66">
        <w:rPr>
          <w:szCs w:val="22"/>
        </w:rPr>
        <w:t xml:space="preserve"> that are solely operational or that provide for the transfer or assignment of licenses, provided that such agreements, arrangements, or understandings are disclosed on their applications and do not both relate to the licenses at auction and address or communicate bids (including amounts), bidding strategies, or the particular permits or licenses on which to bid or the post-auction market structure.</w:t>
      </w:r>
      <w:r>
        <w:rPr>
          <w:rStyle w:val="FootnoteReference"/>
          <w:szCs w:val="22"/>
        </w:rPr>
        <w:footnoteReference w:id="91"/>
      </w:r>
      <w:r w:rsidRPr="00435180" w:rsidR="00777B66">
        <w:rPr>
          <w:szCs w:val="22"/>
        </w:rPr>
        <w:t xml:space="preserve">    </w:t>
      </w:r>
    </w:p>
    <w:p w:rsidR="00D6515C" w:rsidRPr="00435180" w:rsidP="00D850FB" w14:paraId="7C91C4DB" w14:textId="566C33B6">
      <w:pPr>
        <w:pStyle w:val="ParaNum"/>
        <w:widowControl/>
        <w:autoSpaceDE w:val="0"/>
        <w:autoSpaceDN w:val="0"/>
        <w:adjustRightInd w:val="0"/>
        <w:rPr>
          <w:szCs w:val="22"/>
        </w:rPr>
      </w:pPr>
      <w:r w:rsidRPr="00435180">
        <w:rPr>
          <w:szCs w:val="22"/>
        </w:rPr>
        <w:t xml:space="preserve">In addition to express statements of bids and bidding strategies, the prohibition against communicating “in any manner” includes </w:t>
      </w:r>
      <w:r w:rsidRPr="00435180">
        <w:rPr>
          <w:szCs w:val="22"/>
        </w:rPr>
        <w:t>public disclosures as well as private communications and indirect or implicit communications.</w:t>
      </w:r>
      <w:r>
        <w:rPr>
          <w:rStyle w:val="FootnoteReference"/>
          <w:szCs w:val="22"/>
        </w:rPr>
        <w:footnoteReference w:id="92"/>
      </w:r>
      <w:r w:rsidRPr="00435180">
        <w:rPr>
          <w:szCs w:val="22"/>
        </w:rPr>
        <w:t xml:space="preserve">  Consequently, an applicant must take care to determine whether its auction-related communications may reach another applicant.</w:t>
      </w:r>
      <w:r>
        <w:rPr>
          <w:rStyle w:val="FootnoteReference"/>
          <w:szCs w:val="22"/>
        </w:rPr>
        <w:footnoteReference w:id="93"/>
      </w:r>
    </w:p>
    <w:p w:rsidR="00D6515C" w:rsidRPr="00435180" w:rsidP="00D850FB" w14:paraId="7F3A0F93" w14:textId="1008B426">
      <w:pPr>
        <w:pStyle w:val="ParaNum"/>
        <w:widowControl/>
        <w:autoSpaceDE w:val="0"/>
        <w:autoSpaceDN w:val="0"/>
        <w:adjustRightInd w:val="0"/>
        <w:rPr>
          <w:szCs w:val="22"/>
        </w:rPr>
      </w:pPr>
      <w:r w:rsidRPr="00435180">
        <w:rPr>
          <w:szCs w:val="22"/>
        </w:rPr>
        <w:t>Parties subject to section 1.2</w:t>
      </w:r>
      <w:r w:rsidRPr="00435180">
        <w:rPr>
          <w:szCs w:val="22"/>
        </w:rPr>
        <w:t xml:space="preserve">105(c) should take special care in circumstances where their officers, directors, and employees may receive information directly or indirectly relating to any applicant’s bids or bidding strategies.  Such information may be deemed to have been received by </w:t>
      </w:r>
      <w:r w:rsidRPr="00435180">
        <w:rPr>
          <w:szCs w:val="22"/>
        </w:rPr>
        <w:t xml:space="preserve">the applicant under certain circumstances.  For example, Commission staff have found that, where an individual serves as an officer and director for two or more applicants, the bids and bidding strategies of one applicant are presumed </w:t>
      </w:r>
      <w:r w:rsidR="00C42775">
        <w:rPr>
          <w:szCs w:val="22"/>
        </w:rPr>
        <w:t xml:space="preserve">to be </w:t>
      </w:r>
      <w:r w:rsidRPr="00435180">
        <w:rPr>
          <w:szCs w:val="22"/>
        </w:rPr>
        <w:t>conveyed to the</w:t>
      </w:r>
      <w:r w:rsidRPr="00435180">
        <w:rPr>
          <w:szCs w:val="22"/>
        </w:rPr>
        <w:t xml:space="preserve"> other applicant through the shared officer, which creates an apparent violation of the rule.</w:t>
      </w:r>
      <w:r>
        <w:rPr>
          <w:rStyle w:val="FootnoteReference"/>
          <w:szCs w:val="22"/>
        </w:rPr>
        <w:footnoteReference w:id="94"/>
      </w:r>
      <w:r w:rsidRPr="00435180">
        <w:rPr>
          <w:szCs w:val="22"/>
        </w:rPr>
        <w:t xml:space="preserve">  </w:t>
      </w:r>
    </w:p>
    <w:p w:rsidR="00D6515C" w:rsidRPr="00435180" w:rsidP="00D850FB" w14:paraId="71746AB8" w14:textId="05CE715C">
      <w:pPr>
        <w:pStyle w:val="ParaNum"/>
        <w:widowControl/>
        <w:autoSpaceDE w:val="0"/>
        <w:autoSpaceDN w:val="0"/>
        <w:adjustRightInd w:val="0"/>
        <w:rPr>
          <w:szCs w:val="22"/>
        </w:rPr>
      </w:pPr>
      <w:bookmarkStart w:id="623" w:name="_Hlk11076114"/>
      <w:r w:rsidRPr="00435180">
        <w:rPr>
          <w:szCs w:val="22"/>
        </w:rPr>
        <w:t xml:space="preserve">Subject to the </w:t>
      </w:r>
      <w:r w:rsidRPr="00435180" w:rsidR="00DD0900">
        <w:rPr>
          <w:szCs w:val="22"/>
        </w:rPr>
        <w:t xml:space="preserve">limited exceptions for </w:t>
      </w:r>
      <w:r w:rsidR="00DD0900">
        <w:rPr>
          <w:szCs w:val="22"/>
        </w:rPr>
        <w:t>communications</w:t>
      </w:r>
      <w:r w:rsidRPr="00435180" w:rsidR="00DD0900">
        <w:rPr>
          <w:szCs w:val="22"/>
        </w:rPr>
        <w:t xml:space="preserve"> within the scope of any arrangement consistent with the exclusion from our rule prohibiting joint bidding</w:t>
      </w:r>
      <w:r w:rsidRPr="00435180">
        <w:rPr>
          <w:szCs w:val="22"/>
        </w:rPr>
        <w:t>, section 1.2105(c)(1) prohibits applicants from communicating with specified other parties only with respect to “their own, or each other’s, or any other applicant’s bids or bidding strategies</w:t>
      </w:r>
      <w:r w:rsidR="008511A1">
        <w:rPr>
          <w:szCs w:val="22"/>
        </w:rPr>
        <w:t xml:space="preserve"> </w:t>
      </w:r>
      <w:r w:rsidR="00CA7B5A">
        <w:rPr>
          <w:szCs w:val="22"/>
        </w:rPr>
        <w:t>. . .</w:t>
      </w:r>
      <w:r w:rsidR="008511A1">
        <w:rPr>
          <w:szCs w:val="22"/>
        </w:rPr>
        <w:t xml:space="preserve"> </w:t>
      </w:r>
      <w:r w:rsidRPr="00435180">
        <w:rPr>
          <w:szCs w:val="22"/>
        </w:rPr>
        <w:t>.”</w:t>
      </w:r>
      <w:r>
        <w:rPr>
          <w:rStyle w:val="FootnoteReference"/>
          <w:szCs w:val="22"/>
        </w:rPr>
        <w:footnoteReference w:id="95"/>
      </w:r>
      <w:r w:rsidRPr="00435180">
        <w:rPr>
          <w:szCs w:val="22"/>
        </w:rPr>
        <w:t xml:space="preserve">  The </w:t>
      </w:r>
      <w:r w:rsidRPr="00435180">
        <w:rPr>
          <w:i/>
          <w:szCs w:val="22"/>
        </w:rPr>
        <w:t>Prohibited Communications Guidance Public Noti</w:t>
      </w:r>
      <w:r w:rsidRPr="00435180">
        <w:rPr>
          <w:i/>
          <w:szCs w:val="22"/>
        </w:rPr>
        <w:t xml:space="preserve">ce </w:t>
      </w:r>
      <w:r w:rsidRPr="00435180">
        <w:rPr>
          <w:szCs w:val="22"/>
        </w:rPr>
        <w:t xml:space="preserve">released in advance of the broadcast incentive auction (Auction 1000) reviewed </w:t>
      </w:r>
      <w:r w:rsidRPr="00435180">
        <w:rPr>
          <w:szCs w:val="22"/>
        </w:rPr>
        <w:t>the scope of the prohibition generally, as well as in that specific auction’s forward auction of spectrum licenses and reverse auction to relinquish broadcast licenses.</w:t>
      </w:r>
      <w:r>
        <w:rPr>
          <w:rStyle w:val="FootnoteReference"/>
          <w:szCs w:val="22"/>
        </w:rPr>
        <w:footnoteReference w:id="96"/>
      </w:r>
      <w:r w:rsidRPr="00435180">
        <w:rPr>
          <w:szCs w:val="22"/>
        </w:rPr>
        <w:t xml:space="preserve">  As</w:t>
      </w:r>
      <w:r w:rsidRPr="00435180">
        <w:rPr>
          <w:szCs w:val="22"/>
        </w:rPr>
        <w:t xml:space="preserve"> the Commission explained therein,</w:t>
      </w:r>
      <w:r w:rsidRPr="00435180">
        <w:rPr>
          <w:i/>
          <w:szCs w:val="22"/>
        </w:rPr>
        <w:t xml:space="preserve"> </w:t>
      </w:r>
      <w:r w:rsidRPr="00435180">
        <w:rPr>
          <w:szCs w:val="22"/>
        </w:rPr>
        <w:t>a communication conveying “bids or bidding strategies (including post-auction market structure)” must also relate to the “licenses being auctioned” in order to be covered by the prohibition.</w:t>
      </w:r>
      <w:r>
        <w:rPr>
          <w:rStyle w:val="FootnoteReference"/>
          <w:szCs w:val="22"/>
        </w:rPr>
        <w:footnoteReference w:id="97"/>
      </w:r>
      <w:r w:rsidRPr="00435180">
        <w:rPr>
          <w:szCs w:val="22"/>
        </w:rPr>
        <w:t xml:space="preserve">  Thus, the prohibition is limited in scope and does not apply to all communications between or among the specified parties.  The Commission consistently has made clear that application of the rule prohibiting communications has never required total suspen</w:t>
      </w:r>
      <w:r w:rsidRPr="00435180">
        <w:rPr>
          <w:szCs w:val="22"/>
        </w:rPr>
        <w:t>sion of essential ongoing business.</w:t>
      </w:r>
      <w:r>
        <w:rPr>
          <w:rStyle w:val="FootnoteReference"/>
          <w:szCs w:val="22"/>
        </w:rPr>
        <w:footnoteReference w:id="98"/>
      </w:r>
      <w:r w:rsidRPr="00435180">
        <w:rPr>
          <w:szCs w:val="22"/>
        </w:rPr>
        <w:t xml:space="preserve">  Entities subject to the prohibition may negotiate agreements during the prohibition period, provided that the communications involved do not relate </w:t>
      </w:r>
      <w:r w:rsidR="003805D7">
        <w:rPr>
          <w:szCs w:val="22"/>
        </w:rPr>
        <w:t xml:space="preserve">to </w:t>
      </w:r>
      <w:r w:rsidRPr="00435180">
        <w:rPr>
          <w:szCs w:val="22"/>
        </w:rPr>
        <w:t>both</w:t>
      </w:r>
      <w:r w:rsidR="00272C4E">
        <w:rPr>
          <w:szCs w:val="22"/>
        </w:rPr>
        <w:t xml:space="preserve">: </w:t>
      </w:r>
      <w:r w:rsidRPr="00435180">
        <w:rPr>
          <w:szCs w:val="22"/>
        </w:rPr>
        <w:t xml:space="preserve"> (1) the licenses being auctioned and (2) bids or bidding st</w:t>
      </w:r>
      <w:r w:rsidRPr="00435180">
        <w:rPr>
          <w:szCs w:val="22"/>
        </w:rPr>
        <w:t>rategies or post-auction market structure.</w:t>
      </w:r>
      <w:r>
        <w:rPr>
          <w:rStyle w:val="FootnoteReference"/>
          <w:szCs w:val="22"/>
        </w:rPr>
        <w:footnoteReference w:id="99"/>
      </w:r>
    </w:p>
    <w:bookmarkEnd w:id="623"/>
    <w:p w:rsidR="00D6515C" w:rsidRPr="00435180" w:rsidP="00D850FB" w14:paraId="1A2EF97A" w14:textId="466578ED">
      <w:pPr>
        <w:pStyle w:val="ParaNum"/>
        <w:widowControl/>
        <w:autoSpaceDE w:val="0"/>
        <w:autoSpaceDN w:val="0"/>
        <w:adjustRightInd w:val="0"/>
        <w:rPr>
          <w:snapToGrid/>
          <w:szCs w:val="22"/>
        </w:rPr>
      </w:pPr>
      <w:r w:rsidRPr="00435180">
        <w:rPr>
          <w:rFonts w:eastAsia="TimesNewRoman"/>
          <w:szCs w:val="22"/>
        </w:rPr>
        <w:t xml:space="preserve">Accordingly, business discussions and negotiations that are </w:t>
      </w:r>
      <w:r w:rsidRPr="00435180">
        <w:rPr>
          <w:rFonts w:eastAsia="TimesNewRoman"/>
          <w:i/>
          <w:iCs/>
          <w:szCs w:val="22"/>
        </w:rPr>
        <w:t xml:space="preserve">unrelated </w:t>
      </w:r>
      <w:r w:rsidRPr="00435180">
        <w:rPr>
          <w:rFonts w:eastAsia="TimesNewRoman"/>
          <w:iCs/>
          <w:szCs w:val="22"/>
        </w:rPr>
        <w:t>to bidding in Auction 10</w:t>
      </w:r>
      <w:r w:rsidR="00150656">
        <w:rPr>
          <w:rFonts w:eastAsia="TimesNewRoman"/>
          <w:iCs/>
          <w:szCs w:val="22"/>
        </w:rPr>
        <w:t>7</w:t>
      </w:r>
      <w:r w:rsidRPr="00435180">
        <w:rPr>
          <w:rFonts w:eastAsia="TimesNewRoman"/>
          <w:iCs/>
          <w:szCs w:val="22"/>
        </w:rPr>
        <w:t xml:space="preserve"> and </w:t>
      </w:r>
      <w:r w:rsidRPr="00435180">
        <w:rPr>
          <w:rFonts w:eastAsia="TimesNewRoman"/>
          <w:szCs w:val="22"/>
        </w:rPr>
        <w:t xml:space="preserve">that do not convey information about the bids or bidding strategies, including the post-auction market </w:t>
      </w:r>
      <w:r w:rsidRPr="00435180">
        <w:rPr>
          <w:rFonts w:eastAsia="TimesNewRoman"/>
          <w:szCs w:val="22"/>
        </w:rPr>
        <w:t>structure, of an applicant are not prohibited by the rule.</w:t>
      </w:r>
      <w:r>
        <w:rPr>
          <w:rStyle w:val="FootnoteReference"/>
          <w:rFonts w:eastAsia="TimesNewRoman"/>
          <w:szCs w:val="22"/>
        </w:rPr>
        <w:footnoteReference w:id="100"/>
      </w:r>
      <w:r w:rsidRPr="00435180">
        <w:rPr>
          <w:rFonts w:eastAsia="TimesNewRoman"/>
          <w:szCs w:val="22"/>
        </w:rPr>
        <w:t xml:space="preserve">  </w:t>
      </w:r>
      <w:r w:rsidRPr="00435180">
        <w:rPr>
          <w:szCs w:val="22"/>
        </w:rPr>
        <w:t>Moreover, not all auction-related information is covered by the prohibition.  For example, communicating merely whether a party has or has not applied to participate in Auction 10</w:t>
      </w:r>
      <w:r w:rsidR="00150656">
        <w:rPr>
          <w:szCs w:val="22"/>
        </w:rPr>
        <w:t>7</w:t>
      </w:r>
      <w:r w:rsidRPr="00435180">
        <w:rPr>
          <w:szCs w:val="22"/>
        </w:rPr>
        <w:t xml:space="preserve"> will not viol</w:t>
      </w:r>
      <w:r w:rsidRPr="00435180">
        <w:rPr>
          <w:szCs w:val="22"/>
        </w:rPr>
        <w:t>ate the rule.</w:t>
      </w:r>
      <w:r>
        <w:rPr>
          <w:rStyle w:val="FootnoteReference"/>
          <w:szCs w:val="22"/>
        </w:rPr>
        <w:footnoteReference w:id="101"/>
      </w:r>
      <w:r w:rsidRPr="00435180">
        <w:rPr>
          <w:szCs w:val="22"/>
        </w:rPr>
        <w:t xml:space="preserve">  In contrast, communicating, among other things, how a party will participate, including specific geographic areas selected, specific bid amounts, and/or whether or not the party is placing bids, would convey bids or bidding strategies and </w:t>
      </w:r>
      <w:r w:rsidRPr="00435180">
        <w:rPr>
          <w:szCs w:val="22"/>
        </w:rPr>
        <w:t>would be prohibited.</w:t>
      </w:r>
      <w:r>
        <w:rPr>
          <w:rStyle w:val="FootnoteReference"/>
          <w:szCs w:val="22"/>
        </w:rPr>
        <w:footnoteReference w:id="102"/>
      </w:r>
      <w:r w:rsidRPr="00435180">
        <w:rPr>
          <w:szCs w:val="22"/>
        </w:rPr>
        <w:t xml:space="preserve">  </w:t>
      </w:r>
    </w:p>
    <w:p w:rsidR="00D6515C" w:rsidRPr="00435180" w:rsidP="00D850FB" w14:paraId="17256EB3" w14:textId="69B83EF5">
      <w:pPr>
        <w:pStyle w:val="ParaNum"/>
        <w:widowControl/>
        <w:autoSpaceDE w:val="0"/>
        <w:autoSpaceDN w:val="0"/>
        <w:adjustRightInd w:val="0"/>
        <w:rPr>
          <w:snapToGrid/>
          <w:szCs w:val="22"/>
        </w:rPr>
      </w:pPr>
      <w:r w:rsidRPr="00435180">
        <w:rPr>
          <w:szCs w:val="22"/>
        </w:rPr>
        <w:t xml:space="preserve">While section 1.2105(c) does not prohibit business discussions and negotiations among auction applicants that are </w:t>
      </w:r>
      <w:r w:rsidR="002C4F31">
        <w:rPr>
          <w:szCs w:val="22"/>
        </w:rPr>
        <w:t>unrelated to the</w:t>
      </w:r>
      <w:r w:rsidRPr="00435180" w:rsidR="002C4F31">
        <w:rPr>
          <w:szCs w:val="22"/>
        </w:rPr>
        <w:t xml:space="preserve"> </w:t>
      </w:r>
      <w:r w:rsidRPr="00435180">
        <w:rPr>
          <w:szCs w:val="22"/>
        </w:rPr>
        <w:t>auction, each applicant must remain vigilant not to communicate, directly or indirectly, information</w:t>
      </w:r>
      <w:r w:rsidRPr="00435180">
        <w:rPr>
          <w:szCs w:val="22"/>
        </w:rPr>
        <w:t xml:space="preserve"> that affects, or could affect, bids or bidding strategies.  Certain discussions might touch upon subject matters that could convey price or geographic information related to bidding strategies.  Such subject areas include, but are not limited to, manageme</w:t>
      </w:r>
      <w:r w:rsidRPr="00435180">
        <w:rPr>
          <w:szCs w:val="22"/>
        </w:rPr>
        <w:t>nt, sales, local marketing agreements, and other transactional agreements.</w:t>
      </w:r>
      <w:r w:rsidRPr="00435180">
        <w:rPr>
          <w:rStyle w:val="CommentReference"/>
          <w:sz w:val="22"/>
          <w:szCs w:val="22"/>
        </w:rPr>
        <w:t xml:space="preserve"> </w:t>
      </w:r>
    </w:p>
    <w:p w:rsidR="00D6515C" w:rsidRPr="00435180" w:rsidP="00D850FB" w14:paraId="12149768" w14:textId="775DBB99">
      <w:pPr>
        <w:pStyle w:val="ParaNum"/>
        <w:widowControl/>
        <w:autoSpaceDE w:val="0"/>
        <w:autoSpaceDN w:val="0"/>
        <w:adjustRightInd w:val="0"/>
        <w:rPr>
          <w:snapToGrid/>
          <w:szCs w:val="22"/>
        </w:rPr>
      </w:pPr>
      <w:r w:rsidRPr="00435180">
        <w:rPr>
          <w:szCs w:val="22"/>
        </w:rPr>
        <w:t>We caution applicants that bids or bidding strategies may be communicated outside of situations that involve one party subject to the prohibition communicating privately and direct</w:t>
      </w:r>
      <w:r w:rsidRPr="00435180">
        <w:rPr>
          <w:szCs w:val="22"/>
        </w:rPr>
        <w:t>ly with another such party.  For example, the Commission has warned that prohibited “communications concerning bids and bidding strategies may include communications regarding capital calls or requests for additional funds in support of bids or bidding str</w:t>
      </w:r>
      <w:r w:rsidRPr="00435180">
        <w:rPr>
          <w:szCs w:val="22"/>
        </w:rPr>
        <w:t xml:space="preserve">ategies to the extent such communications convey </w:t>
      </w:r>
      <w:r w:rsidRPr="00435180">
        <w:rPr>
          <w:szCs w:val="22"/>
        </w:rPr>
        <w:t>information concerning the bids and bidding strategies directly or indirectly.”</w:t>
      </w:r>
      <w:r>
        <w:rPr>
          <w:rStyle w:val="FootnoteReference"/>
          <w:szCs w:val="22"/>
        </w:rPr>
        <w:footnoteReference w:id="103"/>
      </w:r>
      <w:r w:rsidRPr="00435180">
        <w:rPr>
          <w:szCs w:val="22"/>
        </w:rPr>
        <w:t xml:space="preserve">  Moreover, the Commission found a violation of the rule against prohibited communications when an applicant used the Commissi</w:t>
      </w:r>
      <w:r w:rsidRPr="00435180">
        <w:rPr>
          <w:szCs w:val="22"/>
        </w:rPr>
        <w:t>on’s bidding system to disclose “its bidding strategy in a manner that explicitly invited other auction participants to cooperate and collaborate . . . in specific markets</w:t>
      </w:r>
      <w:r w:rsidR="008479C5">
        <w:rPr>
          <w:szCs w:val="22"/>
        </w:rPr>
        <w:t>,</w:t>
      </w:r>
      <w:r w:rsidRPr="00435180">
        <w:rPr>
          <w:szCs w:val="22"/>
        </w:rPr>
        <w:t>”</w:t>
      </w:r>
      <w:r>
        <w:rPr>
          <w:rStyle w:val="FootnoteReference"/>
          <w:szCs w:val="22"/>
        </w:rPr>
        <w:footnoteReference w:id="104"/>
      </w:r>
      <w:r w:rsidRPr="00435180">
        <w:rPr>
          <w:szCs w:val="22"/>
        </w:rPr>
        <w:t xml:space="preserve"> and </w:t>
      </w:r>
      <w:r w:rsidR="001C2EA0">
        <w:rPr>
          <w:szCs w:val="22"/>
        </w:rPr>
        <w:t xml:space="preserve">it </w:t>
      </w:r>
      <w:r w:rsidRPr="00435180">
        <w:rPr>
          <w:szCs w:val="22"/>
        </w:rPr>
        <w:t>has placed auction participants on notice that the use of its bidding sys</w:t>
      </w:r>
      <w:r w:rsidRPr="00435180">
        <w:rPr>
          <w:szCs w:val="22"/>
        </w:rPr>
        <w:t>tem “to disclose market information to competitors will not be tolerated and will subject bidders to sanctions.”</w:t>
      </w:r>
      <w:r>
        <w:rPr>
          <w:rStyle w:val="FootnoteReference"/>
          <w:szCs w:val="22"/>
        </w:rPr>
        <w:footnoteReference w:id="105"/>
      </w:r>
    </w:p>
    <w:p w:rsidR="00D6515C" w:rsidRPr="00435180" w:rsidP="00D850FB" w14:paraId="3B01241C" w14:textId="59B53899">
      <w:pPr>
        <w:pStyle w:val="ParaNum"/>
        <w:widowControl/>
        <w:autoSpaceDE w:val="0"/>
        <w:autoSpaceDN w:val="0"/>
        <w:adjustRightInd w:val="0"/>
        <w:rPr>
          <w:snapToGrid/>
          <w:szCs w:val="22"/>
        </w:rPr>
      </w:pPr>
      <w:r w:rsidRPr="00435180">
        <w:rPr>
          <w:snapToGrid/>
          <w:szCs w:val="22"/>
        </w:rPr>
        <w:t>Likewise, when completing a short-form application, each applicant should avoid any statements or disclosures that may violate section 1.2105</w:t>
      </w:r>
      <w:r w:rsidRPr="00435180">
        <w:rPr>
          <w:snapToGrid/>
          <w:szCs w:val="22"/>
        </w:rPr>
        <w:t>(c), particularly in light of the limited information procedures in effect for Auction 10</w:t>
      </w:r>
      <w:r w:rsidR="00150656">
        <w:rPr>
          <w:snapToGrid/>
          <w:szCs w:val="22"/>
        </w:rPr>
        <w:t>7</w:t>
      </w:r>
      <w:r w:rsidRPr="00435180">
        <w:rPr>
          <w:snapToGrid/>
          <w:szCs w:val="22"/>
        </w:rPr>
        <w:t xml:space="preserve">.  Specifically, an applicant should avoid including any </w:t>
      </w:r>
      <w:r w:rsidRPr="00D850FB">
        <w:rPr>
          <w:szCs w:val="22"/>
        </w:rPr>
        <w:t>information</w:t>
      </w:r>
      <w:r w:rsidRPr="00435180">
        <w:rPr>
          <w:snapToGrid/>
          <w:szCs w:val="22"/>
        </w:rPr>
        <w:t xml:space="preserve"> in its short-form application that might convey information regarding its </w:t>
      </w:r>
      <w:r w:rsidR="00EF6430">
        <w:rPr>
          <w:snapToGrid/>
          <w:szCs w:val="22"/>
        </w:rPr>
        <w:t>PEA</w:t>
      </w:r>
      <w:r w:rsidRPr="00435180" w:rsidR="00EF6430">
        <w:rPr>
          <w:snapToGrid/>
          <w:szCs w:val="22"/>
        </w:rPr>
        <w:t xml:space="preserve"> </w:t>
      </w:r>
      <w:r w:rsidRPr="00435180">
        <w:rPr>
          <w:snapToGrid/>
          <w:szCs w:val="22"/>
        </w:rPr>
        <w:t>selections,</w:t>
      </w:r>
      <w:r w:rsidR="004D27BC">
        <w:rPr>
          <w:snapToGrid/>
          <w:szCs w:val="22"/>
        </w:rPr>
        <w:t xml:space="preserve"> </w:t>
      </w:r>
      <w:r w:rsidRPr="00435180">
        <w:rPr>
          <w:snapToGrid/>
          <w:szCs w:val="22"/>
        </w:rPr>
        <w:t xml:space="preserve">such as referring to certain markets in describing agreements, including any information in application attachments that will be publicly available that may otherwise disclose the applicant’s </w:t>
      </w:r>
      <w:r w:rsidR="00EF6430">
        <w:rPr>
          <w:snapToGrid/>
          <w:szCs w:val="22"/>
        </w:rPr>
        <w:t>PEA</w:t>
      </w:r>
      <w:r w:rsidRPr="00435180" w:rsidR="00EF6430">
        <w:rPr>
          <w:snapToGrid/>
          <w:szCs w:val="22"/>
        </w:rPr>
        <w:t xml:space="preserve"> </w:t>
      </w:r>
      <w:r w:rsidRPr="00435180">
        <w:rPr>
          <w:snapToGrid/>
          <w:szCs w:val="22"/>
        </w:rPr>
        <w:t xml:space="preserve">selections, or using applicant names that refer to licenses </w:t>
      </w:r>
      <w:r w:rsidRPr="00435180">
        <w:rPr>
          <w:snapToGrid/>
          <w:szCs w:val="22"/>
        </w:rPr>
        <w:t xml:space="preserve">being offered.  </w:t>
      </w:r>
    </w:p>
    <w:p w:rsidR="00D6515C" w:rsidRPr="00435180" w:rsidP="00D850FB" w14:paraId="35D309E8" w14:textId="77777777">
      <w:pPr>
        <w:pStyle w:val="ParaNum"/>
        <w:widowControl/>
        <w:autoSpaceDE w:val="0"/>
        <w:autoSpaceDN w:val="0"/>
        <w:adjustRightInd w:val="0"/>
        <w:rPr>
          <w:snapToGrid/>
          <w:szCs w:val="22"/>
        </w:rPr>
      </w:pPr>
      <w:r w:rsidRPr="00435180">
        <w:rPr>
          <w:szCs w:val="22"/>
        </w:rPr>
        <w:t>Applicants also should be mindful that communicating non-public application or bidding information publicly or privately to another applicant may violate section 1.2105(c) even though that information subsequently may be made public during</w:t>
      </w:r>
      <w:r w:rsidRPr="00435180">
        <w:rPr>
          <w:szCs w:val="22"/>
        </w:rPr>
        <w:t xml:space="preserve"> later periods of the application or bidding processes.</w:t>
      </w:r>
      <w:r w:rsidRPr="00435180">
        <w:rPr>
          <w:snapToGrid/>
          <w:szCs w:val="22"/>
        </w:rPr>
        <w:t xml:space="preserve"> </w:t>
      </w:r>
    </w:p>
    <w:p w:rsidR="00D6515C" w:rsidRPr="00435180" w:rsidP="00D6515C" w14:paraId="7C2FEAE9" w14:textId="77777777">
      <w:pPr>
        <w:pStyle w:val="Heading3"/>
        <w:rPr>
          <w:szCs w:val="22"/>
        </w:rPr>
      </w:pPr>
      <w:bookmarkStart w:id="624" w:name="_Toc6383461"/>
      <w:bookmarkStart w:id="625" w:name="_Toc7525786"/>
      <w:bookmarkStart w:id="626" w:name="_Toc8657141"/>
      <w:bookmarkStart w:id="627" w:name="_Toc9410667"/>
      <w:bookmarkStart w:id="628" w:name="_Toc9430073"/>
      <w:bookmarkStart w:id="629" w:name="_Toc10116836"/>
      <w:bookmarkStart w:id="630" w:name="_Toc10646142"/>
      <w:bookmarkStart w:id="631" w:name="_Toc11156546"/>
      <w:bookmarkStart w:id="632" w:name="_Toc11244290"/>
      <w:bookmarkStart w:id="633" w:name="_Toc11653546"/>
      <w:bookmarkStart w:id="634" w:name="_Toc11678126"/>
      <w:bookmarkStart w:id="635" w:name="_Toc13654713"/>
      <w:bookmarkStart w:id="636" w:name="_Toc24459433"/>
      <w:bookmarkStart w:id="637" w:name="_Toc24459530"/>
      <w:bookmarkStart w:id="638" w:name="_Toc25926226"/>
      <w:bookmarkStart w:id="639" w:name="_Toc25926804"/>
      <w:bookmarkStart w:id="640" w:name="_Toc25926925"/>
      <w:bookmarkStart w:id="641" w:name="_Toc27038985"/>
      <w:bookmarkStart w:id="642" w:name="_Toc29813129"/>
      <w:bookmarkStart w:id="643" w:name="_Toc29886854"/>
      <w:bookmarkStart w:id="644" w:name="_Toc29999458"/>
      <w:bookmarkStart w:id="645" w:name="_Toc30699384"/>
      <w:bookmarkStart w:id="646" w:name="_Toc30701464"/>
      <w:bookmarkStart w:id="647" w:name="_Toc31189285"/>
      <w:bookmarkStart w:id="648" w:name="_Toc31189739"/>
      <w:bookmarkStart w:id="649" w:name="_Toc31193106"/>
      <w:bookmarkStart w:id="650" w:name="_Toc31195857"/>
      <w:bookmarkStart w:id="651" w:name="_Toc31199981"/>
      <w:bookmarkStart w:id="652" w:name="_Toc31713748"/>
      <w:bookmarkStart w:id="653" w:name="_Toc31822657"/>
      <w:bookmarkStart w:id="654" w:name="_Toc33629814"/>
      <w:bookmarkStart w:id="655" w:name="_Toc33696666"/>
      <w:r w:rsidRPr="00435180">
        <w:rPr>
          <w:szCs w:val="22"/>
        </w:rPr>
        <w:t>Communicating with Third Parties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D6515C" w:rsidRPr="00435180" w:rsidP="00D850FB" w14:paraId="5553E07C" w14:textId="49EC95AD">
      <w:pPr>
        <w:pStyle w:val="ParaNum"/>
        <w:widowControl/>
        <w:autoSpaceDE w:val="0"/>
        <w:autoSpaceDN w:val="0"/>
        <w:adjustRightInd w:val="0"/>
        <w:rPr>
          <w:snapToGrid/>
          <w:szCs w:val="22"/>
        </w:rPr>
      </w:pPr>
      <w:r w:rsidRPr="00435180">
        <w:rPr>
          <w:szCs w:val="22"/>
        </w:rPr>
        <w:t>Section 1.2105(c) does not prohibit an applicant from communicating bids or bidding strategies to a third</w:t>
      </w:r>
      <w:r w:rsidR="00CB7E10">
        <w:rPr>
          <w:szCs w:val="22"/>
        </w:rPr>
        <w:t xml:space="preserve"> </w:t>
      </w:r>
      <w:r w:rsidRPr="00435180">
        <w:rPr>
          <w:szCs w:val="22"/>
        </w:rPr>
        <w:t xml:space="preserve">party, such as a consultant or consulting firm, counsel, or </w:t>
      </w:r>
      <w:r w:rsidRPr="00435180">
        <w:rPr>
          <w:szCs w:val="22"/>
        </w:rPr>
        <w:t xml:space="preserve">lender. </w:t>
      </w:r>
      <w:bookmarkStart w:id="656" w:name="_Hlk518633962"/>
      <w:r w:rsidRPr="00435180">
        <w:rPr>
          <w:szCs w:val="22"/>
        </w:rPr>
        <w:t xml:space="preserve"> T</w:t>
      </w:r>
      <w:bookmarkEnd w:id="656"/>
      <w:r w:rsidRPr="00435180">
        <w:rPr>
          <w:szCs w:val="22"/>
        </w:rPr>
        <w:t>he applicant should take appropriate steps, however, to ensure that any third party it employs for advice pertaining to its bids or bidding strategies does not become a conduit for prohibited communications to other specified parties, as that wou</w:t>
      </w:r>
      <w:r w:rsidRPr="00435180">
        <w:rPr>
          <w:szCs w:val="22"/>
        </w:rPr>
        <w:t>ld violate the rule.</w:t>
      </w:r>
      <w:r>
        <w:rPr>
          <w:rStyle w:val="FootnoteReference"/>
          <w:szCs w:val="22"/>
        </w:rPr>
        <w:footnoteReference w:id="106"/>
      </w:r>
      <w:r w:rsidRPr="00435180">
        <w:rPr>
          <w:szCs w:val="22"/>
        </w:rPr>
        <w:t xml:space="preserve"> </w:t>
      </w:r>
      <w:r w:rsidRPr="00435180">
        <w:rPr>
          <w:snapToGrid/>
          <w:kern w:val="0"/>
          <w:szCs w:val="22"/>
        </w:rPr>
        <w:t xml:space="preserve"> </w:t>
      </w:r>
      <w:r w:rsidRPr="00435180">
        <w:rPr>
          <w:snapToGrid/>
          <w:szCs w:val="22"/>
        </w:rPr>
        <w:t>For example, an applicant might require a third party, such as a lender, to sign a non-disclosure agreement before the applicant communicates any information regarding bids or bidding strategy to the third party.</w:t>
      </w:r>
      <w:r>
        <w:rPr>
          <w:rStyle w:val="FootnoteReference"/>
          <w:kern w:val="0"/>
          <w:szCs w:val="22"/>
        </w:rPr>
        <w:footnoteReference w:id="107"/>
      </w:r>
      <w:r w:rsidRPr="00435180">
        <w:rPr>
          <w:snapToGrid/>
          <w:szCs w:val="22"/>
        </w:rPr>
        <w:t xml:space="preserve">  Within </w:t>
      </w:r>
      <w:r w:rsidRPr="00435180">
        <w:rPr>
          <w:szCs w:val="22"/>
        </w:rPr>
        <w:t>third-par</w:t>
      </w:r>
      <w:r w:rsidRPr="00435180">
        <w:rPr>
          <w:szCs w:val="22"/>
        </w:rPr>
        <w:t xml:space="preserve">ty firms, separate individual employees, such as attorneys or auction consultants, may advise individual applicants on bids or bidding strategies, as long as such firms implement firewalls and other compliance procedures that prevent such individuals from </w:t>
      </w:r>
      <w:r w:rsidRPr="00435180">
        <w:rPr>
          <w:szCs w:val="22"/>
        </w:rPr>
        <w:t>communicating the bids or bidding strategies of one applicant to other individuals representing separate applicants.</w:t>
      </w:r>
      <w:r>
        <w:rPr>
          <w:rStyle w:val="FootnoteReference"/>
          <w:szCs w:val="22"/>
        </w:rPr>
        <w:footnoteReference w:id="108"/>
      </w:r>
      <w:r w:rsidRPr="00435180">
        <w:rPr>
          <w:szCs w:val="22"/>
        </w:rPr>
        <w:t xml:space="preserve">  Although firewalls and/or other procedures should be used, their existence is not an absolute defense to liability if a violation of the</w:t>
      </w:r>
      <w:r w:rsidRPr="00435180">
        <w:rPr>
          <w:szCs w:val="22"/>
        </w:rPr>
        <w:t xml:space="preserve"> rule has occurred.</w:t>
      </w:r>
      <w:r>
        <w:rPr>
          <w:rStyle w:val="FootnoteReference"/>
          <w:szCs w:val="22"/>
        </w:rPr>
        <w:footnoteReference w:id="109"/>
      </w:r>
    </w:p>
    <w:p w:rsidR="00D6515C" w:rsidRPr="00435180" w:rsidP="00D850FB" w14:paraId="0DD7C7FF" w14:textId="7CDE0C81">
      <w:pPr>
        <w:pStyle w:val="ParaNum"/>
        <w:widowControl/>
        <w:autoSpaceDE w:val="0"/>
        <w:autoSpaceDN w:val="0"/>
        <w:adjustRightInd w:val="0"/>
        <w:rPr>
          <w:snapToGrid/>
          <w:szCs w:val="22"/>
        </w:rPr>
      </w:pPr>
      <w:r>
        <w:rPr>
          <w:szCs w:val="22"/>
        </w:rPr>
        <w:t>As we have noted in other spectrum auctions, i</w:t>
      </w:r>
      <w:r w:rsidRPr="00435180" w:rsidR="00777B66">
        <w:rPr>
          <w:szCs w:val="22"/>
        </w:rPr>
        <w:t>n the case of an individual, the objective precautionary measure of a firewall is not available.</w:t>
      </w:r>
      <w:r>
        <w:rPr>
          <w:rStyle w:val="FootnoteReference"/>
          <w:szCs w:val="22"/>
        </w:rPr>
        <w:footnoteReference w:id="110"/>
      </w:r>
      <w:r w:rsidRPr="00435180" w:rsidR="00777B66">
        <w:rPr>
          <w:szCs w:val="22"/>
        </w:rPr>
        <w:t xml:space="preserve">  As a result, an individual that is privy to bids or bidding information of more than one applicant presents a greater risk of becoming a conduit for a prohibited communication.</w:t>
      </w:r>
      <w:r>
        <w:rPr>
          <w:rStyle w:val="FootnoteReference"/>
          <w:szCs w:val="22"/>
        </w:rPr>
        <w:footnoteReference w:id="111"/>
      </w:r>
      <w:r w:rsidRPr="00435180" w:rsidR="00777B66">
        <w:rPr>
          <w:szCs w:val="22"/>
        </w:rPr>
        <w:t xml:space="preserve">  We will take the same approach to interpreting the prohibited communications rule in Auction 10</w:t>
      </w:r>
      <w:r w:rsidR="003F7CA1">
        <w:rPr>
          <w:szCs w:val="22"/>
        </w:rPr>
        <w:t>7</w:t>
      </w:r>
      <w:r w:rsidRPr="00435180" w:rsidR="00777B66">
        <w:rPr>
          <w:szCs w:val="22"/>
        </w:rPr>
        <w:t>.  We emphasize that whether a prohibited communication has taken place in a given case will depend on all the facts pertaining to the case, including who possessed what information, what information was conveyed to whom, and the course of bidding in the auction.</w:t>
      </w:r>
      <w:r>
        <w:rPr>
          <w:rStyle w:val="FootnoteReference"/>
          <w:szCs w:val="22"/>
        </w:rPr>
        <w:footnoteReference w:id="112"/>
      </w:r>
    </w:p>
    <w:p w:rsidR="00D6515C" w:rsidRPr="00435180" w:rsidP="00D850FB" w14:paraId="2A203809" w14:textId="6D92AC1E">
      <w:pPr>
        <w:pStyle w:val="ParaNum"/>
        <w:widowControl/>
        <w:autoSpaceDE w:val="0"/>
        <w:autoSpaceDN w:val="0"/>
        <w:adjustRightInd w:val="0"/>
        <w:rPr>
          <w:snapToGrid/>
          <w:szCs w:val="22"/>
        </w:rPr>
      </w:pPr>
      <w:r w:rsidRPr="00435180">
        <w:rPr>
          <w:szCs w:val="22"/>
        </w:rPr>
        <w:t>We remind potential applicants that they may discuss the s</w:t>
      </w:r>
      <w:r w:rsidRPr="00435180">
        <w:rPr>
          <w:szCs w:val="22"/>
        </w:rPr>
        <w:t xml:space="preserve">hort-form application or bids for specific licenses or license areas with the counsel, consultant, or expert of their choice </w:t>
      </w:r>
      <w:r w:rsidRPr="00435180">
        <w:rPr>
          <w:i/>
          <w:szCs w:val="22"/>
        </w:rPr>
        <w:t>before</w:t>
      </w:r>
      <w:r w:rsidRPr="00435180">
        <w:rPr>
          <w:szCs w:val="22"/>
        </w:rPr>
        <w:t xml:space="preserve"> the short-form application deadline.  Furthermore, the same third-party individual could continue to give advice after the s</w:t>
      </w:r>
      <w:r w:rsidRPr="00435180">
        <w:rPr>
          <w:szCs w:val="22"/>
        </w:rPr>
        <w:t xml:space="preserve">hort-form deadline regarding the application, provided that no information pertaining to bids or bidding strategies, including </w:t>
      </w:r>
      <w:r w:rsidR="00373755">
        <w:rPr>
          <w:szCs w:val="22"/>
        </w:rPr>
        <w:t>PEAs</w:t>
      </w:r>
      <w:r w:rsidRPr="00435180" w:rsidR="00373755">
        <w:rPr>
          <w:szCs w:val="22"/>
        </w:rPr>
        <w:t xml:space="preserve"> </w:t>
      </w:r>
      <w:r w:rsidRPr="00435180">
        <w:rPr>
          <w:szCs w:val="22"/>
        </w:rPr>
        <w:t>selected on the short-form application, is conveyed to that individual.  To the extent potential applicants can develop bidd</w:t>
      </w:r>
      <w:r w:rsidRPr="00435180">
        <w:rPr>
          <w:szCs w:val="22"/>
        </w:rPr>
        <w:t>ing instructions prior to the short-form deadline that a third party could implement without changes during bidding, the third party could follow such instructions for multiple applicants provided that those applicants do not communicate with the third par</w:t>
      </w:r>
      <w:r w:rsidRPr="00435180">
        <w:rPr>
          <w:szCs w:val="22"/>
        </w:rPr>
        <w:t>ty during the prohibition period.</w:t>
      </w:r>
      <w:r>
        <w:rPr>
          <w:rStyle w:val="FootnoteReference"/>
          <w:szCs w:val="22"/>
        </w:rPr>
        <w:footnoteReference w:id="113"/>
      </w:r>
    </w:p>
    <w:p w:rsidR="00D6515C" w:rsidRPr="00435180" w:rsidP="00D850FB" w14:paraId="3112862A" w14:textId="2D45B363">
      <w:pPr>
        <w:pStyle w:val="ParaNum"/>
        <w:widowControl/>
        <w:autoSpaceDE w:val="0"/>
        <w:autoSpaceDN w:val="0"/>
        <w:adjustRightInd w:val="0"/>
        <w:rPr>
          <w:snapToGrid/>
          <w:szCs w:val="22"/>
        </w:rPr>
      </w:pPr>
      <w:r w:rsidRPr="00435180">
        <w:rPr>
          <w:szCs w:val="22"/>
        </w:rPr>
        <w:t>Applicants also should use caution in their dealings with other parties, such as members of the press, financial analysts, or others who might become conduits for the communication of prohibited bidding information.</w:t>
      </w:r>
      <w:r>
        <w:rPr>
          <w:rStyle w:val="FootnoteReference"/>
          <w:szCs w:val="22"/>
        </w:rPr>
        <w:footnoteReference w:id="114"/>
      </w:r>
      <w:r w:rsidRPr="00435180">
        <w:rPr>
          <w:szCs w:val="22"/>
        </w:rPr>
        <w:t xml:space="preserve">  For example, even though communicating that it has applied to participate in the auction will not violate the rule, an applicant’s statement to the press that it intends to stop bidding in an auction could give rise to a finding of a section 1.2105 viola</w:t>
      </w:r>
      <w:r w:rsidRPr="00435180">
        <w:rPr>
          <w:szCs w:val="22"/>
        </w:rPr>
        <w:t>tion.</w:t>
      </w:r>
      <w:r>
        <w:rPr>
          <w:rStyle w:val="FootnoteReference"/>
          <w:szCs w:val="22"/>
        </w:rPr>
        <w:footnoteReference w:id="115"/>
      </w:r>
      <w:r w:rsidRPr="00435180">
        <w:rPr>
          <w:szCs w:val="22"/>
        </w:rPr>
        <w:t xml:space="preserve">  Similarly, an applicant’s public statement of intent not to place bids during bidding in Auction 10</w:t>
      </w:r>
      <w:r w:rsidR="007042B4">
        <w:rPr>
          <w:szCs w:val="22"/>
        </w:rPr>
        <w:t>7</w:t>
      </w:r>
      <w:r w:rsidRPr="00435180">
        <w:rPr>
          <w:szCs w:val="22"/>
        </w:rPr>
        <w:t xml:space="preserve"> could also violate the rule.  </w:t>
      </w:r>
    </w:p>
    <w:p w:rsidR="00D6515C" w:rsidRPr="00435180" w:rsidP="00D6515C" w14:paraId="2EB1CB61" w14:textId="77777777">
      <w:pPr>
        <w:pStyle w:val="Heading3"/>
        <w:rPr>
          <w:szCs w:val="22"/>
        </w:rPr>
      </w:pPr>
      <w:bookmarkStart w:id="657" w:name="_Toc6383462"/>
      <w:bookmarkStart w:id="658" w:name="_Toc7525787"/>
      <w:bookmarkStart w:id="659" w:name="_Toc8657142"/>
      <w:bookmarkStart w:id="660" w:name="_Toc9410668"/>
      <w:bookmarkStart w:id="661" w:name="_Toc9430074"/>
      <w:bookmarkStart w:id="662" w:name="_Toc10116837"/>
      <w:bookmarkStart w:id="663" w:name="_Toc10646143"/>
      <w:bookmarkStart w:id="664" w:name="_Toc11156547"/>
      <w:bookmarkStart w:id="665" w:name="_Toc11244291"/>
      <w:bookmarkStart w:id="666" w:name="_Toc11653547"/>
      <w:bookmarkStart w:id="667" w:name="_Toc11678127"/>
      <w:bookmarkStart w:id="668" w:name="_Toc13654714"/>
      <w:bookmarkStart w:id="669" w:name="_Toc24459434"/>
      <w:bookmarkStart w:id="670" w:name="_Toc24459531"/>
      <w:bookmarkStart w:id="671" w:name="_Toc25926227"/>
      <w:bookmarkStart w:id="672" w:name="_Toc25926805"/>
      <w:bookmarkStart w:id="673" w:name="_Toc25926926"/>
      <w:bookmarkStart w:id="674" w:name="_Toc27038986"/>
      <w:bookmarkStart w:id="675" w:name="_Toc29813130"/>
      <w:bookmarkStart w:id="676" w:name="_Toc29886855"/>
      <w:bookmarkStart w:id="677" w:name="_Toc29999459"/>
      <w:bookmarkStart w:id="678" w:name="_Toc30699385"/>
      <w:bookmarkStart w:id="679" w:name="_Toc30701465"/>
      <w:bookmarkStart w:id="680" w:name="_Toc31189286"/>
      <w:bookmarkStart w:id="681" w:name="_Toc31189740"/>
      <w:bookmarkStart w:id="682" w:name="_Toc31193107"/>
      <w:bookmarkStart w:id="683" w:name="_Toc31195858"/>
      <w:bookmarkStart w:id="684" w:name="_Toc31199982"/>
      <w:bookmarkStart w:id="685" w:name="_Toc31713749"/>
      <w:bookmarkStart w:id="686" w:name="_Toc31822658"/>
      <w:bookmarkStart w:id="687" w:name="_Toc33629815"/>
      <w:bookmarkStart w:id="688" w:name="_Toc33696667"/>
      <w:r w:rsidRPr="00435180">
        <w:rPr>
          <w:szCs w:val="22"/>
        </w:rPr>
        <w:t>Section 1.2105(c) Certifications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D6515C" w:rsidRPr="00435180" w:rsidP="00D850FB" w14:paraId="75D42512" w14:textId="1250457E">
      <w:pPr>
        <w:pStyle w:val="ParaNum"/>
        <w:widowControl/>
        <w:autoSpaceDE w:val="0"/>
        <w:autoSpaceDN w:val="0"/>
        <w:adjustRightInd w:val="0"/>
        <w:rPr>
          <w:szCs w:val="22"/>
        </w:rPr>
      </w:pPr>
      <w:r w:rsidRPr="00435180">
        <w:rPr>
          <w:szCs w:val="22"/>
        </w:rPr>
        <w:t xml:space="preserve">By electronically submitting its FCC Form 175 auction application, each applicant </w:t>
      </w:r>
      <w:r w:rsidRPr="00435180">
        <w:rPr>
          <w:szCs w:val="22"/>
        </w:rPr>
        <w:t>for Auction 10</w:t>
      </w:r>
      <w:r w:rsidR="008E7EE9">
        <w:rPr>
          <w:szCs w:val="22"/>
        </w:rPr>
        <w:t>7</w:t>
      </w:r>
      <w:r w:rsidRPr="00435180">
        <w:rPr>
          <w:szCs w:val="22"/>
        </w:rPr>
        <w:t xml:space="preserve"> certifies its compliance with section 1.2105(c) </w:t>
      </w:r>
      <w:r w:rsidRPr="00435180">
        <w:rPr>
          <w:color w:val="000000"/>
          <w:szCs w:val="22"/>
        </w:rPr>
        <w:t>of the rules</w:t>
      </w:r>
      <w:r w:rsidRPr="00435180">
        <w:rPr>
          <w:szCs w:val="22"/>
        </w:rPr>
        <w:t>.</w:t>
      </w:r>
      <w:r>
        <w:rPr>
          <w:rStyle w:val="FootnoteReference"/>
          <w:szCs w:val="22"/>
        </w:rPr>
        <w:footnoteReference w:id="116"/>
      </w:r>
      <w:r w:rsidRPr="00435180">
        <w:rPr>
          <w:szCs w:val="22"/>
        </w:rPr>
        <w:t xml:space="preserve">  </w:t>
      </w:r>
      <w:r w:rsidR="006B16DE">
        <w:rPr>
          <w:szCs w:val="22"/>
        </w:rPr>
        <w:t>T</w:t>
      </w:r>
      <w:r w:rsidRPr="00435180">
        <w:rPr>
          <w:szCs w:val="22"/>
        </w:rPr>
        <w:t xml:space="preserve">he mere filing of a certifying </w:t>
      </w:r>
      <w:r w:rsidRPr="00435180">
        <w:rPr>
          <w:szCs w:val="22"/>
        </w:rPr>
        <w:t>statement as part of an application</w:t>
      </w:r>
      <w:r w:rsidR="006B16DE">
        <w:rPr>
          <w:szCs w:val="22"/>
        </w:rPr>
        <w:t>, however,</w:t>
      </w:r>
      <w:r w:rsidRPr="00435180">
        <w:rPr>
          <w:szCs w:val="22"/>
        </w:rPr>
        <w:t xml:space="preserve"> will not outweigh specific evidence that a prohibited communication has occurred, nor will it pre</w:t>
      </w:r>
      <w:r w:rsidRPr="00435180">
        <w:rPr>
          <w:szCs w:val="22"/>
        </w:rPr>
        <w:t>clude the initiation of an investigation when warranted.</w:t>
      </w:r>
      <w:r>
        <w:rPr>
          <w:rStyle w:val="FootnoteReference"/>
          <w:szCs w:val="22"/>
        </w:rPr>
        <w:footnoteReference w:id="117"/>
      </w:r>
      <w:r w:rsidRPr="00435180">
        <w:rPr>
          <w:szCs w:val="22"/>
        </w:rPr>
        <w:t xml:space="preserve">  Any applicant found to have violated these communication prohibitions may be subject to sanctions.</w:t>
      </w:r>
      <w:r>
        <w:rPr>
          <w:rStyle w:val="FootnoteReference"/>
          <w:szCs w:val="22"/>
        </w:rPr>
        <w:footnoteReference w:id="118"/>
      </w:r>
    </w:p>
    <w:p w:rsidR="00D6515C" w:rsidRPr="00435180" w:rsidP="00D6515C" w14:paraId="669F25C3" w14:textId="77777777">
      <w:pPr>
        <w:pStyle w:val="Heading3"/>
        <w:rPr>
          <w:szCs w:val="22"/>
        </w:rPr>
      </w:pPr>
      <w:bookmarkStart w:id="689" w:name="_Toc6383463"/>
      <w:bookmarkStart w:id="690" w:name="_Toc7525788"/>
      <w:bookmarkStart w:id="691" w:name="_Toc8657143"/>
      <w:bookmarkStart w:id="692" w:name="_Toc9410669"/>
      <w:bookmarkStart w:id="693" w:name="_Toc9430075"/>
      <w:bookmarkStart w:id="694" w:name="_Toc10116838"/>
      <w:bookmarkStart w:id="695" w:name="_Toc10646144"/>
      <w:bookmarkStart w:id="696" w:name="_Toc11156548"/>
      <w:bookmarkStart w:id="697" w:name="_Toc11244292"/>
      <w:bookmarkStart w:id="698" w:name="_Toc11653548"/>
      <w:bookmarkStart w:id="699" w:name="_Toc11678128"/>
      <w:bookmarkStart w:id="700" w:name="_Toc13654715"/>
      <w:bookmarkStart w:id="701" w:name="_Toc24459435"/>
      <w:bookmarkStart w:id="702" w:name="_Toc24459532"/>
      <w:bookmarkStart w:id="703" w:name="_Toc25926228"/>
      <w:bookmarkStart w:id="704" w:name="_Toc25926806"/>
      <w:bookmarkStart w:id="705" w:name="_Toc25926927"/>
      <w:bookmarkStart w:id="706" w:name="_Toc27038987"/>
      <w:bookmarkStart w:id="707" w:name="_Toc29813131"/>
      <w:bookmarkStart w:id="708" w:name="_Toc29886856"/>
      <w:bookmarkStart w:id="709" w:name="_Toc29999460"/>
      <w:bookmarkStart w:id="710" w:name="_Toc30699386"/>
      <w:bookmarkStart w:id="711" w:name="_Toc30701466"/>
      <w:bookmarkStart w:id="712" w:name="_Toc31189287"/>
      <w:bookmarkStart w:id="713" w:name="_Toc31189741"/>
      <w:bookmarkStart w:id="714" w:name="_Toc31193108"/>
      <w:bookmarkStart w:id="715" w:name="_Toc31195859"/>
      <w:bookmarkStart w:id="716" w:name="_Toc31199983"/>
      <w:bookmarkStart w:id="717" w:name="_Toc31713750"/>
      <w:bookmarkStart w:id="718" w:name="_Toc31822659"/>
      <w:bookmarkStart w:id="719" w:name="_Toc33629816"/>
      <w:bookmarkStart w:id="720" w:name="_Toc33696668"/>
      <w:r w:rsidRPr="00435180">
        <w:rPr>
          <w:szCs w:val="22"/>
        </w:rPr>
        <w:t>Duty to Report Prohibited Communications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D6515C" w:rsidRPr="00435180" w:rsidP="00D850FB" w14:paraId="02789E5B" w14:textId="468D60F0">
      <w:pPr>
        <w:pStyle w:val="ParaNum"/>
        <w:widowControl/>
        <w:autoSpaceDE w:val="0"/>
        <w:autoSpaceDN w:val="0"/>
        <w:adjustRightInd w:val="0"/>
        <w:rPr>
          <w:szCs w:val="22"/>
        </w:rPr>
      </w:pPr>
      <w:r w:rsidRPr="00435180">
        <w:rPr>
          <w:szCs w:val="22"/>
        </w:rPr>
        <w:t xml:space="preserve">Section 1.2105(c)(4) requires that any applicant that </w:t>
      </w:r>
      <w:r w:rsidRPr="00435180">
        <w:rPr>
          <w:szCs w:val="22"/>
        </w:rPr>
        <w:t>makes or receives a communication that appears to violate section 1.2105(c) must report such communication in writing to the Commission immediately, and in no case later than five business days after the communication occurs.</w:t>
      </w:r>
      <w:r>
        <w:rPr>
          <w:rStyle w:val="FootnoteReference"/>
          <w:szCs w:val="22"/>
        </w:rPr>
        <w:footnoteReference w:id="119"/>
      </w:r>
      <w:r w:rsidRPr="00435180">
        <w:rPr>
          <w:szCs w:val="22"/>
        </w:rPr>
        <w:t xml:space="preserve">  Each applicant’s obligation</w:t>
      </w:r>
      <w:r w:rsidRPr="00435180">
        <w:rPr>
          <w:szCs w:val="22"/>
        </w:rPr>
        <w:t xml:space="preserve"> to report any such communication continues beyond the five-day period after the communication is made, even if the report is not made within the five-day period.</w:t>
      </w:r>
      <w:r>
        <w:rPr>
          <w:rStyle w:val="FootnoteReference"/>
          <w:szCs w:val="22"/>
        </w:rPr>
        <w:footnoteReference w:id="120"/>
      </w:r>
    </w:p>
    <w:p w:rsidR="00D6515C" w:rsidRPr="00435180" w:rsidP="00D6515C" w14:paraId="685FCDD7" w14:textId="77777777">
      <w:pPr>
        <w:pStyle w:val="Heading3"/>
        <w:rPr>
          <w:szCs w:val="22"/>
        </w:rPr>
      </w:pPr>
      <w:bookmarkStart w:id="721" w:name="_Toc6383464"/>
      <w:bookmarkStart w:id="722" w:name="_Toc7525789"/>
      <w:bookmarkStart w:id="723" w:name="_Toc8657144"/>
      <w:bookmarkStart w:id="724" w:name="_Toc9410670"/>
      <w:bookmarkStart w:id="725" w:name="_Toc9430076"/>
      <w:bookmarkStart w:id="726" w:name="_Toc10116839"/>
      <w:bookmarkStart w:id="727" w:name="_Toc10646145"/>
      <w:bookmarkStart w:id="728" w:name="_Toc11156549"/>
      <w:bookmarkStart w:id="729" w:name="_Toc11244293"/>
      <w:bookmarkStart w:id="730" w:name="_Toc11653549"/>
      <w:bookmarkStart w:id="731" w:name="_Toc11678129"/>
      <w:bookmarkStart w:id="732" w:name="_Toc13654716"/>
      <w:bookmarkStart w:id="733" w:name="_Toc24459436"/>
      <w:bookmarkStart w:id="734" w:name="_Toc24459533"/>
      <w:bookmarkStart w:id="735" w:name="_Toc25926229"/>
      <w:bookmarkStart w:id="736" w:name="_Toc25926807"/>
      <w:bookmarkStart w:id="737" w:name="_Toc25926928"/>
      <w:bookmarkStart w:id="738" w:name="_Toc27038988"/>
      <w:bookmarkStart w:id="739" w:name="_Toc29813132"/>
      <w:bookmarkStart w:id="740" w:name="_Toc29886857"/>
      <w:bookmarkStart w:id="741" w:name="_Toc29999461"/>
      <w:bookmarkStart w:id="742" w:name="_Toc30699387"/>
      <w:bookmarkStart w:id="743" w:name="_Toc30701467"/>
      <w:bookmarkStart w:id="744" w:name="_Toc31189288"/>
      <w:bookmarkStart w:id="745" w:name="_Toc31189742"/>
      <w:bookmarkStart w:id="746" w:name="_Toc31193109"/>
      <w:bookmarkStart w:id="747" w:name="_Toc31195860"/>
      <w:bookmarkStart w:id="748" w:name="_Toc31199984"/>
      <w:bookmarkStart w:id="749" w:name="_Toc31713751"/>
      <w:bookmarkStart w:id="750" w:name="_Toc31822660"/>
      <w:bookmarkStart w:id="751" w:name="_Toc33629817"/>
      <w:bookmarkStart w:id="752" w:name="_Toc33696669"/>
      <w:r w:rsidRPr="00435180">
        <w:rPr>
          <w:szCs w:val="22"/>
        </w:rPr>
        <w:t>Procedures for Reporting Prohibited Communications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D6515C" w:rsidRPr="00435180" w:rsidP="00D850FB" w14:paraId="3E68A792" w14:textId="77777777">
      <w:pPr>
        <w:pStyle w:val="ParaNum"/>
        <w:widowControl/>
        <w:autoSpaceDE w:val="0"/>
        <w:autoSpaceDN w:val="0"/>
        <w:adjustRightInd w:val="0"/>
        <w:rPr>
          <w:szCs w:val="22"/>
        </w:rPr>
      </w:pPr>
      <w:r w:rsidRPr="00435180">
        <w:rPr>
          <w:szCs w:val="22"/>
        </w:rPr>
        <w:t>A party reporting any information or com</w:t>
      </w:r>
      <w:r w:rsidRPr="00435180">
        <w:rPr>
          <w:szCs w:val="22"/>
        </w:rPr>
        <w:t>munication pursuant to sections 1.65, 1.2105(a)(2), or 1.2105(c)(4) must take care to ensure that any report of a prohibited communication does not itself give rise to a violation of section 1.2105(c).  For example, a party’s report of a prohibited communi</w:t>
      </w:r>
      <w:r w:rsidRPr="00435180">
        <w:rPr>
          <w:szCs w:val="22"/>
        </w:rPr>
        <w:t xml:space="preserve">cation could violate the rule by communicating prohibited information to other parties specified under the rule through the use of Commission filing procedures that allow such materials to be made available for public inspection.  </w:t>
      </w:r>
    </w:p>
    <w:p w:rsidR="00D6515C" w:rsidRPr="00435180" w:rsidP="00D850FB" w14:paraId="4FF15D30" w14:textId="1E1DBD53">
      <w:pPr>
        <w:pStyle w:val="ParaNum"/>
        <w:widowControl/>
        <w:autoSpaceDE w:val="0"/>
        <w:autoSpaceDN w:val="0"/>
        <w:adjustRightInd w:val="0"/>
        <w:rPr>
          <w:szCs w:val="22"/>
        </w:rPr>
      </w:pPr>
      <w:r w:rsidRPr="00435180">
        <w:rPr>
          <w:szCs w:val="22"/>
        </w:rPr>
        <w:t>Parties must file only a</w:t>
      </w:r>
      <w:r w:rsidRPr="00435180">
        <w:rPr>
          <w:szCs w:val="22"/>
        </w:rPr>
        <w:t xml:space="preserve"> single report concerning a prohibited communication and must file that report with the Commission personnel expressly charged with administering the Commission’s auctions.</w:t>
      </w:r>
      <w:r>
        <w:rPr>
          <w:rStyle w:val="FootnoteReference"/>
          <w:szCs w:val="22"/>
        </w:rPr>
        <w:footnoteReference w:id="121"/>
      </w:r>
      <w:r w:rsidRPr="00435180">
        <w:rPr>
          <w:szCs w:val="22"/>
        </w:rPr>
        <w:t xml:space="preserve">  This rule is designed to minimize the risk of inadvertent dissemination of infor</w:t>
      </w:r>
      <w:r w:rsidRPr="00435180">
        <w:rPr>
          <w:szCs w:val="22"/>
        </w:rPr>
        <w:t>mation in such reports.  Any reports required by section 1.2105(c) must be filed consistent with the instructions set forth in this Public Notice.</w:t>
      </w:r>
      <w:r>
        <w:rPr>
          <w:rStyle w:val="FootnoteReference"/>
          <w:szCs w:val="22"/>
        </w:rPr>
        <w:footnoteReference w:id="122"/>
      </w:r>
      <w:r w:rsidRPr="00435180">
        <w:rPr>
          <w:szCs w:val="22"/>
        </w:rPr>
        <w:t xml:space="preserve">  For Auction 10</w:t>
      </w:r>
      <w:r w:rsidR="00D17711">
        <w:rPr>
          <w:szCs w:val="22"/>
        </w:rPr>
        <w:t>7</w:t>
      </w:r>
      <w:r w:rsidRPr="00435180">
        <w:rPr>
          <w:szCs w:val="22"/>
        </w:rPr>
        <w:t>, such reports must be filed with the Chief of the Auctions Division, Office of Economics a</w:t>
      </w:r>
      <w:r w:rsidRPr="00435180">
        <w:rPr>
          <w:szCs w:val="22"/>
        </w:rPr>
        <w:t xml:space="preserve">nd Analytics, by the most expeditious means available.  Any such report should be submitted by email to </w:t>
      </w:r>
      <w:r w:rsidR="00D510EE">
        <w:rPr>
          <w:szCs w:val="22"/>
        </w:rPr>
        <w:t>the</w:t>
      </w:r>
      <w:r w:rsidR="00C40B75">
        <w:rPr>
          <w:szCs w:val="22"/>
        </w:rPr>
        <w:t xml:space="preserve"> Auctions Division Chief</w:t>
      </w:r>
      <w:r w:rsidR="00690434">
        <w:rPr>
          <w:szCs w:val="22"/>
        </w:rPr>
        <w:t xml:space="preserve"> and</w:t>
      </w:r>
      <w:r w:rsidRPr="00435180">
        <w:rPr>
          <w:szCs w:val="22"/>
        </w:rPr>
        <w:t xml:space="preserve"> sent to </w:t>
      </w:r>
      <w:hyperlink r:id="rId6" w:history="1">
        <w:r w:rsidRPr="00510C7A" w:rsidR="00510C7A">
          <w:rPr>
            <w:rStyle w:val="Hyperlink"/>
            <w:szCs w:val="22"/>
          </w:rPr>
          <w:t>auction107@fcc.gov</w:t>
        </w:r>
      </w:hyperlink>
      <w:r w:rsidRPr="00435180">
        <w:rPr>
          <w:szCs w:val="22"/>
        </w:rPr>
        <w:t xml:space="preserve">.  If you choose instead to submit a report in hard </w:t>
      </w:r>
      <w:r w:rsidRPr="00435180">
        <w:rPr>
          <w:szCs w:val="22"/>
        </w:rPr>
        <w:t xml:space="preserve">copy, </w:t>
      </w:r>
      <w:r w:rsidR="008664D1">
        <w:rPr>
          <w:szCs w:val="22"/>
        </w:rPr>
        <w:t xml:space="preserve">contact Auctions </w:t>
      </w:r>
      <w:r w:rsidR="00D86AA4">
        <w:rPr>
          <w:szCs w:val="22"/>
        </w:rPr>
        <w:t xml:space="preserve">Division </w:t>
      </w:r>
      <w:r w:rsidR="008664D1">
        <w:rPr>
          <w:szCs w:val="22"/>
        </w:rPr>
        <w:t xml:space="preserve">staff at </w:t>
      </w:r>
      <w:hyperlink r:id="rId6" w:history="1">
        <w:r w:rsidRPr="000F2DC9" w:rsidR="000F2DC9">
          <w:rPr>
            <w:rStyle w:val="Hyperlink"/>
            <w:szCs w:val="22"/>
          </w:rPr>
          <w:t>auction107@fcc.gov</w:t>
        </w:r>
      </w:hyperlink>
      <w:r w:rsidR="008664D1">
        <w:rPr>
          <w:szCs w:val="22"/>
        </w:rPr>
        <w:t xml:space="preserve"> or (202) 418-0660 for guidance</w:t>
      </w:r>
      <w:r w:rsidRPr="00435180">
        <w:rPr>
          <w:szCs w:val="22"/>
        </w:rPr>
        <w:t>.</w:t>
      </w:r>
    </w:p>
    <w:p w:rsidR="00D6515C" w:rsidRPr="00435180" w:rsidP="00D850FB" w14:paraId="7990C969" w14:textId="4B834C59">
      <w:pPr>
        <w:pStyle w:val="ParaNum"/>
        <w:widowControl/>
        <w:autoSpaceDE w:val="0"/>
        <w:autoSpaceDN w:val="0"/>
        <w:adjustRightInd w:val="0"/>
        <w:rPr>
          <w:szCs w:val="22"/>
        </w:rPr>
      </w:pPr>
      <w:r w:rsidRPr="00435180">
        <w:rPr>
          <w:szCs w:val="22"/>
        </w:rPr>
        <w:t xml:space="preserve">Given the potential competitive sensitivity of public disclosure of information in such a report, a party seeking to </w:t>
      </w:r>
      <w:r w:rsidRPr="00435180">
        <w:rPr>
          <w:szCs w:val="22"/>
        </w:rPr>
        <w:t xml:space="preserve">report such a prohibited communication should consider submitting its report with a request that the report or portions of the submission be withheld from public inspection by </w:t>
      </w:r>
      <w:r w:rsidRPr="00435180">
        <w:rPr>
          <w:szCs w:val="22"/>
        </w:rPr>
        <w:t>following the procedures specified in section 0.459 of the Commission’s rules.</w:t>
      </w:r>
      <w:r>
        <w:rPr>
          <w:rStyle w:val="FootnoteReference"/>
        </w:rPr>
        <w:footnoteReference w:id="123"/>
      </w:r>
      <w:r w:rsidRPr="00435180">
        <w:rPr>
          <w:szCs w:val="22"/>
        </w:rPr>
        <w:t xml:space="preserve">  We encourage such parties to coordinate with the Auctions Division staff about the procedures for submitting such reports.</w:t>
      </w:r>
      <w:r>
        <w:rPr>
          <w:rStyle w:val="FootnoteReference"/>
          <w:szCs w:val="22"/>
        </w:rPr>
        <w:footnoteReference w:id="124"/>
      </w:r>
      <w:r w:rsidRPr="00435180">
        <w:rPr>
          <w:szCs w:val="22"/>
        </w:rPr>
        <w:t xml:space="preserve">      </w:t>
      </w:r>
    </w:p>
    <w:p w:rsidR="00D6515C" w:rsidRPr="00435180" w:rsidP="00D6515C" w14:paraId="428BAC38" w14:textId="77777777">
      <w:pPr>
        <w:pStyle w:val="Heading3"/>
        <w:rPr>
          <w:szCs w:val="22"/>
        </w:rPr>
      </w:pPr>
      <w:bookmarkStart w:id="753" w:name="_Toc6383465"/>
      <w:bookmarkStart w:id="754" w:name="_Toc7525790"/>
      <w:bookmarkStart w:id="755" w:name="_Toc8657145"/>
      <w:bookmarkStart w:id="756" w:name="_Toc9410671"/>
      <w:bookmarkStart w:id="757" w:name="_Toc9430077"/>
      <w:bookmarkStart w:id="758" w:name="_Toc10116840"/>
      <w:bookmarkStart w:id="759" w:name="_Toc10646146"/>
      <w:bookmarkStart w:id="760" w:name="_Toc11156550"/>
      <w:bookmarkStart w:id="761" w:name="_Toc11244294"/>
      <w:bookmarkStart w:id="762" w:name="_Toc11653550"/>
      <w:bookmarkStart w:id="763" w:name="_Toc11678130"/>
      <w:bookmarkStart w:id="764" w:name="_Toc13654717"/>
      <w:bookmarkStart w:id="765" w:name="_Toc24459437"/>
      <w:bookmarkStart w:id="766" w:name="_Toc24459534"/>
      <w:bookmarkStart w:id="767" w:name="_Toc25926230"/>
      <w:bookmarkStart w:id="768" w:name="_Toc25926808"/>
      <w:bookmarkStart w:id="769" w:name="_Toc25926929"/>
      <w:bookmarkStart w:id="770" w:name="_Toc27038989"/>
      <w:bookmarkStart w:id="771" w:name="_Toc29813133"/>
      <w:bookmarkStart w:id="772" w:name="_Toc29886858"/>
      <w:bookmarkStart w:id="773" w:name="_Toc29999462"/>
      <w:bookmarkStart w:id="774" w:name="_Toc30699388"/>
      <w:bookmarkStart w:id="775" w:name="_Toc30701468"/>
      <w:bookmarkStart w:id="776" w:name="_Toc31189289"/>
      <w:bookmarkStart w:id="777" w:name="_Toc31189743"/>
      <w:bookmarkStart w:id="778" w:name="_Toc31193110"/>
      <w:bookmarkStart w:id="779" w:name="_Toc31195861"/>
      <w:bookmarkStart w:id="780" w:name="_Toc31199985"/>
      <w:bookmarkStart w:id="781" w:name="_Toc31713752"/>
      <w:bookmarkStart w:id="782" w:name="_Toc31822661"/>
      <w:bookmarkStart w:id="783" w:name="_Toc33629818"/>
      <w:bookmarkStart w:id="784" w:name="_Toc33696670"/>
      <w:r w:rsidRPr="00435180">
        <w:rPr>
          <w:szCs w:val="22"/>
        </w:rPr>
        <w:t>Winning Bidders Must Disclose Terms of Agreements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D6515C" w:rsidRPr="00435180" w:rsidP="00D850FB" w14:paraId="035AA98D" w14:textId="46B26595">
      <w:pPr>
        <w:pStyle w:val="ParaNum"/>
        <w:widowControl/>
        <w:autoSpaceDE w:val="0"/>
        <w:autoSpaceDN w:val="0"/>
        <w:adjustRightInd w:val="0"/>
        <w:rPr>
          <w:szCs w:val="22"/>
        </w:rPr>
      </w:pPr>
      <w:r w:rsidRPr="00435180">
        <w:rPr>
          <w:szCs w:val="22"/>
        </w:rPr>
        <w:t>Each applicant that is a winning bidder will be required to provide as pa</w:t>
      </w:r>
      <w:r w:rsidRPr="00435180">
        <w:rPr>
          <w:szCs w:val="22"/>
        </w:rPr>
        <w:t>rt of its long-form application any agreement or arrangement it has entered into and a summary of the specific terms, conditions, and parties involved in any agreement it has entered into.</w:t>
      </w:r>
      <w:r>
        <w:rPr>
          <w:rStyle w:val="FootnoteReference"/>
          <w:szCs w:val="22"/>
        </w:rPr>
        <w:footnoteReference w:id="125"/>
      </w:r>
      <w:r w:rsidRPr="00435180">
        <w:rPr>
          <w:szCs w:val="22"/>
        </w:rPr>
        <w:t xml:space="preserve">  This applies to any bidding consortia, joint venture, partnershi</w:t>
      </w:r>
      <w:r w:rsidRPr="00435180">
        <w:rPr>
          <w:szCs w:val="22"/>
        </w:rPr>
        <w:t>p, or agreement, understanding, or other arrangement entered into relating to the competitive bidding process, including any agreement relating to the post-auction market structure.</w:t>
      </w:r>
      <w:r>
        <w:rPr>
          <w:rStyle w:val="FootnoteReference"/>
          <w:szCs w:val="22"/>
        </w:rPr>
        <w:footnoteReference w:id="126"/>
      </w:r>
      <w:r w:rsidRPr="00435180">
        <w:rPr>
          <w:szCs w:val="22"/>
        </w:rPr>
        <w:t xml:space="preserve">  Failure to comply with the Commission’s rules can result in enforcement</w:t>
      </w:r>
      <w:r w:rsidRPr="00435180">
        <w:rPr>
          <w:szCs w:val="22"/>
        </w:rPr>
        <w:t xml:space="preserve"> action.</w:t>
      </w:r>
    </w:p>
    <w:p w:rsidR="00D6515C" w:rsidRPr="00435180" w:rsidP="00D6515C" w14:paraId="48274B75" w14:textId="69C9E5F1">
      <w:pPr>
        <w:pStyle w:val="Heading3"/>
        <w:keepLines/>
        <w:widowControl/>
        <w:rPr>
          <w:szCs w:val="22"/>
        </w:rPr>
      </w:pPr>
      <w:bookmarkStart w:id="785" w:name="_Toc6383466"/>
      <w:bookmarkStart w:id="786" w:name="_Toc7525791"/>
      <w:bookmarkStart w:id="787" w:name="_Toc8657146"/>
      <w:bookmarkStart w:id="788" w:name="_Toc9410672"/>
      <w:bookmarkStart w:id="789" w:name="_Toc9430078"/>
      <w:bookmarkStart w:id="790" w:name="_Toc10116841"/>
      <w:bookmarkStart w:id="791" w:name="_Toc10646147"/>
      <w:bookmarkStart w:id="792" w:name="_Toc11156551"/>
      <w:bookmarkStart w:id="793" w:name="_Toc11244295"/>
      <w:bookmarkStart w:id="794" w:name="_Toc11653551"/>
      <w:bookmarkStart w:id="795" w:name="_Toc11678131"/>
      <w:bookmarkStart w:id="796" w:name="_Toc13654718"/>
      <w:bookmarkStart w:id="797" w:name="_Toc24459438"/>
      <w:bookmarkStart w:id="798" w:name="_Toc24459535"/>
      <w:bookmarkStart w:id="799" w:name="_Toc25926231"/>
      <w:bookmarkStart w:id="800" w:name="_Toc25926809"/>
      <w:bookmarkStart w:id="801" w:name="_Toc25926930"/>
      <w:bookmarkStart w:id="802" w:name="_Toc27038990"/>
      <w:bookmarkStart w:id="803" w:name="_Toc29813134"/>
      <w:bookmarkStart w:id="804" w:name="_Toc29886859"/>
      <w:bookmarkStart w:id="805" w:name="_Toc29999463"/>
      <w:bookmarkStart w:id="806" w:name="_Toc30699389"/>
      <w:bookmarkStart w:id="807" w:name="_Toc30701469"/>
      <w:bookmarkStart w:id="808" w:name="_Toc31189290"/>
      <w:bookmarkStart w:id="809" w:name="_Toc31189744"/>
      <w:bookmarkStart w:id="810" w:name="_Toc31193111"/>
      <w:bookmarkStart w:id="811" w:name="_Toc31195862"/>
      <w:bookmarkStart w:id="812" w:name="_Toc31199986"/>
      <w:bookmarkStart w:id="813" w:name="_Toc31713753"/>
      <w:bookmarkStart w:id="814" w:name="_Toc31822662"/>
      <w:bookmarkStart w:id="815" w:name="_Toc33629819"/>
      <w:bookmarkStart w:id="816" w:name="_Toc33696671"/>
      <w:r w:rsidRPr="00435180">
        <w:rPr>
          <w:szCs w:val="22"/>
        </w:rPr>
        <w:t>Additional Information Concerning Prohibition o</w:t>
      </w:r>
      <w:r w:rsidR="00554D53">
        <w:rPr>
          <w:szCs w:val="22"/>
        </w:rPr>
        <w:t>n</w:t>
      </w:r>
      <w:r w:rsidRPr="00435180">
        <w:rPr>
          <w:szCs w:val="22"/>
        </w:rPr>
        <w:t xml:space="preserve"> Certain Communications in Commission Auctions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sidRPr="00435180">
        <w:rPr>
          <w:szCs w:val="22"/>
        </w:rPr>
        <w:tab/>
      </w:r>
    </w:p>
    <w:p w:rsidR="00D6515C" w:rsidRPr="00435180" w:rsidP="00D850FB" w14:paraId="26869B0D" w14:textId="01AED8A3">
      <w:pPr>
        <w:pStyle w:val="ParaNum"/>
        <w:widowControl/>
        <w:autoSpaceDE w:val="0"/>
        <w:autoSpaceDN w:val="0"/>
        <w:adjustRightInd w:val="0"/>
        <w:rPr>
          <w:szCs w:val="22"/>
        </w:rPr>
      </w:pPr>
      <w:r w:rsidRPr="00435180">
        <w:rPr>
          <w:szCs w:val="22"/>
        </w:rPr>
        <w:t xml:space="preserve">A summary listing of documents issued by the Commission and </w:t>
      </w:r>
      <w:r w:rsidR="00261203">
        <w:rPr>
          <w:szCs w:val="22"/>
        </w:rPr>
        <w:t>OEA</w:t>
      </w:r>
      <w:r w:rsidR="002523DB">
        <w:rPr>
          <w:szCs w:val="22"/>
        </w:rPr>
        <w:t>/WTB</w:t>
      </w:r>
      <w:r w:rsidRPr="00435180" w:rsidR="00261203">
        <w:rPr>
          <w:szCs w:val="22"/>
        </w:rPr>
        <w:t xml:space="preserve"> </w:t>
      </w:r>
      <w:r w:rsidRPr="00435180">
        <w:rPr>
          <w:szCs w:val="22"/>
        </w:rPr>
        <w:t>addressing the application of section 1.2105(c) is available on the Commission’s au</w:t>
      </w:r>
      <w:r w:rsidRPr="00435180">
        <w:rPr>
          <w:szCs w:val="22"/>
        </w:rPr>
        <w:t xml:space="preserve">ction web page at </w:t>
      </w:r>
      <w:hyperlink r:id="rId8" w:history="1">
        <w:r w:rsidR="007A78A7">
          <w:rPr>
            <w:rStyle w:val="Hyperlink"/>
            <w:szCs w:val="22"/>
          </w:rPr>
          <w:t>www.fcc.gov/summary-listing-documents-addressing-application-rule-prohibiting-certain-communications</w:t>
        </w:r>
      </w:hyperlink>
      <w:r w:rsidR="007A78A7">
        <w:rPr>
          <w:szCs w:val="22"/>
        </w:rPr>
        <w:t>.</w:t>
      </w:r>
    </w:p>
    <w:p w:rsidR="00D6515C" w:rsidRPr="00435180" w:rsidP="00D6515C" w14:paraId="14F70982" w14:textId="77777777">
      <w:pPr>
        <w:pStyle w:val="Heading3"/>
        <w:rPr>
          <w:szCs w:val="22"/>
        </w:rPr>
      </w:pPr>
      <w:bookmarkStart w:id="817" w:name="_Toc6383467"/>
      <w:bookmarkStart w:id="818" w:name="_Toc7525792"/>
      <w:bookmarkStart w:id="819" w:name="_Toc8657147"/>
      <w:bookmarkStart w:id="820" w:name="_Toc9410673"/>
      <w:bookmarkStart w:id="821" w:name="_Toc9430079"/>
      <w:bookmarkStart w:id="822" w:name="_Toc10116842"/>
      <w:bookmarkStart w:id="823" w:name="_Toc10646148"/>
      <w:bookmarkStart w:id="824" w:name="_Toc11156552"/>
      <w:bookmarkStart w:id="825" w:name="_Toc11244296"/>
      <w:bookmarkStart w:id="826" w:name="_Toc11653552"/>
      <w:bookmarkStart w:id="827" w:name="_Toc11678132"/>
      <w:bookmarkStart w:id="828" w:name="_Toc13654719"/>
      <w:bookmarkStart w:id="829" w:name="_Toc24459439"/>
      <w:bookmarkStart w:id="830" w:name="_Toc24459536"/>
      <w:bookmarkStart w:id="831" w:name="_Toc25926232"/>
      <w:bookmarkStart w:id="832" w:name="_Toc25926810"/>
      <w:bookmarkStart w:id="833" w:name="_Toc25926931"/>
      <w:bookmarkStart w:id="834" w:name="_Toc27038991"/>
      <w:bookmarkStart w:id="835" w:name="_Toc29813135"/>
      <w:bookmarkStart w:id="836" w:name="_Toc29886860"/>
      <w:bookmarkStart w:id="837" w:name="_Toc29999464"/>
      <w:bookmarkStart w:id="838" w:name="_Toc30699390"/>
      <w:bookmarkStart w:id="839" w:name="_Toc30701470"/>
      <w:bookmarkStart w:id="840" w:name="_Toc31189291"/>
      <w:bookmarkStart w:id="841" w:name="_Toc31189745"/>
      <w:bookmarkStart w:id="842" w:name="_Toc31193112"/>
      <w:bookmarkStart w:id="843" w:name="_Toc31195863"/>
      <w:bookmarkStart w:id="844" w:name="_Toc31199987"/>
      <w:bookmarkStart w:id="845" w:name="_Toc31713754"/>
      <w:bookmarkStart w:id="846" w:name="_Toc31822663"/>
      <w:bookmarkStart w:id="847" w:name="_Toc33629820"/>
      <w:bookmarkStart w:id="848" w:name="_Toc33696672"/>
      <w:r w:rsidRPr="00435180">
        <w:rPr>
          <w:szCs w:val="22"/>
        </w:rPr>
        <w:t>Antitrust L</w:t>
      </w:r>
      <w:r w:rsidRPr="00435180">
        <w:rPr>
          <w:szCs w:val="22"/>
        </w:rPr>
        <w:t>aws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sidRPr="00435180">
        <w:rPr>
          <w:szCs w:val="22"/>
        </w:rPr>
        <w:tab/>
      </w:r>
    </w:p>
    <w:p w:rsidR="00D6515C" w:rsidRPr="00435180" w:rsidP="00D850FB" w14:paraId="64347426" w14:textId="46861A89">
      <w:pPr>
        <w:pStyle w:val="ParaNum"/>
        <w:widowControl/>
        <w:autoSpaceDE w:val="0"/>
        <w:autoSpaceDN w:val="0"/>
        <w:adjustRightInd w:val="0"/>
        <w:rPr>
          <w:szCs w:val="22"/>
        </w:rPr>
      </w:pPr>
      <w:r w:rsidRPr="00435180">
        <w:rPr>
          <w:szCs w:val="22"/>
        </w:rPr>
        <w:t>Regardless of compliance with the Commission’s rules, applicants remain subject to the antitrust laws, which are designed to prevent anticompetitive behavior in the marketplace.</w:t>
      </w:r>
      <w:r>
        <w:rPr>
          <w:rStyle w:val="FootnoteReference"/>
          <w:szCs w:val="22"/>
        </w:rPr>
        <w:footnoteReference w:id="127"/>
      </w:r>
      <w:r w:rsidRPr="00435180">
        <w:rPr>
          <w:szCs w:val="22"/>
        </w:rPr>
        <w:t xml:space="preserve">  Compliance with the disclosure requirements of section 1.2105(c)(4) will not insulate a party from enforcement of the antitrust laws.</w:t>
      </w:r>
      <w:r>
        <w:rPr>
          <w:rStyle w:val="FootnoteReference"/>
          <w:szCs w:val="22"/>
        </w:rPr>
        <w:footnoteReference w:id="128"/>
      </w:r>
      <w:r w:rsidRPr="00435180">
        <w:rPr>
          <w:szCs w:val="22"/>
        </w:rPr>
        <w:t xml:space="preserve">  For instance, a violation of the antitrust laws could arise out of actions taking place well </w:t>
      </w:r>
      <w:r w:rsidRPr="00435180">
        <w:rPr>
          <w:szCs w:val="22"/>
        </w:rPr>
        <w:t>before any party submits</w:t>
      </w:r>
      <w:r w:rsidRPr="00435180">
        <w:rPr>
          <w:szCs w:val="22"/>
        </w:rPr>
        <w:t xml:space="preserve"> a short-form application.</w:t>
      </w:r>
      <w:r>
        <w:rPr>
          <w:rStyle w:val="FootnoteReference"/>
          <w:szCs w:val="22"/>
        </w:rPr>
        <w:footnoteReference w:id="129"/>
      </w:r>
      <w:r w:rsidRPr="00435180">
        <w:rPr>
          <w:szCs w:val="22"/>
        </w:rPr>
        <w:t xml:space="preserve">  The Commission has cited a number of examples of potentially anticompetitive actions that would be prohibited under antitrust laws:  for example, actual or potential competitors may not agree to divide territories in order to </w:t>
      </w:r>
      <w:r w:rsidRPr="00435180">
        <w:rPr>
          <w:szCs w:val="22"/>
        </w:rPr>
        <w:t>minimize competition, regardless of whether they split a market in which they both do business, or whether they merely reserve one market for one and another market for the other.</w:t>
      </w:r>
      <w:r>
        <w:rPr>
          <w:rStyle w:val="FootnoteReference"/>
          <w:szCs w:val="22"/>
        </w:rPr>
        <w:footnoteReference w:id="130"/>
      </w:r>
      <w:r w:rsidRPr="00435180">
        <w:rPr>
          <w:szCs w:val="22"/>
        </w:rPr>
        <w:t xml:space="preserve">  </w:t>
      </w:r>
    </w:p>
    <w:p w:rsidR="00D6515C" w:rsidRPr="00435180" w:rsidP="00D850FB" w14:paraId="4B58D149" w14:textId="32DBC5B0">
      <w:pPr>
        <w:pStyle w:val="ParaNum"/>
        <w:widowControl/>
        <w:autoSpaceDE w:val="0"/>
        <w:autoSpaceDN w:val="0"/>
        <w:adjustRightInd w:val="0"/>
        <w:rPr>
          <w:szCs w:val="22"/>
        </w:rPr>
      </w:pPr>
      <w:r w:rsidRPr="00435180">
        <w:rPr>
          <w:szCs w:val="22"/>
        </w:rPr>
        <w:t xml:space="preserve">To the extent we become aware of specific allegations that suggest that </w:t>
      </w:r>
      <w:r w:rsidRPr="00435180">
        <w:rPr>
          <w:szCs w:val="22"/>
        </w:rPr>
        <w:t>violations of the federal antitrust laws may have occurred, we may refer such allegations to the United States Department of Justice for investigation.</w:t>
      </w:r>
      <w:r>
        <w:rPr>
          <w:rStyle w:val="FootnoteReference"/>
          <w:szCs w:val="22"/>
        </w:rPr>
        <w:footnoteReference w:id="131"/>
      </w:r>
      <w:r w:rsidRPr="00435180">
        <w:rPr>
          <w:szCs w:val="22"/>
        </w:rPr>
        <w:t xml:space="preserve">  If an applicant is found to have violated the antitrust laws or the Commission’s rules in connection </w:t>
      </w:r>
      <w:r w:rsidRPr="00435180">
        <w:rPr>
          <w:szCs w:val="22"/>
        </w:rPr>
        <w:t xml:space="preserve">with its participation in the competitive bidding process, </w:t>
      </w:r>
      <w:r w:rsidR="00786AF6">
        <w:rPr>
          <w:szCs w:val="22"/>
        </w:rPr>
        <w:t xml:space="preserve">then </w:t>
      </w:r>
      <w:r w:rsidRPr="00435180">
        <w:rPr>
          <w:szCs w:val="22"/>
        </w:rPr>
        <w:t>it may be subject to a forfeiture and may be prohibited from participating further in Auction 10</w:t>
      </w:r>
      <w:r w:rsidR="0009596E">
        <w:rPr>
          <w:szCs w:val="22"/>
        </w:rPr>
        <w:t>7</w:t>
      </w:r>
      <w:r w:rsidRPr="00435180">
        <w:rPr>
          <w:szCs w:val="22"/>
        </w:rPr>
        <w:t xml:space="preserve"> and in future auctions, among other sanctions.</w:t>
      </w:r>
      <w:r>
        <w:rPr>
          <w:rStyle w:val="FootnoteReference"/>
          <w:szCs w:val="22"/>
        </w:rPr>
        <w:footnoteReference w:id="132"/>
      </w:r>
    </w:p>
    <w:p w:rsidR="00D6515C" w:rsidRPr="00435180" w:rsidP="000C230C" w14:paraId="2961C48C" w14:textId="77777777">
      <w:pPr>
        <w:pStyle w:val="Heading2"/>
      </w:pPr>
      <w:bookmarkStart w:id="849" w:name="_Toc6383468"/>
      <w:bookmarkStart w:id="850" w:name="_Toc7525793"/>
      <w:bookmarkStart w:id="851" w:name="_Toc8657148"/>
      <w:bookmarkStart w:id="852" w:name="_Toc9410674"/>
      <w:bookmarkStart w:id="853" w:name="_Toc9430080"/>
      <w:bookmarkStart w:id="854" w:name="_Toc10116843"/>
      <w:bookmarkStart w:id="855" w:name="_Toc10646149"/>
      <w:bookmarkStart w:id="856" w:name="_Toc11156553"/>
      <w:bookmarkStart w:id="857" w:name="_Toc11244297"/>
      <w:bookmarkStart w:id="858" w:name="_Toc11653553"/>
      <w:bookmarkStart w:id="859" w:name="_Toc11678133"/>
      <w:bookmarkStart w:id="860" w:name="_Toc13654720"/>
      <w:bookmarkStart w:id="861" w:name="_Toc24459440"/>
      <w:bookmarkStart w:id="862" w:name="_Toc24459537"/>
      <w:bookmarkStart w:id="863" w:name="_Toc25926233"/>
      <w:bookmarkStart w:id="864" w:name="_Toc25926811"/>
      <w:bookmarkStart w:id="865" w:name="_Toc25926932"/>
      <w:bookmarkStart w:id="866" w:name="_Toc27038992"/>
      <w:bookmarkStart w:id="867" w:name="_Toc29813136"/>
      <w:bookmarkStart w:id="868" w:name="_Toc29886861"/>
      <w:bookmarkStart w:id="869" w:name="_Toc29999465"/>
      <w:bookmarkStart w:id="870" w:name="_Toc30699391"/>
      <w:bookmarkStart w:id="871" w:name="_Toc30701471"/>
      <w:bookmarkStart w:id="872" w:name="_Toc31189292"/>
      <w:bookmarkStart w:id="873" w:name="_Toc31189746"/>
      <w:bookmarkStart w:id="874" w:name="_Toc31193113"/>
      <w:bookmarkStart w:id="875" w:name="_Toc31195864"/>
      <w:bookmarkStart w:id="876" w:name="_Toc31199988"/>
      <w:bookmarkStart w:id="877" w:name="_Toc31713755"/>
      <w:bookmarkStart w:id="878" w:name="_Toc31822664"/>
      <w:bookmarkStart w:id="879" w:name="_Toc33629821"/>
      <w:bookmarkStart w:id="880" w:name="_Toc33696673"/>
      <w:r w:rsidRPr="00435180">
        <w:t xml:space="preserve">Provisions for Small Businesses and </w:t>
      </w:r>
      <w:r w:rsidRPr="00435180">
        <w:t>Rural Service Providers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D6515C" w:rsidRPr="00435180" w:rsidP="00D850FB" w14:paraId="26BDFF56" w14:textId="5AE4877A">
      <w:pPr>
        <w:pStyle w:val="ParaNum"/>
        <w:widowControl/>
        <w:autoSpaceDE w:val="0"/>
        <w:autoSpaceDN w:val="0"/>
        <w:adjustRightInd w:val="0"/>
        <w:rPr>
          <w:szCs w:val="22"/>
        </w:rPr>
      </w:pPr>
      <w:r w:rsidRPr="00435180">
        <w:rPr>
          <w:szCs w:val="22"/>
        </w:rPr>
        <w:t xml:space="preserve">In the </w:t>
      </w:r>
      <w:r w:rsidR="00563D5B">
        <w:rPr>
          <w:i/>
          <w:szCs w:val="22"/>
        </w:rPr>
        <w:t>Updating</w:t>
      </w:r>
      <w:r w:rsidRPr="00435180" w:rsidR="00563D5B">
        <w:rPr>
          <w:i/>
          <w:szCs w:val="22"/>
        </w:rPr>
        <w:t xml:space="preserve"> </w:t>
      </w:r>
      <w:r w:rsidRPr="00435180">
        <w:rPr>
          <w:i/>
          <w:szCs w:val="22"/>
        </w:rPr>
        <w:t>Part 1 Report and Order</w:t>
      </w:r>
      <w:r w:rsidRPr="00435180">
        <w:rPr>
          <w:szCs w:val="22"/>
        </w:rPr>
        <w:t>, the Commission revised the designated entity rules that apply to all licenses acquired with bidding credits,</w:t>
      </w:r>
      <w:r>
        <w:rPr>
          <w:rStyle w:val="FootnoteReference"/>
          <w:szCs w:val="22"/>
        </w:rPr>
        <w:footnoteReference w:id="133"/>
      </w:r>
      <w:r w:rsidRPr="00435180">
        <w:rPr>
          <w:szCs w:val="22"/>
        </w:rPr>
        <w:t xml:space="preserve"> including those won in Auction 10</w:t>
      </w:r>
      <w:r w:rsidR="000F2DC9">
        <w:rPr>
          <w:szCs w:val="22"/>
        </w:rPr>
        <w:t>7</w:t>
      </w:r>
      <w:r w:rsidRPr="00435180">
        <w:rPr>
          <w:szCs w:val="22"/>
        </w:rPr>
        <w:t>.  A bidding credit represents an amount by wh</w:t>
      </w:r>
      <w:r w:rsidRPr="00435180">
        <w:rPr>
          <w:szCs w:val="22"/>
        </w:rPr>
        <w:t>ich a bidder’s winning bid will be discounted, subject to the caps discussed below.</w:t>
      </w:r>
      <w:r>
        <w:rPr>
          <w:rStyle w:val="FootnoteReference"/>
          <w:szCs w:val="22"/>
        </w:rPr>
        <w:footnoteReference w:id="134"/>
      </w:r>
      <w:r w:rsidRPr="00435180">
        <w:rPr>
          <w:szCs w:val="22"/>
        </w:rPr>
        <w:t xml:space="preserve">  As set forth in section 1.2110 of the Commission’s rules,</w:t>
      </w:r>
      <w:r>
        <w:rPr>
          <w:rStyle w:val="FootnoteReference"/>
          <w:szCs w:val="22"/>
        </w:rPr>
        <w:footnoteReference w:id="135"/>
      </w:r>
      <w:r w:rsidRPr="00435180">
        <w:rPr>
          <w:szCs w:val="22"/>
        </w:rPr>
        <w:t xml:space="preserve"> and as described below, these rule revisions include, but are not limited to</w:t>
      </w:r>
      <w:r w:rsidR="009B0C8B">
        <w:rPr>
          <w:szCs w:val="22"/>
        </w:rPr>
        <w:t xml:space="preserve">: </w:t>
      </w:r>
      <w:r w:rsidRPr="00435180">
        <w:rPr>
          <w:szCs w:val="22"/>
        </w:rPr>
        <w:t xml:space="preserve"> (1) adopting a two-pronged sta</w:t>
      </w:r>
      <w:r w:rsidRPr="00435180">
        <w:rPr>
          <w:szCs w:val="22"/>
        </w:rPr>
        <w:t>ndard for evaluating eligibility for small business benefits</w:t>
      </w:r>
      <w:r w:rsidR="00B42B4E">
        <w:rPr>
          <w:szCs w:val="22"/>
        </w:rPr>
        <w:t>,</w:t>
      </w:r>
      <w:r>
        <w:rPr>
          <w:rStyle w:val="FootnoteReference"/>
          <w:szCs w:val="22"/>
        </w:rPr>
        <w:footnoteReference w:id="136"/>
      </w:r>
      <w:r w:rsidRPr="00435180">
        <w:rPr>
          <w:szCs w:val="22"/>
        </w:rPr>
        <w:t xml:space="preserve"> (2)</w:t>
      </w:r>
      <w:r w:rsidR="009B0C8B">
        <w:rPr>
          <w:szCs w:val="22"/>
        </w:rPr>
        <w:t> </w:t>
      </w:r>
      <w:r w:rsidRPr="00435180">
        <w:rPr>
          <w:szCs w:val="22"/>
        </w:rPr>
        <w:t>establishing a new attribution rule for certain disclosable interest holders of applicants claiming designated entity benefits</w:t>
      </w:r>
      <w:r w:rsidR="00B42B4E">
        <w:rPr>
          <w:szCs w:val="22"/>
        </w:rPr>
        <w:t>,</w:t>
      </w:r>
      <w:r>
        <w:rPr>
          <w:rStyle w:val="FootnoteReference"/>
          <w:szCs w:val="22"/>
        </w:rPr>
        <w:footnoteReference w:id="137"/>
      </w:r>
      <w:r w:rsidRPr="00435180">
        <w:rPr>
          <w:szCs w:val="22"/>
        </w:rPr>
        <w:t xml:space="preserve"> (3) updating the gross revenue amounts defining eligibilit</w:t>
      </w:r>
      <w:r w:rsidRPr="00435180">
        <w:rPr>
          <w:szCs w:val="22"/>
        </w:rPr>
        <w:t>y for small business benefits</w:t>
      </w:r>
      <w:r w:rsidR="00B42B4E">
        <w:rPr>
          <w:szCs w:val="22"/>
        </w:rPr>
        <w:t>,</w:t>
      </w:r>
      <w:r>
        <w:rPr>
          <w:rStyle w:val="FootnoteReference"/>
          <w:szCs w:val="22"/>
        </w:rPr>
        <w:footnoteReference w:id="138"/>
      </w:r>
      <w:r w:rsidRPr="00435180">
        <w:rPr>
          <w:szCs w:val="22"/>
        </w:rPr>
        <w:t xml:space="preserve"> (4) creating a separate bidding credit for eligible rural service providers</w:t>
      </w:r>
      <w:r w:rsidR="00B42B4E">
        <w:rPr>
          <w:szCs w:val="22"/>
        </w:rPr>
        <w:t>,</w:t>
      </w:r>
      <w:r>
        <w:rPr>
          <w:rStyle w:val="FootnoteReference"/>
          <w:szCs w:val="22"/>
        </w:rPr>
        <w:footnoteReference w:id="139"/>
      </w:r>
      <w:r w:rsidRPr="00435180">
        <w:rPr>
          <w:szCs w:val="22"/>
        </w:rPr>
        <w:t xml:space="preserve"> and (5) establishing caps on the total amount of designated entity benefits any eligible winning bidder may receive.</w:t>
      </w:r>
      <w:r>
        <w:rPr>
          <w:rStyle w:val="FootnoteReference"/>
          <w:szCs w:val="22"/>
        </w:rPr>
        <w:footnoteReference w:id="140"/>
      </w:r>
      <w:r w:rsidRPr="00435180">
        <w:rPr>
          <w:szCs w:val="22"/>
        </w:rPr>
        <w:t xml:space="preserve">  </w:t>
      </w:r>
    </w:p>
    <w:p w:rsidR="00D6515C" w:rsidRPr="00435180" w:rsidP="00D850FB" w14:paraId="61F93CDD" w14:textId="66334546">
      <w:pPr>
        <w:pStyle w:val="ParaNum"/>
        <w:widowControl/>
        <w:autoSpaceDE w:val="0"/>
        <w:autoSpaceDN w:val="0"/>
        <w:adjustRightInd w:val="0"/>
        <w:rPr>
          <w:szCs w:val="22"/>
        </w:rPr>
      </w:pPr>
      <w:r w:rsidRPr="00435180">
        <w:rPr>
          <w:szCs w:val="22"/>
        </w:rPr>
        <w:t>In Auction 10</w:t>
      </w:r>
      <w:r w:rsidR="002F4223">
        <w:rPr>
          <w:szCs w:val="22"/>
        </w:rPr>
        <w:t>7</w:t>
      </w:r>
      <w:r w:rsidRPr="00435180">
        <w:rPr>
          <w:szCs w:val="22"/>
        </w:rPr>
        <w:t>, designa</w:t>
      </w:r>
      <w:r w:rsidRPr="00435180">
        <w:rPr>
          <w:szCs w:val="22"/>
        </w:rPr>
        <w:t xml:space="preserve">ted entity bidding credits will be available to applicants demonstrating eligibility for a small business or a rural service provider bidding credit and subsequently </w:t>
      </w:r>
      <w:r w:rsidRPr="00435180">
        <w:rPr>
          <w:szCs w:val="22"/>
        </w:rPr>
        <w:t>winning license(s).</w:t>
      </w:r>
      <w:r w:rsidRPr="00435180" w:rsidR="000B7AB4">
        <w:rPr>
          <w:szCs w:val="22"/>
        </w:rPr>
        <w:t xml:space="preserve"> </w:t>
      </w:r>
      <w:r w:rsidRPr="00435180">
        <w:rPr>
          <w:szCs w:val="22"/>
        </w:rPr>
        <w:t xml:space="preserve"> These bidding credits will not be cumulative—an applicant is permitte</w:t>
      </w:r>
      <w:r w:rsidRPr="00435180">
        <w:rPr>
          <w:szCs w:val="22"/>
        </w:rPr>
        <w:t>d to claim either a small business bidding credit or a rural service provider bidding credit, but not both.</w:t>
      </w:r>
      <w:r>
        <w:rPr>
          <w:rStyle w:val="FootnoteReference"/>
          <w:szCs w:val="22"/>
        </w:rPr>
        <w:footnoteReference w:id="141"/>
      </w:r>
      <w:r w:rsidRPr="00435180">
        <w:rPr>
          <w:szCs w:val="22"/>
        </w:rPr>
        <w:t xml:space="preserve">  Each applicant must also certify that it is eligible for the claimed bidding credit in its FCC Form 175.  In addition to the information provided</w:t>
      </w:r>
      <w:r w:rsidRPr="00435180">
        <w:rPr>
          <w:szCs w:val="22"/>
        </w:rPr>
        <w:t xml:space="preserve"> below, each applicant should review carefully the Commission’s decisions regarding the designated entity provisions as well as the Part 1 rules.</w:t>
      </w:r>
      <w:r>
        <w:rPr>
          <w:rStyle w:val="FootnoteReference"/>
          <w:szCs w:val="22"/>
        </w:rPr>
        <w:footnoteReference w:id="142"/>
      </w:r>
      <w:r w:rsidRPr="00435180">
        <w:rPr>
          <w:szCs w:val="22"/>
        </w:rPr>
        <w:t xml:space="preserve">  </w:t>
      </w:r>
    </w:p>
    <w:p w:rsidR="00D6515C" w:rsidRPr="00435180" w:rsidP="00D850FB" w14:paraId="31A0D416" w14:textId="2F45C5D5">
      <w:pPr>
        <w:pStyle w:val="ParaNum"/>
        <w:widowControl/>
        <w:autoSpaceDE w:val="0"/>
        <w:autoSpaceDN w:val="0"/>
        <w:adjustRightInd w:val="0"/>
        <w:rPr>
          <w:szCs w:val="22"/>
        </w:rPr>
      </w:pPr>
      <w:r w:rsidRPr="00435180">
        <w:rPr>
          <w:szCs w:val="22"/>
        </w:rPr>
        <w:t>In particular, we remind applicants applying for designated entity bidding credits that they should take d</w:t>
      </w:r>
      <w:r w:rsidRPr="00435180">
        <w:rPr>
          <w:szCs w:val="22"/>
        </w:rPr>
        <w:t xml:space="preserve">ue account of the requirements of the Commission’s rules and implementing orders regarding </w:t>
      </w:r>
      <w:r w:rsidRPr="00435180">
        <w:rPr>
          <w:i/>
          <w:szCs w:val="22"/>
        </w:rPr>
        <w:t>de jure</w:t>
      </w:r>
      <w:r w:rsidRPr="00435180">
        <w:rPr>
          <w:szCs w:val="22"/>
        </w:rPr>
        <w:t xml:space="preserve"> and </w:t>
      </w:r>
      <w:r w:rsidRPr="00435180">
        <w:rPr>
          <w:i/>
          <w:szCs w:val="22"/>
        </w:rPr>
        <w:t>de facto</w:t>
      </w:r>
      <w:r w:rsidRPr="00435180">
        <w:rPr>
          <w:szCs w:val="22"/>
        </w:rPr>
        <w:t xml:space="preserve"> control of such applicants.</w:t>
      </w:r>
      <w:r>
        <w:rPr>
          <w:rStyle w:val="FootnoteReference"/>
          <w:color w:val="000000"/>
          <w:szCs w:val="22"/>
        </w:rPr>
        <w:footnoteReference w:id="143"/>
      </w:r>
      <w:r w:rsidRPr="00435180">
        <w:rPr>
          <w:szCs w:val="22"/>
        </w:rPr>
        <w:t xml:space="preserve">  These rules include a prohibition, which applies to all applicants (whether </w:t>
      </w:r>
      <w:r w:rsidR="00040C03">
        <w:rPr>
          <w:szCs w:val="22"/>
        </w:rPr>
        <w:t xml:space="preserve">they </w:t>
      </w:r>
      <w:r w:rsidRPr="00435180">
        <w:rPr>
          <w:szCs w:val="22"/>
        </w:rPr>
        <w:t>seek bidding credits</w:t>
      </w:r>
      <w:r w:rsidR="00A26058">
        <w:rPr>
          <w:szCs w:val="22"/>
        </w:rPr>
        <w:t xml:space="preserve"> or not</w:t>
      </w:r>
      <w:r w:rsidRPr="00435180">
        <w:rPr>
          <w:szCs w:val="22"/>
        </w:rPr>
        <w:t>), against changes in ownership of the applicant that would constitute an assignment or transfer of control.</w:t>
      </w:r>
      <w:r>
        <w:rPr>
          <w:rStyle w:val="FootnoteReference"/>
          <w:color w:val="000000"/>
          <w:szCs w:val="22"/>
        </w:rPr>
        <w:footnoteReference w:id="144"/>
      </w:r>
      <w:r w:rsidRPr="00435180">
        <w:rPr>
          <w:szCs w:val="22"/>
        </w:rPr>
        <w:t xml:space="preserve">  </w:t>
      </w:r>
      <w:r w:rsidRPr="00435180">
        <w:rPr>
          <w:b/>
          <w:szCs w:val="22"/>
        </w:rPr>
        <w:t>Applicants should not expect to re</w:t>
      </w:r>
      <w:r w:rsidRPr="00435180">
        <w:rPr>
          <w:b/>
          <w:szCs w:val="22"/>
        </w:rPr>
        <w:t>ceive any opportunities to revise their ownership structure after the filing of their short- and long-form applications, including making revisions to their agreements or other arrangements with interest holders, lenders, or others in order to address pote</w:t>
      </w:r>
      <w:r w:rsidRPr="00435180">
        <w:rPr>
          <w:b/>
          <w:szCs w:val="22"/>
        </w:rPr>
        <w:t>ntial concerns relating to compliance with the designated entity bidding credit requirements.</w:t>
      </w:r>
      <w:r w:rsidRPr="00435180">
        <w:rPr>
          <w:szCs w:val="22"/>
        </w:rPr>
        <w:t xml:space="preserve">  This policy will help to ensure compliance with the Commission’s rules applicable to the award of bidding credits prior to the conduct of the auction, which will</w:t>
      </w:r>
      <w:r w:rsidRPr="00435180">
        <w:rPr>
          <w:szCs w:val="22"/>
        </w:rPr>
        <w:t xml:space="preserve"> involve competing bids from those that do and do not seek bidding credits, and thus preserves the integrity of the auction process.  We also believe that this will meet the Commission’s objectives in awarding licenses through the competitive bidding proce</w:t>
      </w:r>
      <w:r w:rsidRPr="00435180">
        <w:rPr>
          <w:szCs w:val="22"/>
        </w:rPr>
        <w:t>ss.</w:t>
      </w:r>
      <w:r>
        <w:rPr>
          <w:rStyle w:val="FootnoteReference"/>
          <w:color w:val="000000"/>
          <w:szCs w:val="22"/>
        </w:rPr>
        <w:footnoteReference w:id="145"/>
      </w:r>
      <w:r w:rsidRPr="00435180">
        <w:rPr>
          <w:szCs w:val="22"/>
        </w:rPr>
        <w:t xml:space="preserve"> </w:t>
      </w:r>
    </w:p>
    <w:p w:rsidR="00D6515C" w:rsidRPr="00435180" w:rsidP="00D6515C" w14:paraId="325044B6" w14:textId="77777777">
      <w:pPr>
        <w:pStyle w:val="Heading3"/>
        <w:rPr>
          <w:szCs w:val="22"/>
        </w:rPr>
      </w:pPr>
      <w:bookmarkStart w:id="881" w:name="_Toc6383469"/>
      <w:bookmarkStart w:id="882" w:name="_Toc7525794"/>
      <w:bookmarkStart w:id="883" w:name="_Toc8657149"/>
      <w:bookmarkStart w:id="884" w:name="_Toc9410675"/>
      <w:bookmarkStart w:id="885" w:name="_Toc9430081"/>
      <w:bookmarkStart w:id="886" w:name="_Toc10116844"/>
      <w:bookmarkStart w:id="887" w:name="_Toc10646150"/>
      <w:bookmarkStart w:id="888" w:name="_Toc11156554"/>
      <w:bookmarkStart w:id="889" w:name="_Toc11244298"/>
      <w:bookmarkStart w:id="890" w:name="_Toc11653554"/>
      <w:bookmarkStart w:id="891" w:name="_Toc11678134"/>
      <w:bookmarkStart w:id="892" w:name="_Toc13654721"/>
      <w:bookmarkStart w:id="893" w:name="_Toc24459441"/>
      <w:bookmarkStart w:id="894" w:name="_Toc24459538"/>
      <w:bookmarkStart w:id="895" w:name="_Toc25926234"/>
      <w:bookmarkStart w:id="896" w:name="_Toc25926812"/>
      <w:bookmarkStart w:id="897" w:name="_Toc25926933"/>
      <w:bookmarkStart w:id="898" w:name="_Toc27038993"/>
      <w:bookmarkStart w:id="899" w:name="_Toc29813137"/>
      <w:bookmarkStart w:id="900" w:name="_Toc29886862"/>
      <w:bookmarkStart w:id="901" w:name="_Toc29999466"/>
      <w:bookmarkStart w:id="902" w:name="_Toc30699392"/>
      <w:bookmarkStart w:id="903" w:name="_Toc30701472"/>
      <w:bookmarkStart w:id="904" w:name="_Toc31189293"/>
      <w:bookmarkStart w:id="905" w:name="_Toc31189747"/>
      <w:bookmarkStart w:id="906" w:name="_Toc31193114"/>
      <w:bookmarkStart w:id="907" w:name="_Toc31195865"/>
      <w:bookmarkStart w:id="908" w:name="_Toc31199989"/>
      <w:bookmarkStart w:id="909" w:name="_Toc31713756"/>
      <w:bookmarkStart w:id="910" w:name="_Toc31822665"/>
      <w:bookmarkStart w:id="911" w:name="_Toc33629822"/>
      <w:bookmarkStart w:id="912" w:name="_Toc33696674"/>
      <w:r w:rsidRPr="00435180">
        <w:rPr>
          <w:szCs w:val="22"/>
        </w:rPr>
        <w:t>Small Business Bidding Credit</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D6515C" w:rsidRPr="00435180" w:rsidP="00D850FB" w14:paraId="4C68CB6B" w14:textId="22C3565F">
      <w:pPr>
        <w:pStyle w:val="ParaNum"/>
        <w:widowControl/>
        <w:autoSpaceDE w:val="0"/>
        <w:autoSpaceDN w:val="0"/>
        <w:adjustRightInd w:val="0"/>
        <w:rPr>
          <w:szCs w:val="22"/>
        </w:rPr>
      </w:pPr>
      <w:r w:rsidRPr="00435180">
        <w:rPr>
          <w:szCs w:val="22"/>
        </w:rPr>
        <w:t>For Auction 10</w:t>
      </w:r>
      <w:r w:rsidR="00FF7456">
        <w:rPr>
          <w:szCs w:val="22"/>
        </w:rPr>
        <w:t>7</w:t>
      </w:r>
      <w:r w:rsidRPr="00435180">
        <w:rPr>
          <w:szCs w:val="22"/>
        </w:rPr>
        <w:t>, bidding credits will be available to eligible small businesses and consortia thereof, subject to the caps discussed below</w:t>
      </w:r>
      <w:r w:rsidR="004B04E3">
        <w:rPr>
          <w:szCs w:val="22"/>
        </w:rPr>
        <w:t>.</w:t>
      </w:r>
      <w:r w:rsidRPr="00435180">
        <w:rPr>
          <w:szCs w:val="22"/>
        </w:rPr>
        <w:t xml:space="preserve">  </w:t>
      </w:r>
      <w:r w:rsidR="00701B43">
        <w:rPr>
          <w:szCs w:val="22"/>
        </w:rPr>
        <w:t>Under</w:t>
      </w:r>
      <w:r w:rsidR="0016372E">
        <w:rPr>
          <w:szCs w:val="22"/>
        </w:rPr>
        <w:t xml:space="preserve"> the</w:t>
      </w:r>
      <w:r w:rsidRPr="00435180">
        <w:rPr>
          <w:szCs w:val="22"/>
        </w:rPr>
        <w:t xml:space="preserve"> service rules applicable to the </w:t>
      </w:r>
      <w:r w:rsidR="007843D6">
        <w:rPr>
          <w:szCs w:val="22"/>
        </w:rPr>
        <w:t>3.7 GHz Service licenses</w:t>
      </w:r>
      <w:r w:rsidR="006D4F81">
        <w:rPr>
          <w:szCs w:val="22"/>
        </w:rPr>
        <w:t xml:space="preserve"> </w:t>
      </w:r>
      <w:r w:rsidRPr="00435180">
        <w:rPr>
          <w:szCs w:val="22"/>
        </w:rPr>
        <w:t>to be offer</w:t>
      </w:r>
      <w:r w:rsidRPr="00435180">
        <w:rPr>
          <w:szCs w:val="22"/>
        </w:rPr>
        <w:t>ed in Auction 10</w:t>
      </w:r>
      <w:r w:rsidR="00FF7456">
        <w:rPr>
          <w:szCs w:val="22"/>
        </w:rPr>
        <w:t>7</w:t>
      </w:r>
      <w:r w:rsidRPr="00435180">
        <w:rPr>
          <w:szCs w:val="22"/>
        </w:rPr>
        <w:t>,</w:t>
      </w:r>
      <w:r>
        <w:rPr>
          <w:rStyle w:val="FootnoteReference"/>
          <w:szCs w:val="22"/>
        </w:rPr>
        <w:footnoteReference w:id="146"/>
      </w:r>
      <w:r w:rsidRPr="00435180">
        <w:rPr>
          <w:szCs w:val="22"/>
        </w:rPr>
        <w:t xml:space="preserve"> the level of bidding credit available is</w:t>
      </w:r>
      <w:r w:rsidR="0016372E">
        <w:rPr>
          <w:szCs w:val="22"/>
        </w:rPr>
        <w:t xml:space="preserve"> </w:t>
      </w:r>
      <w:r w:rsidRPr="00435180">
        <w:rPr>
          <w:szCs w:val="22"/>
        </w:rPr>
        <w:t xml:space="preserve">determined as follows:  </w:t>
      </w:r>
    </w:p>
    <w:p w:rsidR="00D6515C" w:rsidRPr="00435180" w:rsidP="00D6515C" w14:paraId="6B50956B" w14:textId="21E8A6C6">
      <w:pPr>
        <w:widowControl/>
        <w:numPr>
          <w:ilvl w:val="0"/>
          <w:numId w:val="1"/>
        </w:numPr>
        <w:tabs>
          <w:tab w:val="clear" w:pos="360"/>
        </w:tabs>
        <w:spacing w:after="120"/>
        <w:ind w:left="1080"/>
        <w:rPr>
          <w:szCs w:val="22"/>
        </w:rPr>
      </w:pPr>
      <w:r w:rsidRPr="00435180">
        <w:rPr>
          <w:szCs w:val="22"/>
        </w:rPr>
        <w:t xml:space="preserve">A bidder </w:t>
      </w:r>
      <w:r w:rsidR="006D4F81">
        <w:rPr>
          <w:szCs w:val="22"/>
        </w:rPr>
        <w:t>that qualifies as a “small business”</w:t>
      </w:r>
      <w:r w:rsidR="00CB7E10">
        <w:rPr>
          <w:szCs w:val="22"/>
        </w:rPr>
        <w:t>––</w:t>
      </w:r>
      <w:r w:rsidR="006D4F81">
        <w:rPr>
          <w:szCs w:val="22"/>
        </w:rPr>
        <w:t>i.e., one with</w:t>
      </w:r>
      <w:r w:rsidRPr="00435180">
        <w:rPr>
          <w:szCs w:val="22"/>
        </w:rPr>
        <w:t xml:space="preserve"> attributed average annual gross revenues that do not exceed $55 million for the preceding </w:t>
      </w:r>
      <w:r w:rsidR="0016372E">
        <w:rPr>
          <w:szCs w:val="22"/>
        </w:rPr>
        <w:t>five</w:t>
      </w:r>
      <w:r w:rsidRPr="00435180">
        <w:rPr>
          <w:szCs w:val="22"/>
        </w:rPr>
        <w:t xml:space="preserve"> years</w:t>
      </w:r>
      <w:r>
        <w:rPr>
          <w:szCs w:val="22"/>
          <w:vertAlign w:val="superscript"/>
        </w:rPr>
        <w:footnoteReference w:id="147"/>
      </w:r>
      <w:r w:rsidR="00CB7E10">
        <w:rPr>
          <w:szCs w:val="22"/>
        </w:rPr>
        <w:t>––</w:t>
      </w:r>
      <w:r w:rsidRPr="00435180">
        <w:rPr>
          <w:szCs w:val="22"/>
        </w:rPr>
        <w:t>is eligible to receive a 15% discount on its winning bid.</w:t>
      </w:r>
      <w:r>
        <w:rPr>
          <w:rStyle w:val="FootnoteReference"/>
          <w:szCs w:val="22"/>
        </w:rPr>
        <w:footnoteReference w:id="148"/>
      </w:r>
    </w:p>
    <w:p w:rsidR="00D6515C" w:rsidP="00D6515C" w14:paraId="0D812A00" w14:textId="04037038">
      <w:pPr>
        <w:widowControl/>
        <w:numPr>
          <w:ilvl w:val="0"/>
          <w:numId w:val="1"/>
        </w:numPr>
        <w:tabs>
          <w:tab w:val="clear" w:pos="360"/>
        </w:tabs>
        <w:spacing w:after="120"/>
        <w:ind w:left="1080"/>
        <w:rPr>
          <w:szCs w:val="22"/>
        </w:rPr>
      </w:pPr>
      <w:r w:rsidRPr="00435180">
        <w:rPr>
          <w:szCs w:val="22"/>
        </w:rPr>
        <w:t xml:space="preserve">A bidder </w:t>
      </w:r>
      <w:r w:rsidR="006D4F81">
        <w:rPr>
          <w:szCs w:val="22"/>
        </w:rPr>
        <w:t>that qualifies as a “very small business”</w:t>
      </w:r>
      <w:r w:rsidR="00CB7E10">
        <w:rPr>
          <w:szCs w:val="22"/>
        </w:rPr>
        <w:t>—</w:t>
      </w:r>
      <w:r w:rsidR="006D4F81">
        <w:rPr>
          <w:szCs w:val="22"/>
        </w:rPr>
        <w:t>i.e., one with</w:t>
      </w:r>
      <w:r w:rsidRPr="00435180" w:rsidR="006D4F81">
        <w:rPr>
          <w:szCs w:val="22"/>
        </w:rPr>
        <w:t xml:space="preserve"> attributed average annual gross revenues that do not exceed $</w:t>
      </w:r>
      <w:r w:rsidR="00070EFA">
        <w:rPr>
          <w:szCs w:val="22"/>
        </w:rPr>
        <w:t>20</w:t>
      </w:r>
      <w:r w:rsidRPr="00435180" w:rsidR="006D4F81">
        <w:rPr>
          <w:szCs w:val="22"/>
        </w:rPr>
        <w:t xml:space="preserve"> million for the preceding </w:t>
      </w:r>
      <w:r w:rsidR="0016372E">
        <w:rPr>
          <w:szCs w:val="22"/>
        </w:rPr>
        <w:t>five</w:t>
      </w:r>
      <w:r w:rsidRPr="00435180" w:rsidR="006D4F81">
        <w:rPr>
          <w:szCs w:val="22"/>
        </w:rPr>
        <w:t xml:space="preserve"> years</w:t>
      </w:r>
      <w:r>
        <w:rPr>
          <w:szCs w:val="22"/>
          <w:vertAlign w:val="superscript"/>
        </w:rPr>
        <w:footnoteReference w:id="149"/>
      </w:r>
      <w:r w:rsidR="00CB7E10">
        <w:rPr>
          <w:szCs w:val="22"/>
        </w:rPr>
        <w:t>—</w:t>
      </w:r>
      <w:r w:rsidRPr="00435180">
        <w:rPr>
          <w:szCs w:val="22"/>
        </w:rPr>
        <w:t>is eligible to receive a 25% discount on its winning bid.</w:t>
      </w:r>
      <w:r>
        <w:rPr>
          <w:szCs w:val="22"/>
          <w:vertAlign w:val="superscript"/>
        </w:rPr>
        <w:footnoteReference w:id="150"/>
      </w:r>
    </w:p>
    <w:p w:rsidR="00083DC5" w:rsidRPr="00435180" w:rsidP="00D850FB" w14:paraId="0A0C3199" w14:textId="12F4C4D3">
      <w:pPr>
        <w:pStyle w:val="ParaNum"/>
        <w:widowControl/>
        <w:autoSpaceDE w:val="0"/>
        <w:autoSpaceDN w:val="0"/>
        <w:adjustRightInd w:val="0"/>
      </w:pPr>
      <w:r>
        <w:t xml:space="preserve">In </w:t>
      </w:r>
      <w:r w:rsidRPr="00D850FB">
        <w:rPr>
          <w:szCs w:val="22"/>
        </w:rPr>
        <w:t>adopting</w:t>
      </w:r>
      <w:r>
        <w:t xml:space="preserve"> this two-tiered approach in the </w:t>
      </w:r>
      <w:r w:rsidRPr="00681C29" w:rsidR="00DC4A78">
        <w:rPr>
          <w:i/>
          <w:iCs/>
        </w:rPr>
        <w:t>3.7 GHz Report and Order</w:t>
      </w:r>
      <w:r w:rsidR="00DC4A78">
        <w:t>, the Commission observed that this approach would provide consistency and predictability for small businesses.</w:t>
      </w:r>
      <w:r>
        <w:rPr>
          <w:rStyle w:val="FootnoteReference"/>
        </w:rPr>
        <w:footnoteReference w:id="151"/>
      </w:r>
    </w:p>
    <w:p w:rsidR="00D6515C" w:rsidRPr="00435180" w:rsidP="00D850FB" w14:paraId="213AF2A5" w14:textId="532F9A22">
      <w:pPr>
        <w:pStyle w:val="ParaNum"/>
        <w:widowControl/>
        <w:autoSpaceDE w:val="0"/>
        <w:autoSpaceDN w:val="0"/>
        <w:adjustRightInd w:val="0"/>
        <w:rPr>
          <w:szCs w:val="22"/>
        </w:rPr>
      </w:pPr>
      <w:r w:rsidRPr="00435180">
        <w:rPr>
          <w:szCs w:val="22"/>
        </w:rPr>
        <w:t>Small business bidding credits are not cumulative; an eligible applicant may receive either the 15% or the 25% bidding credit on its winning bid, but not both.  The C</w:t>
      </w:r>
      <w:r w:rsidRPr="00435180">
        <w:rPr>
          <w:szCs w:val="22"/>
        </w:rPr>
        <w:t xml:space="preserve">ommission’s unjust enrichment provisions also apply to a winning bidder that uses a bidding credit and subsequently seeks to assign or transfer control of its license within a certain period to an entity not qualifying for </w:t>
      </w:r>
      <w:r w:rsidR="00CD1906">
        <w:rPr>
          <w:szCs w:val="22"/>
        </w:rPr>
        <w:t xml:space="preserve">at least </w:t>
      </w:r>
      <w:r w:rsidRPr="00435180">
        <w:rPr>
          <w:szCs w:val="22"/>
        </w:rPr>
        <w:t xml:space="preserve">the same level of small </w:t>
      </w:r>
      <w:r w:rsidRPr="00435180">
        <w:rPr>
          <w:szCs w:val="22"/>
        </w:rPr>
        <w:t>business bidding credit.</w:t>
      </w:r>
      <w:r>
        <w:rPr>
          <w:rStyle w:val="FootnoteReference"/>
          <w:szCs w:val="22"/>
        </w:rPr>
        <w:footnoteReference w:id="152"/>
      </w:r>
    </w:p>
    <w:p w:rsidR="00D6515C" w:rsidRPr="00435180" w:rsidP="00D850FB" w14:paraId="6D7B698C" w14:textId="3081C4C0">
      <w:pPr>
        <w:pStyle w:val="ParaNum"/>
        <w:widowControl/>
        <w:autoSpaceDE w:val="0"/>
        <w:autoSpaceDN w:val="0"/>
        <w:adjustRightInd w:val="0"/>
        <w:rPr>
          <w:szCs w:val="22"/>
        </w:rPr>
      </w:pPr>
      <w:r w:rsidRPr="00435180">
        <w:rPr>
          <w:szCs w:val="22"/>
        </w:rPr>
        <w:t xml:space="preserve">Each applicant claiming a small business bidding credit must disclose the gross revenues for the preceding </w:t>
      </w:r>
      <w:r w:rsidR="009845F4">
        <w:rPr>
          <w:szCs w:val="22"/>
        </w:rPr>
        <w:t>five</w:t>
      </w:r>
      <w:r w:rsidRPr="00435180" w:rsidR="009845F4">
        <w:rPr>
          <w:szCs w:val="22"/>
        </w:rPr>
        <w:t xml:space="preserve"> </w:t>
      </w:r>
      <w:r w:rsidRPr="00435180">
        <w:rPr>
          <w:szCs w:val="22"/>
        </w:rPr>
        <w:t>years for each of the following:  (1) the applicant, (2) its affiliates, (3) its controlling interests, and (4) the a</w:t>
      </w:r>
      <w:r w:rsidRPr="00435180">
        <w:rPr>
          <w:szCs w:val="22"/>
        </w:rPr>
        <w:t>ffiliates of its controlling interests.</w:t>
      </w:r>
      <w:r>
        <w:rPr>
          <w:rStyle w:val="FootnoteReference"/>
          <w:szCs w:val="22"/>
        </w:rPr>
        <w:footnoteReference w:id="153"/>
      </w:r>
      <w:r w:rsidRPr="00435180">
        <w:rPr>
          <w:szCs w:val="22"/>
        </w:rPr>
        <w:t xml:space="preserve">  The applicant must also submit an attachment that lists all parties with which the applicant has entered into any spectrum use agreements or arrangements for any licenses that </w:t>
      </w:r>
      <w:r w:rsidR="008653CA">
        <w:rPr>
          <w:szCs w:val="22"/>
        </w:rPr>
        <w:t>may be</w:t>
      </w:r>
      <w:r w:rsidRPr="00435180">
        <w:rPr>
          <w:szCs w:val="22"/>
        </w:rPr>
        <w:t xml:space="preserve"> won by the applicant in Auctio</w:t>
      </w:r>
      <w:r w:rsidRPr="00435180">
        <w:rPr>
          <w:szCs w:val="22"/>
        </w:rPr>
        <w:t>n 10</w:t>
      </w:r>
      <w:r w:rsidR="00D71167">
        <w:rPr>
          <w:szCs w:val="22"/>
        </w:rPr>
        <w:t>7</w:t>
      </w:r>
      <w:r w:rsidRPr="00435180">
        <w:rPr>
          <w:szCs w:val="22"/>
        </w:rPr>
        <w:t>.</w:t>
      </w:r>
      <w:r>
        <w:rPr>
          <w:rStyle w:val="FootnoteReference"/>
          <w:szCs w:val="22"/>
        </w:rPr>
        <w:footnoteReference w:id="154"/>
      </w:r>
      <w:r w:rsidRPr="00435180">
        <w:rPr>
          <w:szCs w:val="22"/>
        </w:rPr>
        <w:t xml:space="preserve">  In addition, to the extent that an applicant has an agreement with any disclosable interest holder for the use of more than 25% of the spectrum capacity of any license that may be won in Auction 10</w:t>
      </w:r>
      <w:r w:rsidR="00D71167">
        <w:rPr>
          <w:szCs w:val="22"/>
        </w:rPr>
        <w:t>7</w:t>
      </w:r>
      <w:r w:rsidRPr="00435180">
        <w:rPr>
          <w:szCs w:val="22"/>
        </w:rPr>
        <w:t xml:space="preserve">, the </w:t>
      </w:r>
      <w:r w:rsidR="00301E1D">
        <w:rPr>
          <w:szCs w:val="22"/>
        </w:rPr>
        <w:t xml:space="preserve">applicant must disclose the </w:t>
      </w:r>
      <w:r w:rsidRPr="00435180">
        <w:rPr>
          <w:szCs w:val="22"/>
        </w:rPr>
        <w:t>identity and t</w:t>
      </w:r>
      <w:r w:rsidRPr="00435180">
        <w:rPr>
          <w:szCs w:val="22"/>
        </w:rPr>
        <w:t>he attributable gross revenues of any such disclosable interest holder.</w:t>
      </w:r>
      <w:r>
        <w:rPr>
          <w:rStyle w:val="FootnoteReference"/>
          <w:szCs w:val="22"/>
        </w:rPr>
        <w:footnoteReference w:id="155"/>
      </w:r>
      <w:r w:rsidRPr="00435180">
        <w:rPr>
          <w:szCs w:val="22"/>
        </w:rPr>
        <w:t xml:space="preserve">  This attribution rule will be applied on a license-by-license basis.</w:t>
      </w:r>
      <w:r>
        <w:rPr>
          <w:rStyle w:val="FootnoteReference"/>
          <w:szCs w:val="22"/>
        </w:rPr>
        <w:footnoteReference w:id="156"/>
      </w:r>
      <w:r w:rsidRPr="00435180">
        <w:rPr>
          <w:szCs w:val="22"/>
        </w:rPr>
        <w:t xml:space="preserve">  As a result, an applicant may be eligible for a bidding credit on some, but not all, of the licenses for which it is bidding in Auction 10</w:t>
      </w:r>
      <w:r w:rsidR="00D71167">
        <w:rPr>
          <w:szCs w:val="22"/>
        </w:rPr>
        <w:t>7</w:t>
      </w:r>
      <w:r w:rsidRPr="00435180">
        <w:rPr>
          <w:szCs w:val="22"/>
        </w:rPr>
        <w:t>.</w:t>
      </w:r>
      <w:r>
        <w:rPr>
          <w:rStyle w:val="FootnoteReference"/>
          <w:szCs w:val="22"/>
        </w:rPr>
        <w:footnoteReference w:id="157"/>
      </w:r>
      <w:r w:rsidRPr="00435180">
        <w:rPr>
          <w:rStyle w:val="CommentReference"/>
          <w:sz w:val="22"/>
          <w:szCs w:val="22"/>
        </w:rPr>
        <w:t xml:space="preserve">  </w:t>
      </w:r>
      <w:r w:rsidRPr="00435180">
        <w:rPr>
          <w:szCs w:val="22"/>
        </w:rPr>
        <w:t xml:space="preserve">If an applicant is applying as a consortium of small businesses, </w:t>
      </w:r>
      <w:r w:rsidR="00A7222D">
        <w:rPr>
          <w:szCs w:val="22"/>
        </w:rPr>
        <w:t xml:space="preserve">then </w:t>
      </w:r>
      <w:r w:rsidRPr="00435180">
        <w:rPr>
          <w:szCs w:val="22"/>
        </w:rPr>
        <w:t>the disclosures described in this paragr</w:t>
      </w:r>
      <w:r w:rsidRPr="00435180">
        <w:rPr>
          <w:szCs w:val="22"/>
        </w:rPr>
        <w:t>aph must be provided for each consortium member.</w:t>
      </w:r>
      <w:r>
        <w:rPr>
          <w:rStyle w:val="FootnoteReference"/>
          <w:szCs w:val="22"/>
        </w:rPr>
        <w:footnoteReference w:id="158"/>
      </w:r>
    </w:p>
    <w:p w:rsidR="00D6515C" w:rsidRPr="00435180" w:rsidP="00D6515C" w14:paraId="328D163F" w14:textId="77777777">
      <w:pPr>
        <w:pStyle w:val="Heading3"/>
        <w:rPr>
          <w:szCs w:val="22"/>
        </w:rPr>
      </w:pPr>
      <w:bookmarkStart w:id="913" w:name="_Toc6383470"/>
      <w:bookmarkStart w:id="914" w:name="_Toc7525795"/>
      <w:bookmarkStart w:id="915" w:name="_Toc8657150"/>
      <w:bookmarkStart w:id="916" w:name="_Toc9410676"/>
      <w:bookmarkStart w:id="917" w:name="_Toc9430082"/>
      <w:bookmarkStart w:id="918" w:name="_Toc10116845"/>
      <w:bookmarkStart w:id="919" w:name="_Toc10646151"/>
      <w:bookmarkStart w:id="920" w:name="_Toc11156555"/>
      <w:bookmarkStart w:id="921" w:name="_Toc11244299"/>
      <w:bookmarkStart w:id="922" w:name="_Toc11653555"/>
      <w:bookmarkStart w:id="923" w:name="_Toc11678135"/>
      <w:bookmarkStart w:id="924" w:name="_Toc13654722"/>
      <w:bookmarkStart w:id="925" w:name="_Toc24459442"/>
      <w:bookmarkStart w:id="926" w:name="_Toc24459539"/>
      <w:bookmarkStart w:id="927" w:name="_Toc25926235"/>
      <w:bookmarkStart w:id="928" w:name="_Toc25926813"/>
      <w:bookmarkStart w:id="929" w:name="_Toc25926934"/>
      <w:bookmarkStart w:id="930" w:name="_Toc27038994"/>
      <w:bookmarkStart w:id="931" w:name="_Toc29813138"/>
      <w:bookmarkStart w:id="932" w:name="_Toc29886863"/>
      <w:bookmarkStart w:id="933" w:name="_Toc29999467"/>
      <w:bookmarkStart w:id="934" w:name="_Toc30699393"/>
      <w:bookmarkStart w:id="935" w:name="_Toc30701473"/>
      <w:bookmarkStart w:id="936" w:name="_Toc31189294"/>
      <w:bookmarkStart w:id="937" w:name="_Toc31189748"/>
      <w:bookmarkStart w:id="938" w:name="_Toc31193115"/>
      <w:bookmarkStart w:id="939" w:name="_Toc31195866"/>
      <w:bookmarkStart w:id="940" w:name="_Toc31199990"/>
      <w:bookmarkStart w:id="941" w:name="_Toc31713757"/>
      <w:bookmarkStart w:id="942" w:name="_Toc31822666"/>
      <w:bookmarkStart w:id="943" w:name="_Toc33629823"/>
      <w:bookmarkStart w:id="944" w:name="_Toc33696675"/>
      <w:r w:rsidRPr="00435180">
        <w:rPr>
          <w:szCs w:val="22"/>
        </w:rPr>
        <w:t>Rural Service Provider Bidding Credit</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D6515C" w:rsidRPr="00435180" w:rsidP="00D850FB" w14:paraId="699B486C" w14:textId="2216C576">
      <w:pPr>
        <w:pStyle w:val="ParaNum"/>
        <w:widowControl/>
        <w:autoSpaceDE w:val="0"/>
        <w:autoSpaceDN w:val="0"/>
        <w:adjustRightInd w:val="0"/>
        <w:rPr>
          <w:szCs w:val="22"/>
        </w:rPr>
      </w:pPr>
      <w:r w:rsidRPr="00435180">
        <w:rPr>
          <w:szCs w:val="22"/>
        </w:rPr>
        <w:t>An eligible applicant may request a 15% discount on its winning bid using a rural service provider bidding credit,</w:t>
      </w:r>
      <w:r>
        <w:rPr>
          <w:rStyle w:val="FootnoteReference"/>
          <w:szCs w:val="22"/>
        </w:rPr>
        <w:footnoteReference w:id="159"/>
      </w:r>
      <w:r w:rsidRPr="00435180">
        <w:rPr>
          <w:szCs w:val="22"/>
        </w:rPr>
        <w:t xml:space="preserve"> subject to the cap discussed below.</w:t>
      </w:r>
      <w:r w:rsidR="00ED17EE">
        <w:rPr>
          <w:szCs w:val="22"/>
        </w:rPr>
        <w:t xml:space="preserve">  </w:t>
      </w:r>
      <w:r w:rsidRPr="00435180">
        <w:rPr>
          <w:szCs w:val="22"/>
        </w:rPr>
        <w:t>To be eligibl</w:t>
      </w:r>
      <w:r w:rsidRPr="00435180">
        <w:rPr>
          <w:szCs w:val="22"/>
        </w:rPr>
        <w:t xml:space="preserve">e for a rural service provider </w:t>
      </w:r>
      <w:r w:rsidRPr="00435180">
        <w:rPr>
          <w:szCs w:val="22"/>
        </w:rPr>
        <w:t>bidding credit, an applicant must</w:t>
      </w:r>
      <w:r w:rsidR="000236D8">
        <w:rPr>
          <w:szCs w:val="22"/>
        </w:rPr>
        <w:t xml:space="preserve">: </w:t>
      </w:r>
      <w:r w:rsidRPr="00435180">
        <w:rPr>
          <w:szCs w:val="22"/>
        </w:rPr>
        <w:t xml:space="preserve"> (1) be a service provider that is in the business of providing commercial communications services and, together with its controlling interests, affiliates, and the affiliates of its control</w:t>
      </w:r>
      <w:r w:rsidRPr="00435180">
        <w:rPr>
          <w:szCs w:val="22"/>
        </w:rPr>
        <w:t>ling interests, has fewer than 250,000 combined wireless, wireline, broadband, and cable subscribers; and (2) serve predominantly rural areas</w:t>
      </w:r>
      <w:r w:rsidR="006D4F81">
        <w:rPr>
          <w:szCs w:val="22"/>
        </w:rPr>
        <w:t>.</w:t>
      </w:r>
      <w:r>
        <w:rPr>
          <w:rStyle w:val="FootnoteReference"/>
          <w:szCs w:val="22"/>
        </w:rPr>
        <w:footnoteReference w:id="160"/>
      </w:r>
      <w:r w:rsidR="006D4F81">
        <w:rPr>
          <w:szCs w:val="22"/>
        </w:rPr>
        <w:t xml:space="preserve">  </w:t>
      </w:r>
      <w:r w:rsidR="005D658E">
        <w:rPr>
          <w:szCs w:val="22"/>
        </w:rPr>
        <w:t>Rural areas are</w:t>
      </w:r>
      <w:r w:rsidRPr="00435180" w:rsidR="005D658E">
        <w:rPr>
          <w:szCs w:val="22"/>
        </w:rPr>
        <w:t xml:space="preserve"> defined as counties with a population density of 100 or fewer persons per square mile.</w:t>
      </w:r>
      <w:r>
        <w:rPr>
          <w:rStyle w:val="FootnoteReference"/>
          <w:szCs w:val="22"/>
        </w:rPr>
        <w:footnoteReference w:id="161"/>
      </w:r>
      <w:r w:rsidRPr="00435180" w:rsidR="005D658E">
        <w:rPr>
          <w:szCs w:val="22"/>
        </w:rPr>
        <w:t xml:space="preserve"> </w:t>
      </w:r>
      <w:r w:rsidRPr="008C214D" w:rsidR="006F72EE">
        <w:rPr>
          <w:rStyle w:val="CommentReference"/>
          <w:sz w:val="22"/>
          <w:szCs w:val="22"/>
        </w:rPr>
        <w:t xml:space="preserve"> </w:t>
      </w:r>
      <w:r w:rsidR="00694220">
        <w:t>An applicant seeking a rural service provider bidding credit must provide the number of subscribers served as of the short</w:t>
      </w:r>
      <w:r w:rsidR="00B354D5">
        <w:t>-</w:t>
      </w:r>
      <w:r w:rsidR="00694220">
        <w:t>form application deadline.</w:t>
      </w:r>
      <w:r>
        <w:rPr>
          <w:rStyle w:val="FootnoteReference"/>
          <w:szCs w:val="22"/>
        </w:rPr>
        <w:footnoteReference w:id="162"/>
      </w:r>
      <w:r w:rsidR="00694220">
        <w:t xml:space="preserve">  </w:t>
      </w:r>
      <w:r w:rsidR="00301E1D">
        <w:rPr>
          <w:szCs w:val="22"/>
        </w:rPr>
        <w:t>A</w:t>
      </w:r>
      <w:r w:rsidRPr="00435180">
        <w:rPr>
          <w:szCs w:val="22"/>
        </w:rPr>
        <w:t>n applicant may count any subscriber as a single subscriber even if that subscriber receives more than one</w:t>
      </w:r>
      <w:r w:rsidRPr="00435180">
        <w:rPr>
          <w:szCs w:val="22"/>
        </w:rPr>
        <w:t xml:space="preserve"> service.</w:t>
      </w:r>
      <w:r>
        <w:rPr>
          <w:rStyle w:val="FootnoteReference"/>
          <w:szCs w:val="22"/>
        </w:rPr>
        <w:footnoteReference w:id="163"/>
      </w:r>
      <w:r w:rsidRPr="00435180">
        <w:rPr>
          <w:szCs w:val="22"/>
        </w:rPr>
        <w:t xml:space="preserve"> </w:t>
      </w:r>
      <w:r w:rsidR="009B560D">
        <w:rPr>
          <w:szCs w:val="22"/>
        </w:rPr>
        <w:t xml:space="preserve"> </w:t>
      </w:r>
    </w:p>
    <w:p w:rsidR="00D6515C" w:rsidRPr="00435180" w:rsidP="00D850FB" w14:paraId="053659C3" w14:textId="040961CB">
      <w:pPr>
        <w:pStyle w:val="ParaNum"/>
        <w:widowControl/>
        <w:autoSpaceDE w:val="0"/>
        <w:autoSpaceDN w:val="0"/>
        <w:adjustRightInd w:val="0"/>
        <w:rPr>
          <w:szCs w:val="22"/>
        </w:rPr>
      </w:pPr>
      <w:r w:rsidRPr="00435180">
        <w:rPr>
          <w:szCs w:val="22"/>
        </w:rPr>
        <w:t xml:space="preserve">Each applicant seeking a rural service provider bidding credit must disclose </w:t>
      </w:r>
      <w:r w:rsidR="000776D0">
        <w:rPr>
          <w:szCs w:val="22"/>
        </w:rPr>
        <w:t>the</w:t>
      </w:r>
      <w:r w:rsidRPr="00435180">
        <w:rPr>
          <w:szCs w:val="22"/>
        </w:rPr>
        <w:t xml:space="preserve"> number of </w:t>
      </w:r>
      <w:r w:rsidR="008749BC">
        <w:rPr>
          <w:szCs w:val="22"/>
        </w:rPr>
        <w:t xml:space="preserve">its </w:t>
      </w:r>
      <w:r w:rsidRPr="00435180">
        <w:rPr>
          <w:szCs w:val="22"/>
        </w:rPr>
        <w:t xml:space="preserve">subscribers, along with the number of subscribers of its affiliates, controlling interests, and the affiliates of its controlling </w:t>
      </w:r>
      <w:r w:rsidRPr="00435180">
        <w:rPr>
          <w:szCs w:val="22"/>
        </w:rPr>
        <w:t>interests.</w:t>
      </w:r>
      <w:r>
        <w:rPr>
          <w:rStyle w:val="FootnoteReference"/>
          <w:szCs w:val="22"/>
        </w:rPr>
        <w:footnoteReference w:id="164"/>
      </w:r>
      <w:r w:rsidRPr="00435180">
        <w:rPr>
          <w:szCs w:val="22"/>
        </w:rPr>
        <w:t xml:space="preserve">  The applicant must also submit an attachment that lists all parties with which the applicant has entered into any spectrum use agreements or arrangements for any licenses that </w:t>
      </w:r>
      <w:r w:rsidR="008653CA">
        <w:rPr>
          <w:szCs w:val="22"/>
        </w:rPr>
        <w:t>may be</w:t>
      </w:r>
      <w:r w:rsidRPr="00435180">
        <w:rPr>
          <w:szCs w:val="22"/>
        </w:rPr>
        <w:t xml:space="preserve"> won by the applicant in Auction 10</w:t>
      </w:r>
      <w:r w:rsidR="00B334D5">
        <w:rPr>
          <w:szCs w:val="22"/>
        </w:rPr>
        <w:t>7</w:t>
      </w:r>
      <w:r w:rsidRPr="00435180">
        <w:rPr>
          <w:szCs w:val="22"/>
        </w:rPr>
        <w:t>.</w:t>
      </w:r>
      <w:r>
        <w:rPr>
          <w:rStyle w:val="FootnoteReference"/>
          <w:szCs w:val="22"/>
        </w:rPr>
        <w:footnoteReference w:id="165"/>
      </w:r>
      <w:r w:rsidRPr="00435180">
        <w:rPr>
          <w:szCs w:val="22"/>
        </w:rPr>
        <w:t xml:space="preserve">  In addition, to the extent that</w:t>
      </w:r>
      <w:r w:rsidRPr="00435180">
        <w:rPr>
          <w:szCs w:val="22"/>
        </w:rPr>
        <w:t xml:space="preserve"> an applicant has an agreement with any disclosable interest holder for the use of more than 25% of the spectrum capacity of any license that may be won in Auction 10</w:t>
      </w:r>
      <w:r w:rsidR="00122D1C">
        <w:rPr>
          <w:szCs w:val="22"/>
        </w:rPr>
        <w:t>7</w:t>
      </w:r>
      <w:r w:rsidRPr="00435180">
        <w:rPr>
          <w:szCs w:val="22"/>
        </w:rPr>
        <w:t>, the identity and the attributable subscribers of any such disclosable interest holder m</w:t>
      </w:r>
      <w:r w:rsidRPr="00435180">
        <w:rPr>
          <w:szCs w:val="22"/>
        </w:rPr>
        <w:t>ust be disclosed.</w:t>
      </w:r>
      <w:r>
        <w:rPr>
          <w:rStyle w:val="FootnoteReference"/>
          <w:szCs w:val="22"/>
        </w:rPr>
        <w:footnoteReference w:id="166"/>
      </w:r>
      <w:r w:rsidRPr="00435180">
        <w:rPr>
          <w:szCs w:val="22"/>
        </w:rPr>
        <w:t xml:space="preserve">  Like applicants seeking eligibility for small business bidding credits, eligible rural service providers may also form a consortium.</w:t>
      </w:r>
      <w:r>
        <w:rPr>
          <w:rStyle w:val="FootnoteReference"/>
          <w:szCs w:val="22"/>
        </w:rPr>
        <w:footnoteReference w:id="167"/>
      </w:r>
      <w:r w:rsidRPr="00435180">
        <w:rPr>
          <w:szCs w:val="22"/>
        </w:rPr>
        <w:t xml:space="preserve">  If an applicant is applying as a consortium of rural service providers, </w:t>
      </w:r>
      <w:r w:rsidR="007C18E8">
        <w:rPr>
          <w:szCs w:val="22"/>
        </w:rPr>
        <w:t xml:space="preserve">then </w:t>
      </w:r>
      <w:r w:rsidRPr="00435180">
        <w:rPr>
          <w:szCs w:val="22"/>
        </w:rPr>
        <w:t>the disclosures descri</w:t>
      </w:r>
      <w:r w:rsidRPr="00435180">
        <w:rPr>
          <w:szCs w:val="22"/>
        </w:rPr>
        <w:t>bed in this paragraph, including the certification, must be provided for each consortium member.</w:t>
      </w:r>
      <w:r>
        <w:rPr>
          <w:rStyle w:val="FootnoteReference"/>
          <w:szCs w:val="22"/>
        </w:rPr>
        <w:footnoteReference w:id="168"/>
      </w:r>
      <w:r w:rsidRPr="00435180">
        <w:rPr>
          <w:szCs w:val="22"/>
        </w:rPr>
        <w:t xml:space="preserve">  </w:t>
      </w:r>
    </w:p>
    <w:p w:rsidR="00D6515C" w:rsidRPr="00435180" w:rsidP="00D6515C" w14:paraId="111E515A" w14:textId="77777777">
      <w:pPr>
        <w:pStyle w:val="Heading3"/>
        <w:rPr>
          <w:szCs w:val="22"/>
        </w:rPr>
      </w:pPr>
      <w:bookmarkStart w:id="945" w:name="_Toc6383471"/>
      <w:bookmarkStart w:id="946" w:name="_Toc7525796"/>
      <w:bookmarkStart w:id="947" w:name="_Toc8657151"/>
      <w:bookmarkStart w:id="948" w:name="_Toc9410677"/>
      <w:bookmarkStart w:id="949" w:name="_Toc9430083"/>
      <w:bookmarkStart w:id="950" w:name="_Toc10116846"/>
      <w:bookmarkStart w:id="951" w:name="_Toc10646152"/>
      <w:bookmarkStart w:id="952" w:name="_Toc11156556"/>
      <w:bookmarkStart w:id="953" w:name="_Toc11244300"/>
      <w:bookmarkStart w:id="954" w:name="_Toc11653556"/>
      <w:bookmarkStart w:id="955" w:name="_Toc11678136"/>
      <w:bookmarkStart w:id="956" w:name="_Toc13654723"/>
      <w:bookmarkStart w:id="957" w:name="_Toc24459443"/>
      <w:bookmarkStart w:id="958" w:name="_Toc24459540"/>
      <w:bookmarkStart w:id="959" w:name="_Toc25926236"/>
      <w:bookmarkStart w:id="960" w:name="_Toc25926814"/>
      <w:bookmarkStart w:id="961" w:name="_Toc25926935"/>
      <w:bookmarkStart w:id="962" w:name="_Toc27038995"/>
      <w:bookmarkStart w:id="963" w:name="_Toc29813139"/>
      <w:bookmarkStart w:id="964" w:name="_Toc29886864"/>
      <w:bookmarkStart w:id="965" w:name="_Toc29999468"/>
      <w:bookmarkStart w:id="966" w:name="_Toc30699394"/>
      <w:bookmarkStart w:id="967" w:name="_Toc30701474"/>
      <w:bookmarkStart w:id="968" w:name="_Toc31189295"/>
      <w:bookmarkStart w:id="969" w:name="_Toc31189749"/>
      <w:bookmarkStart w:id="970" w:name="_Toc31193116"/>
      <w:bookmarkStart w:id="971" w:name="_Toc31195867"/>
      <w:bookmarkStart w:id="972" w:name="_Toc31199991"/>
      <w:bookmarkStart w:id="973" w:name="_Toc31713758"/>
      <w:bookmarkStart w:id="974" w:name="_Toc31822667"/>
      <w:bookmarkStart w:id="975" w:name="_Toc33629824"/>
      <w:bookmarkStart w:id="976" w:name="_Toc33696676"/>
      <w:r w:rsidRPr="00435180">
        <w:rPr>
          <w:szCs w:val="22"/>
        </w:rPr>
        <w:t>Caps on Bidding Credits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D6515C" w:rsidP="00D850FB" w14:paraId="1C1A2713" w14:textId="57AB9C08">
      <w:pPr>
        <w:pStyle w:val="ParaNum"/>
        <w:widowControl/>
        <w:autoSpaceDE w:val="0"/>
        <w:autoSpaceDN w:val="0"/>
        <w:adjustRightInd w:val="0"/>
        <w:rPr>
          <w:szCs w:val="22"/>
        </w:rPr>
      </w:pPr>
      <w:r>
        <w:rPr>
          <w:szCs w:val="22"/>
        </w:rPr>
        <w:t>E</w:t>
      </w:r>
      <w:r w:rsidRPr="00435180" w:rsidR="00777B66">
        <w:rPr>
          <w:szCs w:val="22"/>
        </w:rPr>
        <w:t xml:space="preserve">ligible applicants claiming either a small business or rural service provider bidding credit will be </w:t>
      </w:r>
      <w:r w:rsidRPr="00435180" w:rsidR="00BB379C">
        <w:rPr>
          <w:szCs w:val="22"/>
        </w:rPr>
        <w:t xml:space="preserve">subject to </w:t>
      </w:r>
      <w:r w:rsidR="00BB379C">
        <w:rPr>
          <w:szCs w:val="22"/>
        </w:rPr>
        <w:t>specified</w:t>
      </w:r>
      <w:r w:rsidRPr="00435180" w:rsidR="00BB379C">
        <w:rPr>
          <w:szCs w:val="22"/>
        </w:rPr>
        <w:t xml:space="preserve"> caps on the total amount of bidding credit discounts that </w:t>
      </w:r>
      <w:r w:rsidR="00BB379C">
        <w:rPr>
          <w:szCs w:val="22"/>
        </w:rPr>
        <w:t xml:space="preserve">they </w:t>
      </w:r>
      <w:r w:rsidRPr="00435180" w:rsidR="00BB379C">
        <w:rPr>
          <w:szCs w:val="22"/>
        </w:rPr>
        <w:t xml:space="preserve">may </w:t>
      </w:r>
      <w:r w:rsidRPr="00435180" w:rsidR="00777B66">
        <w:rPr>
          <w:szCs w:val="22"/>
        </w:rPr>
        <w:t>receive.</w:t>
      </w:r>
      <w:r>
        <w:rPr>
          <w:rStyle w:val="FootnoteReference"/>
          <w:szCs w:val="22"/>
        </w:rPr>
        <w:footnoteReference w:id="169"/>
      </w:r>
      <w:r w:rsidR="00577BF5">
        <w:rPr>
          <w:szCs w:val="22"/>
        </w:rPr>
        <w:t xml:space="preserve">  </w:t>
      </w:r>
      <w:r w:rsidRPr="00435180" w:rsidR="00777B66">
        <w:rPr>
          <w:szCs w:val="22"/>
        </w:rPr>
        <w:t>For the reasons</w:t>
      </w:r>
      <w:r w:rsidR="00062E33">
        <w:rPr>
          <w:szCs w:val="22"/>
        </w:rPr>
        <w:t xml:space="preserve"> </w:t>
      </w:r>
      <w:r w:rsidRPr="00435180" w:rsidR="00777B66">
        <w:rPr>
          <w:szCs w:val="22"/>
        </w:rPr>
        <w:t xml:space="preserve">discussed in the </w:t>
      </w:r>
      <w:r w:rsidRPr="00435180" w:rsidR="00777B66">
        <w:rPr>
          <w:i/>
          <w:szCs w:val="22"/>
        </w:rPr>
        <w:t>Auction 10</w:t>
      </w:r>
      <w:r w:rsidR="00E31536">
        <w:rPr>
          <w:i/>
          <w:szCs w:val="22"/>
        </w:rPr>
        <w:t>7</w:t>
      </w:r>
      <w:r w:rsidRPr="00435180" w:rsidR="00777B66">
        <w:rPr>
          <w:i/>
          <w:szCs w:val="22"/>
        </w:rPr>
        <w:t xml:space="preserve"> Comment Public Notice</w:t>
      </w:r>
      <w:r w:rsidRPr="00435180" w:rsidR="00777B66">
        <w:rPr>
          <w:szCs w:val="22"/>
        </w:rPr>
        <w:t>, we adopt our proposals concerning bidding credit caps for Auction 10</w:t>
      </w:r>
      <w:r w:rsidR="00E31536">
        <w:rPr>
          <w:szCs w:val="22"/>
        </w:rPr>
        <w:t>7</w:t>
      </w:r>
      <w:r w:rsidRPr="00435180" w:rsidR="00777B66">
        <w:rPr>
          <w:szCs w:val="22"/>
        </w:rPr>
        <w:t>.</w:t>
      </w:r>
      <w:r>
        <w:rPr>
          <w:rStyle w:val="FootnoteReference"/>
          <w:szCs w:val="22"/>
        </w:rPr>
        <w:footnoteReference w:id="170"/>
      </w:r>
      <w:r w:rsidRPr="00435180" w:rsidR="00777B66">
        <w:rPr>
          <w:szCs w:val="22"/>
        </w:rPr>
        <w:t xml:space="preserve">  Specifically, we adopt a $25 million cap on the total amount of bidding credit discounts that may be awarded to an eligible small business</w:t>
      </w:r>
      <w:r w:rsidR="000776D0">
        <w:rPr>
          <w:szCs w:val="22"/>
        </w:rPr>
        <w:t>,</w:t>
      </w:r>
      <w:r>
        <w:rPr>
          <w:rStyle w:val="FootnoteReference"/>
          <w:szCs w:val="22"/>
        </w:rPr>
        <w:footnoteReference w:id="171"/>
      </w:r>
      <w:r w:rsidR="000776D0">
        <w:rPr>
          <w:szCs w:val="22"/>
        </w:rPr>
        <w:t xml:space="preserve"> and </w:t>
      </w:r>
      <w:r w:rsidRPr="00435180" w:rsidR="00777B66">
        <w:rPr>
          <w:szCs w:val="22"/>
        </w:rPr>
        <w:t xml:space="preserve">a $10 million cap on the total amount of bidding credit discounts that may be awarded to an eligible rural service provider. </w:t>
      </w:r>
      <w:r w:rsidR="00681C00">
        <w:rPr>
          <w:szCs w:val="22"/>
        </w:rPr>
        <w:t xml:space="preserve"> </w:t>
      </w:r>
      <w:r w:rsidR="000776D0">
        <w:rPr>
          <w:szCs w:val="22"/>
        </w:rPr>
        <w:t>Additionally, t</w:t>
      </w:r>
      <w:r w:rsidRPr="00435180" w:rsidR="00777B66">
        <w:rPr>
          <w:szCs w:val="22"/>
        </w:rPr>
        <w:t xml:space="preserve">o create parity among eligible small businesses and rural service providers </w:t>
      </w:r>
      <w:r w:rsidRPr="00435180" w:rsidR="00777B66">
        <w:rPr>
          <w:szCs w:val="22"/>
        </w:rPr>
        <w:t xml:space="preserve">competing against each other in smaller markets, no winning designated entity </w:t>
      </w:r>
      <w:r w:rsidRPr="00921586" w:rsidR="00777B66">
        <w:rPr>
          <w:szCs w:val="22"/>
        </w:rPr>
        <w:t xml:space="preserve">bidder will </w:t>
      </w:r>
      <w:r w:rsidR="003A7032">
        <w:rPr>
          <w:szCs w:val="22"/>
        </w:rPr>
        <w:t>receive</w:t>
      </w:r>
      <w:r w:rsidRPr="00921586" w:rsidR="00777B66">
        <w:rPr>
          <w:szCs w:val="22"/>
        </w:rPr>
        <w:t xml:space="preserve"> more than $10 million in bidding credit discounts in total for licenses won in </w:t>
      </w:r>
      <w:r w:rsidR="009D6C4D">
        <w:rPr>
          <w:szCs w:val="22"/>
        </w:rPr>
        <w:t xml:space="preserve">markets </w:t>
      </w:r>
      <w:r w:rsidRPr="00921586" w:rsidR="00777B66">
        <w:rPr>
          <w:szCs w:val="22"/>
        </w:rPr>
        <w:t>with a population of 500,000 or less.</w:t>
      </w:r>
      <w:r>
        <w:rPr>
          <w:rStyle w:val="FootnoteReference"/>
          <w:szCs w:val="22"/>
        </w:rPr>
        <w:footnoteReference w:id="172"/>
      </w:r>
      <w:r w:rsidRPr="00921586" w:rsidR="00777B66">
        <w:rPr>
          <w:szCs w:val="22"/>
        </w:rPr>
        <w:t xml:space="preserve">  </w:t>
      </w:r>
    </w:p>
    <w:p w:rsidR="00B71F82" w:rsidRPr="00EB4262" w:rsidP="00D850FB" w14:paraId="204A6A1E" w14:textId="4B8825E8">
      <w:pPr>
        <w:pStyle w:val="ParaNum"/>
        <w:widowControl/>
        <w:autoSpaceDE w:val="0"/>
        <w:autoSpaceDN w:val="0"/>
        <w:adjustRightInd w:val="0"/>
        <w:rPr>
          <w:szCs w:val="22"/>
        </w:rPr>
      </w:pPr>
      <w:bookmarkStart w:id="977" w:name="_Hlk43806434"/>
      <w:bookmarkStart w:id="978" w:name="_Hlk43814585"/>
      <w:r>
        <w:rPr>
          <w:szCs w:val="22"/>
        </w:rPr>
        <w:t>Moise requests that we</w:t>
      </w:r>
      <w:r w:rsidR="00CB7290">
        <w:rPr>
          <w:szCs w:val="22"/>
        </w:rPr>
        <w:t xml:space="preserve"> increase the </w:t>
      </w:r>
      <w:r w:rsidR="00E06716">
        <w:rPr>
          <w:szCs w:val="22"/>
        </w:rPr>
        <w:t xml:space="preserve">small business </w:t>
      </w:r>
      <w:r w:rsidR="00CB7290">
        <w:rPr>
          <w:szCs w:val="22"/>
        </w:rPr>
        <w:t>bidding</w:t>
      </w:r>
      <w:r w:rsidR="00E7248B">
        <w:rPr>
          <w:szCs w:val="22"/>
        </w:rPr>
        <w:t xml:space="preserve"> credit ca</w:t>
      </w:r>
      <w:r w:rsidR="00E06716">
        <w:rPr>
          <w:szCs w:val="22"/>
        </w:rPr>
        <w:t>p</w:t>
      </w:r>
      <w:r w:rsidR="00E7248B">
        <w:rPr>
          <w:szCs w:val="22"/>
        </w:rPr>
        <w:t xml:space="preserve"> to at least $200 million, </w:t>
      </w:r>
      <w:r w:rsidR="00931CBE">
        <w:rPr>
          <w:szCs w:val="22"/>
        </w:rPr>
        <w:t>arguing</w:t>
      </w:r>
      <w:r w:rsidR="00D31B86">
        <w:rPr>
          <w:szCs w:val="22"/>
        </w:rPr>
        <w:t xml:space="preserve"> t</w:t>
      </w:r>
      <w:r w:rsidR="002036C7">
        <w:rPr>
          <w:szCs w:val="22"/>
        </w:rPr>
        <w:t>hat t</w:t>
      </w:r>
      <w:r w:rsidR="00D31B86">
        <w:rPr>
          <w:szCs w:val="22"/>
        </w:rPr>
        <w:t xml:space="preserve">he </w:t>
      </w:r>
      <w:r w:rsidR="00931CBE">
        <w:rPr>
          <w:szCs w:val="22"/>
        </w:rPr>
        <w:t>higher cap</w:t>
      </w:r>
      <w:r w:rsidR="00D31B86">
        <w:rPr>
          <w:szCs w:val="22"/>
        </w:rPr>
        <w:t xml:space="preserve"> </w:t>
      </w:r>
      <w:r w:rsidR="00931CBE">
        <w:rPr>
          <w:szCs w:val="22"/>
        </w:rPr>
        <w:t>“</w:t>
      </w:r>
      <w:r w:rsidR="00D31B86">
        <w:rPr>
          <w:szCs w:val="22"/>
        </w:rPr>
        <w:t xml:space="preserve">is </w:t>
      </w:r>
      <w:r w:rsidRPr="005254A5" w:rsidR="00931CBE">
        <w:t>the only way to ensure that non-national service providers can offer meaningful competition to the largest carriers</w:t>
      </w:r>
      <w:r w:rsidRPr="00921586">
        <w:rPr>
          <w:szCs w:val="22"/>
        </w:rPr>
        <w:t>.</w:t>
      </w:r>
      <w:r w:rsidR="00D31B86">
        <w:rPr>
          <w:szCs w:val="22"/>
        </w:rPr>
        <w:t>”</w:t>
      </w:r>
      <w:r>
        <w:rPr>
          <w:rStyle w:val="FootnoteReference"/>
          <w:szCs w:val="22"/>
        </w:rPr>
        <w:footnoteReference w:id="173"/>
      </w:r>
      <w:r w:rsidR="00995A09">
        <w:rPr>
          <w:szCs w:val="22"/>
        </w:rPr>
        <w:t xml:space="preserve">  W</w:t>
      </w:r>
      <w:r w:rsidRPr="00435180" w:rsidR="00995A09">
        <w:rPr>
          <w:szCs w:val="22"/>
        </w:rPr>
        <w:t xml:space="preserve">e </w:t>
      </w:r>
      <w:r w:rsidR="00995A09">
        <w:rPr>
          <w:szCs w:val="22"/>
        </w:rPr>
        <w:t>decline</w:t>
      </w:r>
      <w:r w:rsidRPr="00435180" w:rsidR="00995A09">
        <w:rPr>
          <w:szCs w:val="22"/>
        </w:rPr>
        <w:t xml:space="preserve"> </w:t>
      </w:r>
      <w:r w:rsidR="00995A09">
        <w:rPr>
          <w:szCs w:val="22"/>
        </w:rPr>
        <w:t>Moise’s</w:t>
      </w:r>
      <w:r w:rsidRPr="00435180" w:rsidR="00995A09">
        <w:rPr>
          <w:szCs w:val="22"/>
        </w:rPr>
        <w:t xml:space="preserve"> </w:t>
      </w:r>
      <w:r w:rsidR="00995A09">
        <w:rPr>
          <w:szCs w:val="22"/>
        </w:rPr>
        <w:t xml:space="preserve">request to increase the small business </w:t>
      </w:r>
      <w:r w:rsidRPr="00435180" w:rsidR="00995A09">
        <w:rPr>
          <w:szCs w:val="22"/>
        </w:rPr>
        <w:t>bidding credit cap in Auction 10</w:t>
      </w:r>
      <w:r w:rsidR="00995A09">
        <w:rPr>
          <w:szCs w:val="22"/>
        </w:rPr>
        <w:t xml:space="preserve">7, </w:t>
      </w:r>
      <w:r w:rsidRPr="003A6007" w:rsidR="00995A09">
        <w:rPr>
          <w:szCs w:val="22"/>
        </w:rPr>
        <w:t xml:space="preserve">and </w:t>
      </w:r>
      <w:r w:rsidR="00ED55C9">
        <w:rPr>
          <w:szCs w:val="22"/>
        </w:rPr>
        <w:t>reject the argument</w:t>
      </w:r>
      <w:r w:rsidRPr="003A6007" w:rsidR="00995A09">
        <w:rPr>
          <w:szCs w:val="22"/>
        </w:rPr>
        <w:t xml:space="preserve"> that </w:t>
      </w:r>
      <w:r w:rsidR="00ED55C9">
        <w:rPr>
          <w:szCs w:val="22"/>
        </w:rPr>
        <w:t>a higher cap w</w:t>
      </w:r>
      <w:r w:rsidR="002C0A53">
        <w:rPr>
          <w:szCs w:val="22"/>
        </w:rPr>
        <w:t>ill</w:t>
      </w:r>
      <w:r w:rsidR="00ED55C9">
        <w:rPr>
          <w:szCs w:val="22"/>
        </w:rPr>
        <w:t xml:space="preserve"> ensure that non-national service providers c</w:t>
      </w:r>
      <w:r w:rsidR="002C0A53">
        <w:rPr>
          <w:szCs w:val="22"/>
        </w:rPr>
        <w:t>an</w:t>
      </w:r>
      <w:r w:rsidR="00ED55C9">
        <w:rPr>
          <w:szCs w:val="22"/>
        </w:rPr>
        <w:t xml:space="preserve"> compete with the largest carriers.</w:t>
      </w:r>
      <w:r w:rsidR="00A90D40">
        <w:rPr>
          <w:szCs w:val="22"/>
        </w:rPr>
        <w:t xml:space="preserve">  </w:t>
      </w:r>
      <w:r w:rsidR="002C0A53">
        <w:rPr>
          <w:szCs w:val="22"/>
        </w:rPr>
        <w:t>In establishing the DE program</w:t>
      </w:r>
      <w:r w:rsidR="001A3D6A">
        <w:rPr>
          <w:szCs w:val="22"/>
        </w:rPr>
        <w:t xml:space="preserve">, the </w:t>
      </w:r>
      <w:r w:rsidR="002C0A53">
        <w:rPr>
          <w:szCs w:val="22"/>
        </w:rPr>
        <w:t xml:space="preserve">Commission sought to provide </w:t>
      </w:r>
      <w:r w:rsidR="001A3D6A">
        <w:rPr>
          <w:szCs w:val="22"/>
        </w:rPr>
        <w:t xml:space="preserve">“meaningful opportunities for </w:t>
      </w:r>
      <w:r w:rsidRPr="001A3D6A" w:rsidR="001A3D6A">
        <w:rPr>
          <w:i/>
          <w:iCs/>
          <w:szCs w:val="22"/>
        </w:rPr>
        <w:t>bona fide</w:t>
      </w:r>
      <w:r w:rsidR="001A3D6A">
        <w:rPr>
          <w:szCs w:val="22"/>
        </w:rPr>
        <w:t xml:space="preserve"> small businesses and rural service providers to </w:t>
      </w:r>
      <w:r w:rsidRPr="00F968B3" w:rsidR="001A3D6A">
        <w:rPr>
          <w:i/>
          <w:iCs/>
          <w:szCs w:val="22"/>
        </w:rPr>
        <w:t>participate at auction</w:t>
      </w:r>
      <w:r w:rsidR="001A3D6A">
        <w:rPr>
          <w:szCs w:val="22"/>
        </w:rPr>
        <w:t>,”</w:t>
      </w:r>
      <w:r>
        <w:rPr>
          <w:rStyle w:val="FootnoteReference"/>
          <w:szCs w:val="22"/>
        </w:rPr>
        <w:footnoteReference w:id="174"/>
      </w:r>
      <w:r w:rsidR="001A3D6A">
        <w:rPr>
          <w:szCs w:val="22"/>
        </w:rPr>
        <w:t xml:space="preserve"> </w:t>
      </w:r>
      <w:r w:rsidRPr="00F968B3" w:rsidR="001A3D6A">
        <w:rPr>
          <w:szCs w:val="22"/>
        </w:rPr>
        <w:t xml:space="preserve">not </w:t>
      </w:r>
      <w:r w:rsidR="001A3D6A">
        <w:rPr>
          <w:szCs w:val="22"/>
        </w:rPr>
        <w:t xml:space="preserve">to ensure that small businesses and rural service providers can </w:t>
      </w:r>
      <w:r w:rsidR="00F968B3">
        <w:rPr>
          <w:szCs w:val="22"/>
        </w:rPr>
        <w:t>“offer meaningful competition to</w:t>
      </w:r>
      <w:r w:rsidR="001A3D6A">
        <w:rPr>
          <w:szCs w:val="22"/>
        </w:rPr>
        <w:t xml:space="preserve"> the largest carriers.</w:t>
      </w:r>
      <w:r w:rsidR="00F968B3">
        <w:rPr>
          <w:szCs w:val="22"/>
        </w:rPr>
        <w:t>”</w:t>
      </w:r>
      <w:r>
        <w:rPr>
          <w:rStyle w:val="FootnoteReference"/>
          <w:szCs w:val="22"/>
        </w:rPr>
        <w:footnoteReference w:id="175"/>
      </w:r>
      <w:r w:rsidR="00F968B3">
        <w:rPr>
          <w:szCs w:val="22"/>
        </w:rPr>
        <w:t xml:space="preserve">  To further this end, the </w:t>
      </w:r>
      <w:r w:rsidRPr="00435180" w:rsidR="00995A09">
        <w:rPr>
          <w:szCs w:val="22"/>
        </w:rPr>
        <w:t>Commission decided in 2015, in a comprehensive reexamination of its competitive-bidding rules, that the amount of bidding credits a designated entity could receive in an auction would be limited.</w:t>
      </w:r>
      <w:r w:rsidR="001B636E">
        <w:rPr>
          <w:szCs w:val="22"/>
        </w:rPr>
        <w:t>”</w:t>
      </w:r>
      <w:r>
        <w:rPr>
          <w:rStyle w:val="FootnoteReference"/>
          <w:szCs w:val="22"/>
        </w:rPr>
        <w:footnoteReference w:id="176"/>
      </w:r>
      <w:r w:rsidRPr="00435180" w:rsidR="00995A09">
        <w:rPr>
          <w:szCs w:val="22"/>
        </w:rPr>
        <w:t xml:space="preserve">  As the Commission explained</w:t>
      </w:r>
      <w:r w:rsidR="001B636E">
        <w:rPr>
          <w:szCs w:val="22"/>
        </w:rPr>
        <w:t>, “the imposition of a cap, if properly designed, will help the very entities that we seek to benefit, as well as provide some level of assurance that bidding activity by small businesses and rural service providers is consistent with their relative business size and plans.”</w:t>
      </w:r>
      <w:r>
        <w:rPr>
          <w:rStyle w:val="FootnoteReference"/>
          <w:szCs w:val="22"/>
        </w:rPr>
        <w:footnoteReference w:id="177"/>
      </w:r>
      <w:r w:rsidR="001B636E">
        <w:rPr>
          <w:szCs w:val="22"/>
        </w:rPr>
        <w:t xml:space="preserve">  </w:t>
      </w:r>
      <w:r w:rsidRPr="00921586" w:rsidR="00995A09">
        <w:rPr>
          <w:szCs w:val="22"/>
        </w:rPr>
        <w:t>As we</w:t>
      </w:r>
      <w:r w:rsidR="00995A09">
        <w:rPr>
          <w:szCs w:val="22"/>
        </w:rPr>
        <w:t xml:space="preserve"> have </w:t>
      </w:r>
      <w:r w:rsidRPr="00921586" w:rsidR="00995A09">
        <w:rPr>
          <w:szCs w:val="22"/>
        </w:rPr>
        <w:t>explained</w:t>
      </w:r>
      <w:r w:rsidR="00995A09">
        <w:rPr>
          <w:szCs w:val="22"/>
        </w:rPr>
        <w:t xml:space="preserve"> previously</w:t>
      </w:r>
      <w:r w:rsidRPr="00921586" w:rsidR="00995A09">
        <w:rPr>
          <w:szCs w:val="22"/>
        </w:rPr>
        <w:t>, using the proposed caps</w:t>
      </w:r>
      <w:r w:rsidRPr="00921586" w:rsidR="00995A09">
        <w:rPr>
          <w:i/>
          <w:szCs w:val="22"/>
        </w:rPr>
        <w:t xml:space="preserve"> </w:t>
      </w:r>
      <w:r w:rsidRPr="00921586" w:rsidR="00995A09">
        <w:rPr>
          <w:szCs w:val="22"/>
        </w:rPr>
        <w:t>in past auctions would have allowed the vast majority of eligible small business</w:t>
      </w:r>
      <w:r w:rsidR="00995A09">
        <w:rPr>
          <w:szCs w:val="22"/>
        </w:rPr>
        <w:t>es</w:t>
      </w:r>
      <w:r w:rsidRPr="00921586" w:rsidR="00995A09">
        <w:rPr>
          <w:szCs w:val="22"/>
        </w:rPr>
        <w:t xml:space="preserve"> to realize the full value of their bidding credits.</w:t>
      </w:r>
      <w:r>
        <w:rPr>
          <w:rStyle w:val="FootnoteReference"/>
          <w:szCs w:val="22"/>
        </w:rPr>
        <w:footnoteReference w:id="178"/>
      </w:r>
      <w:r w:rsidRPr="00921586" w:rsidR="00995A09">
        <w:rPr>
          <w:szCs w:val="22"/>
        </w:rPr>
        <w:t xml:space="preserve">  </w:t>
      </w:r>
      <w:r w:rsidR="00995A09">
        <w:rPr>
          <w:szCs w:val="22"/>
        </w:rPr>
        <w:t>As such, we are not convinced we should increase such caps for Auction 107.</w:t>
      </w:r>
      <w:bookmarkEnd w:id="977"/>
    </w:p>
    <w:p w:rsidR="00D6515C" w:rsidRPr="00435180" w:rsidP="00D6515C" w14:paraId="3259D593" w14:textId="77777777">
      <w:pPr>
        <w:pStyle w:val="Heading3"/>
        <w:rPr>
          <w:szCs w:val="22"/>
        </w:rPr>
      </w:pPr>
      <w:bookmarkStart w:id="979" w:name="_Toc6383472"/>
      <w:bookmarkStart w:id="980" w:name="_Toc7525797"/>
      <w:bookmarkStart w:id="981" w:name="_Toc8657152"/>
      <w:bookmarkStart w:id="982" w:name="_Toc9410678"/>
      <w:bookmarkStart w:id="983" w:name="_Toc9430084"/>
      <w:bookmarkStart w:id="984" w:name="_Toc10116847"/>
      <w:bookmarkStart w:id="985" w:name="_Toc10646153"/>
      <w:bookmarkStart w:id="986" w:name="_Toc11156557"/>
      <w:bookmarkStart w:id="987" w:name="_Toc11244301"/>
      <w:bookmarkStart w:id="988" w:name="_Toc11653557"/>
      <w:bookmarkStart w:id="989" w:name="_Toc11678137"/>
      <w:bookmarkStart w:id="990" w:name="_Toc13654724"/>
      <w:bookmarkStart w:id="991" w:name="_Toc24459444"/>
      <w:bookmarkStart w:id="992" w:name="_Toc24459541"/>
      <w:bookmarkStart w:id="993" w:name="_Toc25926237"/>
      <w:bookmarkStart w:id="994" w:name="_Toc25926815"/>
      <w:bookmarkStart w:id="995" w:name="_Toc25926936"/>
      <w:bookmarkStart w:id="996" w:name="_Toc27038996"/>
      <w:bookmarkStart w:id="997" w:name="_Toc29813140"/>
      <w:bookmarkStart w:id="998" w:name="_Toc29886865"/>
      <w:bookmarkStart w:id="999" w:name="_Toc29999469"/>
      <w:bookmarkStart w:id="1000" w:name="_Toc30699395"/>
      <w:bookmarkStart w:id="1001" w:name="_Toc30701475"/>
      <w:bookmarkStart w:id="1002" w:name="_Toc31189296"/>
      <w:bookmarkStart w:id="1003" w:name="_Toc31189750"/>
      <w:bookmarkStart w:id="1004" w:name="_Toc31193117"/>
      <w:bookmarkStart w:id="1005" w:name="_Toc31195868"/>
      <w:bookmarkStart w:id="1006" w:name="_Toc31199992"/>
      <w:bookmarkStart w:id="1007" w:name="_Toc31713759"/>
      <w:bookmarkStart w:id="1008" w:name="_Toc31822668"/>
      <w:bookmarkStart w:id="1009" w:name="_Toc33629825"/>
      <w:bookmarkStart w:id="1010" w:name="_Toc33696677"/>
      <w:bookmarkEnd w:id="978"/>
      <w:r w:rsidRPr="00435180">
        <w:rPr>
          <w:szCs w:val="22"/>
        </w:rPr>
        <w:t>Attributable Interests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D6515C" w:rsidRPr="00435180" w:rsidP="00D6515C" w14:paraId="3B6341CB" w14:textId="77777777">
      <w:pPr>
        <w:pStyle w:val="Heading4"/>
        <w:rPr>
          <w:szCs w:val="22"/>
        </w:rPr>
      </w:pPr>
      <w:bookmarkStart w:id="1011" w:name="_Toc428554176"/>
      <w:bookmarkStart w:id="1012" w:name="_Toc431569629"/>
      <w:bookmarkStart w:id="1013" w:name="_Toc432069368"/>
      <w:bookmarkStart w:id="1014" w:name="_Toc432167362"/>
      <w:bookmarkStart w:id="1015" w:name="_Toc6383473"/>
      <w:bookmarkStart w:id="1016" w:name="_Toc7525798"/>
      <w:bookmarkStart w:id="1017" w:name="_Toc8657153"/>
      <w:bookmarkStart w:id="1018" w:name="_Toc9410679"/>
      <w:bookmarkStart w:id="1019" w:name="_Toc9430085"/>
      <w:bookmarkStart w:id="1020" w:name="_Toc10116848"/>
      <w:bookmarkStart w:id="1021" w:name="_Toc10646154"/>
      <w:bookmarkStart w:id="1022" w:name="_Toc11156558"/>
      <w:bookmarkStart w:id="1023" w:name="_Toc11244302"/>
      <w:bookmarkStart w:id="1024" w:name="_Toc11653558"/>
      <w:bookmarkStart w:id="1025" w:name="_Toc11678138"/>
      <w:bookmarkStart w:id="1026" w:name="_Toc13654725"/>
      <w:bookmarkStart w:id="1027" w:name="_Toc24459445"/>
      <w:bookmarkStart w:id="1028" w:name="_Toc24459542"/>
      <w:bookmarkStart w:id="1029" w:name="_Toc25926238"/>
      <w:bookmarkStart w:id="1030" w:name="_Toc25926816"/>
      <w:bookmarkStart w:id="1031" w:name="_Toc27038997"/>
      <w:bookmarkStart w:id="1032" w:name="_Toc29813141"/>
      <w:bookmarkStart w:id="1033" w:name="_Toc29886866"/>
      <w:bookmarkStart w:id="1034" w:name="_Toc29999470"/>
      <w:bookmarkStart w:id="1035" w:name="_Toc30699396"/>
      <w:bookmarkStart w:id="1036" w:name="_Toc30701476"/>
      <w:bookmarkStart w:id="1037" w:name="_Toc31189297"/>
      <w:bookmarkStart w:id="1038" w:name="_Toc31189751"/>
      <w:bookmarkStart w:id="1039" w:name="_Toc31193118"/>
      <w:r w:rsidRPr="00435180">
        <w:rPr>
          <w:szCs w:val="22"/>
        </w:rPr>
        <w:t>Controlling Interests and Affiliates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rsidR="00D6515C" w:rsidRPr="00435180" w:rsidP="00D850FB" w14:paraId="69DFD6F8" w14:textId="0BD5194B">
      <w:pPr>
        <w:pStyle w:val="ParaNum"/>
        <w:widowControl/>
        <w:autoSpaceDE w:val="0"/>
        <w:autoSpaceDN w:val="0"/>
        <w:adjustRightInd w:val="0"/>
        <w:rPr>
          <w:szCs w:val="22"/>
        </w:rPr>
      </w:pPr>
      <w:r w:rsidRPr="00435180">
        <w:rPr>
          <w:szCs w:val="22"/>
        </w:rPr>
        <w:t>Pursuant to section 1.2110 of the Commission’s rules, an applicant’s eligi</w:t>
      </w:r>
      <w:r w:rsidRPr="00435180">
        <w:rPr>
          <w:szCs w:val="22"/>
        </w:rPr>
        <w:t>bility for designated entity benefits is determined by attributing the gross revenues (for those seeking small business benefits) or subscribers (for those seeking rural service provider benefits) of the applicant, its affiliates, its controlling interests</w:t>
      </w:r>
      <w:r w:rsidRPr="00435180">
        <w:rPr>
          <w:szCs w:val="22"/>
        </w:rPr>
        <w:t>, and the affiliates of its controlling interests.</w:t>
      </w:r>
      <w:r>
        <w:rPr>
          <w:rStyle w:val="FootnoteReference"/>
          <w:szCs w:val="22"/>
        </w:rPr>
        <w:footnoteReference w:id="179"/>
      </w:r>
      <w:r w:rsidRPr="00435180">
        <w:rPr>
          <w:szCs w:val="22"/>
        </w:rPr>
        <w:t xml:space="preserve">  Controlling interests of </w:t>
      </w:r>
      <w:r w:rsidRPr="00435180">
        <w:rPr>
          <w:szCs w:val="22"/>
        </w:rPr>
        <w:t xml:space="preserve">an applicant include individuals and entities with either </w:t>
      </w:r>
      <w:r w:rsidRPr="00435180">
        <w:rPr>
          <w:i/>
          <w:szCs w:val="22"/>
        </w:rPr>
        <w:t>de facto</w:t>
      </w:r>
      <w:r w:rsidRPr="00435180">
        <w:rPr>
          <w:szCs w:val="22"/>
        </w:rPr>
        <w:t xml:space="preserve"> or </w:t>
      </w:r>
      <w:r w:rsidRPr="00435180">
        <w:rPr>
          <w:i/>
          <w:szCs w:val="22"/>
        </w:rPr>
        <w:t>de jure</w:t>
      </w:r>
      <w:r w:rsidRPr="00435180">
        <w:rPr>
          <w:szCs w:val="22"/>
        </w:rPr>
        <w:t xml:space="preserve"> control of the applicant.</w:t>
      </w:r>
      <w:r>
        <w:rPr>
          <w:rStyle w:val="FootnoteReference"/>
          <w:szCs w:val="22"/>
        </w:rPr>
        <w:footnoteReference w:id="180"/>
      </w:r>
      <w:r w:rsidRPr="00435180">
        <w:rPr>
          <w:szCs w:val="22"/>
        </w:rPr>
        <w:t xml:space="preserve">  Typically, ownership of greater than 50% of an entity’s voting stock evidences </w:t>
      </w:r>
      <w:r w:rsidRPr="00435180">
        <w:rPr>
          <w:i/>
          <w:szCs w:val="22"/>
        </w:rPr>
        <w:t>de jure</w:t>
      </w:r>
      <w:r w:rsidRPr="00435180">
        <w:rPr>
          <w:szCs w:val="22"/>
        </w:rPr>
        <w:t xml:space="preserve"> control.</w:t>
      </w:r>
      <w:r>
        <w:rPr>
          <w:rStyle w:val="FootnoteReference"/>
          <w:szCs w:val="22"/>
        </w:rPr>
        <w:footnoteReference w:id="181"/>
      </w:r>
      <w:r w:rsidRPr="00435180">
        <w:rPr>
          <w:szCs w:val="22"/>
        </w:rPr>
        <w:t xml:space="preserve">  </w:t>
      </w:r>
      <w:r w:rsidRPr="00435180">
        <w:rPr>
          <w:i/>
          <w:szCs w:val="22"/>
        </w:rPr>
        <w:t>De facto</w:t>
      </w:r>
      <w:r w:rsidRPr="00435180">
        <w:rPr>
          <w:szCs w:val="22"/>
        </w:rPr>
        <w:t xml:space="preserve"> control is determined on a case-by-case basis based on the totality of the circumstances.</w:t>
      </w:r>
      <w:r>
        <w:rPr>
          <w:szCs w:val="22"/>
          <w:vertAlign w:val="superscript"/>
        </w:rPr>
        <w:footnoteReference w:id="182"/>
      </w:r>
      <w:r w:rsidRPr="00435180">
        <w:rPr>
          <w:szCs w:val="22"/>
        </w:rPr>
        <w:t xml:space="preserve">  The following are some common indicia of </w:t>
      </w:r>
      <w:r w:rsidRPr="00435180">
        <w:rPr>
          <w:i/>
          <w:szCs w:val="22"/>
        </w:rPr>
        <w:t>de facto</w:t>
      </w:r>
      <w:r w:rsidRPr="00435180">
        <w:rPr>
          <w:szCs w:val="22"/>
        </w:rPr>
        <w:t xml:space="preserve"> con</w:t>
      </w:r>
      <w:r w:rsidRPr="00435180">
        <w:rPr>
          <w:szCs w:val="22"/>
        </w:rPr>
        <w:t>trol:</w:t>
      </w:r>
    </w:p>
    <w:p w:rsidR="00D6515C" w:rsidRPr="00435180" w:rsidP="00D6515C" w14:paraId="4B46DA36" w14:textId="77777777">
      <w:pPr>
        <w:keepLines/>
        <w:widowControl/>
        <w:numPr>
          <w:ilvl w:val="0"/>
          <w:numId w:val="1"/>
        </w:numPr>
        <w:tabs>
          <w:tab w:val="clear" w:pos="360"/>
        </w:tabs>
        <w:spacing w:after="120"/>
        <w:ind w:left="1440"/>
        <w:rPr>
          <w:szCs w:val="22"/>
        </w:rPr>
      </w:pPr>
      <w:r w:rsidRPr="00435180">
        <w:rPr>
          <w:szCs w:val="22"/>
        </w:rPr>
        <w:t>the entity constitutes or appoints more than 50% of the board of directors or management committee;</w:t>
      </w:r>
    </w:p>
    <w:p w:rsidR="00D6515C" w:rsidRPr="00435180" w:rsidP="00D6515C" w14:paraId="782E1597" w14:textId="104CDE7E">
      <w:pPr>
        <w:widowControl/>
        <w:numPr>
          <w:ilvl w:val="0"/>
          <w:numId w:val="1"/>
        </w:numPr>
        <w:tabs>
          <w:tab w:val="clear" w:pos="360"/>
        </w:tabs>
        <w:spacing w:after="120"/>
        <w:ind w:left="1440"/>
        <w:rPr>
          <w:szCs w:val="22"/>
        </w:rPr>
      </w:pPr>
      <w:r w:rsidRPr="00435180">
        <w:rPr>
          <w:szCs w:val="22"/>
        </w:rPr>
        <w:t xml:space="preserve">the entity has authority to appoint, promote, demote, and fire senior executives that control the day-to-day activities of the licensee; </w:t>
      </w:r>
      <w:r w:rsidR="00E840DA">
        <w:rPr>
          <w:szCs w:val="22"/>
        </w:rPr>
        <w:t>and</w:t>
      </w:r>
    </w:p>
    <w:p w:rsidR="00D6515C" w:rsidRPr="00435180" w:rsidP="00D6515C" w14:paraId="1AFF491B" w14:textId="093818D5">
      <w:pPr>
        <w:widowControl/>
        <w:numPr>
          <w:ilvl w:val="0"/>
          <w:numId w:val="1"/>
        </w:numPr>
        <w:tabs>
          <w:tab w:val="clear" w:pos="360"/>
        </w:tabs>
        <w:spacing w:after="120"/>
        <w:ind w:left="1440"/>
        <w:rPr>
          <w:szCs w:val="22"/>
        </w:rPr>
      </w:pPr>
      <w:r w:rsidRPr="00435180">
        <w:rPr>
          <w:szCs w:val="22"/>
        </w:rPr>
        <w:t>the entity plays an integral role in management decisions.</w:t>
      </w:r>
      <w:r>
        <w:rPr>
          <w:szCs w:val="22"/>
          <w:vertAlign w:val="superscript"/>
        </w:rPr>
        <w:footnoteReference w:id="183"/>
      </w:r>
    </w:p>
    <w:p w:rsidR="00D6515C" w:rsidRPr="00435180" w:rsidP="00D850FB" w14:paraId="4EA43F0A" w14:textId="481D5AE7">
      <w:pPr>
        <w:pStyle w:val="ParaNum"/>
        <w:widowControl/>
        <w:autoSpaceDE w:val="0"/>
        <w:autoSpaceDN w:val="0"/>
        <w:adjustRightInd w:val="0"/>
        <w:rPr>
          <w:szCs w:val="22"/>
        </w:rPr>
      </w:pPr>
      <w:r w:rsidRPr="00435180">
        <w:rPr>
          <w:szCs w:val="22"/>
        </w:rPr>
        <w:t>Applicants should refer to section 1.2110(c)(2) of the</w:t>
      </w:r>
      <w:r w:rsidRPr="00435180">
        <w:rPr>
          <w:szCs w:val="22"/>
        </w:rPr>
        <w:t xml:space="preserve"> Commission’s rules and the FCC Form 175 Instructions to understand how certain interests are calculated in determining control for purposes of attributing gross revenues.  For example, officers and directors of an applicant are considered to have a contro</w:t>
      </w:r>
      <w:r w:rsidRPr="00435180">
        <w:rPr>
          <w:szCs w:val="22"/>
        </w:rPr>
        <w:t>lling interest in the applicant.</w:t>
      </w:r>
      <w:r>
        <w:rPr>
          <w:rStyle w:val="FootnoteReference"/>
          <w:szCs w:val="22"/>
        </w:rPr>
        <w:footnoteReference w:id="184"/>
      </w:r>
    </w:p>
    <w:p w:rsidR="00D6515C" w:rsidRPr="00435180" w:rsidP="00D850FB" w14:paraId="0E133F3F" w14:textId="3734F0D4">
      <w:pPr>
        <w:pStyle w:val="ParaNum"/>
        <w:widowControl/>
        <w:autoSpaceDE w:val="0"/>
        <w:autoSpaceDN w:val="0"/>
        <w:adjustRightInd w:val="0"/>
        <w:rPr>
          <w:szCs w:val="22"/>
        </w:rPr>
      </w:pPr>
      <w:r w:rsidRPr="00435180">
        <w:rPr>
          <w:szCs w:val="22"/>
        </w:rPr>
        <w:t>Affiliates of an applicant or controlling interest include an individual or entity that</w:t>
      </w:r>
      <w:r w:rsidR="00FE19ED">
        <w:rPr>
          <w:szCs w:val="22"/>
        </w:rPr>
        <w:t>:</w:t>
      </w:r>
      <w:r w:rsidRPr="00435180">
        <w:rPr>
          <w:szCs w:val="22"/>
        </w:rPr>
        <w:t xml:space="preserve"> </w:t>
      </w:r>
      <w:r w:rsidR="00712A2C">
        <w:rPr>
          <w:szCs w:val="22"/>
        </w:rPr>
        <w:t xml:space="preserve"> </w:t>
      </w:r>
      <w:r w:rsidRPr="00435180">
        <w:rPr>
          <w:szCs w:val="22"/>
        </w:rPr>
        <w:t>(1) directly or indirectly controls or has the power to control the applicant</w:t>
      </w:r>
      <w:r w:rsidR="00531B8D">
        <w:rPr>
          <w:szCs w:val="22"/>
        </w:rPr>
        <w:t>,</w:t>
      </w:r>
      <w:r w:rsidRPr="00435180">
        <w:rPr>
          <w:szCs w:val="22"/>
        </w:rPr>
        <w:t xml:space="preserve"> (2) is directly or indirectly controlled by the appl</w:t>
      </w:r>
      <w:r w:rsidRPr="00435180">
        <w:rPr>
          <w:szCs w:val="22"/>
        </w:rPr>
        <w:t>icant</w:t>
      </w:r>
      <w:r w:rsidR="00531B8D">
        <w:rPr>
          <w:szCs w:val="22"/>
        </w:rPr>
        <w:t>,</w:t>
      </w:r>
      <w:r w:rsidRPr="00435180">
        <w:rPr>
          <w:szCs w:val="22"/>
        </w:rPr>
        <w:t xml:space="preserve"> (3) is directly or indirectly controlled by a third party that also controls or has the power to control the applicant</w:t>
      </w:r>
      <w:r w:rsidR="00531B8D">
        <w:rPr>
          <w:szCs w:val="22"/>
        </w:rPr>
        <w:t>,</w:t>
      </w:r>
      <w:r w:rsidRPr="00435180">
        <w:rPr>
          <w:szCs w:val="22"/>
        </w:rPr>
        <w:t xml:space="preserve"> or (4) has an “identity of interest” with the applicant.</w:t>
      </w:r>
      <w:r>
        <w:rPr>
          <w:rStyle w:val="FootnoteReference"/>
          <w:szCs w:val="22"/>
        </w:rPr>
        <w:footnoteReference w:id="185"/>
      </w:r>
      <w:r w:rsidRPr="00435180">
        <w:rPr>
          <w:szCs w:val="22"/>
        </w:rPr>
        <w:t xml:space="preserve">  The Commission’s definition of an affiliate of the applicant encompas</w:t>
      </w:r>
      <w:r w:rsidRPr="00435180">
        <w:rPr>
          <w:szCs w:val="22"/>
        </w:rPr>
        <w:t>ses both controlling interests of the applicant and affiliates of controlling interests of the applicant.</w:t>
      </w:r>
      <w:r>
        <w:rPr>
          <w:rStyle w:val="FootnoteReference"/>
          <w:szCs w:val="22"/>
        </w:rPr>
        <w:footnoteReference w:id="186"/>
      </w:r>
      <w:r w:rsidRPr="00435180">
        <w:rPr>
          <w:szCs w:val="22"/>
        </w:rPr>
        <w:t xml:space="preserve">  For more information on the application requirements regarding controlling interests and affiliates, applicants should refer to sections 1.2110(c)(</w:t>
      </w:r>
      <w:r w:rsidRPr="00435180">
        <w:rPr>
          <w:szCs w:val="22"/>
        </w:rPr>
        <w:t>2) and (c)(5) respectively,</w:t>
      </w:r>
      <w:r>
        <w:rPr>
          <w:rStyle w:val="FootnoteReference"/>
          <w:szCs w:val="22"/>
        </w:rPr>
        <w:footnoteReference w:id="187"/>
      </w:r>
      <w:r w:rsidRPr="00435180">
        <w:rPr>
          <w:szCs w:val="22"/>
        </w:rPr>
        <w:t xml:space="preserve"> as well as the FCC Form 175 Instructions.</w:t>
      </w:r>
    </w:p>
    <w:p w:rsidR="00D6515C" w:rsidRPr="00435180" w:rsidP="00D850FB" w14:paraId="136E1AD9" w14:textId="03F6CFC2">
      <w:pPr>
        <w:pStyle w:val="ParaNum"/>
        <w:widowControl/>
        <w:autoSpaceDE w:val="0"/>
        <w:autoSpaceDN w:val="0"/>
        <w:adjustRightInd w:val="0"/>
        <w:rPr>
          <w:szCs w:val="22"/>
        </w:rPr>
      </w:pPr>
      <w:r w:rsidRPr="00435180">
        <w:rPr>
          <w:szCs w:val="22"/>
        </w:rPr>
        <w:t>An applicant seeking a small business bidding credit must demonstrate its eligibility for the bidding credit by</w:t>
      </w:r>
      <w:r w:rsidR="00FB37CF">
        <w:rPr>
          <w:szCs w:val="22"/>
        </w:rPr>
        <w:t xml:space="preserve">: </w:t>
      </w:r>
      <w:r w:rsidRPr="00435180">
        <w:rPr>
          <w:szCs w:val="22"/>
        </w:rPr>
        <w:t xml:space="preserve"> (1) meeting the applicable small business size standard, based on the </w:t>
      </w:r>
      <w:r w:rsidRPr="00435180">
        <w:rPr>
          <w:szCs w:val="22"/>
        </w:rPr>
        <w:t>controlling interest and affiliation rules discussed above</w:t>
      </w:r>
      <w:r w:rsidR="00FC5317">
        <w:rPr>
          <w:szCs w:val="22"/>
        </w:rPr>
        <w:t>;</w:t>
      </w:r>
      <w:r w:rsidRPr="00435180">
        <w:rPr>
          <w:szCs w:val="22"/>
        </w:rPr>
        <w:t xml:space="preserve"> and (2) retaining control, on a license-by-license basis, over the spectrum associated with the licenses for which it seeks small business benefits.</w:t>
      </w:r>
      <w:r>
        <w:rPr>
          <w:rStyle w:val="FootnoteReference"/>
          <w:szCs w:val="22"/>
        </w:rPr>
        <w:footnoteReference w:id="188"/>
      </w:r>
      <w:r w:rsidRPr="00435180">
        <w:rPr>
          <w:szCs w:val="22"/>
        </w:rPr>
        <w:t xml:space="preserve">  For purposes of the first prong of the stand</w:t>
      </w:r>
      <w:r w:rsidRPr="00435180">
        <w:rPr>
          <w:szCs w:val="22"/>
        </w:rPr>
        <w:t xml:space="preserve">ard, applicants should note that control and affiliation may arise through, </w:t>
      </w:r>
      <w:r w:rsidRPr="00435180">
        <w:rPr>
          <w:szCs w:val="22"/>
        </w:rPr>
        <w:t>among other things, ownership interests, voting interests, management and other operating agreements, or the terms of any other types of agreements—including spectrum lease agreeme</w:t>
      </w:r>
      <w:r w:rsidRPr="00435180">
        <w:rPr>
          <w:szCs w:val="22"/>
        </w:rPr>
        <w:t>nts—that independently or together create a controlling, or potentially controlling, interest in the applicant’s or licensee’s business as a whole.</w:t>
      </w:r>
      <w:r>
        <w:rPr>
          <w:rStyle w:val="FootnoteReference"/>
          <w:szCs w:val="22"/>
        </w:rPr>
        <w:footnoteReference w:id="189"/>
      </w:r>
      <w:r w:rsidRPr="00435180">
        <w:rPr>
          <w:szCs w:val="22"/>
        </w:rPr>
        <w:t xml:space="preserve">  In addition, once an applicant demonstrates eligibility as a small business under the first prong, it mus</w:t>
      </w:r>
      <w:r w:rsidRPr="00435180">
        <w:rPr>
          <w:szCs w:val="22"/>
        </w:rPr>
        <w:t>t also be eligible for benefits on a license-by-license basis under the second prong.  As part of making the FCC Form 175 certification that it is qualified as a designated entity under section 1.2110, an applicant is certifying that it does not have any s</w:t>
      </w:r>
      <w:r w:rsidRPr="00435180">
        <w:rPr>
          <w:szCs w:val="22"/>
        </w:rPr>
        <w:t>pectrum use or other agreements that would confer</w:t>
      </w:r>
      <w:r w:rsidR="00BB5F8D">
        <w:rPr>
          <w:szCs w:val="22"/>
        </w:rPr>
        <w:t xml:space="preserve"> either</w:t>
      </w:r>
      <w:r w:rsidRPr="00435180">
        <w:rPr>
          <w:szCs w:val="22"/>
        </w:rPr>
        <w:t xml:space="preserve"> </w:t>
      </w:r>
      <w:r w:rsidRPr="00435180">
        <w:rPr>
          <w:i/>
          <w:szCs w:val="22"/>
        </w:rPr>
        <w:t xml:space="preserve">de jure </w:t>
      </w:r>
      <w:r w:rsidR="00BB5F8D">
        <w:rPr>
          <w:szCs w:val="22"/>
        </w:rPr>
        <w:t>or</w:t>
      </w:r>
      <w:r w:rsidRPr="00435180" w:rsidR="00BB5F8D">
        <w:rPr>
          <w:szCs w:val="22"/>
        </w:rPr>
        <w:t xml:space="preserve"> </w:t>
      </w:r>
      <w:r w:rsidRPr="00435180">
        <w:rPr>
          <w:i/>
          <w:szCs w:val="22"/>
        </w:rPr>
        <w:t>de facto</w:t>
      </w:r>
      <w:r w:rsidRPr="00435180">
        <w:rPr>
          <w:szCs w:val="22"/>
        </w:rPr>
        <w:t xml:space="preserve"> control of any license it seeks to acquire with bidding credits.</w:t>
      </w:r>
      <w:r>
        <w:rPr>
          <w:rStyle w:val="FootnoteReference"/>
          <w:szCs w:val="22"/>
        </w:rPr>
        <w:footnoteReference w:id="190"/>
      </w:r>
      <w:r w:rsidRPr="00435180">
        <w:rPr>
          <w:szCs w:val="22"/>
        </w:rPr>
        <w:t xml:space="preserve">  </w:t>
      </w:r>
    </w:p>
    <w:p w:rsidR="00D6515C" w:rsidRPr="00435180" w:rsidP="00D850FB" w14:paraId="0208AAD6" w14:textId="13D66D19">
      <w:pPr>
        <w:pStyle w:val="ParaNum"/>
        <w:widowControl/>
        <w:autoSpaceDE w:val="0"/>
        <w:autoSpaceDN w:val="0"/>
        <w:adjustRightInd w:val="0"/>
        <w:rPr>
          <w:szCs w:val="22"/>
        </w:rPr>
      </w:pPr>
      <w:r w:rsidRPr="00435180">
        <w:rPr>
          <w:szCs w:val="22"/>
        </w:rPr>
        <w:t xml:space="preserve">Applicants should note that, under this standard for evaluating eligibility for small business bidding credits, if an applicant executes a spectrum use agreement that does not comply with the Commission’s relevant standard of </w:t>
      </w:r>
      <w:r w:rsidRPr="00435180">
        <w:rPr>
          <w:i/>
          <w:szCs w:val="22"/>
        </w:rPr>
        <w:t xml:space="preserve">de facto </w:t>
      </w:r>
      <w:r w:rsidRPr="00435180">
        <w:rPr>
          <w:szCs w:val="22"/>
        </w:rPr>
        <w:t>control,</w:t>
      </w:r>
      <w:r>
        <w:rPr>
          <w:rStyle w:val="FootnoteReference"/>
          <w:szCs w:val="22"/>
        </w:rPr>
        <w:footnoteReference w:id="191"/>
      </w:r>
      <w:r w:rsidRPr="00435180">
        <w:rPr>
          <w:szCs w:val="22"/>
        </w:rPr>
        <w:t xml:space="preserve"> </w:t>
      </w:r>
      <w:r w:rsidR="00CC0C6A">
        <w:rPr>
          <w:szCs w:val="22"/>
        </w:rPr>
        <w:t xml:space="preserve">then </w:t>
      </w:r>
      <w:r w:rsidRPr="00435180">
        <w:rPr>
          <w:szCs w:val="22"/>
        </w:rPr>
        <w:t>it wi</w:t>
      </w:r>
      <w:r w:rsidRPr="00435180">
        <w:rPr>
          <w:szCs w:val="22"/>
        </w:rPr>
        <w:t>ll be subject to unjust enrichment obligations for the benefits associated with that particular license, as well as the penalties associated with any violation of section 310(d) of the Communications Act and related regulations, which require Commission ap</w:t>
      </w:r>
      <w:r w:rsidRPr="00435180">
        <w:rPr>
          <w:szCs w:val="22"/>
        </w:rPr>
        <w:t>proval of transfers of control.</w:t>
      </w:r>
      <w:r>
        <w:rPr>
          <w:rStyle w:val="FootnoteReference"/>
          <w:szCs w:val="22"/>
        </w:rPr>
        <w:footnoteReference w:id="192"/>
      </w:r>
      <w:r w:rsidRPr="00435180">
        <w:rPr>
          <w:szCs w:val="22"/>
        </w:rPr>
        <w:t xml:space="preserve">  If that spectrum use agreement (either alone or in combination with the designated entity controlling interest and attribution rules described above) goes so far as to confer control of the applicant’s overall business, </w:t>
      </w:r>
      <w:r w:rsidR="00D17B36">
        <w:rPr>
          <w:szCs w:val="22"/>
        </w:rPr>
        <w:t xml:space="preserve">then </w:t>
      </w:r>
      <w:r w:rsidRPr="00435180">
        <w:rPr>
          <w:szCs w:val="22"/>
        </w:rPr>
        <w:t>the gross revenues of the additional interest holders will be attributed to the applicant, which could render the applicant ineligible for all current and future small business benefits on all licenses.</w:t>
      </w:r>
      <w:r>
        <w:rPr>
          <w:rStyle w:val="FootnoteReference"/>
          <w:szCs w:val="22"/>
        </w:rPr>
        <w:footnoteReference w:id="193"/>
      </w:r>
      <w:r w:rsidRPr="00435180">
        <w:rPr>
          <w:szCs w:val="22"/>
        </w:rPr>
        <w:t xml:space="preserve">    </w:t>
      </w:r>
    </w:p>
    <w:p w:rsidR="00D6515C" w:rsidRPr="00435180" w:rsidP="00D6515C" w14:paraId="218E8978" w14:textId="77777777">
      <w:pPr>
        <w:pStyle w:val="Heading4"/>
        <w:rPr>
          <w:szCs w:val="22"/>
        </w:rPr>
      </w:pPr>
      <w:bookmarkStart w:id="1040" w:name="_Toc428554177"/>
      <w:bookmarkStart w:id="1041" w:name="_Toc431569630"/>
      <w:bookmarkStart w:id="1042" w:name="_Toc432069369"/>
      <w:bookmarkStart w:id="1043" w:name="_Toc432167363"/>
      <w:bookmarkStart w:id="1044" w:name="_Toc6383474"/>
      <w:bookmarkStart w:id="1045" w:name="_Toc7525799"/>
      <w:bookmarkStart w:id="1046" w:name="_Toc8657154"/>
      <w:bookmarkStart w:id="1047" w:name="_Toc9410680"/>
      <w:bookmarkStart w:id="1048" w:name="_Toc9430086"/>
      <w:bookmarkStart w:id="1049" w:name="_Toc10116849"/>
      <w:bookmarkStart w:id="1050" w:name="_Toc10646155"/>
      <w:bookmarkStart w:id="1051" w:name="_Toc11156559"/>
      <w:bookmarkStart w:id="1052" w:name="_Toc11244303"/>
      <w:bookmarkStart w:id="1053" w:name="_Toc11653559"/>
      <w:bookmarkStart w:id="1054" w:name="_Toc11678139"/>
      <w:bookmarkStart w:id="1055" w:name="_Toc13654726"/>
      <w:bookmarkStart w:id="1056" w:name="_Toc24459446"/>
      <w:bookmarkStart w:id="1057" w:name="_Toc24459543"/>
      <w:bookmarkStart w:id="1058" w:name="_Toc25926239"/>
      <w:bookmarkStart w:id="1059" w:name="_Toc25926817"/>
      <w:bookmarkStart w:id="1060" w:name="_Toc27038998"/>
      <w:bookmarkStart w:id="1061" w:name="_Toc29813142"/>
      <w:bookmarkStart w:id="1062" w:name="_Toc29886867"/>
      <w:bookmarkStart w:id="1063" w:name="_Toc29999471"/>
      <w:bookmarkStart w:id="1064" w:name="_Toc30699397"/>
      <w:bookmarkStart w:id="1065" w:name="_Toc30701477"/>
      <w:bookmarkStart w:id="1066" w:name="_Toc31189298"/>
      <w:bookmarkStart w:id="1067" w:name="_Toc31189752"/>
      <w:bookmarkStart w:id="1068" w:name="_Toc31193119"/>
      <w:r w:rsidRPr="00435180">
        <w:rPr>
          <w:szCs w:val="22"/>
        </w:rPr>
        <w:t>Limitation on Spectrum Use</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435180">
        <w:rPr>
          <w:szCs w:val="22"/>
        </w:rPr>
        <w:t xml:space="preserve"> </w:t>
      </w:r>
    </w:p>
    <w:p w:rsidR="00D6515C" w:rsidRPr="00435180" w:rsidP="00D850FB" w14:paraId="743C7D23" w14:textId="5EA94117">
      <w:pPr>
        <w:pStyle w:val="ParaNum"/>
        <w:widowControl/>
        <w:autoSpaceDE w:val="0"/>
        <w:autoSpaceDN w:val="0"/>
        <w:adjustRightInd w:val="0"/>
        <w:rPr>
          <w:szCs w:val="22"/>
        </w:rPr>
      </w:pPr>
      <w:r>
        <w:rPr>
          <w:szCs w:val="22"/>
        </w:rPr>
        <w:t>U</w:t>
      </w:r>
      <w:r w:rsidRPr="00435180" w:rsidR="00777B66">
        <w:rPr>
          <w:szCs w:val="22"/>
        </w:rPr>
        <w:t xml:space="preserve">nder </w:t>
      </w:r>
      <w:r w:rsidR="00397F6E">
        <w:rPr>
          <w:szCs w:val="22"/>
        </w:rPr>
        <w:t>s</w:t>
      </w:r>
      <w:r w:rsidR="000E4A5D">
        <w:rPr>
          <w:szCs w:val="22"/>
        </w:rPr>
        <w:t xml:space="preserve">ection </w:t>
      </w:r>
      <w:r w:rsidRPr="00D764A7" w:rsidR="000E4A5D">
        <w:t>1.2110(c)(2)(ii)(J)</w:t>
      </w:r>
      <w:r w:rsidR="000E4A5D">
        <w:t xml:space="preserve"> of the Commission’s rules, </w:t>
      </w:r>
      <w:r w:rsidRPr="00435180" w:rsidR="00777B66">
        <w:rPr>
          <w:szCs w:val="22"/>
        </w:rPr>
        <w:t>the gross revenues (or the subscribers, in the case of a rural service provider) of an applicant’s disclosable interest holder are attributable to the applicant, on a license-by-license basis, if the disclosable interest holder has an agreement with the applicant to use, in any manner, more than 25% of the spectrum capacity of any license won by the applicant and acquired with a bidding credit during the five-year unjust enrichment period for the applicable license.</w:t>
      </w:r>
      <w:r>
        <w:rPr>
          <w:rStyle w:val="FootnoteReference"/>
          <w:szCs w:val="22"/>
        </w:rPr>
        <w:footnoteReference w:id="194"/>
      </w:r>
      <w:r w:rsidRPr="00435180" w:rsidR="00777B66">
        <w:rPr>
          <w:szCs w:val="22"/>
        </w:rPr>
        <w:t xml:space="preserve">  For purposes of this </w:t>
      </w:r>
      <w:r w:rsidR="0065650D">
        <w:rPr>
          <w:szCs w:val="22"/>
        </w:rPr>
        <w:t>requirement</w:t>
      </w:r>
      <w:r w:rsidRPr="00435180" w:rsidR="00777B66">
        <w:rPr>
          <w:szCs w:val="22"/>
        </w:rPr>
        <w:t xml:space="preserve">, a disclosable interest holder of an applicant seeking designated entity benefits is defined as any individual or entity holding a </w:t>
      </w:r>
      <w:r w:rsidR="00777B66">
        <w:rPr>
          <w:szCs w:val="22"/>
        </w:rPr>
        <w:t>10%</w:t>
      </w:r>
      <w:r w:rsidRPr="00435180" w:rsidR="00777B66">
        <w:rPr>
          <w:szCs w:val="22"/>
        </w:rPr>
        <w:t xml:space="preserve"> or greater interest of any kind in the applicant, including but not limited to, a </w:t>
      </w:r>
      <w:r w:rsidR="00777B66">
        <w:rPr>
          <w:szCs w:val="22"/>
        </w:rPr>
        <w:t>10%</w:t>
      </w:r>
      <w:r w:rsidRPr="00435180" w:rsidR="00777B66">
        <w:rPr>
          <w:szCs w:val="22"/>
        </w:rPr>
        <w:t xml:space="preserve"> or greater interest in any class of stock, warrants, options</w:t>
      </w:r>
      <w:r w:rsidR="00777B66">
        <w:rPr>
          <w:szCs w:val="22"/>
        </w:rPr>
        <w:t>,</w:t>
      </w:r>
      <w:r w:rsidRPr="00435180" w:rsidR="00777B66">
        <w:rPr>
          <w:szCs w:val="22"/>
        </w:rPr>
        <w:t xml:space="preserve"> or debt securities in the applicant or licensee.</w:t>
      </w:r>
      <w:r>
        <w:rPr>
          <w:rStyle w:val="FootnoteReference"/>
          <w:szCs w:val="22"/>
        </w:rPr>
        <w:footnoteReference w:id="195"/>
      </w:r>
      <w:r w:rsidRPr="00435180" w:rsidR="00777B66">
        <w:rPr>
          <w:szCs w:val="22"/>
        </w:rPr>
        <w:t xml:space="preserve">  Any applicant seeking a bidding credit for licenses won in Auction 10</w:t>
      </w:r>
      <w:r w:rsidR="00FE4625">
        <w:rPr>
          <w:szCs w:val="22"/>
        </w:rPr>
        <w:t>7</w:t>
      </w:r>
      <w:r w:rsidRPr="00435180" w:rsidR="00777B66">
        <w:rPr>
          <w:szCs w:val="22"/>
        </w:rPr>
        <w:t xml:space="preserve"> will be subject to this attribution rule and must make the requisite disclosures.</w:t>
      </w:r>
      <w:r>
        <w:rPr>
          <w:rStyle w:val="FootnoteReference"/>
          <w:szCs w:val="22"/>
        </w:rPr>
        <w:footnoteReference w:id="196"/>
      </w:r>
      <w:r w:rsidRPr="00435180" w:rsidR="00777B66">
        <w:rPr>
          <w:szCs w:val="22"/>
        </w:rPr>
        <w:t xml:space="preserve">  </w:t>
      </w:r>
    </w:p>
    <w:p w:rsidR="00D6515C" w:rsidRPr="00435180" w:rsidP="00D850FB" w14:paraId="4F998F91" w14:textId="2595AD65">
      <w:pPr>
        <w:pStyle w:val="ParaNum"/>
        <w:widowControl/>
        <w:autoSpaceDE w:val="0"/>
        <w:autoSpaceDN w:val="0"/>
        <w:adjustRightInd w:val="0"/>
        <w:rPr>
          <w:szCs w:val="22"/>
        </w:rPr>
      </w:pPr>
      <w:r>
        <w:rPr>
          <w:szCs w:val="22"/>
        </w:rPr>
        <w:t>C</w:t>
      </w:r>
      <w:r w:rsidRPr="00435180" w:rsidR="00777B66">
        <w:rPr>
          <w:szCs w:val="22"/>
        </w:rPr>
        <w:t>ertain disclosable interest holders may be excluded from this attribution rule.  Specifically, an applicant claiming the rural service provider bidding credit may have spectrum license use agreements with a disclosable interest holder, without having to attribute the disclosable interest holder’s subscribers, so long as the disclosable interest holder is independently eligible for a rural service provider credit and the use agreement is otherwise permissible under the Commission’s existing rules.</w:t>
      </w:r>
      <w:r>
        <w:rPr>
          <w:rStyle w:val="FootnoteReference"/>
          <w:szCs w:val="22"/>
        </w:rPr>
        <w:footnoteReference w:id="197"/>
      </w:r>
      <w:r w:rsidRPr="00435180" w:rsidR="00777B66">
        <w:rPr>
          <w:szCs w:val="22"/>
        </w:rPr>
        <w:t xml:space="preserve">  If applicable, the applicant must attach to its FCC Form 175 any additional information as may be required to indicate any license (or license area) that may be subject to this attribution rule or to demonstrate its eligibility for the exception from this attribution rule.</w:t>
      </w:r>
      <w:r>
        <w:rPr>
          <w:rStyle w:val="FootnoteReference"/>
          <w:szCs w:val="22"/>
        </w:rPr>
        <w:footnoteReference w:id="198"/>
      </w:r>
      <w:r w:rsidRPr="00435180" w:rsidR="00777B66">
        <w:rPr>
          <w:szCs w:val="22"/>
        </w:rPr>
        <w:t xml:space="preserve">  Consistent with the Commission’s limited information procedures, the Commission intends to withhold from public disclosure all information contained in any such attachments until after the close of Auction 10</w:t>
      </w:r>
      <w:r w:rsidR="00AF153C">
        <w:rPr>
          <w:szCs w:val="22"/>
        </w:rPr>
        <w:t>7</w:t>
      </w:r>
      <w:r w:rsidRPr="00435180" w:rsidR="00777B66">
        <w:rPr>
          <w:szCs w:val="22"/>
        </w:rPr>
        <w:t xml:space="preserve">. </w:t>
      </w:r>
    </w:p>
    <w:p w:rsidR="00D6515C" w:rsidRPr="00435180" w:rsidP="00D6515C" w14:paraId="51257E39" w14:textId="77777777">
      <w:pPr>
        <w:pStyle w:val="Heading4"/>
        <w:widowControl/>
        <w:rPr>
          <w:szCs w:val="22"/>
        </w:rPr>
      </w:pPr>
      <w:bookmarkStart w:id="1069" w:name="_Toc428554178"/>
      <w:bookmarkStart w:id="1070" w:name="_Toc431569631"/>
      <w:bookmarkStart w:id="1071" w:name="_Toc432069370"/>
      <w:bookmarkStart w:id="1072" w:name="_Toc432167364"/>
      <w:bookmarkStart w:id="1073" w:name="_Toc6383475"/>
      <w:bookmarkStart w:id="1074" w:name="_Toc7525800"/>
      <w:bookmarkStart w:id="1075" w:name="_Toc8657155"/>
      <w:bookmarkStart w:id="1076" w:name="_Toc9410681"/>
      <w:bookmarkStart w:id="1077" w:name="_Toc9430087"/>
      <w:bookmarkStart w:id="1078" w:name="_Toc10116850"/>
      <w:bookmarkStart w:id="1079" w:name="_Toc10646156"/>
      <w:bookmarkStart w:id="1080" w:name="_Toc11156560"/>
      <w:bookmarkStart w:id="1081" w:name="_Toc11244304"/>
      <w:bookmarkStart w:id="1082" w:name="_Toc11653560"/>
      <w:bookmarkStart w:id="1083" w:name="_Toc11678140"/>
      <w:bookmarkStart w:id="1084" w:name="_Toc13654727"/>
      <w:bookmarkStart w:id="1085" w:name="_Toc24459447"/>
      <w:bookmarkStart w:id="1086" w:name="_Toc24459544"/>
      <w:bookmarkStart w:id="1087" w:name="_Toc25926240"/>
      <w:bookmarkStart w:id="1088" w:name="_Toc25926818"/>
      <w:bookmarkStart w:id="1089" w:name="_Toc27038999"/>
      <w:bookmarkStart w:id="1090" w:name="_Toc29813143"/>
      <w:bookmarkStart w:id="1091" w:name="_Toc29886868"/>
      <w:bookmarkStart w:id="1092" w:name="_Toc29999472"/>
      <w:bookmarkStart w:id="1093" w:name="_Toc30699398"/>
      <w:bookmarkStart w:id="1094" w:name="_Toc30701478"/>
      <w:bookmarkStart w:id="1095" w:name="_Toc31189299"/>
      <w:bookmarkStart w:id="1096" w:name="_Toc31189753"/>
      <w:bookmarkStart w:id="1097" w:name="_Toc31193120"/>
      <w:r w:rsidRPr="00435180">
        <w:rPr>
          <w:szCs w:val="22"/>
        </w:rPr>
        <w:t>Exceptions from Attri</w:t>
      </w:r>
      <w:r w:rsidRPr="00435180">
        <w:rPr>
          <w:szCs w:val="22"/>
        </w:rPr>
        <w:t>bution Rules for Small Businesses and Rural Service Providers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D6515C" w:rsidRPr="00435180" w:rsidP="00D850FB" w14:paraId="266834AA" w14:textId="299326A1">
      <w:pPr>
        <w:pStyle w:val="ParaNum"/>
        <w:widowControl/>
        <w:autoSpaceDE w:val="0"/>
        <w:autoSpaceDN w:val="0"/>
        <w:adjustRightInd w:val="0"/>
        <w:rPr>
          <w:szCs w:val="22"/>
        </w:rPr>
      </w:pPr>
      <w:r w:rsidRPr="00435180">
        <w:rPr>
          <w:szCs w:val="22"/>
        </w:rPr>
        <w:t>Applicants claiming designated entity benefits may be eligible for certain exceptions from the Commission’s attribution rules.</w:t>
      </w:r>
      <w:r>
        <w:rPr>
          <w:rStyle w:val="FootnoteReference"/>
          <w:szCs w:val="22"/>
        </w:rPr>
        <w:footnoteReference w:id="199"/>
      </w:r>
      <w:r w:rsidRPr="00435180">
        <w:rPr>
          <w:szCs w:val="22"/>
        </w:rPr>
        <w:t xml:space="preserve">  For example, in calculating an applicant’s gross revenues under </w:t>
      </w:r>
      <w:r w:rsidRPr="00435180">
        <w:rPr>
          <w:szCs w:val="22"/>
        </w:rPr>
        <w:t xml:space="preserve">the controlling interest standard, </w:t>
      </w:r>
      <w:r w:rsidR="00B62CC1">
        <w:rPr>
          <w:szCs w:val="22"/>
        </w:rPr>
        <w:t xml:space="preserve">the </w:t>
      </w:r>
      <w:r w:rsidR="00BB68D6">
        <w:rPr>
          <w:szCs w:val="22"/>
        </w:rPr>
        <w:t>Commission</w:t>
      </w:r>
      <w:r w:rsidRPr="00435180">
        <w:rPr>
          <w:szCs w:val="22"/>
        </w:rPr>
        <w:t xml:space="preserve"> will not attribute to the applicant the personal net worth, including personal income, of its officers and directors.</w:t>
      </w:r>
      <w:r>
        <w:rPr>
          <w:rStyle w:val="FootnoteReference"/>
          <w:szCs w:val="22"/>
        </w:rPr>
        <w:footnoteReference w:id="200"/>
      </w:r>
      <w:r w:rsidRPr="00435180">
        <w:rPr>
          <w:szCs w:val="22"/>
        </w:rPr>
        <w:t xml:space="preserve">  The Commission has also exempted from attribution to the applicant the gross revenues</w:t>
      </w:r>
      <w:r w:rsidRPr="00435180">
        <w:rPr>
          <w:szCs w:val="22"/>
        </w:rPr>
        <w:t xml:space="preserve"> of the affiliates of a rural telephone cooperative’s officers and directors, if certain conditions specified in section 1.2110(b)(4)(iii) of the Commission’s rules are met.</w:t>
      </w:r>
      <w:r>
        <w:rPr>
          <w:rStyle w:val="FootnoteReference"/>
          <w:szCs w:val="22"/>
        </w:rPr>
        <w:footnoteReference w:id="201"/>
      </w:r>
      <w:r w:rsidRPr="00435180">
        <w:rPr>
          <w:szCs w:val="22"/>
        </w:rPr>
        <w:t xml:space="preserve">  An applicant claiming this exemption must provide, in an attachment, an affirma</w:t>
      </w:r>
      <w:r w:rsidRPr="00435180">
        <w:rPr>
          <w:szCs w:val="22"/>
        </w:rPr>
        <w:t xml:space="preserve">tive </w:t>
      </w:r>
      <w:r w:rsidRPr="00435180">
        <w:rPr>
          <w:szCs w:val="22"/>
        </w:rPr>
        <w:t xml:space="preserve">statement that the applicant, affiliate and/or controlling interest is an eligible rural telephone cooperative within the meaning of section 1.2110(b)(4)(iii), and the applicant must supply any additional information as may be required to demonstrate </w:t>
      </w:r>
      <w:r w:rsidRPr="00435180">
        <w:rPr>
          <w:szCs w:val="22"/>
        </w:rPr>
        <w:t>eligibility for the exemption from the attribution rule.</w:t>
      </w:r>
      <w:r>
        <w:rPr>
          <w:rStyle w:val="FootnoteReference"/>
          <w:szCs w:val="22"/>
        </w:rPr>
        <w:footnoteReference w:id="202"/>
      </w:r>
      <w:r w:rsidRPr="00435180">
        <w:rPr>
          <w:szCs w:val="22"/>
        </w:rPr>
        <w:t xml:space="preserve">  </w:t>
      </w:r>
    </w:p>
    <w:p w:rsidR="00D6515C" w:rsidRPr="00435180" w:rsidP="00D850FB" w14:paraId="06B91D13" w14:textId="160D1242">
      <w:pPr>
        <w:pStyle w:val="ParaNum"/>
        <w:widowControl/>
        <w:autoSpaceDE w:val="0"/>
        <w:autoSpaceDN w:val="0"/>
        <w:adjustRightInd w:val="0"/>
        <w:rPr>
          <w:szCs w:val="22"/>
        </w:rPr>
      </w:pPr>
      <w:r w:rsidRPr="00435180">
        <w:rPr>
          <w:szCs w:val="22"/>
        </w:rPr>
        <w:t>An applicant claiming a rural service provider bidding credit may be eligible for an exception from the Commission’s attribution rules as an existing rural partnership.  To qualify for this excep</w:t>
      </w:r>
      <w:r w:rsidRPr="00435180">
        <w:rPr>
          <w:szCs w:val="22"/>
        </w:rPr>
        <w:t>tion, an applicant must be a rural partnership providing service as of July 16, 2015, and each member of the rural partnership must individually have fewer than 250,000 combined wireless, wireline, broadband, and cable subscribers.</w:t>
      </w:r>
      <w:r>
        <w:rPr>
          <w:rStyle w:val="FootnoteReference"/>
          <w:szCs w:val="22"/>
        </w:rPr>
        <w:footnoteReference w:id="203"/>
      </w:r>
      <w:r w:rsidRPr="00435180">
        <w:rPr>
          <w:szCs w:val="22"/>
        </w:rPr>
        <w:t xml:space="preserve">  Because each member o</w:t>
      </w:r>
      <w:r w:rsidRPr="00435180">
        <w:rPr>
          <w:szCs w:val="22"/>
        </w:rPr>
        <w:t>f the rural partnership must individually qualify for the bidding credit, by definition, a partnership that includes a nationwide provider as a member will not be eligible for the benefit.</w:t>
      </w:r>
      <w:r>
        <w:rPr>
          <w:rStyle w:val="FootnoteReference"/>
          <w:szCs w:val="22"/>
        </w:rPr>
        <w:footnoteReference w:id="204"/>
      </w:r>
      <w:r w:rsidRPr="00435180">
        <w:rPr>
          <w:szCs w:val="22"/>
        </w:rPr>
        <w:t xml:space="preserve">  </w:t>
      </w:r>
    </w:p>
    <w:p w:rsidR="00D6515C" w:rsidRPr="00580EDD" w:rsidP="00D850FB" w14:paraId="069D280A" w14:textId="355AC1FF">
      <w:pPr>
        <w:pStyle w:val="ParaNum"/>
        <w:widowControl/>
        <w:autoSpaceDE w:val="0"/>
        <w:autoSpaceDN w:val="0"/>
        <w:adjustRightInd w:val="0"/>
        <w:rPr>
          <w:szCs w:val="22"/>
        </w:rPr>
      </w:pPr>
      <w:r w:rsidRPr="00580EDD">
        <w:rPr>
          <w:szCs w:val="22"/>
        </w:rPr>
        <w:t>Finally, a consortium of small businesses or rural service prov</w:t>
      </w:r>
      <w:r w:rsidRPr="00580EDD">
        <w:rPr>
          <w:szCs w:val="22"/>
        </w:rPr>
        <w:t>iders may seek an exception from the Commission’s attribution rules.  Under the Commission’s rules, a consortium of small businesses or rural service providers is a conglomerate organization composed of two or more entities, each of which individually sati</w:t>
      </w:r>
      <w:r w:rsidRPr="00580EDD">
        <w:rPr>
          <w:szCs w:val="22"/>
        </w:rPr>
        <w:t>sfies the definition of small business or rural service provider.</w:t>
      </w:r>
      <w:r>
        <w:rPr>
          <w:rStyle w:val="FootnoteReference"/>
          <w:szCs w:val="22"/>
        </w:rPr>
        <w:footnoteReference w:id="205"/>
      </w:r>
      <w:r w:rsidRPr="00580EDD">
        <w:rPr>
          <w:szCs w:val="22"/>
        </w:rPr>
        <w:t xml:space="preserve">  </w:t>
      </w:r>
      <w:r w:rsidR="00FC19ED">
        <w:rPr>
          <w:szCs w:val="22"/>
        </w:rPr>
        <w:t>A</w:t>
      </w:r>
      <w:r w:rsidRPr="00580EDD">
        <w:rPr>
          <w:szCs w:val="22"/>
        </w:rPr>
        <w:t xml:space="preserve"> consortium must provide additional information for each member demonstrating each member’s eligibility for the claimed bidding credit in order to show that the applicant satisfies the e</w:t>
      </w:r>
      <w:r w:rsidRPr="00580EDD">
        <w:rPr>
          <w:szCs w:val="22"/>
        </w:rPr>
        <w:t>ligibility criteria for the bidding credit.</w:t>
      </w:r>
      <w:r>
        <w:rPr>
          <w:rStyle w:val="FootnoteReference"/>
          <w:szCs w:val="22"/>
        </w:rPr>
        <w:footnoteReference w:id="206"/>
      </w:r>
      <w:r w:rsidRPr="00580EDD">
        <w:rPr>
          <w:szCs w:val="22"/>
        </w:rPr>
        <w:t xml:space="preserve">  The gross revenue or subscriber information of each consortium member will not be aggregated for purposes of determining the consortium’s eligibility for the claimed bidding credit.  </w:t>
      </w:r>
      <w:r w:rsidR="00040237">
        <w:rPr>
          <w:szCs w:val="22"/>
        </w:rPr>
        <w:t>T</w:t>
      </w:r>
      <w:r w:rsidRPr="00580EDD">
        <w:rPr>
          <w:szCs w:val="22"/>
        </w:rPr>
        <w:t>his information must be p</w:t>
      </w:r>
      <w:r w:rsidRPr="00580EDD">
        <w:rPr>
          <w:szCs w:val="22"/>
        </w:rPr>
        <w:t>rovided</w:t>
      </w:r>
      <w:r w:rsidR="00040237">
        <w:rPr>
          <w:szCs w:val="22"/>
        </w:rPr>
        <w:t>, however,</w:t>
      </w:r>
      <w:r w:rsidRPr="00580EDD">
        <w:rPr>
          <w:szCs w:val="22"/>
        </w:rPr>
        <w:t xml:space="preserve"> to ensure that each consortium member qualifies for the bidding credit sought by the consortium.   </w:t>
      </w:r>
    </w:p>
    <w:p w:rsidR="00D6515C" w:rsidRPr="00435180" w:rsidP="000C230C" w14:paraId="5615BBB5" w14:textId="77777777">
      <w:pPr>
        <w:pStyle w:val="Heading2"/>
      </w:pPr>
      <w:bookmarkStart w:id="1098" w:name="_Toc6383477"/>
      <w:bookmarkStart w:id="1099" w:name="_Toc7525802"/>
      <w:bookmarkStart w:id="1100" w:name="_Toc8657157"/>
      <w:bookmarkStart w:id="1101" w:name="_Toc9410683"/>
      <w:bookmarkStart w:id="1102" w:name="_Toc9430089"/>
      <w:bookmarkStart w:id="1103" w:name="_Toc10116852"/>
      <w:bookmarkStart w:id="1104" w:name="_Toc10646158"/>
      <w:bookmarkStart w:id="1105" w:name="_Toc11156562"/>
      <w:bookmarkStart w:id="1106" w:name="_Toc11244306"/>
      <w:bookmarkStart w:id="1107" w:name="_Toc11653562"/>
      <w:bookmarkStart w:id="1108" w:name="_Toc11678141"/>
      <w:bookmarkStart w:id="1109" w:name="_Toc13654728"/>
      <w:bookmarkStart w:id="1110" w:name="_Toc24459448"/>
      <w:bookmarkStart w:id="1111" w:name="_Toc24459545"/>
      <w:bookmarkStart w:id="1112" w:name="_Toc25926241"/>
      <w:bookmarkStart w:id="1113" w:name="_Toc25926819"/>
      <w:bookmarkStart w:id="1114" w:name="_Toc25926937"/>
      <w:bookmarkStart w:id="1115" w:name="_Toc27039000"/>
      <w:bookmarkStart w:id="1116" w:name="_Toc29813144"/>
      <w:bookmarkStart w:id="1117" w:name="_Toc29886869"/>
      <w:bookmarkStart w:id="1118" w:name="_Toc29999473"/>
      <w:bookmarkStart w:id="1119" w:name="_Toc30699399"/>
      <w:bookmarkStart w:id="1120" w:name="_Toc30701479"/>
      <w:bookmarkStart w:id="1121" w:name="_Toc31189300"/>
      <w:bookmarkStart w:id="1122" w:name="_Toc31189754"/>
      <w:bookmarkStart w:id="1123" w:name="_Toc31193121"/>
      <w:bookmarkStart w:id="1124" w:name="_Toc31195869"/>
      <w:bookmarkStart w:id="1125" w:name="_Toc31199993"/>
      <w:bookmarkStart w:id="1126" w:name="_Toc31713760"/>
      <w:bookmarkStart w:id="1127" w:name="_Toc31822669"/>
      <w:bookmarkStart w:id="1128" w:name="_Toc33629826"/>
      <w:bookmarkStart w:id="1129" w:name="_Toc33696678"/>
      <w:r w:rsidRPr="00435180">
        <w:t>Provisions Regarding Former and Current Defaulters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rsidR="00D6515C" w:rsidRPr="00435180" w:rsidP="00D850FB" w14:paraId="1ACEF1D0" w14:textId="0AE1F838">
      <w:pPr>
        <w:pStyle w:val="ParaNum"/>
        <w:widowControl/>
        <w:autoSpaceDE w:val="0"/>
        <w:autoSpaceDN w:val="0"/>
        <w:adjustRightInd w:val="0"/>
        <w:rPr>
          <w:szCs w:val="22"/>
        </w:rPr>
      </w:pPr>
      <w:r w:rsidRPr="00435180">
        <w:rPr>
          <w:szCs w:val="22"/>
        </w:rPr>
        <w:t>Pursuant to the rules governing competitive bidding, each applicant must make certifica</w:t>
      </w:r>
      <w:r w:rsidRPr="00435180">
        <w:rPr>
          <w:szCs w:val="22"/>
        </w:rPr>
        <w:t>tions regarding whether it is a current or former defaulter or delinquent.  A current defaulter or delinquent is not eligible to participate in Auction 10</w:t>
      </w:r>
      <w:r w:rsidR="00F6061B">
        <w:rPr>
          <w:szCs w:val="22"/>
        </w:rPr>
        <w:t>7</w:t>
      </w:r>
      <w:r w:rsidRPr="00435180">
        <w:rPr>
          <w:szCs w:val="22"/>
        </w:rPr>
        <w:t>,</w:t>
      </w:r>
      <w:r>
        <w:rPr>
          <w:rStyle w:val="FootnoteReference"/>
          <w:szCs w:val="22"/>
        </w:rPr>
        <w:footnoteReference w:id="207"/>
      </w:r>
      <w:r w:rsidRPr="00435180">
        <w:rPr>
          <w:szCs w:val="22"/>
        </w:rPr>
        <w:t xml:space="preserve"> but a former defaulter or delinquent may participate so long as it is otherwise qualified and</w:t>
      </w:r>
      <w:r w:rsidRPr="00435180">
        <w:rPr>
          <w:iCs/>
          <w:szCs w:val="22"/>
        </w:rPr>
        <w:t xml:space="preserve"> mak</w:t>
      </w:r>
      <w:r w:rsidRPr="00435180">
        <w:rPr>
          <w:iCs/>
          <w:szCs w:val="22"/>
        </w:rPr>
        <w:t>es</w:t>
      </w:r>
      <w:r w:rsidRPr="00435180">
        <w:rPr>
          <w:szCs w:val="22"/>
        </w:rPr>
        <w:t xml:space="preserve"> an upfront payment that is </w:t>
      </w:r>
      <w:r>
        <w:rPr>
          <w:szCs w:val="22"/>
        </w:rPr>
        <w:t>50%</w:t>
      </w:r>
      <w:r w:rsidRPr="00435180">
        <w:rPr>
          <w:szCs w:val="22"/>
        </w:rPr>
        <w:t xml:space="preserve"> more than would </w:t>
      </w:r>
      <w:r w:rsidRPr="00435180">
        <w:rPr>
          <w:szCs w:val="22"/>
        </w:rPr>
        <w:t>otherwise be necessary.</w:t>
      </w:r>
      <w:r>
        <w:rPr>
          <w:rStyle w:val="FootnoteReference"/>
          <w:szCs w:val="22"/>
        </w:rPr>
        <w:footnoteReference w:id="208"/>
      </w:r>
      <w:r w:rsidRPr="00435180">
        <w:rPr>
          <w:szCs w:val="22"/>
        </w:rPr>
        <w:t xml:space="preserve">  Accordingly, each applicant must certify under penalty of perjury on its FCC Form 175 that it, its affiliates, its controlling interests, and the affiliates of its controlling interests are not in default on any payment for a Commission construction perm</w:t>
      </w:r>
      <w:r w:rsidRPr="00435180">
        <w:rPr>
          <w:szCs w:val="22"/>
        </w:rPr>
        <w:t>it or license (including down payments) and that it is not delinquent on any non-tax debt owed to any Federal agency.</w:t>
      </w:r>
      <w:r>
        <w:rPr>
          <w:rStyle w:val="FootnoteReference"/>
          <w:szCs w:val="22"/>
        </w:rPr>
        <w:footnoteReference w:id="209"/>
      </w:r>
      <w:r w:rsidRPr="00435180">
        <w:rPr>
          <w:szCs w:val="22"/>
        </w:rPr>
        <w:t xml:space="preserve">  Additionally, an applicant must certify under penalty of perjury whether it (along with its controlling interests) has ever been in def</w:t>
      </w:r>
      <w:r w:rsidRPr="00435180">
        <w:rPr>
          <w:szCs w:val="22"/>
        </w:rPr>
        <w:t>ault on any payment for a Commission construction permit or license (including down payments) or has ever been delinquent on any non-tax debt owed to any Federal agency, subject to the exclusions described below.</w:t>
      </w:r>
      <w:r>
        <w:rPr>
          <w:rStyle w:val="FootnoteReference"/>
          <w:szCs w:val="22"/>
        </w:rPr>
        <w:footnoteReference w:id="210"/>
      </w:r>
      <w:r w:rsidRPr="00435180">
        <w:rPr>
          <w:szCs w:val="22"/>
        </w:rPr>
        <w:t xml:space="preserve">  For purposes of making these certificati</w:t>
      </w:r>
      <w:r w:rsidRPr="00435180">
        <w:rPr>
          <w:szCs w:val="22"/>
        </w:rPr>
        <w:t>ons, the term “controlling interest” is defined in section 1.2105(a)(4)(i) of the Commission rules.</w:t>
      </w:r>
      <w:r>
        <w:rPr>
          <w:rStyle w:val="FootnoteReference"/>
          <w:szCs w:val="22"/>
        </w:rPr>
        <w:footnoteReference w:id="211"/>
      </w:r>
      <w:r w:rsidRPr="00435180">
        <w:rPr>
          <w:szCs w:val="22"/>
        </w:rPr>
        <w:t xml:space="preserve">    </w:t>
      </w:r>
    </w:p>
    <w:p w:rsidR="00D6515C" w:rsidRPr="00435180" w:rsidP="00D850FB" w14:paraId="101F70FD" w14:textId="55BCE680">
      <w:pPr>
        <w:pStyle w:val="ParaNum"/>
        <w:widowControl/>
        <w:autoSpaceDE w:val="0"/>
        <w:autoSpaceDN w:val="0"/>
        <w:adjustRightInd w:val="0"/>
        <w:rPr>
          <w:szCs w:val="22"/>
        </w:rPr>
      </w:pPr>
      <w:r w:rsidRPr="00435180">
        <w:rPr>
          <w:szCs w:val="22"/>
        </w:rPr>
        <w:t>Under the Commission’s rule regarding applications by former defaulters, an applicant is considered a “former defaulter” or a “former delinquent” when</w:t>
      </w:r>
      <w:r w:rsidRPr="00435180">
        <w:rPr>
          <w:szCs w:val="22"/>
        </w:rPr>
        <w:t>, as of the FCC Form 175 deadline, the applicant or any of its controlling interests has defaulted on any Commission construction permit or license or has been delinquent on any non-tax debt owed to any Federal agency, but has since remedied all such defau</w:t>
      </w:r>
      <w:r w:rsidRPr="00435180">
        <w:rPr>
          <w:szCs w:val="22"/>
        </w:rPr>
        <w:t>lts and cured all of the outstanding non-tax delinquencies.</w:t>
      </w:r>
      <w:r>
        <w:rPr>
          <w:rStyle w:val="FootnoteReference"/>
          <w:szCs w:val="22"/>
        </w:rPr>
        <w:footnoteReference w:id="212"/>
      </w:r>
      <w:r w:rsidRPr="00435180">
        <w:rPr>
          <w:szCs w:val="22"/>
        </w:rPr>
        <w:t xml:space="preserve">  For purposes of the certification under section 1.2105(a)(2)(xii), the applicant may exclude from consideration any cured default on a Commission construction permit or license or cured delinqu</w:t>
      </w:r>
      <w:r w:rsidRPr="00435180">
        <w:rPr>
          <w:szCs w:val="22"/>
        </w:rPr>
        <w:t>ency on a non-tax debt owed to a Federal agency for which any of the following criteria are met:  (1) the notice of the final payment deadline or delinquency was received more than seven years before the FCC Form 175 filing deadline</w:t>
      </w:r>
      <w:r w:rsidR="00973EBE">
        <w:rPr>
          <w:szCs w:val="22"/>
        </w:rPr>
        <w:t>,</w:t>
      </w:r>
      <w:r w:rsidRPr="00435180">
        <w:rPr>
          <w:szCs w:val="22"/>
        </w:rPr>
        <w:t xml:space="preserve"> (2) the default or del</w:t>
      </w:r>
      <w:r w:rsidRPr="00435180">
        <w:rPr>
          <w:szCs w:val="22"/>
        </w:rPr>
        <w:t>inquency amounted to less than $100,000</w:t>
      </w:r>
      <w:r w:rsidR="003A7471">
        <w:rPr>
          <w:szCs w:val="22"/>
        </w:rPr>
        <w:t>,</w:t>
      </w:r>
      <w:r w:rsidRPr="00435180">
        <w:rPr>
          <w:szCs w:val="22"/>
        </w:rPr>
        <w:t xml:space="preserve"> (3) the default or delinquency was paid within two quarters (i.e., six months) after receiving the notice of the final payment deadline or delinquency</w:t>
      </w:r>
      <w:r w:rsidR="003A7471">
        <w:rPr>
          <w:szCs w:val="22"/>
        </w:rPr>
        <w:t>,</w:t>
      </w:r>
      <w:r w:rsidRPr="00435180">
        <w:rPr>
          <w:szCs w:val="22"/>
        </w:rPr>
        <w:t xml:space="preserve"> or (4) the default or delinquency was the subject of a legal or</w:t>
      </w:r>
      <w:r w:rsidRPr="00435180">
        <w:rPr>
          <w:szCs w:val="22"/>
        </w:rPr>
        <w:t xml:space="preserve"> arbitration proceeding and was cured upon resolution of the proceeding.</w:t>
      </w:r>
      <w:r>
        <w:rPr>
          <w:rStyle w:val="FootnoteReference"/>
          <w:szCs w:val="22"/>
        </w:rPr>
        <w:footnoteReference w:id="213"/>
      </w:r>
      <w:r w:rsidRPr="00435180">
        <w:rPr>
          <w:szCs w:val="22"/>
        </w:rPr>
        <w:t xml:space="preserve">  </w:t>
      </w:r>
      <w:r w:rsidRPr="00435180">
        <w:rPr>
          <w:rFonts w:eastAsia="TimesNewRoman"/>
          <w:szCs w:val="22"/>
        </w:rPr>
        <w:t xml:space="preserve">With respect to the first exclusion, </w:t>
      </w:r>
      <w:r w:rsidRPr="00435180">
        <w:rPr>
          <w:szCs w:val="22"/>
        </w:rPr>
        <w:t xml:space="preserve">notice to a debtor may </w:t>
      </w:r>
      <w:r w:rsidRPr="00435180">
        <w:rPr>
          <w:szCs w:val="22"/>
        </w:rPr>
        <w:t>include notice of a final payment deadline or notice of delinquency and may be express or implied depending on the origi</w:t>
      </w:r>
      <w:r w:rsidRPr="00435180">
        <w:rPr>
          <w:szCs w:val="22"/>
        </w:rPr>
        <w:t>n of any Federal non-tax debt giving rise to a default or delinquency.</w:t>
      </w:r>
      <w:r>
        <w:rPr>
          <w:rStyle w:val="FootnoteReference"/>
          <w:szCs w:val="22"/>
        </w:rPr>
        <w:footnoteReference w:id="214"/>
      </w:r>
      <w:r w:rsidRPr="00435180">
        <w:rPr>
          <w:szCs w:val="22"/>
        </w:rPr>
        <w:t xml:space="preserve">  Additionally, for the third exclusion</w:t>
      </w:r>
      <w:r w:rsidRPr="00435180">
        <w:rPr>
          <w:rFonts w:eastAsia="TimesNewRoman"/>
          <w:szCs w:val="22"/>
        </w:rPr>
        <w:t xml:space="preserve">, the </w:t>
      </w:r>
      <w:r w:rsidRPr="00435180">
        <w:rPr>
          <w:szCs w:val="22"/>
        </w:rPr>
        <w:t xml:space="preserve">date of receipt of the notice of a final default deadline or delinquency by the intended party or debtor will be used for purposes of </w:t>
      </w:r>
      <w:r w:rsidRPr="00435180">
        <w:rPr>
          <w:szCs w:val="22"/>
        </w:rPr>
        <w:t>verifying receipt of notice.</w:t>
      </w:r>
      <w:r>
        <w:rPr>
          <w:rStyle w:val="FootnoteReference"/>
          <w:szCs w:val="22"/>
        </w:rPr>
        <w:footnoteReference w:id="215"/>
      </w:r>
      <w:r w:rsidRPr="00435180">
        <w:rPr>
          <w:szCs w:val="22"/>
        </w:rPr>
        <w:t xml:space="preserve">  </w:t>
      </w:r>
    </w:p>
    <w:p w:rsidR="00D6515C" w:rsidRPr="00435180" w:rsidP="00D850FB" w14:paraId="213E44C5" w14:textId="4AE3961D">
      <w:pPr>
        <w:pStyle w:val="ParaNum"/>
        <w:widowControl/>
        <w:autoSpaceDE w:val="0"/>
        <w:autoSpaceDN w:val="0"/>
        <w:adjustRightInd w:val="0"/>
        <w:rPr>
          <w:szCs w:val="22"/>
        </w:rPr>
      </w:pPr>
      <w:r w:rsidRPr="00435180">
        <w:rPr>
          <w:szCs w:val="22"/>
        </w:rPr>
        <w:t>In addition to this Public Notice, applicants are encouraged to review previous guidance on default and delinquency disclosure requirements in the context of the auction short-form application process.</w:t>
      </w:r>
      <w:r>
        <w:rPr>
          <w:rStyle w:val="FootnoteReference"/>
          <w:szCs w:val="22"/>
        </w:rPr>
        <w:footnoteReference w:id="216"/>
      </w:r>
      <w:r w:rsidRPr="00435180">
        <w:rPr>
          <w:szCs w:val="22"/>
        </w:rPr>
        <w:t xml:space="preserve">  Parties are also e</w:t>
      </w:r>
      <w:r w:rsidRPr="00435180">
        <w:rPr>
          <w:szCs w:val="22"/>
        </w:rPr>
        <w:t>ncouraged to consult with Auctions Division staff if they have any questions about default and delinquency disclosure requirements.</w:t>
      </w:r>
    </w:p>
    <w:p w:rsidR="00D6515C" w:rsidRPr="00435180" w:rsidP="00D850FB" w14:paraId="6CE10F82" w14:textId="3B999483">
      <w:pPr>
        <w:pStyle w:val="ParaNum"/>
        <w:widowControl/>
        <w:autoSpaceDE w:val="0"/>
        <w:autoSpaceDN w:val="0"/>
        <w:adjustRightInd w:val="0"/>
        <w:rPr>
          <w:szCs w:val="22"/>
        </w:rPr>
      </w:pPr>
      <w:r w:rsidRPr="00435180">
        <w:rPr>
          <w:szCs w:val="22"/>
        </w:rPr>
        <w:t xml:space="preserve">We consider outstanding debts owed to the United States Government, in any amount, to be a serious matter.  The Commission </w:t>
      </w:r>
      <w:r w:rsidR="00177691">
        <w:rPr>
          <w:szCs w:val="22"/>
        </w:rPr>
        <w:t xml:space="preserve">has previously </w:t>
      </w:r>
      <w:r w:rsidRPr="00435180">
        <w:rPr>
          <w:szCs w:val="22"/>
        </w:rPr>
        <w:t>adopted rules, including a provision referred to as the “red light rule</w:t>
      </w:r>
      <w:r w:rsidR="0049438E">
        <w:rPr>
          <w:szCs w:val="22"/>
        </w:rPr>
        <w:t>,</w:t>
      </w:r>
      <w:r w:rsidRPr="00435180">
        <w:rPr>
          <w:szCs w:val="22"/>
        </w:rPr>
        <w:t>” that implement its obligations under the Debt Collection Improvement Act of 1996, which governs the collection of debts owed to the United States.</w:t>
      </w:r>
      <w:r>
        <w:rPr>
          <w:rStyle w:val="FootnoteReference"/>
          <w:szCs w:val="22"/>
        </w:rPr>
        <w:footnoteReference w:id="217"/>
      </w:r>
      <w:r w:rsidRPr="00435180">
        <w:rPr>
          <w:szCs w:val="22"/>
        </w:rPr>
        <w:t xml:space="preserve">  Under the red ligh</w:t>
      </w:r>
      <w:r w:rsidRPr="00435180">
        <w:rPr>
          <w:szCs w:val="22"/>
        </w:rPr>
        <w:t>t rule, applications and other requests for benefits filed by parties that have outstanding debts owed to the Commission will not be processed.  When adopting that rule, the Commission explicitly declared, however, that its competitive bidding rules “are n</w:t>
      </w:r>
      <w:r w:rsidRPr="00435180">
        <w:rPr>
          <w:szCs w:val="22"/>
        </w:rPr>
        <w:t>ot affected” by the red light rule.</w:t>
      </w:r>
      <w:r>
        <w:rPr>
          <w:rStyle w:val="FootnoteReference"/>
          <w:szCs w:val="22"/>
        </w:rPr>
        <w:footnoteReference w:id="218"/>
      </w:r>
      <w:r w:rsidRPr="00435180">
        <w:rPr>
          <w:szCs w:val="22"/>
        </w:rPr>
        <w:t xml:space="preserve">  As a consequence, the Commission’s adoption of the red light rule does not alter the applicability of any of its competitive bidding rules, including the provisions and certifications of sections 1.2105 and 1.2106, wi</w:t>
      </w:r>
      <w:r w:rsidRPr="00435180">
        <w:rPr>
          <w:szCs w:val="22"/>
        </w:rPr>
        <w:t>th regard to current and former defaults or delinquencies.</w:t>
      </w:r>
    </w:p>
    <w:p w:rsidR="00D6515C" w:rsidRPr="00435180" w:rsidP="00D850FB" w14:paraId="111CD52E" w14:textId="41653ED4">
      <w:pPr>
        <w:pStyle w:val="ParaNum"/>
        <w:widowControl/>
        <w:autoSpaceDE w:val="0"/>
        <w:autoSpaceDN w:val="0"/>
        <w:adjustRightInd w:val="0"/>
        <w:rPr>
          <w:szCs w:val="22"/>
        </w:rPr>
      </w:pPr>
      <w:r w:rsidRPr="00435180">
        <w:rPr>
          <w:szCs w:val="22"/>
        </w:rPr>
        <w:t>We remind each applicant, however, that</w:t>
      </w:r>
      <w:r w:rsidR="00C85DB4">
        <w:rPr>
          <w:szCs w:val="22"/>
        </w:rPr>
        <w:t xml:space="preserve"> any indication</w:t>
      </w:r>
      <w:r w:rsidR="000E1D1E">
        <w:rPr>
          <w:szCs w:val="22"/>
        </w:rPr>
        <w:t xml:space="preserve"> in</w:t>
      </w:r>
      <w:r w:rsidRPr="00435180">
        <w:rPr>
          <w:szCs w:val="22"/>
        </w:rPr>
        <w:t xml:space="preserve"> </w:t>
      </w:r>
      <w:r w:rsidR="00104EF7">
        <w:rPr>
          <w:szCs w:val="22"/>
        </w:rPr>
        <w:t>the Commiss</w:t>
      </w:r>
      <w:r w:rsidR="00C85DB4">
        <w:rPr>
          <w:szCs w:val="22"/>
        </w:rPr>
        <w:t xml:space="preserve">ion’s </w:t>
      </w:r>
      <w:r w:rsidRPr="00435180">
        <w:rPr>
          <w:szCs w:val="22"/>
        </w:rPr>
        <w:t>Red Light Display System, which provides information regarding debts currently owed to the Commission, may not be determin</w:t>
      </w:r>
      <w:r w:rsidRPr="00435180">
        <w:rPr>
          <w:szCs w:val="22"/>
        </w:rPr>
        <w:t>ative of an auction applicant’s ability to comply with the default and delinquency disclosure requirements of section 1.2105.</w:t>
      </w:r>
      <w:r>
        <w:rPr>
          <w:rStyle w:val="FootnoteReference"/>
          <w:szCs w:val="22"/>
        </w:rPr>
        <w:footnoteReference w:id="219"/>
      </w:r>
      <w:r w:rsidRPr="00435180">
        <w:rPr>
          <w:szCs w:val="22"/>
        </w:rPr>
        <w:t xml:space="preserve">  Thus, while the red light rule ultimately may prevent the processing of long-form applications by auction winners, an auction a</w:t>
      </w:r>
      <w:r w:rsidRPr="00435180">
        <w:rPr>
          <w:szCs w:val="22"/>
        </w:rPr>
        <w:t xml:space="preserve">pplicant’s lack of current “red light” status is not necessarily determinative of its eligibility to participate in an auction (or whether it may be subject to an </w:t>
      </w:r>
      <w:r w:rsidRPr="00435180">
        <w:rPr>
          <w:szCs w:val="22"/>
        </w:rPr>
        <w:t>increased upfront payment obligation).  Moreover, a prospective applicant in Auction 10</w:t>
      </w:r>
      <w:r w:rsidR="001E471E">
        <w:rPr>
          <w:szCs w:val="22"/>
        </w:rPr>
        <w:t>7</w:t>
      </w:r>
      <w:r w:rsidRPr="00435180">
        <w:rPr>
          <w:szCs w:val="22"/>
        </w:rPr>
        <w:t xml:space="preserve"> shou</w:t>
      </w:r>
      <w:r w:rsidRPr="00435180">
        <w:rPr>
          <w:szCs w:val="22"/>
        </w:rPr>
        <w:t>ld note that any long-form applications filed after the close of bidding will be reviewed for compliance with the Commission’s red light rule,</w:t>
      </w:r>
      <w:r>
        <w:rPr>
          <w:rStyle w:val="FootnoteReference"/>
          <w:szCs w:val="22"/>
        </w:rPr>
        <w:footnoteReference w:id="220"/>
      </w:r>
      <w:r w:rsidRPr="00435180">
        <w:rPr>
          <w:szCs w:val="22"/>
        </w:rPr>
        <w:t xml:space="preserve"> and such review may result in the dismissal of a winning bidder’s long-form application.</w:t>
      </w:r>
      <w:r>
        <w:rPr>
          <w:rStyle w:val="FootnoteReference"/>
          <w:szCs w:val="22"/>
        </w:rPr>
        <w:footnoteReference w:id="221"/>
      </w:r>
      <w:r w:rsidRPr="00435180">
        <w:rPr>
          <w:szCs w:val="22"/>
        </w:rPr>
        <w:t xml:space="preserve">  We encourage each applicant to carefully review all records and other available Federal agency databases and information sources to determine whether the applicant, or any of its affiliates, or any of its controlling interests, or any of the affiliates o</w:t>
      </w:r>
      <w:r w:rsidRPr="00435180">
        <w:rPr>
          <w:szCs w:val="22"/>
        </w:rPr>
        <w:t>f its controlling interests, owes or was ever delinquent in the payment of non-tax debt owed to any Federal agency.</w:t>
      </w:r>
    </w:p>
    <w:p w:rsidR="00D6515C" w:rsidRPr="00435180" w:rsidP="000C230C" w14:paraId="1A2B0F5E" w14:textId="77777777">
      <w:pPr>
        <w:pStyle w:val="Heading2"/>
      </w:pPr>
      <w:bookmarkStart w:id="1130" w:name="_Toc6383478"/>
      <w:bookmarkStart w:id="1131" w:name="_Toc7525803"/>
      <w:bookmarkStart w:id="1132" w:name="_Toc8657158"/>
      <w:bookmarkStart w:id="1133" w:name="_Toc9410684"/>
      <w:bookmarkStart w:id="1134" w:name="_Toc9430090"/>
      <w:bookmarkStart w:id="1135" w:name="_Toc10116853"/>
      <w:bookmarkStart w:id="1136" w:name="_Toc10646159"/>
      <w:bookmarkStart w:id="1137" w:name="_Toc11156563"/>
      <w:bookmarkStart w:id="1138" w:name="_Toc11244307"/>
      <w:bookmarkStart w:id="1139" w:name="_Toc11653563"/>
      <w:bookmarkStart w:id="1140" w:name="_Toc11678142"/>
      <w:bookmarkStart w:id="1141" w:name="_Toc13654729"/>
      <w:bookmarkStart w:id="1142" w:name="_Toc24459449"/>
      <w:bookmarkStart w:id="1143" w:name="_Toc24459546"/>
      <w:bookmarkStart w:id="1144" w:name="_Toc25926242"/>
      <w:bookmarkStart w:id="1145" w:name="_Toc25926820"/>
      <w:bookmarkStart w:id="1146" w:name="_Toc25926938"/>
      <w:bookmarkStart w:id="1147" w:name="_Toc27039001"/>
      <w:bookmarkStart w:id="1148" w:name="_Toc29813145"/>
      <w:bookmarkStart w:id="1149" w:name="_Toc29886870"/>
      <w:bookmarkStart w:id="1150" w:name="_Toc29999474"/>
      <w:bookmarkStart w:id="1151" w:name="_Toc30699400"/>
      <w:bookmarkStart w:id="1152" w:name="_Toc30701480"/>
      <w:bookmarkStart w:id="1153" w:name="_Toc31189301"/>
      <w:bookmarkStart w:id="1154" w:name="_Toc31189755"/>
      <w:bookmarkStart w:id="1155" w:name="_Toc31193122"/>
      <w:bookmarkStart w:id="1156" w:name="_Toc31195870"/>
      <w:bookmarkStart w:id="1157" w:name="_Toc31199994"/>
      <w:bookmarkStart w:id="1158" w:name="_Toc31713761"/>
      <w:bookmarkStart w:id="1159" w:name="_Toc31822670"/>
      <w:bookmarkStart w:id="1160" w:name="_Toc33629827"/>
      <w:bookmarkStart w:id="1161" w:name="_Toc33696679"/>
      <w:r w:rsidRPr="00435180">
        <w:t>Optional Applicant Status Identification</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D6515C" w:rsidRPr="00435180" w:rsidP="00D850FB" w14:paraId="00F951D5" w14:textId="41C4328F">
      <w:pPr>
        <w:pStyle w:val="ParaNum"/>
        <w:widowControl/>
        <w:autoSpaceDE w:val="0"/>
        <w:autoSpaceDN w:val="0"/>
        <w:adjustRightInd w:val="0"/>
        <w:rPr>
          <w:szCs w:val="22"/>
        </w:rPr>
      </w:pPr>
      <w:r w:rsidRPr="00435180">
        <w:rPr>
          <w:szCs w:val="22"/>
        </w:rPr>
        <w:t>Applicants owned by members of minority groups and/or women, as defined in section 1.2110(c)(3),</w:t>
      </w:r>
      <w:bookmarkStart w:id="1162" w:name="OLE_LINK3"/>
      <w:r>
        <w:rPr>
          <w:rStyle w:val="FootnoteReference"/>
          <w:szCs w:val="22"/>
        </w:rPr>
        <w:footnoteReference w:id="222"/>
      </w:r>
      <w:bookmarkEnd w:id="1162"/>
      <w:r w:rsidRPr="00435180">
        <w:rPr>
          <w:szCs w:val="22"/>
        </w:rPr>
        <w:t xml:space="preserve"> </w:t>
      </w:r>
      <w:r w:rsidRPr="00435180">
        <w:rPr>
          <w:szCs w:val="22"/>
        </w:rPr>
        <w:t>and rural telephone companies, as defined in section 1.2110(c)(4),</w:t>
      </w:r>
      <w:r>
        <w:rPr>
          <w:rStyle w:val="FootnoteReference"/>
          <w:szCs w:val="22"/>
        </w:rPr>
        <w:footnoteReference w:id="223"/>
      </w:r>
      <w:r w:rsidRPr="00435180">
        <w:rPr>
          <w:szCs w:val="22"/>
        </w:rPr>
        <w:t xml:space="preserve"> may identify themselves regarding this status in filling</w:t>
      </w:r>
      <w:r w:rsidR="00371979">
        <w:rPr>
          <w:szCs w:val="22"/>
        </w:rPr>
        <w:t xml:space="preserve"> </w:t>
      </w:r>
      <w:r w:rsidRPr="00435180">
        <w:rPr>
          <w:szCs w:val="22"/>
        </w:rPr>
        <w:t>out their FCC Form 175 applications.  This applicant status information is collected for statistical purposes only and assists the</w:t>
      </w:r>
      <w:r w:rsidRPr="00435180">
        <w:rPr>
          <w:szCs w:val="22"/>
        </w:rPr>
        <w:t xml:space="preserve"> Commission in monitoring the participation of various groups in its auctions.</w:t>
      </w:r>
      <w:r>
        <w:rPr>
          <w:rStyle w:val="FootnoteReference"/>
          <w:szCs w:val="22"/>
        </w:rPr>
        <w:footnoteReference w:id="224"/>
      </w:r>
      <w:r w:rsidRPr="00435180">
        <w:rPr>
          <w:szCs w:val="22"/>
        </w:rPr>
        <w:t xml:space="preserve">  </w:t>
      </w:r>
    </w:p>
    <w:p w:rsidR="00D6515C" w:rsidRPr="00435180" w:rsidP="000C230C" w14:paraId="77C51332" w14:textId="77777777">
      <w:pPr>
        <w:pStyle w:val="Heading2"/>
      </w:pPr>
      <w:bookmarkStart w:id="1163" w:name="_Toc6383479"/>
      <w:bookmarkStart w:id="1164" w:name="_Toc7525804"/>
      <w:bookmarkStart w:id="1165" w:name="_Toc8657159"/>
      <w:bookmarkStart w:id="1166" w:name="_Toc9410685"/>
      <w:bookmarkStart w:id="1167" w:name="_Toc9430091"/>
      <w:bookmarkStart w:id="1168" w:name="_Toc10116854"/>
      <w:bookmarkStart w:id="1169" w:name="_Toc10646160"/>
      <w:bookmarkStart w:id="1170" w:name="_Toc11156564"/>
      <w:bookmarkStart w:id="1171" w:name="_Toc11244308"/>
      <w:bookmarkStart w:id="1172" w:name="_Toc11653564"/>
      <w:bookmarkStart w:id="1173" w:name="_Toc11678143"/>
      <w:bookmarkStart w:id="1174" w:name="_Toc13654730"/>
      <w:bookmarkStart w:id="1175" w:name="_Toc24459450"/>
      <w:bookmarkStart w:id="1176" w:name="_Toc24459547"/>
      <w:bookmarkStart w:id="1177" w:name="_Toc25926243"/>
      <w:bookmarkStart w:id="1178" w:name="_Toc25926821"/>
      <w:bookmarkStart w:id="1179" w:name="_Toc25926939"/>
      <w:bookmarkStart w:id="1180" w:name="_Toc27039002"/>
      <w:bookmarkStart w:id="1181" w:name="_Toc29813146"/>
      <w:bookmarkStart w:id="1182" w:name="_Toc29886871"/>
      <w:bookmarkStart w:id="1183" w:name="_Toc29999475"/>
      <w:bookmarkStart w:id="1184" w:name="_Toc30699401"/>
      <w:bookmarkStart w:id="1185" w:name="_Toc30701481"/>
      <w:bookmarkStart w:id="1186" w:name="_Toc31189302"/>
      <w:bookmarkStart w:id="1187" w:name="_Toc31189756"/>
      <w:bookmarkStart w:id="1188" w:name="_Toc31193123"/>
      <w:bookmarkStart w:id="1189" w:name="_Toc31195871"/>
      <w:bookmarkStart w:id="1190" w:name="_Toc31199995"/>
      <w:bookmarkStart w:id="1191" w:name="_Toc31713762"/>
      <w:bookmarkStart w:id="1192" w:name="_Toc31822671"/>
      <w:bookmarkStart w:id="1193" w:name="_Toc33629828"/>
      <w:bookmarkStart w:id="1194" w:name="_Toc33696680"/>
      <w:r w:rsidRPr="00435180">
        <w:t>Modifications to FCC Form 175</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435180">
        <w:tab/>
      </w:r>
    </w:p>
    <w:p w:rsidR="00D6515C" w:rsidRPr="00435180" w:rsidP="00D6515C" w14:paraId="5E7E558E" w14:textId="77777777">
      <w:pPr>
        <w:pStyle w:val="Heading3"/>
        <w:rPr>
          <w:szCs w:val="22"/>
        </w:rPr>
      </w:pPr>
      <w:bookmarkStart w:id="1195" w:name="_Toc6383480"/>
      <w:bookmarkStart w:id="1196" w:name="_Toc7525805"/>
      <w:bookmarkStart w:id="1197" w:name="_Toc8657160"/>
      <w:bookmarkStart w:id="1198" w:name="_Toc9410686"/>
      <w:bookmarkStart w:id="1199" w:name="_Toc9430092"/>
      <w:bookmarkStart w:id="1200" w:name="_Toc10116855"/>
      <w:bookmarkStart w:id="1201" w:name="_Toc10646161"/>
      <w:bookmarkStart w:id="1202" w:name="_Toc11156565"/>
      <w:bookmarkStart w:id="1203" w:name="_Toc11244309"/>
      <w:bookmarkStart w:id="1204" w:name="_Toc11653565"/>
      <w:bookmarkStart w:id="1205" w:name="_Toc11678144"/>
      <w:bookmarkStart w:id="1206" w:name="_Toc13654731"/>
      <w:bookmarkStart w:id="1207" w:name="_Toc24459451"/>
      <w:bookmarkStart w:id="1208" w:name="_Toc24459548"/>
      <w:bookmarkStart w:id="1209" w:name="_Toc25926244"/>
      <w:bookmarkStart w:id="1210" w:name="_Toc25926822"/>
      <w:bookmarkStart w:id="1211" w:name="_Toc25926940"/>
      <w:bookmarkStart w:id="1212" w:name="_Toc27039003"/>
      <w:bookmarkStart w:id="1213" w:name="_Toc29813147"/>
      <w:bookmarkStart w:id="1214" w:name="_Toc29886872"/>
      <w:bookmarkStart w:id="1215" w:name="_Toc29999476"/>
      <w:bookmarkStart w:id="1216" w:name="_Toc30699402"/>
      <w:bookmarkStart w:id="1217" w:name="_Toc30701482"/>
      <w:bookmarkStart w:id="1218" w:name="_Toc31189303"/>
      <w:bookmarkStart w:id="1219" w:name="_Toc31189757"/>
      <w:bookmarkStart w:id="1220" w:name="_Toc31193124"/>
      <w:bookmarkStart w:id="1221" w:name="_Toc31195872"/>
      <w:bookmarkStart w:id="1222" w:name="_Toc31199996"/>
      <w:bookmarkStart w:id="1223" w:name="_Toc31713763"/>
      <w:bookmarkStart w:id="1224" w:name="_Toc31822672"/>
      <w:bookmarkStart w:id="1225" w:name="_Toc33629829"/>
      <w:bookmarkStart w:id="1226" w:name="_Toc33696681"/>
      <w:r w:rsidRPr="00435180">
        <w:rPr>
          <w:szCs w:val="22"/>
        </w:rPr>
        <w:t>Only Minor Modifications Allowed</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rsidR="00D6515C" w:rsidRPr="00435180" w:rsidP="00D850FB" w14:paraId="2FA51FA6" w14:textId="49B04418">
      <w:pPr>
        <w:pStyle w:val="ParaNum"/>
        <w:widowControl/>
        <w:autoSpaceDE w:val="0"/>
        <w:autoSpaceDN w:val="0"/>
        <w:adjustRightInd w:val="0"/>
        <w:rPr>
          <w:szCs w:val="22"/>
        </w:rPr>
      </w:pPr>
      <w:r w:rsidRPr="00435180">
        <w:rPr>
          <w:szCs w:val="22"/>
        </w:rPr>
        <w:t>After the initial FCC Form 175 filing deadline, an Auction 10</w:t>
      </w:r>
      <w:r w:rsidR="00866D51">
        <w:rPr>
          <w:szCs w:val="22"/>
        </w:rPr>
        <w:t>7</w:t>
      </w:r>
      <w:r w:rsidRPr="00435180">
        <w:rPr>
          <w:szCs w:val="22"/>
        </w:rPr>
        <w:t xml:space="preserve"> applicant will be permitted to make only minor</w:t>
      </w:r>
      <w:r w:rsidRPr="00435180">
        <w:rPr>
          <w:szCs w:val="22"/>
        </w:rPr>
        <w:t xml:space="preserve"> changes to its application consistent with the Commission’s rules.</w:t>
      </w:r>
      <w:r>
        <w:rPr>
          <w:rStyle w:val="FootnoteReference"/>
          <w:szCs w:val="22"/>
        </w:rPr>
        <w:footnoteReference w:id="225"/>
      </w:r>
      <w:r w:rsidRPr="00435180">
        <w:rPr>
          <w:szCs w:val="22"/>
        </w:rPr>
        <w:t xml:space="preserve">  Examples of minor changes include the deletion or addition of authorized bidders (to a maximum of three)</w:t>
      </w:r>
      <w:r w:rsidR="00B60EDF">
        <w:rPr>
          <w:szCs w:val="22"/>
        </w:rPr>
        <w:t xml:space="preserve"> and</w:t>
      </w:r>
      <w:r w:rsidRPr="00435180">
        <w:rPr>
          <w:szCs w:val="22"/>
        </w:rPr>
        <w:t xml:space="preserve"> the revision of addresses and telephone numbers of the applicant, its respon</w:t>
      </w:r>
      <w:r w:rsidRPr="00435180">
        <w:rPr>
          <w:szCs w:val="22"/>
        </w:rPr>
        <w:t>sible party, and its contact person</w:t>
      </w:r>
      <w:r w:rsidR="00B60EDF">
        <w:rPr>
          <w:szCs w:val="22"/>
        </w:rPr>
        <w:t>.</w:t>
      </w:r>
      <w:r w:rsidRPr="00435180">
        <w:rPr>
          <w:szCs w:val="22"/>
        </w:rPr>
        <w:t xml:space="preserve">  Major modification to an FCC Form 175 (e.g., change of </w:t>
      </w:r>
      <w:r w:rsidR="00CC02A0">
        <w:rPr>
          <w:szCs w:val="22"/>
        </w:rPr>
        <w:t>PEA</w:t>
      </w:r>
      <w:r w:rsidRPr="00435180" w:rsidR="00CC02A0">
        <w:rPr>
          <w:szCs w:val="22"/>
        </w:rPr>
        <w:t xml:space="preserve"> </w:t>
      </w:r>
      <w:r w:rsidRPr="00435180">
        <w:rPr>
          <w:szCs w:val="22"/>
        </w:rPr>
        <w:t>selection, certain changes in ownership that would constitute an assignment or transfer of control of the applicant, change in the required certifications, cha</w:t>
      </w:r>
      <w:r w:rsidRPr="00435180">
        <w:rPr>
          <w:szCs w:val="22"/>
        </w:rPr>
        <w:t>nge in applicant’s legal classification that results in a change in control, or change in claimed eligibility for a higher percentage of bidding credit) will not be permitted after the initial FCC Form 175 filing deadline.</w:t>
      </w:r>
      <w:r>
        <w:rPr>
          <w:szCs w:val="22"/>
          <w:vertAlign w:val="superscript"/>
        </w:rPr>
        <w:footnoteReference w:id="226"/>
      </w:r>
      <w:r w:rsidRPr="00435180">
        <w:rPr>
          <w:szCs w:val="22"/>
        </w:rPr>
        <w:t xml:space="preserve">  If an amendment reporting chan</w:t>
      </w:r>
      <w:r w:rsidRPr="00435180">
        <w:rPr>
          <w:szCs w:val="22"/>
        </w:rPr>
        <w:t>ges is a “major amendment,” as described in section 1.2105(b)(2), the major amendment will not be accepted and may result in the dismissal of the application.</w:t>
      </w:r>
      <w:r>
        <w:rPr>
          <w:rStyle w:val="FootnoteReference"/>
          <w:szCs w:val="22"/>
        </w:rPr>
        <w:footnoteReference w:id="227"/>
      </w:r>
    </w:p>
    <w:p w:rsidR="00D6515C" w:rsidRPr="00435180" w:rsidP="00D6515C" w14:paraId="6CBBEED4" w14:textId="77777777">
      <w:pPr>
        <w:pStyle w:val="Heading3"/>
        <w:rPr>
          <w:szCs w:val="22"/>
        </w:rPr>
      </w:pPr>
      <w:bookmarkStart w:id="1227" w:name="_Toc6383481"/>
      <w:bookmarkStart w:id="1228" w:name="_Toc7525806"/>
      <w:bookmarkStart w:id="1229" w:name="_Toc8657161"/>
      <w:bookmarkStart w:id="1230" w:name="_Toc9410687"/>
      <w:bookmarkStart w:id="1231" w:name="_Toc9430093"/>
      <w:bookmarkStart w:id="1232" w:name="_Toc10116856"/>
      <w:bookmarkStart w:id="1233" w:name="_Toc10646162"/>
      <w:bookmarkStart w:id="1234" w:name="_Toc11156566"/>
      <w:bookmarkStart w:id="1235" w:name="_Toc11244310"/>
      <w:bookmarkStart w:id="1236" w:name="_Toc11653566"/>
      <w:bookmarkStart w:id="1237" w:name="_Toc11678145"/>
      <w:bookmarkStart w:id="1238" w:name="_Toc13654732"/>
      <w:bookmarkStart w:id="1239" w:name="_Toc24459452"/>
      <w:bookmarkStart w:id="1240" w:name="_Toc24459549"/>
      <w:bookmarkStart w:id="1241" w:name="_Toc25926245"/>
      <w:bookmarkStart w:id="1242" w:name="_Toc25926823"/>
      <w:bookmarkStart w:id="1243" w:name="_Toc25926941"/>
      <w:bookmarkStart w:id="1244" w:name="_Toc27039004"/>
      <w:bookmarkStart w:id="1245" w:name="_Toc29813148"/>
      <w:bookmarkStart w:id="1246" w:name="_Toc29886873"/>
      <w:bookmarkStart w:id="1247" w:name="_Toc29999477"/>
      <w:bookmarkStart w:id="1248" w:name="_Toc30699403"/>
      <w:bookmarkStart w:id="1249" w:name="_Toc30701483"/>
      <w:bookmarkStart w:id="1250" w:name="_Toc31189304"/>
      <w:bookmarkStart w:id="1251" w:name="_Toc31189758"/>
      <w:bookmarkStart w:id="1252" w:name="_Toc31193125"/>
      <w:bookmarkStart w:id="1253" w:name="_Toc31195873"/>
      <w:bookmarkStart w:id="1254" w:name="_Toc31199997"/>
      <w:bookmarkStart w:id="1255" w:name="_Toc31713764"/>
      <w:bookmarkStart w:id="1256" w:name="_Toc31822673"/>
      <w:bookmarkStart w:id="1257" w:name="_Toc33629830"/>
      <w:bookmarkStart w:id="1258" w:name="_Toc33696682"/>
      <w:r w:rsidRPr="00435180">
        <w:rPr>
          <w:szCs w:val="22"/>
        </w:rPr>
        <w:t>Duty to Maintain Accuracy and Completeness of FCC Form 175</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rsidR="00D6515C" w:rsidRPr="00435180" w:rsidP="00D850FB" w14:paraId="00C63ED2" w14:textId="19E915E7">
      <w:pPr>
        <w:pStyle w:val="ParaNum"/>
        <w:widowControl/>
        <w:autoSpaceDE w:val="0"/>
        <w:autoSpaceDN w:val="0"/>
        <w:adjustRightInd w:val="0"/>
        <w:rPr>
          <w:szCs w:val="22"/>
        </w:rPr>
      </w:pPr>
      <w:r w:rsidRPr="00435180">
        <w:rPr>
          <w:szCs w:val="22"/>
        </w:rPr>
        <w:t>Pursuant to section 1.65 of the Comm</w:t>
      </w:r>
      <w:r w:rsidRPr="00435180">
        <w:rPr>
          <w:szCs w:val="22"/>
        </w:rPr>
        <w:t>ission’s rules, each applicant has a continuing obligation to maintain the accuracy and completeness of information furnished in a pending application, including a pending application to participate in Auction 10</w:t>
      </w:r>
      <w:r w:rsidR="008F169F">
        <w:rPr>
          <w:szCs w:val="22"/>
        </w:rPr>
        <w:t>7</w:t>
      </w:r>
      <w:r w:rsidRPr="00435180">
        <w:rPr>
          <w:szCs w:val="22"/>
        </w:rPr>
        <w:t>.</w:t>
      </w:r>
      <w:r>
        <w:rPr>
          <w:rStyle w:val="FootnoteReference"/>
          <w:szCs w:val="22"/>
        </w:rPr>
        <w:footnoteReference w:id="228"/>
      </w:r>
      <w:r w:rsidRPr="00435180">
        <w:rPr>
          <w:szCs w:val="22"/>
        </w:rPr>
        <w:t xml:space="preserve">  Consistent with the requirements for o</w:t>
      </w:r>
      <w:r w:rsidRPr="00435180">
        <w:rPr>
          <w:szCs w:val="22"/>
        </w:rPr>
        <w:t>ur spectrum auctions, an applicant for Auction 10</w:t>
      </w:r>
      <w:r w:rsidR="008F169F">
        <w:rPr>
          <w:szCs w:val="22"/>
        </w:rPr>
        <w:t>7</w:t>
      </w:r>
      <w:r w:rsidRPr="00435180">
        <w:rPr>
          <w:szCs w:val="22"/>
        </w:rPr>
        <w:t xml:space="preserve"> must furnish additional or corrected information to the Commission within five business days after a significant occurrence, or amend its FCC Form 175 no more than five business days after the applicant be</w:t>
      </w:r>
      <w:r w:rsidRPr="00435180">
        <w:rPr>
          <w:szCs w:val="22"/>
        </w:rPr>
        <w:t>comes aware of the need for the amendment.</w:t>
      </w:r>
      <w:r>
        <w:rPr>
          <w:rStyle w:val="FootnoteReference"/>
          <w:szCs w:val="22"/>
        </w:rPr>
        <w:footnoteReference w:id="229"/>
      </w:r>
      <w:r w:rsidRPr="00435180">
        <w:rPr>
          <w:szCs w:val="22"/>
        </w:rPr>
        <w:t xml:space="preserve">  An applicant is obligated to amend its pending application even if a reported change may result in the dismissal of the application because it is subsequently determined to be a major modification.</w:t>
      </w:r>
    </w:p>
    <w:p w:rsidR="00D6515C" w:rsidRPr="00435180" w:rsidP="00D6515C" w14:paraId="50649EE2" w14:textId="77777777">
      <w:pPr>
        <w:pStyle w:val="Heading3"/>
        <w:rPr>
          <w:szCs w:val="22"/>
        </w:rPr>
      </w:pPr>
      <w:bookmarkStart w:id="1259" w:name="_Toc6383482"/>
      <w:bookmarkStart w:id="1260" w:name="_Toc7525807"/>
      <w:bookmarkStart w:id="1261" w:name="_Toc8657162"/>
      <w:bookmarkStart w:id="1262" w:name="_Toc9410688"/>
      <w:bookmarkStart w:id="1263" w:name="_Toc9430094"/>
      <w:bookmarkStart w:id="1264" w:name="_Toc10116857"/>
      <w:bookmarkStart w:id="1265" w:name="_Toc10646163"/>
      <w:bookmarkStart w:id="1266" w:name="_Toc11156567"/>
      <w:bookmarkStart w:id="1267" w:name="_Toc11244311"/>
      <w:bookmarkStart w:id="1268" w:name="_Toc11653567"/>
      <w:bookmarkStart w:id="1269" w:name="_Toc11678146"/>
      <w:bookmarkStart w:id="1270" w:name="_Toc13654733"/>
      <w:bookmarkStart w:id="1271" w:name="_Toc24459453"/>
      <w:bookmarkStart w:id="1272" w:name="_Toc24459550"/>
      <w:bookmarkStart w:id="1273" w:name="_Toc25926246"/>
      <w:bookmarkStart w:id="1274" w:name="_Toc25926824"/>
      <w:bookmarkStart w:id="1275" w:name="_Toc25926942"/>
      <w:bookmarkStart w:id="1276" w:name="_Toc27039005"/>
      <w:bookmarkStart w:id="1277" w:name="_Toc29813149"/>
      <w:bookmarkStart w:id="1278" w:name="_Toc29886874"/>
      <w:bookmarkStart w:id="1279" w:name="_Toc29999478"/>
      <w:bookmarkStart w:id="1280" w:name="_Toc30699404"/>
      <w:bookmarkStart w:id="1281" w:name="_Toc30701484"/>
      <w:bookmarkStart w:id="1282" w:name="_Toc31189305"/>
      <w:bookmarkStart w:id="1283" w:name="_Toc31189759"/>
      <w:bookmarkStart w:id="1284" w:name="_Toc31193126"/>
      <w:bookmarkStart w:id="1285" w:name="_Toc31195874"/>
      <w:bookmarkStart w:id="1286" w:name="_Toc31199998"/>
      <w:bookmarkStart w:id="1287" w:name="_Toc31713765"/>
      <w:bookmarkStart w:id="1288" w:name="_Toc31822674"/>
      <w:bookmarkStart w:id="1289" w:name="_Toc33629831"/>
      <w:bookmarkStart w:id="1290" w:name="_Toc33696683"/>
      <w:r w:rsidRPr="00435180">
        <w:rPr>
          <w:szCs w:val="22"/>
        </w:rPr>
        <w:t>Modifying an</w:t>
      </w:r>
      <w:r w:rsidRPr="00435180">
        <w:rPr>
          <w:szCs w:val="22"/>
        </w:rPr>
        <w:t xml:space="preserve"> FCC Form 175</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435180">
        <w:rPr>
          <w:szCs w:val="22"/>
        </w:rPr>
        <w:tab/>
      </w:r>
    </w:p>
    <w:p w:rsidR="00D6515C" w:rsidRPr="00435180" w:rsidP="00D850FB" w14:paraId="3F301E77" w14:textId="1DF9ED27">
      <w:pPr>
        <w:pStyle w:val="ParaNum"/>
        <w:widowControl/>
        <w:autoSpaceDE w:val="0"/>
        <w:autoSpaceDN w:val="0"/>
        <w:adjustRightInd w:val="0"/>
        <w:rPr>
          <w:szCs w:val="22"/>
        </w:rPr>
      </w:pPr>
      <w:r w:rsidRPr="00435180">
        <w:rPr>
          <w:szCs w:val="22"/>
        </w:rPr>
        <w:t xml:space="preserve">As noted above, </w:t>
      </w:r>
      <w:bookmarkStart w:id="1291" w:name="_Hlk497983442"/>
      <w:r w:rsidRPr="00435180">
        <w:rPr>
          <w:szCs w:val="22"/>
        </w:rPr>
        <w:t>a party seeking to participate in Auction 10</w:t>
      </w:r>
      <w:r w:rsidR="00E06FDF">
        <w:rPr>
          <w:szCs w:val="22"/>
        </w:rPr>
        <w:t>7</w:t>
      </w:r>
      <w:r w:rsidRPr="00435180">
        <w:rPr>
          <w:szCs w:val="22"/>
        </w:rPr>
        <w:t xml:space="preserve"> must file an FCC Form 175 electronically via the FCC’s </w:t>
      </w:r>
      <w:bookmarkEnd w:id="1291"/>
      <w:r w:rsidRPr="00435180">
        <w:rPr>
          <w:szCs w:val="22"/>
        </w:rPr>
        <w:t xml:space="preserve">Auction Application System.  During the initial filing window, an applicant will be able to make any necessary </w:t>
      </w:r>
      <w:r w:rsidRPr="00435180">
        <w:rPr>
          <w:szCs w:val="22"/>
        </w:rPr>
        <w:t>modifications to its FCC Form 175 in the Auction Application System.  An applicant that has certified and submitted its FCC Form 175 before the close of the initial filing window may continue to make modifications as often as necessary until the close of t</w:t>
      </w:r>
      <w:r w:rsidRPr="00435180">
        <w:rPr>
          <w:szCs w:val="22"/>
        </w:rPr>
        <w:t xml:space="preserve">hat window; however, the applicant must re-certify and re-submit its FCC Form 175 before the close of the initial filing window to confirm and effect its latest application changes.  After each submission, a confirmation page will be displayed stating the </w:t>
      </w:r>
      <w:r w:rsidRPr="00435180">
        <w:rPr>
          <w:szCs w:val="22"/>
        </w:rPr>
        <w:t>submission time and submission date.</w:t>
      </w:r>
      <w:r>
        <w:rPr>
          <w:rStyle w:val="FootnoteReference"/>
          <w:szCs w:val="22"/>
        </w:rPr>
        <w:footnoteReference w:id="230"/>
      </w:r>
    </w:p>
    <w:p w:rsidR="00D6515C" w:rsidRPr="00435180" w:rsidP="00D850FB" w14:paraId="340DA2C8" w14:textId="180BA76B">
      <w:pPr>
        <w:pStyle w:val="ParaNum"/>
        <w:widowControl/>
        <w:autoSpaceDE w:val="0"/>
        <w:autoSpaceDN w:val="0"/>
        <w:adjustRightInd w:val="0"/>
        <w:rPr>
          <w:szCs w:val="22"/>
        </w:rPr>
      </w:pPr>
      <w:bookmarkStart w:id="1292" w:name="_Hlk497927521"/>
      <w:r w:rsidRPr="00435180">
        <w:rPr>
          <w:szCs w:val="22"/>
        </w:rPr>
        <w:t>An applicant will also be allowed to modify its FCC Form 175 in the Auction Application System, except for certain fields,</w:t>
      </w:r>
      <w:r>
        <w:rPr>
          <w:rStyle w:val="FootnoteReference"/>
          <w:szCs w:val="22"/>
        </w:rPr>
        <w:footnoteReference w:id="231"/>
      </w:r>
      <w:r w:rsidRPr="00435180">
        <w:rPr>
          <w:szCs w:val="22"/>
        </w:rPr>
        <w:t xml:space="preserve"> during the resubmission filing window and after the release of the public notice announcing </w:t>
      </w:r>
      <w:r w:rsidRPr="00435180">
        <w:rPr>
          <w:szCs w:val="22"/>
        </w:rPr>
        <w:t xml:space="preserve">the qualified bidders for an auction.  During these times, if an applicant needs to make permissible minor changes to its FCC Form 175 or must make changes in order to maintain the accuracy and completeness of its application pursuant to sections 1.65 and </w:t>
      </w:r>
      <w:r w:rsidRPr="00435180">
        <w:rPr>
          <w:szCs w:val="22"/>
        </w:rPr>
        <w:t xml:space="preserve">1.2105(b)(4), </w:t>
      </w:r>
      <w:r w:rsidR="00D5621A">
        <w:rPr>
          <w:szCs w:val="22"/>
        </w:rPr>
        <w:t xml:space="preserve">then </w:t>
      </w:r>
      <w:r w:rsidRPr="00435180">
        <w:rPr>
          <w:szCs w:val="22"/>
        </w:rPr>
        <w:t xml:space="preserve">it must make the change(s) in the Auction Application System and re-certify and re-submit its application to confirm and effect the change(s).  </w:t>
      </w:r>
    </w:p>
    <w:p w:rsidR="00D6515C" w:rsidRPr="00435180" w:rsidP="00D850FB" w14:paraId="0A2AAD8C" w14:textId="66794FDA">
      <w:pPr>
        <w:pStyle w:val="ParaNum"/>
        <w:widowControl/>
        <w:autoSpaceDE w:val="0"/>
        <w:autoSpaceDN w:val="0"/>
        <w:adjustRightInd w:val="0"/>
        <w:rPr>
          <w:szCs w:val="22"/>
        </w:rPr>
      </w:pPr>
      <w:r w:rsidRPr="00435180">
        <w:rPr>
          <w:szCs w:val="22"/>
        </w:rPr>
        <w:t xml:space="preserve">An applicant’s ability to modify its FCC Form 175 in the Auction Application System will </w:t>
      </w:r>
      <w:r w:rsidRPr="00435180">
        <w:rPr>
          <w:szCs w:val="22"/>
        </w:rPr>
        <w:t>be limited between the closing of the initial filing window and the opening of the application resubmission filing window, and between the closing of the resubmission filing window and the release of the public notice announcing the qualified bidders for a</w:t>
      </w:r>
      <w:r w:rsidRPr="00435180">
        <w:rPr>
          <w:szCs w:val="22"/>
        </w:rPr>
        <w:t>n auction.  During these periods, an applicant will be able to view its submitted application, but will be permitted to modify only the applicant’s address, responsible party address,</w:t>
      </w:r>
      <w:r w:rsidR="00DB0ABB">
        <w:rPr>
          <w:szCs w:val="22"/>
        </w:rPr>
        <w:t xml:space="preserve"> and</w:t>
      </w:r>
      <w:r w:rsidRPr="00435180">
        <w:rPr>
          <w:szCs w:val="22"/>
        </w:rPr>
        <w:t xml:space="preserve"> contact information (e.g., name, address, telephone number, etc.)</w:t>
      </w:r>
      <w:r w:rsidR="00DB0ABB">
        <w:rPr>
          <w:szCs w:val="22"/>
        </w:rPr>
        <w:t xml:space="preserve"> </w:t>
      </w:r>
      <w:r w:rsidRPr="00435180">
        <w:rPr>
          <w:szCs w:val="22"/>
        </w:rPr>
        <w:t>in</w:t>
      </w:r>
      <w:r w:rsidRPr="00435180">
        <w:rPr>
          <w:szCs w:val="22"/>
        </w:rPr>
        <w:t xml:space="preserve"> the Auction Application System.  An applicant will not be able to modify any other pages of the FCC Form 175 in the Auction Application System during these periods.  If, during these periods, an applicant </w:t>
      </w:r>
      <w:r w:rsidRPr="00435180">
        <w:rPr>
          <w:szCs w:val="22"/>
        </w:rPr>
        <w:t>needs to make other permissible minor changes to i</w:t>
      </w:r>
      <w:r w:rsidRPr="00435180">
        <w:rPr>
          <w:szCs w:val="22"/>
        </w:rPr>
        <w:t xml:space="preserve">ts FCC Form 175, or changes to maintain the accuracy and completeness of its application pursuant to sections 1.65 and 1.2105(b)(4), </w:t>
      </w:r>
      <w:r w:rsidR="005E072F">
        <w:rPr>
          <w:szCs w:val="22"/>
        </w:rPr>
        <w:t xml:space="preserve">then </w:t>
      </w:r>
      <w:r w:rsidRPr="00435180">
        <w:rPr>
          <w:szCs w:val="22"/>
        </w:rPr>
        <w:t xml:space="preserve">the applicant must submit a letter briefly summarizing the changes to its FCC Form 175 via email to </w:t>
      </w:r>
      <w:hyperlink r:id="rId6" w:history="1">
        <w:r w:rsidRPr="00805D5F" w:rsidR="00805D5F">
          <w:rPr>
            <w:rStyle w:val="Hyperlink"/>
            <w:szCs w:val="22"/>
          </w:rPr>
          <w:t>auction107@fcc.gov</w:t>
        </w:r>
      </w:hyperlink>
      <w:r w:rsidRPr="00435180">
        <w:rPr>
          <w:szCs w:val="22"/>
        </w:rPr>
        <w:t>.  The email summarizing the changes must include a subject line referring to Auction 10</w:t>
      </w:r>
      <w:r w:rsidR="00805D5F">
        <w:rPr>
          <w:szCs w:val="22"/>
        </w:rPr>
        <w:t>7</w:t>
      </w:r>
      <w:r w:rsidRPr="00435180">
        <w:rPr>
          <w:szCs w:val="22"/>
        </w:rPr>
        <w:t xml:space="preserve"> and the name of the applicant, for example, “Re: Changes to Auction 10</w:t>
      </w:r>
      <w:r w:rsidR="00805D5F">
        <w:rPr>
          <w:szCs w:val="22"/>
        </w:rPr>
        <w:t>7</w:t>
      </w:r>
      <w:r w:rsidRPr="00435180">
        <w:rPr>
          <w:szCs w:val="22"/>
        </w:rPr>
        <w:t xml:space="preserve"> Auction Application of XYZ Corp.”  Any attachments t</w:t>
      </w:r>
      <w:r w:rsidRPr="00435180">
        <w:rPr>
          <w:szCs w:val="22"/>
        </w:rPr>
        <w:t xml:space="preserve">o the email must be formatted as Adobe® Acrobat® (PDF) or Microsoft® Word documents.  An applicant that submits its changes in this manner must subsequently </w:t>
      </w:r>
      <w:bookmarkStart w:id="1293" w:name="_Hlk497983721"/>
      <w:r w:rsidRPr="00435180">
        <w:rPr>
          <w:szCs w:val="22"/>
        </w:rPr>
        <w:t xml:space="preserve">modify, certify, and submit </w:t>
      </w:r>
      <w:bookmarkEnd w:id="1293"/>
      <w:r w:rsidRPr="00435180">
        <w:rPr>
          <w:szCs w:val="22"/>
        </w:rPr>
        <w:t>its FCC Form 175 application(s) electronically in the Auction Applicati</w:t>
      </w:r>
      <w:r w:rsidRPr="00435180">
        <w:rPr>
          <w:szCs w:val="22"/>
        </w:rPr>
        <w:t xml:space="preserve">on System once it is again open and available to applicants.  </w:t>
      </w:r>
    </w:p>
    <w:bookmarkEnd w:id="1292"/>
    <w:p w:rsidR="00D6515C" w:rsidRPr="00435180" w:rsidP="00D850FB" w14:paraId="22509400" w14:textId="12227AD5">
      <w:pPr>
        <w:pStyle w:val="ParaNum"/>
        <w:widowControl/>
        <w:autoSpaceDE w:val="0"/>
        <w:autoSpaceDN w:val="0"/>
        <w:adjustRightInd w:val="0"/>
        <w:rPr>
          <w:szCs w:val="22"/>
        </w:rPr>
      </w:pPr>
      <w:r w:rsidRPr="00435180">
        <w:rPr>
          <w:szCs w:val="22"/>
        </w:rPr>
        <w:t xml:space="preserve">Applicants should also note that even at times when the Auction Application System is open and available to applicants, the system will not allow an applicant to make certain other permissible </w:t>
      </w:r>
      <w:r w:rsidRPr="00435180">
        <w:rPr>
          <w:szCs w:val="22"/>
        </w:rPr>
        <w:t>changes itself (e.g., correcting a misstatement of the applicant’s legal classification).</w:t>
      </w:r>
      <w:r>
        <w:rPr>
          <w:rStyle w:val="FootnoteReference"/>
          <w:szCs w:val="22"/>
        </w:rPr>
        <w:footnoteReference w:id="232"/>
      </w:r>
      <w:r w:rsidRPr="00435180">
        <w:rPr>
          <w:szCs w:val="22"/>
        </w:rPr>
        <w:t xml:space="preserve">  If an applicant needs to make a permissible minor change of this nature, </w:t>
      </w:r>
      <w:r w:rsidR="000349E9">
        <w:rPr>
          <w:szCs w:val="22"/>
        </w:rPr>
        <w:t xml:space="preserve">then </w:t>
      </w:r>
      <w:r w:rsidRPr="00435180">
        <w:rPr>
          <w:szCs w:val="22"/>
        </w:rPr>
        <w:t xml:space="preserve">it must submit a written request </w:t>
      </w:r>
      <w:r w:rsidR="00113DF8">
        <w:rPr>
          <w:szCs w:val="22"/>
        </w:rPr>
        <w:t>b</w:t>
      </w:r>
      <w:r w:rsidRPr="00435180" w:rsidR="00113DF8">
        <w:rPr>
          <w:szCs w:val="22"/>
        </w:rPr>
        <w:t xml:space="preserve">y email to </w:t>
      </w:r>
      <w:r w:rsidR="00113DF8">
        <w:rPr>
          <w:szCs w:val="22"/>
        </w:rPr>
        <w:t xml:space="preserve">the Auctions Division Chief, </w:t>
      </w:r>
      <w:r w:rsidR="001D5E85">
        <w:rPr>
          <w:szCs w:val="22"/>
        </w:rPr>
        <w:t xml:space="preserve">via </w:t>
      </w:r>
      <w:hyperlink r:id="rId6" w:history="1">
        <w:r w:rsidRPr="001477F8" w:rsidR="001477F8">
          <w:rPr>
            <w:rStyle w:val="Hyperlink"/>
            <w:szCs w:val="22"/>
          </w:rPr>
          <w:t>auction107@fcc.gov</w:t>
        </w:r>
      </w:hyperlink>
      <w:r w:rsidRPr="00435180">
        <w:rPr>
          <w:szCs w:val="22"/>
        </w:rPr>
        <w:t xml:space="preserve"> requesting that the Commission manually make the change on the applicant’s behalf.  Once Commission staff has informed the applicant that the change has been made in the Auction Application System, the </w:t>
      </w:r>
      <w:r w:rsidRPr="00435180">
        <w:rPr>
          <w:szCs w:val="22"/>
        </w:rPr>
        <w:t xml:space="preserve">applicant must then re-certify and re-submit its FCC Form 175 in the Auction Application System to confirm and effect the change(s).   </w:t>
      </w:r>
    </w:p>
    <w:p w:rsidR="00D6515C" w:rsidRPr="00435180" w:rsidP="00D850FB" w14:paraId="084A8A10" w14:textId="77777777">
      <w:pPr>
        <w:pStyle w:val="ParaNum"/>
        <w:widowControl/>
        <w:autoSpaceDE w:val="0"/>
        <w:autoSpaceDN w:val="0"/>
        <w:adjustRightInd w:val="0"/>
        <w:rPr>
          <w:szCs w:val="22"/>
        </w:rPr>
      </w:pPr>
      <w:r w:rsidRPr="00435180">
        <w:rPr>
          <w:szCs w:val="22"/>
        </w:rPr>
        <w:t>As with filing the FCC Form 175, any amendment(s) to the application and related statements of fact must be certified by</w:t>
      </w:r>
      <w:r w:rsidRPr="00435180">
        <w:rPr>
          <w:szCs w:val="22"/>
        </w:rPr>
        <w:t xml:space="preserve"> an authorized representative of the applicant with authority to bind the applicant.  Applicants should note that submission of any such amendment or related statement of fact constitutes a representation by the person certifying that he or she is an autho</w:t>
      </w:r>
      <w:r w:rsidRPr="00435180">
        <w:rPr>
          <w:szCs w:val="22"/>
        </w:rPr>
        <w:t xml:space="preserve">rized representative with such authority and that the contents of the amendment or statement of fact are true and correct.  </w:t>
      </w:r>
    </w:p>
    <w:p w:rsidR="00D6515C" w:rsidRPr="00435180" w:rsidP="00D6515C" w14:paraId="2E9F34EC" w14:textId="4C50D1AA">
      <w:pPr>
        <w:pStyle w:val="ParaNum"/>
        <w:widowControl/>
        <w:rPr>
          <w:szCs w:val="22"/>
        </w:rPr>
      </w:pPr>
      <w:r w:rsidRPr="00435180">
        <w:rPr>
          <w:szCs w:val="22"/>
        </w:rPr>
        <w:t>Applicants must not submit application-specific material through the Commission’s Electronic Comment Filing System.  Further, as di</w:t>
      </w:r>
      <w:r w:rsidRPr="00435180">
        <w:rPr>
          <w:szCs w:val="22"/>
        </w:rPr>
        <w:t>scussed above,</w:t>
      </w:r>
      <w:r w:rsidRPr="00435180">
        <w:rPr>
          <w:i/>
          <w:szCs w:val="22"/>
        </w:rPr>
        <w:t xml:space="preserve"> </w:t>
      </w:r>
      <w:r w:rsidRPr="00435180">
        <w:rPr>
          <w:szCs w:val="22"/>
        </w:rPr>
        <w:t>parties submitting information related to their applications should use caution to ensure that their submissions do not contain confidential information or communicate information that would violate section 1.2105(c) or the limited informati</w:t>
      </w:r>
      <w:r w:rsidRPr="00435180">
        <w:rPr>
          <w:szCs w:val="22"/>
        </w:rPr>
        <w:t>on procedures adopted for Auction 10</w:t>
      </w:r>
      <w:r w:rsidR="001477F8">
        <w:rPr>
          <w:szCs w:val="22"/>
        </w:rPr>
        <w:t>7</w:t>
      </w:r>
      <w:r w:rsidRPr="00435180">
        <w:rPr>
          <w:szCs w:val="22"/>
        </w:rPr>
        <w:t xml:space="preserve">.  An applicant seeking to submit, outside of the Auction Application System, information that might reflect non-public information, such as an applicant’s </w:t>
      </w:r>
      <w:r w:rsidR="00343166">
        <w:rPr>
          <w:szCs w:val="22"/>
        </w:rPr>
        <w:t>PEA</w:t>
      </w:r>
      <w:r w:rsidRPr="00435180" w:rsidR="00343166">
        <w:rPr>
          <w:szCs w:val="22"/>
        </w:rPr>
        <w:t xml:space="preserve"> </w:t>
      </w:r>
      <w:r w:rsidRPr="00435180">
        <w:rPr>
          <w:szCs w:val="22"/>
        </w:rPr>
        <w:t>selection(s), upfront payment amount, or bidding eligibilit</w:t>
      </w:r>
      <w:r w:rsidRPr="00435180">
        <w:rPr>
          <w:szCs w:val="22"/>
        </w:rPr>
        <w:t xml:space="preserve">y, should consider including in its email a request that the filing or portions of the filing be withheld from public inspection until the end of the </w:t>
      </w:r>
      <w:r>
        <w:rPr>
          <w:szCs w:val="22"/>
        </w:rPr>
        <w:t>prohibition o</w:t>
      </w:r>
      <w:r w:rsidR="00036B66">
        <w:rPr>
          <w:szCs w:val="22"/>
        </w:rPr>
        <w:t>n</w:t>
      </w:r>
      <w:r w:rsidRPr="00435180">
        <w:rPr>
          <w:szCs w:val="22"/>
        </w:rPr>
        <w:t xml:space="preserve"> certain communications pursuant to section 1.2105(c). </w:t>
      </w:r>
    </w:p>
    <w:p w:rsidR="00D6515C" w:rsidRPr="00435180" w:rsidP="00D6515C" w14:paraId="2CBE028D" w14:textId="77777777">
      <w:pPr>
        <w:pStyle w:val="ParaNum"/>
        <w:widowControl/>
        <w:ind w:left="90"/>
        <w:rPr>
          <w:szCs w:val="22"/>
        </w:rPr>
      </w:pPr>
      <w:r w:rsidRPr="00435180">
        <w:rPr>
          <w:szCs w:val="22"/>
        </w:rPr>
        <w:t xml:space="preserve">Questions about FCC Form 175 </w:t>
      </w:r>
      <w:r w:rsidRPr="00435180">
        <w:rPr>
          <w:szCs w:val="22"/>
        </w:rPr>
        <w:t>amendments should be directed to the Auctions Division at (202) 418-0660.</w:t>
      </w:r>
    </w:p>
    <w:p w:rsidR="00D6515C" w:rsidRPr="00435180" w:rsidP="00D6515C" w14:paraId="10749346" w14:textId="1FD0D9B5">
      <w:pPr>
        <w:pStyle w:val="Heading1"/>
        <w:rPr>
          <w:rFonts w:ascii="Times New Roman" w:hAnsi="Times New Roman"/>
          <w:szCs w:val="22"/>
        </w:rPr>
      </w:pPr>
      <w:bookmarkStart w:id="1294" w:name="_Toc6383483"/>
      <w:bookmarkStart w:id="1295" w:name="_Toc7525808"/>
      <w:bookmarkStart w:id="1296" w:name="_Toc8657163"/>
      <w:bookmarkStart w:id="1297" w:name="_Toc9410689"/>
      <w:bookmarkStart w:id="1298" w:name="_Toc9430095"/>
      <w:bookmarkStart w:id="1299" w:name="_Toc10116858"/>
      <w:bookmarkStart w:id="1300" w:name="_Toc10646164"/>
      <w:bookmarkStart w:id="1301" w:name="_Toc11156568"/>
      <w:bookmarkStart w:id="1302" w:name="_Toc11244312"/>
      <w:bookmarkStart w:id="1303" w:name="_Toc11653568"/>
      <w:bookmarkStart w:id="1304" w:name="_Toc11678147"/>
      <w:bookmarkStart w:id="1305" w:name="_Toc13654734"/>
      <w:bookmarkStart w:id="1306" w:name="_Toc24459454"/>
      <w:bookmarkStart w:id="1307" w:name="_Toc24459551"/>
      <w:bookmarkStart w:id="1308" w:name="_Toc25926247"/>
      <w:bookmarkStart w:id="1309" w:name="_Toc25926825"/>
      <w:bookmarkStart w:id="1310" w:name="_Toc25926943"/>
      <w:bookmarkStart w:id="1311" w:name="_Toc27039006"/>
      <w:bookmarkStart w:id="1312" w:name="_Toc29813150"/>
      <w:bookmarkStart w:id="1313" w:name="_Toc29886875"/>
      <w:bookmarkStart w:id="1314" w:name="_Toc29999479"/>
      <w:bookmarkStart w:id="1315" w:name="_Toc30699405"/>
      <w:bookmarkStart w:id="1316" w:name="_Toc30701485"/>
      <w:bookmarkStart w:id="1317" w:name="_Toc31189306"/>
      <w:bookmarkStart w:id="1318" w:name="_Toc31189760"/>
      <w:bookmarkStart w:id="1319" w:name="_Toc31193127"/>
      <w:bookmarkStart w:id="1320" w:name="_Toc31195875"/>
      <w:bookmarkStart w:id="1321" w:name="_Toc31199999"/>
      <w:bookmarkStart w:id="1322" w:name="_Toc31713766"/>
      <w:bookmarkStart w:id="1323" w:name="_Toc31822675"/>
      <w:bookmarkStart w:id="1324" w:name="_Toc33629832"/>
      <w:bookmarkStart w:id="1325" w:name="_Toc33696684"/>
      <w:r w:rsidRPr="00435180">
        <w:rPr>
          <w:rFonts w:ascii="Times New Roman" w:hAnsi="Times New Roman"/>
          <w:szCs w:val="22"/>
        </w:rPr>
        <w:t>Preparing for Bidding in Auction 10</w:t>
      </w:r>
      <w:bookmarkEnd w:id="1294"/>
      <w:bookmarkEnd w:id="1295"/>
      <w:bookmarkEnd w:id="1296"/>
      <w:bookmarkEnd w:id="1297"/>
      <w:bookmarkEnd w:id="1298"/>
      <w:bookmarkEnd w:id="1299"/>
      <w:bookmarkEnd w:id="1300"/>
      <w:bookmarkEnd w:id="1301"/>
      <w:bookmarkEnd w:id="1302"/>
      <w:bookmarkEnd w:id="1303"/>
      <w:bookmarkEnd w:id="1304"/>
      <w:bookmarkEnd w:id="1305"/>
      <w:r w:rsidR="00716F1F">
        <w:rPr>
          <w:rFonts w:ascii="Times New Roman" w:hAnsi="Times New Roman"/>
          <w:szCs w:val="22"/>
        </w:rPr>
        <w:t>7</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rsidR="00323349" w:rsidRPr="00435180" w:rsidP="00323349" w14:paraId="0EBBF248" w14:textId="77777777">
      <w:pPr>
        <w:pStyle w:val="Heading2"/>
      </w:pPr>
      <w:bookmarkStart w:id="1326" w:name="_Toc6383484"/>
      <w:bookmarkStart w:id="1327" w:name="_Toc7525809"/>
      <w:bookmarkStart w:id="1328" w:name="_Toc8657164"/>
      <w:bookmarkStart w:id="1329" w:name="_Toc9410690"/>
      <w:bookmarkStart w:id="1330" w:name="_Toc9430096"/>
      <w:bookmarkStart w:id="1331" w:name="_Toc10116859"/>
      <w:bookmarkStart w:id="1332" w:name="_Toc10646165"/>
      <w:bookmarkStart w:id="1333" w:name="_Toc11156569"/>
      <w:bookmarkStart w:id="1334" w:name="_Toc11244313"/>
      <w:bookmarkStart w:id="1335" w:name="_Toc11653569"/>
      <w:bookmarkStart w:id="1336" w:name="_Toc11678148"/>
      <w:bookmarkStart w:id="1337" w:name="_Toc13654735"/>
      <w:bookmarkStart w:id="1338" w:name="_Toc24459455"/>
      <w:bookmarkStart w:id="1339" w:name="_Toc24459552"/>
      <w:bookmarkStart w:id="1340" w:name="_Toc25926248"/>
      <w:bookmarkStart w:id="1341" w:name="_Toc25926826"/>
      <w:bookmarkStart w:id="1342" w:name="_Toc25926944"/>
      <w:bookmarkStart w:id="1343" w:name="_Toc27039007"/>
      <w:bookmarkStart w:id="1344" w:name="_Toc29813151"/>
      <w:bookmarkStart w:id="1345" w:name="_Toc29886876"/>
      <w:bookmarkStart w:id="1346" w:name="_Toc29999480"/>
      <w:bookmarkStart w:id="1347" w:name="_Toc30699406"/>
      <w:bookmarkStart w:id="1348" w:name="_Toc30701486"/>
      <w:bookmarkStart w:id="1349" w:name="_Toc31189307"/>
      <w:bookmarkStart w:id="1350" w:name="_Toc31189761"/>
      <w:bookmarkStart w:id="1351" w:name="_Toc31193128"/>
      <w:bookmarkStart w:id="1352" w:name="_Toc31195876"/>
      <w:bookmarkStart w:id="1353" w:name="_Toc31200000"/>
      <w:bookmarkStart w:id="1354" w:name="_Toc31713767"/>
      <w:bookmarkStart w:id="1355" w:name="_Toc31822676"/>
      <w:bookmarkStart w:id="1356" w:name="_Toc33629833"/>
      <w:bookmarkStart w:id="1357" w:name="_Toc33696685"/>
      <w:r w:rsidRPr="00435180">
        <w:t>Due Diligence</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rsidR="00D6515C" w:rsidRPr="00435180" w:rsidP="00D6515C" w14:paraId="0C06F9C0" w14:textId="4FCEF161">
      <w:pPr>
        <w:pStyle w:val="ParaNum"/>
        <w:widowControl/>
        <w:rPr>
          <w:szCs w:val="22"/>
        </w:rPr>
      </w:pPr>
      <w:r w:rsidRPr="00435180">
        <w:rPr>
          <w:szCs w:val="22"/>
        </w:rPr>
        <w:t>We remind each potential bidder that it is solely responsible for investigating and evaluating all technical and marketplace factor</w:t>
      </w:r>
      <w:r w:rsidRPr="00435180">
        <w:rPr>
          <w:szCs w:val="22"/>
        </w:rPr>
        <w:t>s that may have a bearing on the value of the licenses that it is seeking in Auction 10</w:t>
      </w:r>
      <w:r w:rsidR="002349BC">
        <w:rPr>
          <w:szCs w:val="22"/>
        </w:rPr>
        <w:t>7</w:t>
      </w:r>
      <w:r w:rsidRPr="00435180">
        <w:rPr>
          <w:szCs w:val="22"/>
        </w:rPr>
        <w:t xml:space="preserve">.  </w:t>
      </w:r>
      <w:r w:rsidRPr="00435180">
        <w:rPr>
          <w:b/>
          <w:szCs w:val="22"/>
        </w:rPr>
        <w:t xml:space="preserve">The Commission makes no representations or warranties about the use of this spectrum or these licenses for particular services.  Each applicant should be aware that </w:t>
      </w:r>
      <w:r w:rsidRPr="00435180">
        <w:rPr>
          <w:b/>
          <w:szCs w:val="22"/>
        </w:rPr>
        <w:t xml:space="preserve">a Commission auction represents an opportunity to become a Commission licensee, subject to certain conditions and regulations.  </w:t>
      </w:r>
      <w:bookmarkStart w:id="1358" w:name="_Hlk509220482"/>
      <w:r w:rsidRPr="00435180">
        <w:rPr>
          <w:b/>
          <w:szCs w:val="22"/>
        </w:rPr>
        <w:t>This includes the established authority of the Commission to alter the terms of existing licenses by rulemaking, which is equall</w:t>
      </w:r>
      <w:r w:rsidRPr="00435180">
        <w:rPr>
          <w:b/>
          <w:szCs w:val="22"/>
        </w:rPr>
        <w:t>y applicable to licenses awarded by auction.</w:t>
      </w:r>
      <w:r>
        <w:rPr>
          <w:rStyle w:val="FootnoteReference"/>
          <w:szCs w:val="22"/>
        </w:rPr>
        <w:footnoteReference w:id="233"/>
      </w:r>
      <w:r w:rsidRPr="00435180">
        <w:rPr>
          <w:b/>
          <w:szCs w:val="22"/>
        </w:rPr>
        <w:t xml:space="preserve">  </w:t>
      </w:r>
      <w:bookmarkEnd w:id="1358"/>
      <w:r w:rsidRPr="00435180">
        <w:rPr>
          <w:b/>
          <w:szCs w:val="22"/>
        </w:rPr>
        <w:t xml:space="preserve">A Commission auction does not constitute an endorsement by the Commission of any </w:t>
      </w:r>
      <w:r w:rsidRPr="00435180">
        <w:rPr>
          <w:b/>
          <w:szCs w:val="22"/>
        </w:rPr>
        <w:t>particular service, technology, or product, nor does a Commission license constitute a guarantee of business success.</w:t>
      </w:r>
      <w:r w:rsidRPr="00435180">
        <w:rPr>
          <w:szCs w:val="22"/>
        </w:rPr>
        <w:t xml:space="preserve">  </w:t>
      </w:r>
    </w:p>
    <w:p w:rsidR="00D6515C" w:rsidRPr="00435180" w:rsidP="00A3075C" w14:paraId="02A7F978" w14:textId="70FA394B">
      <w:pPr>
        <w:pStyle w:val="ParaNum"/>
        <w:widowControl/>
        <w:rPr>
          <w:szCs w:val="22"/>
        </w:rPr>
      </w:pPr>
      <w:r w:rsidRPr="00435180">
        <w:rPr>
          <w:szCs w:val="22"/>
        </w:rPr>
        <w:t>An appl</w:t>
      </w:r>
      <w:r w:rsidRPr="00435180">
        <w:rPr>
          <w:szCs w:val="22"/>
        </w:rPr>
        <w:t>icant should perform its due diligence research and analysis before proceeding, as it would with any new business venture.  In particular, we encourage each potential bidder to perform technical analyses and/or refresh its previous analyses to assure itsel</w:t>
      </w:r>
      <w:r w:rsidRPr="00435180">
        <w:rPr>
          <w:szCs w:val="22"/>
        </w:rPr>
        <w:t>f that, should it become a winning bidder for any Auction 10</w:t>
      </w:r>
      <w:r w:rsidR="000A67B3">
        <w:rPr>
          <w:szCs w:val="22"/>
        </w:rPr>
        <w:t>7</w:t>
      </w:r>
      <w:r w:rsidRPr="00435180">
        <w:rPr>
          <w:szCs w:val="22"/>
        </w:rPr>
        <w:t xml:space="preserve"> license, it will be able to build and operate facilities that will fully comply with all applicable technical and legal requirements.  We urge each applicant to inspect any prospective sites for</w:t>
      </w:r>
      <w:r w:rsidRPr="00435180">
        <w:rPr>
          <w:szCs w:val="22"/>
        </w:rPr>
        <w:t xml:space="preserve"> communications facilities located in, or near, the geographic area for which it plans to bid, confirm the availability of such sites, and to familiarize itself with the Commission’s rules regarding the </w:t>
      </w:r>
      <w:r w:rsidR="00E83E6D">
        <w:t>National Environmental Policy Act (NEPA),</w:t>
      </w:r>
      <w:r>
        <w:rPr>
          <w:rStyle w:val="FootnoteReference"/>
        </w:rPr>
        <w:footnoteReference w:id="234"/>
      </w:r>
      <w:r w:rsidR="00E83E6D">
        <w:t xml:space="preserve"> the National Historic Preservation Act (NHPA),</w:t>
      </w:r>
      <w:r>
        <w:rPr>
          <w:rStyle w:val="FootnoteReference"/>
        </w:rPr>
        <w:footnoteReference w:id="235"/>
      </w:r>
      <w:r w:rsidR="00E83E6D">
        <w:t xml:space="preserve"> and other environmental statutes.</w:t>
      </w:r>
      <w:r>
        <w:rPr>
          <w:rStyle w:val="FootnoteReference"/>
        </w:rPr>
        <w:footnoteReference w:id="236"/>
      </w:r>
      <w:r w:rsidR="00E83E6D">
        <w:t xml:space="preserve">  </w:t>
      </w:r>
    </w:p>
    <w:p w:rsidR="00D6515C" w:rsidRPr="00435180" w:rsidP="00A3075C" w14:paraId="011A2559" w14:textId="2EDAF264">
      <w:pPr>
        <w:pStyle w:val="ParaNum"/>
        <w:widowControl/>
        <w:rPr>
          <w:szCs w:val="22"/>
        </w:rPr>
      </w:pPr>
      <w:r w:rsidRPr="00435180">
        <w:rPr>
          <w:szCs w:val="22"/>
        </w:rPr>
        <w:t>We also encourage each applicant in Auction 10</w:t>
      </w:r>
      <w:r>
        <w:rPr>
          <w:szCs w:val="22"/>
        </w:rPr>
        <w:t>7</w:t>
      </w:r>
      <w:r w:rsidRPr="00435180">
        <w:rPr>
          <w:szCs w:val="22"/>
        </w:rPr>
        <w:t xml:space="preserve"> to continue to conduct its own research throughout the auction in order to determine the existence of pending or future administra</w:t>
      </w:r>
      <w:r w:rsidRPr="00435180">
        <w:rPr>
          <w:szCs w:val="22"/>
        </w:rPr>
        <w:t>tive or judicial proceedings that might affect its decision on continued participation in the auction.  Each applicant is responsible for assessing the likelihood of the various possible outcomes and for considering the potential impact on licenses availab</w:t>
      </w:r>
      <w:r w:rsidRPr="00435180">
        <w:rPr>
          <w:szCs w:val="22"/>
        </w:rPr>
        <w:t>le in an auction.  The due diligence considerations mentioned in this Public Notice do not constitute an exhaustive list of steps that should be undertaken prior to participating in Auction 10</w:t>
      </w:r>
      <w:r>
        <w:rPr>
          <w:szCs w:val="22"/>
        </w:rPr>
        <w:t>7</w:t>
      </w:r>
      <w:r w:rsidRPr="00435180">
        <w:rPr>
          <w:szCs w:val="22"/>
        </w:rPr>
        <w:t>.  As always, the burden is on the potential bidder to determin</w:t>
      </w:r>
      <w:r w:rsidRPr="00435180">
        <w:rPr>
          <w:szCs w:val="22"/>
        </w:rPr>
        <w:t xml:space="preserve">e how much research to undertake, depending upon the specific facts and circumstances related to its interests.  </w:t>
      </w:r>
      <w:r>
        <w:rPr>
          <w:szCs w:val="22"/>
        </w:rPr>
        <w:t xml:space="preserve">For example, applicants should pay particular attention to the </w:t>
      </w:r>
      <w:r w:rsidR="00712A02">
        <w:rPr>
          <w:szCs w:val="22"/>
        </w:rPr>
        <w:t xml:space="preserve">framework adopted in the </w:t>
      </w:r>
      <w:r w:rsidRPr="00712A02" w:rsidR="00712A02">
        <w:rPr>
          <w:i/>
          <w:iCs/>
          <w:szCs w:val="22"/>
        </w:rPr>
        <w:t>3.7 GHz Report and Order</w:t>
      </w:r>
      <w:r w:rsidR="00712A02">
        <w:rPr>
          <w:i/>
          <w:iCs/>
          <w:szCs w:val="22"/>
        </w:rPr>
        <w:t xml:space="preserve"> </w:t>
      </w:r>
      <w:r w:rsidR="00712A02">
        <w:rPr>
          <w:szCs w:val="22"/>
        </w:rPr>
        <w:t xml:space="preserve">that requires new overlay licensees to pay a specified share of </w:t>
      </w:r>
      <w:r w:rsidR="001174E6">
        <w:rPr>
          <w:szCs w:val="22"/>
        </w:rPr>
        <w:t xml:space="preserve">accelerated relocation payments as well as </w:t>
      </w:r>
      <w:r w:rsidR="00712A02">
        <w:rPr>
          <w:szCs w:val="22"/>
        </w:rPr>
        <w:t xml:space="preserve">relocation expenses to reimburse incumbents for the reasonable costs of transitioning out of the lower 300 megahertz of the band in the contiguous United States.  </w:t>
      </w:r>
    </w:p>
    <w:p w:rsidR="00D6515C" w:rsidRPr="00435180" w:rsidP="00D6515C" w14:paraId="63177603" w14:textId="20638873">
      <w:pPr>
        <w:pStyle w:val="ParaNum"/>
        <w:widowControl/>
        <w:rPr>
          <w:szCs w:val="22"/>
        </w:rPr>
      </w:pPr>
      <w:r w:rsidRPr="00435180">
        <w:rPr>
          <w:b/>
          <w:bCs/>
          <w:color w:val="000000"/>
          <w:szCs w:val="22"/>
        </w:rPr>
        <w:t xml:space="preserve">Applicants are </w:t>
      </w:r>
      <w:r w:rsidRPr="00435180">
        <w:rPr>
          <w:b/>
          <w:bCs/>
          <w:color w:val="000000"/>
          <w:szCs w:val="22"/>
        </w:rPr>
        <w:t xml:space="preserve">solely responsible for identifying associated risks and for investigating and evaluating the degree to which such matters may affect their ability to bid on, otherwise acquire, or </w:t>
      </w:r>
      <w:r w:rsidRPr="00435180">
        <w:rPr>
          <w:b/>
          <w:szCs w:val="22"/>
        </w:rPr>
        <w:t>make</w:t>
      </w:r>
      <w:r w:rsidRPr="00435180">
        <w:rPr>
          <w:b/>
          <w:bCs/>
          <w:color w:val="000000"/>
          <w:szCs w:val="22"/>
        </w:rPr>
        <w:t xml:space="preserve"> use of the licenses available in Auction 10</w:t>
      </w:r>
      <w:r w:rsidR="001B3A7E">
        <w:rPr>
          <w:b/>
          <w:bCs/>
          <w:color w:val="000000"/>
          <w:szCs w:val="22"/>
        </w:rPr>
        <w:t>7</w:t>
      </w:r>
      <w:r w:rsidRPr="00435180">
        <w:rPr>
          <w:b/>
          <w:bCs/>
          <w:color w:val="000000"/>
          <w:szCs w:val="22"/>
        </w:rPr>
        <w:t xml:space="preserve">.  </w:t>
      </w:r>
      <w:r w:rsidRPr="00435180">
        <w:rPr>
          <w:bCs/>
          <w:color w:val="000000"/>
          <w:szCs w:val="22"/>
        </w:rPr>
        <w:t>Each potential bidder is responsible for undertaking research to ensure that any licenses won in the auction will be suitable for its business plans and needs.  Each potential bidder must undertake its own as</w:t>
      </w:r>
      <w:r w:rsidRPr="00435180">
        <w:rPr>
          <w:bCs/>
          <w:color w:val="000000"/>
          <w:szCs w:val="22"/>
        </w:rPr>
        <w:t>sessment of the relevance and importance of information gathered as part of its due diligence efforts.</w:t>
      </w:r>
      <w:r w:rsidRPr="00435180">
        <w:rPr>
          <w:b/>
          <w:bCs/>
          <w:color w:val="000000"/>
          <w:szCs w:val="22"/>
        </w:rPr>
        <w:t xml:space="preserve"> </w:t>
      </w:r>
    </w:p>
    <w:p w:rsidR="00D6515C" w:rsidRPr="00435180" w:rsidP="00A3075C" w14:paraId="16174826" w14:textId="77777777">
      <w:pPr>
        <w:pStyle w:val="ParaNum"/>
        <w:widowControl/>
        <w:rPr>
          <w:szCs w:val="22"/>
        </w:rPr>
      </w:pPr>
      <w:r w:rsidRPr="00435180">
        <w:rPr>
          <w:szCs w:val="22"/>
        </w:rPr>
        <w:t>The Commission makes no representations or guarantees regarding the accuracy or completeness of information in its databases or any third-party database</w:t>
      </w:r>
      <w:r w:rsidRPr="00435180">
        <w:rPr>
          <w:szCs w:val="22"/>
        </w:rPr>
        <w:t>s, including, for example, court docketing systems.  To the extent the Commission’s databases may not include all information deemed necessary or desirable by an applicant, it must obtain or verify such information from independent sources or assume the ri</w:t>
      </w:r>
      <w:r w:rsidRPr="00435180">
        <w:rPr>
          <w:szCs w:val="22"/>
        </w:rPr>
        <w:t>sk of any incompleteness or inaccuracy in said databases.  Furthermore, the Commission makes no representations or guarantees regarding the accuracy or completeness of information that has been provided by incumbent licensees and incorporated into its data</w:t>
      </w:r>
      <w:r w:rsidRPr="00435180">
        <w:rPr>
          <w:szCs w:val="22"/>
        </w:rPr>
        <w:t>bases.</w:t>
      </w:r>
    </w:p>
    <w:p w:rsidR="00D6515C" w:rsidRPr="00435180" w:rsidP="000C230C" w14:paraId="1637923B" w14:textId="770D6184">
      <w:pPr>
        <w:pStyle w:val="Heading2"/>
      </w:pPr>
      <w:bookmarkStart w:id="1359" w:name="_Toc6383485"/>
      <w:bookmarkStart w:id="1360" w:name="_Toc7525810"/>
      <w:bookmarkStart w:id="1361" w:name="_Toc8657165"/>
      <w:bookmarkStart w:id="1362" w:name="_Toc9410691"/>
      <w:bookmarkStart w:id="1363" w:name="_Toc9430097"/>
      <w:bookmarkStart w:id="1364" w:name="_Toc10116860"/>
      <w:bookmarkStart w:id="1365" w:name="_Toc10646166"/>
      <w:bookmarkStart w:id="1366" w:name="_Toc11156570"/>
      <w:bookmarkStart w:id="1367" w:name="_Toc11244314"/>
      <w:bookmarkStart w:id="1368" w:name="_Toc11653570"/>
      <w:bookmarkStart w:id="1369" w:name="_Toc11678149"/>
      <w:bookmarkStart w:id="1370" w:name="_Toc13654736"/>
      <w:bookmarkStart w:id="1371" w:name="_Toc24459456"/>
      <w:bookmarkStart w:id="1372" w:name="_Toc24459553"/>
      <w:bookmarkStart w:id="1373" w:name="_Toc25926249"/>
      <w:bookmarkStart w:id="1374" w:name="_Toc25926827"/>
      <w:bookmarkStart w:id="1375" w:name="_Toc25926945"/>
      <w:bookmarkStart w:id="1376" w:name="_Toc27039008"/>
      <w:bookmarkStart w:id="1377" w:name="_Toc29813152"/>
      <w:bookmarkStart w:id="1378" w:name="_Toc29886877"/>
      <w:bookmarkStart w:id="1379" w:name="_Toc29999481"/>
      <w:bookmarkStart w:id="1380" w:name="_Toc30699407"/>
      <w:bookmarkStart w:id="1381" w:name="_Toc30701487"/>
      <w:bookmarkStart w:id="1382" w:name="_Toc31189308"/>
      <w:bookmarkStart w:id="1383" w:name="_Toc31189762"/>
      <w:bookmarkStart w:id="1384" w:name="_Toc31193129"/>
      <w:bookmarkStart w:id="1385" w:name="_Toc31195877"/>
      <w:bookmarkStart w:id="1386" w:name="_Toc31200001"/>
      <w:bookmarkStart w:id="1387" w:name="_Toc31713768"/>
      <w:bookmarkStart w:id="1388" w:name="_Toc31822677"/>
      <w:bookmarkStart w:id="1389" w:name="_Toc33629834"/>
      <w:bookmarkStart w:id="1390" w:name="_Toc33696686"/>
      <w:r w:rsidRPr="00435180">
        <w:t>Licensing Considerations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rsidR="00924F30" w:rsidRPr="00924F30" w:rsidP="00924F30" w14:paraId="75A627FF" w14:textId="77777777">
      <w:pPr>
        <w:pStyle w:val="Heading3"/>
        <w:rPr>
          <w:b w:val="0"/>
          <w:bCs/>
        </w:rPr>
      </w:pPr>
      <w:r>
        <w:t>Transition of Incumbent Operations</w:t>
      </w:r>
      <w:r w:rsidRPr="00033ABF" w:rsidR="00F05732">
        <w:rPr>
          <w:bCs/>
        </w:rPr>
        <w:t xml:space="preserve"> </w:t>
      </w:r>
    </w:p>
    <w:p w:rsidR="00C02A97" w:rsidRPr="00924F30" w:rsidP="00E51273" w14:paraId="4589C21C" w14:textId="228C264D">
      <w:pPr>
        <w:pStyle w:val="ParaNum"/>
      </w:pPr>
      <w:r w:rsidRPr="00924F30">
        <w:t>P</w:t>
      </w:r>
      <w:r w:rsidRPr="00924F30" w:rsidR="00363A56">
        <w:t>otential applicants in Auction 10</w:t>
      </w:r>
      <w:r w:rsidRPr="00924F30" w:rsidR="00ED3063">
        <w:t>7</w:t>
      </w:r>
      <w:r w:rsidRPr="00924F30" w:rsidR="00363A56">
        <w:t xml:space="preserve"> should consider </w:t>
      </w:r>
      <w:r w:rsidRPr="00924F30" w:rsidR="00AA1A16">
        <w:t xml:space="preserve">carefully </w:t>
      </w:r>
      <w:bookmarkStart w:id="1391" w:name="_Hlk46398284"/>
      <w:r w:rsidRPr="00924F30" w:rsidR="00A61F07">
        <w:t xml:space="preserve">the process for transitioning incumbent operations out of </w:t>
      </w:r>
      <w:r w:rsidRPr="00924F30" w:rsidR="00AA1A16">
        <w:t>the 3</w:t>
      </w:r>
      <w:r w:rsidRPr="00924F30" w:rsidR="00336241">
        <w:t>.7–</w:t>
      </w:r>
      <w:r w:rsidRPr="00924F30" w:rsidR="00855061">
        <w:t>3.</w:t>
      </w:r>
      <w:r w:rsidRPr="00924F30" w:rsidR="003C5ABB">
        <w:t>98</w:t>
      </w:r>
      <w:r w:rsidRPr="00924F30" w:rsidR="00336241">
        <w:t xml:space="preserve"> G</w:t>
      </w:r>
      <w:r w:rsidRPr="00924F30" w:rsidR="009A56F3">
        <w:t>Hz band</w:t>
      </w:r>
      <w:r w:rsidRPr="00924F30" w:rsidR="00F22294">
        <w:t xml:space="preserve"> </w:t>
      </w:r>
      <w:bookmarkEnd w:id="1391"/>
      <w:r w:rsidRPr="00924F30" w:rsidR="00F22294">
        <w:t>when developing business plans, assessing market conditions, and evaluating the availability of equipment for 3.7 GHz Service operations</w:t>
      </w:r>
      <w:r w:rsidRPr="00924F30" w:rsidR="009A56F3">
        <w:t>.</w:t>
      </w:r>
      <w:r w:rsidRPr="00924F30" w:rsidR="00A70807">
        <w:t xml:space="preserve">  </w:t>
      </w:r>
      <w:r w:rsidRPr="00924F30" w:rsidR="00A61F07">
        <w:t xml:space="preserve">Each applicant </w:t>
      </w:r>
      <w:r w:rsidRPr="00924F30" w:rsidR="00A61F07">
        <w:t>should follow closely releases from the Commission concerning these issues</w:t>
      </w:r>
      <w:r>
        <w:rPr>
          <w:rStyle w:val="FootnoteReference"/>
        </w:rPr>
        <w:footnoteReference w:id="237"/>
      </w:r>
      <w:r w:rsidRPr="00780637" w:rsidR="00A61F07">
        <w:t xml:space="preserve"> </w:t>
      </w:r>
      <w:r w:rsidRPr="00924F30" w:rsidR="00A61F07">
        <w:t>and consider carefully the technical and economic implications for commercial use of the 3.7–3.98 GHz band</w:t>
      </w:r>
      <w:r w:rsidRPr="00924F30" w:rsidR="00712A02">
        <w:t>.</w:t>
      </w:r>
      <w:r>
        <w:rPr>
          <w:rStyle w:val="FootnoteReference"/>
        </w:rPr>
        <w:footnoteReference w:id="238"/>
      </w:r>
    </w:p>
    <w:p w:rsidR="00D6515C" w:rsidP="00F63C1A" w14:paraId="600104B4" w14:textId="5FBEB4C0">
      <w:pPr>
        <w:pStyle w:val="Heading3"/>
        <w:rPr>
          <w:szCs w:val="22"/>
        </w:rPr>
      </w:pPr>
      <w:bookmarkStart w:id="1392" w:name="_Toc6383487"/>
      <w:bookmarkStart w:id="1393" w:name="_Toc7525812"/>
      <w:bookmarkStart w:id="1394" w:name="_Toc8657167"/>
      <w:bookmarkStart w:id="1395" w:name="_Toc9410693"/>
      <w:bookmarkStart w:id="1396" w:name="_Toc9430099"/>
      <w:bookmarkStart w:id="1397" w:name="_Toc10116862"/>
      <w:bookmarkStart w:id="1398" w:name="_Toc10646168"/>
      <w:bookmarkStart w:id="1399" w:name="_Toc11156572"/>
      <w:bookmarkStart w:id="1400" w:name="_Toc11244316"/>
      <w:bookmarkStart w:id="1401" w:name="_Toc11653572"/>
      <w:bookmarkStart w:id="1402" w:name="_Toc11678151"/>
      <w:bookmarkStart w:id="1403" w:name="_Toc13654738"/>
      <w:bookmarkStart w:id="1404" w:name="_Toc24459458"/>
      <w:bookmarkStart w:id="1405" w:name="_Toc24459555"/>
      <w:bookmarkStart w:id="1406" w:name="_Toc25926251"/>
      <w:bookmarkStart w:id="1407" w:name="_Toc25926829"/>
      <w:bookmarkStart w:id="1408" w:name="_Toc25926947"/>
      <w:bookmarkStart w:id="1409" w:name="_Toc27039010"/>
      <w:bookmarkStart w:id="1410" w:name="_Toc29813154"/>
      <w:bookmarkStart w:id="1411" w:name="_Toc29886879"/>
      <w:bookmarkStart w:id="1412" w:name="_Toc29999483"/>
      <w:bookmarkStart w:id="1413" w:name="_Toc30699409"/>
      <w:bookmarkStart w:id="1414" w:name="_Toc30701489"/>
      <w:bookmarkStart w:id="1415" w:name="_Toc31189310"/>
      <w:bookmarkStart w:id="1416" w:name="_Toc31189764"/>
      <w:bookmarkStart w:id="1417" w:name="_Toc31193131"/>
      <w:bookmarkStart w:id="1418" w:name="_Toc31195879"/>
      <w:bookmarkStart w:id="1419" w:name="_Toc31200003"/>
      <w:bookmarkStart w:id="1420" w:name="_Toc31713770"/>
      <w:bookmarkStart w:id="1421" w:name="_Toc31822679"/>
      <w:bookmarkStart w:id="1422" w:name="_Toc33629836"/>
      <w:bookmarkStart w:id="1423" w:name="_Toc33696688"/>
      <w:r w:rsidRPr="00435180">
        <w:rPr>
          <w:szCs w:val="22"/>
        </w:rPr>
        <w:t>International Coordination</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rsidR="00F1342B" w:rsidP="00A3075C" w14:paraId="2425EB47" w14:textId="1E187E75">
      <w:pPr>
        <w:pStyle w:val="ParaNum"/>
        <w:widowControl/>
      </w:pPr>
      <w:r>
        <w:t>Potential bidders seeking licenses for geographic areas adjacent to the Canadian and Mexican border</w:t>
      </w:r>
      <w:r w:rsidR="003D7018">
        <w:t>s</w:t>
      </w:r>
      <w:r>
        <w:t xml:space="preserve"> should be aware that the use of </w:t>
      </w:r>
      <w:r w:rsidR="007E36CC">
        <w:t xml:space="preserve">the </w:t>
      </w:r>
      <w:r w:rsidR="00387E2A">
        <w:t>3.7 GHz</w:t>
      </w:r>
      <w:r w:rsidR="009F6A3A">
        <w:t xml:space="preserve"> Service</w:t>
      </w:r>
      <w:r w:rsidR="00616CF1">
        <w:t xml:space="preserve"> frequencies </w:t>
      </w:r>
      <w:r w:rsidR="009F6A3A">
        <w:t>they acquire in Auction 10</w:t>
      </w:r>
      <w:r w:rsidR="00387E2A">
        <w:t>7</w:t>
      </w:r>
      <w:r w:rsidR="009F6A3A">
        <w:t xml:space="preserve"> are subject to </w:t>
      </w:r>
      <w:r w:rsidR="00F34658">
        <w:t xml:space="preserve">current and future </w:t>
      </w:r>
      <w:r w:rsidR="009F6A3A">
        <w:t xml:space="preserve">agreements with </w:t>
      </w:r>
      <w:r w:rsidR="00F34658">
        <w:t xml:space="preserve">the governments of </w:t>
      </w:r>
      <w:r w:rsidR="00932778">
        <w:t>Canada and Mexico.</w:t>
      </w:r>
      <w:r>
        <w:rPr>
          <w:rStyle w:val="FootnoteReference"/>
        </w:rPr>
        <w:footnoteReference w:id="239"/>
      </w:r>
      <w:r w:rsidR="004A054E">
        <w:t xml:space="preserve">  </w:t>
      </w:r>
      <w:r w:rsidR="00DB3FEC">
        <w:t xml:space="preserve">  </w:t>
      </w:r>
    </w:p>
    <w:p w:rsidR="00242C78" w:rsidRPr="00F1342B" w:rsidP="00A3075C" w14:paraId="3113CB95" w14:textId="6AAECCA9">
      <w:pPr>
        <w:pStyle w:val="ParaNum"/>
        <w:widowControl/>
      </w:pPr>
      <w:r>
        <w:t xml:space="preserve">The Commission routinely works with the United States Department of </w:t>
      </w:r>
      <w:r w:rsidR="00C61628">
        <w:t>S</w:t>
      </w:r>
      <w:r>
        <w:t>tate and Canadian and Mexican government officials to ensure the effi</w:t>
      </w:r>
      <w:r>
        <w:t xml:space="preserve">cient use of the spectrum as well as interference-free operations in the border areas near Canada and Mexico.  Until such time as any adjusted agreements, as needed, between the United States, Mexico, and/or Canada can be agreed to, operations in the </w:t>
      </w:r>
      <w:r w:rsidR="00B72094">
        <w:t>3.7–3.98 GHz</w:t>
      </w:r>
      <w:r>
        <w:t xml:space="preserve"> band must not cause harmful interference across the border, consistent with the terms of the agreements currently in force.</w:t>
      </w:r>
    </w:p>
    <w:p w:rsidR="00D6515C" w:rsidP="00D6515C" w14:paraId="7F182EAC" w14:textId="6E05F4FE">
      <w:pPr>
        <w:pStyle w:val="Heading3"/>
        <w:rPr>
          <w:szCs w:val="22"/>
        </w:rPr>
      </w:pPr>
      <w:bookmarkStart w:id="1424" w:name="_Toc6383489"/>
      <w:bookmarkStart w:id="1425" w:name="_Toc7525814"/>
      <w:bookmarkStart w:id="1426" w:name="_Toc8657169"/>
      <w:bookmarkStart w:id="1427" w:name="_Toc9410695"/>
      <w:bookmarkStart w:id="1428" w:name="_Toc9430101"/>
      <w:bookmarkStart w:id="1429" w:name="_Toc10116863"/>
      <w:bookmarkStart w:id="1430" w:name="_Toc10646169"/>
      <w:bookmarkStart w:id="1431" w:name="_Toc11156573"/>
      <w:bookmarkStart w:id="1432" w:name="_Toc11244317"/>
      <w:bookmarkStart w:id="1433" w:name="_Toc11653573"/>
      <w:bookmarkStart w:id="1434" w:name="_Toc11678152"/>
      <w:bookmarkStart w:id="1435" w:name="_Toc13654739"/>
      <w:bookmarkStart w:id="1436" w:name="_Toc24459459"/>
      <w:bookmarkStart w:id="1437" w:name="_Toc24459556"/>
      <w:bookmarkStart w:id="1438" w:name="_Toc25926252"/>
      <w:bookmarkStart w:id="1439" w:name="_Toc25926830"/>
      <w:bookmarkStart w:id="1440" w:name="_Toc25926948"/>
      <w:bookmarkStart w:id="1441" w:name="_Toc27039011"/>
      <w:bookmarkStart w:id="1442" w:name="_Toc29813155"/>
      <w:bookmarkStart w:id="1443" w:name="_Toc29886880"/>
      <w:bookmarkStart w:id="1444" w:name="_Toc29999484"/>
      <w:bookmarkStart w:id="1445" w:name="_Toc30699410"/>
      <w:bookmarkStart w:id="1446" w:name="_Toc30701490"/>
      <w:bookmarkStart w:id="1447" w:name="_Toc31189311"/>
      <w:bookmarkStart w:id="1448" w:name="_Toc31189765"/>
      <w:bookmarkStart w:id="1449" w:name="_Toc31193132"/>
      <w:bookmarkStart w:id="1450" w:name="_Toc31195880"/>
      <w:bookmarkStart w:id="1451" w:name="_Toc31200004"/>
      <w:bookmarkStart w:id="1452" w:name="_Toc31713771"/>
      <w:bookmarkStart w:id="1453" w:name="_Toc31822680"/>
      <w:bookmarkStart w:id="1454" w:name="_Toc33629837"/>
      <w:bookmarkStart w:id="1455" w:name="_Toc33696689"/>
      <w:bookmarkStart w:id="1456" w:name="_Hlk11143512"/>
      <w:r w:rsidRPr="00435180">
        <w:rPr>
          <w:szCs w:val="22"/>
        </w:rPr>
        <w:t>Environmental Review Requirements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rsidR="00992EFA" w:rsidRPr="00992EFA" w:rsidP="00A3075C" w14:paraId="7594A410" w14:textId="15BCC0ED">
      <w:pPr>
        <w:pStyle w:val="ParaNum"/>
        <w:widowControl/>
      </w:pPr>
      <w:r>
        <w:t>Licensees must comply with the Commission’s rules for environmental review under the NEPA,</w:t>
      </w:r>
      <w:r>
        <w:rPr>
          <w:rStyle w:val="FootnoteReference"/>
        </w:rPr>
        <w:footnoteReference w:id="240"/>
      </w:r>
      <w:r>
        <w:t xml:space="preserve"> the NHPA,</w:t>
      </w:r>
      <w:r>
        <w:rPr>
          <w:rStyle w:val="FootnoteReference"/>
        </w:rPr>
        <w:footnoteReference w:id="241"/>
      </w:r>
      <w:r>
        <w:t xml:space="preserve"> and other environmental statutes.</w:t>
      </w:r>
      <w:r>
        <w:rPr>
          <w:rStyle w:val="FootnoteReference"/>
        </w:rPr>
        <w:footnoteReference w:id="242"/>
      </w:r>
      <w:r>
        <w:t xml:space="preserve">  Licensees and other applicants that propose to build certain types of com</w:t>
      </w:r>
      <w:r w:rsidR="1D86B2C9">
        <w:t>munications</w:t>
      </w:r>
      <w:r>
        <w:t xml:space="preserve"> facilities for licensed service must follow Commission procedures implementing obligations under NEPA and NHPA prior to</w:t>
      </w:r>
      <w:r>
        <w:t xml:space="preserve"> constructing the facilities.</w:t>
      </w:r>
      <w:r>
        <w:rPr>
          <w:rStyle w:val="FootnoteReference"/>
        </w:rPr>
        <w:footnoteReference w:id="243"/>
      </w:r>
      <w:r>
        <w:t xml:space="preserve">  Under NEPA, a licensee or applicant must assess if certain environmentally sensitive </w:t>
      </w:r>
      <w:r w:rsidR="00281DCB">
        <w:t>conditions specified in the Commission’s rules are relevant to the proposed facilities, and prepare an environmental assessment when applicable.</w:t>
      </w:r>
      <w:r>
        <w:rPr>
          <w:rStyle w:val="FootnoteReference"/>
        </w:rPr>
        <w:footnoteReference w:id="244"/>
      </w:r>
      <w:r w:rsidR="00281DCB">
        <w:t xml:space="preserve">  If an </w:t>
      </w:r>
      <w:r w:rsidR="006A300E">
        <w:t>environmental assessment</w:t>
      </w:r>
      <w:r w:rsidR="00281DCB">
        <w:t xml:space="preserve"> is required, </w:t>
      </w:r>
      <w:r w:rsidR="00D50A39">
        <w:t xml:space="preserve">then </w:t>
      </w:r>
      <w:r w:rsidR="00281DCB">
        <w:t>facilities may not be constructed until environmental processing is completed.  Under NHPA, a licensee or applicant must follow the procedures in section 1.1320 of the Commission’s rules,</w:t>
      </w:r>
      <w:r>
        <w:rPr>
          <w:rStyle w:val="FootnoteReference"/>
        </w:rPr>
        <w:footnoteReference w:id="245"/>
      </w:r>
      <w:r w:rsidR="00281DCB">
        <w:t xml:space="preserve"> </w:t>
      </w:r>
      <w:r w:rsidR="00442661">
        <w:t xml:space="preserve">the </w:t>
      </w:r>
      <w:r w:rsidR="00442661">
        <w:rPr>
          <w:i/>
        </w:rPr>
        <w:t>Nationwide Programmatic Agreement for Collocation of Wireless Antennas</w:t>
      </w:r>
      <w:r w:rsidR="00442661">
        <w:t xml:space="preserve"> </w:t>
      </w:r>
      <w:r w:rsidR="007B68A0">
        <w:t xml:space="preserve">and </w:t>
      </w:r>
      <w:r w:rsidR="00281DCB">
        <w:t xml:space="preserve">the </w:t>
      </w:r>
      <w:r w:rsidR="00281DCB">
        <w:rPr>
          <w:i/>
        </w:rPr>
        <w:t>Nationwide</w:t>
      </w:r>
      <w:r w:rsidR="007679BB">
        <w:rPr>
          <w:i/>
        </w:rPr>
        <w:t xml:space="preserve"> Programmatic Agreement Regarding the Section 106 National Historic </w:t>
      </w:r>
      <w:r w:rsidR="000C4703">
        <w:rPr>
          <w:i/>
        </w:rPr>
        <w:t>Preservation</w:t>
      </w:r>
      <w:r w:rsidR="007679BB">
        <w:rPr>
          <w:i/>
        </w:rPr>
        <w:t xml:space="preserve"> Act Review Process</w:t>
      </w:r>
      <w:r w:rsidR="007F12DD">
        <w:t>.</w:t>
      </w:r>
      <w:r>
        <w:rPr>
          <w:rStyle w:val="FootnoteReference"/>
        </w:rPr>
        <w:footnoteReference w:id="246"/>
      </w:r>
      <w:r w:rsidR="007F12DD">
        <w:t xml:space="preserve">  Compliance with </w:t>
      </w:r>
      <w:r w:rsidR="007F12DD">
        <w:t xml:space="preserve">section 106 of the NHPA requires tribal consultation, and if construction of the communications facilities would have adverse effects on historic or tribally significant properties, an </w:t>
      </w:r>
      <w:r w:rsidR="006A300E">
        <w:t>environmental assessment</w:t>
      </w:r>
      <w:r w:rsidR="007F12DD">
        <w:t xml:space="preserve"> must be prepared.</w:t>
      </w:r>
      <w:r>
        <w:rPr>
          <w:rStyle w:val="FootnoteReference"/>
        </w:rPr>
        <w:footnoteReference w:id="247"/>
      </w:r>
    </w:p>
    <w:bookmarkEnd w:id="1456"/>
    <w:p w:rsidR="00D6515C" w:rsidP="00D6515C" w14:paraId="2C90E058" w14:textId="0923E775">
      <w:pPr>
        <w:pStyle w:val="Heading3"/>
        <w:rPr>
          <w:szCs w:val="22"/>
        </w:rPr>
      </w:pPr>
      <w:r>
        <w:rPr>
          <w:szCs w:val="22"/>
        </w:rPr>
        <w:t>Mobile Spectrum Holdings Policies</w:t>
      </w:r>
    </w:p>
    <w:p w:rsidR="0084456C" w:rsidRPr="0084456C" w:rsidP="00A3075C" w14:paraId="100A4D6C" w14:textId="768C8B25">
      <w:pPr>
        <w:pStyle w:val="ParaNum"/>
        <w:widowControl/>
      </w:pPr>
      <w:r>
        <w:t>We remind bidders of the Commission</w:t>
      </w:r>
      <w:r>
        <w:t xml:space="preserve">’s </w:t>
      </w:r>
      <w:r w:rsidR="00D54FD2">
        <w:t>mobile spe</w:t>
      </w:r>
      <w:r w:rsidR="002367F7">
        <w:t>ctrum holdings polic</w:t>
      </w:r>
      <w:r w:rsidR="00ED4433">
        <w:t>ies</w:t>
      </w:r>
      <w:r>
        <w:t xml:space="preserve"> applicable to the </w:t>
      </w:r>
      <w:r w:rsidR="009A3231">
        <w:t>3.</w:t>
      </w:r>
      <w:r w:rsidR="00DE6F56">
        <w:t>7–3.98</w:t>
      </w:r>
      <w:r w:rsidR="009A3231">
        <w:t xml:space="preserve"> GHz band.</w:t>
      </w:r>
      <w:r w:rsidR="002C0A3D">
        <w:t xml:space="preserve">  Specifically, the Commission did not</w:t>
      </w:r>
      <w:r w:rsidR="00624CA9">
        <w:t xml:space="preserve"> impose a pre-auction bright-line limit on acquisitions of the 3.7</w:t>
      </w:r>
      <w:r w:rsidR="00626A10">
        <w:t>–</w:t>
      </w:r>
      <w:r w:rsidR="00624CA9">
        <w:t>3.98 GHz band.</w:t>
      </w:r>
      <w:r>
        <w:rPr>
          <w:rStyle w:val="FootnoteReference"/>
        </w:rPr>
        <w:footnoteReference w:id="248"/>
      </w:r>
      <w:r w:rsidR="00624CA9">
        <w:t xml:space="preserve"> </w:t>
      </w:r>
      <w:r w:rsidR="002C0A3D">
        <w:t xml:space="preserve"> </w:t>
      </w:r>
      <w:r w:rsidR="00624CA9">
        <w:t>Instead,</w:t>
      </w:r>
      <w:r w:rsidR="002C0A3D">
        <w:t xml:space="preserve"> the Commission</w:t>
      </w:r>
      <w:r w:rsidR="00626A10">
        <w:t xml:space="preserve"> </w:t>
      </w:r>
      <w:r w:rsidR="00624CA9">
        <w:t>incorporate</w:t>
      </w:r>
      <w:r w:rsidR="00626A10">
        <w:t>d</w:t>
      </w:r>
      <w:r w:rsidR="00624CA9">
        <w:t xml:space="preserve"> into the spectrum screen the 280 megahertz of spectrum available in the 3.7</w:t>
      </w:r>
      <w:r w:rsidR="0036719B">
        <w:t>–</w:t>
      </w:r>
      <w:r w:rsidR="00624CA9">
        <w:t>3.98 GHz band.</w:t>
      </w:r>
      <w:r>
        <w:rPr>
          <w:rStyle w:val="FootnoteReference"/>
        </w:rPr>
        <w:footnoteReference w:id="249"/>
      </w:r>
      <w:r w:rsidR="00624CA9">
        <w:t xml:space="preserve"> </w:t>
      </w:r>
      <w:r w:rsidR="0036719B">
        <w:t xml:space="preserve"> The Commission </w:t>
      </w:r>
      <w:r w:rsidR="00624CA9">
        <w:t xml:space="preserve">will also perform case-by-case review of the long-form license applications filed as a result of </w:t>
      </w:r>
      <w:r w:rsidR="0036719B">
        <w:t>Auction 107</w:t>
      </w:r>
      <w:r w:rsidR="00624CA9">
        <w:t>.</w:t>
      </w:r>
      <w:r>
        <w:rPr>
          <w:rStyle w:val="FootnoteReference"/>
        </w:rPr>
        <w:footnoteReference w:id="250"/>
      </w:r>
    </w:p>
    <w:p w:rsidR="00D6515C" w:rsidRPr="00435180" w:rsidP="000C230C" w14:paraId="63DA9E96" w14:textId="7D9711EA">
      <w:pPr>
        <w:pStyle w:val="Heading2"/>
      </w:pPr>
      <w:bookmarkStart w:id="1457" w:name="_Toc6383491"/>
      <w:bookmarkStart w:id="1458" w:name="_Toc7525816"/>
      <w:bookmarkStart w:id="1459" w:name="_Toc8657171"/>
      <w:bookmarkStart w:id="1460" w:name="_Toc9410697"/>
      <w:bookmarkStart w:id="1461" w:name="_Toc9430103"/>
      <w:bookmarkStart w:id="1462" w:name="_Toc10116865"/>
      <w:bookmarkStart w:id="1463" w:name="_Toc10646171"/>
      <w:bookmarkStart w:id="1464" w:name="_Toc11156575"/>
      <w:bookmarkStart w:id="1465" w:name="_Toc11244319"/>
      <w:bookmarkStart w:id="1466" w:name="_Toc11653575"/>
      <w:bookmarkStart w:id="1467" w:name="_Toc11678154"/>
      <w:bookmarkStart w:id="1468" w:name="_Toc13654741"/>
      <w:bookmarkStart w:id="1469" w:name="_Toc24459461"/>
      <w:bookmarkStart w:id="1470" w:name="_Toc24459558"/>
      <w:bookmarkStart w:id="1471" w:name="_Toc25926254"/>
      <w:bookmarkStart w:id="1472" w:name="_Toc25926832"/>
      <w:bookmarkStart w:id="1473" w:name="_Toc25926950"/>
      <w:bookmarkStart w:id="1474" w:name="_Toc27039013"/>
      <w:bookmarkStart w:id="1475" w:name="_Toc29813157"/>
      <w:bookmarkStart w:id="1476" w:name="_Toc29886882"/>
      <w:bookmarkStart w:id="1477" w:name="_Toc29999486"/>
      <w:bookmarkStart w:id="1478" w:name="_Toc30699412"/>
      <w:bookmarkStart w:id="1479" w:name="_Toc30701492"/>
      <w:bookmarkStart w:id="1480" w:name="_Toc31189313"/>
      <w:bookmarkStart w:id="1481" w:name="_Toc31189767"/>
      <w:bookmarkStart w:id="1482" w:name="_Toc31193134"/>
      <w:bookmarkStart w:id="1483" w:name="_Toc31195882"/>
      <w:bookmarkStart w:id="1484" w:name="_Toc31200006"/>
      <w:bookmarkStart w:id="1485" w:name="_Toc31713773"/>
      <w:bookmarkStart w:id="1486" w:name="_Toc31822682"/>
      <w:bookmarkStart w:id="1487" w:name="_Toc33629839"/>
      <w:bookmarkStart w:id="1488" w:name="_Toc33696691"/>
      <w:bookmarkStart w:id="1489" w:name="_Hlk517769957"/>
      <w:r w:rsidRPr="00435180">
        <w:t>Bidder Education</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rsidR="00D6515C" w:rsidRPr="00435180" w:rsidP="00D6515C" w14:paraId="5502C3B2" w14:textId="75FB9312">
      <w:pPr>
        <w:pStyle w:val="ParaNum"/>
        <w:widowControl/>
        <w:rPr>
          <w:szCs w:val="22"/>
        </w:rPr>
      </w:pPr>
      <w:r w:rsidRPr="00435180">
        <w:rPr>
          <w:szCs w:val="22"/>
        </w:rPr>
        <w:t xml:space="preserve">Before the opening of the </w:t>
      </w:r>
      <w:r w:rsidRPr="00435180">
        <w:rPr>
          <w:szCs w:val="22"/>
        </w:rPr>
        <w:t>short-form filing window for Auction 10</w:t>
      </w:r>
      <w:r w:rsidR="0004304F">
        <w:rPr>
          <w:szCs w:val="22"/>
        </w:rPr>
        <w:t>7</w:t>
      </w:r>
      <w:r w:rsidRPr="00435180">
        <w:rPr>
          <w:szCs w:val="22"/>
        </w:rPr>
        <w:t>, detailed educational information will be provided in various formats to would-be participants on the Auction 10</w:t>
      </w:r>
      <w:r w:rsidR="00A87B17">
        <w:rPr>
          <w:szCs w:val="22"/>
        </w:rPr>
        <w:t>7</w:t>
      </w:r>
      <w:r w:rsidRPr="00435180">
        <w:rPr>
          <w:szCs w:val="22"/>
        </w:rPr>
        <w:t xml:space="preserve"> web page.  Specifically, we direct </w:t>
      </w:r>
      <w:r w:rsidR="00BE1012">
        <w:rPr>
          <w:szCs w:val="22"/>
        </w:rPr>
        <w:t>OEA</w:t>
      </w:r>
      <w:r w:rsidRPr="00435180">
        <w:rPr>
          <w:szCs w:val="22"/>
        </w:rPr>
        <w:t xml:space="preserve"> to provide various materials on the pre-bidding processes in a</w:t>
      </w:r>
      <w:r w:rsidRPr="00435180">
        <w:rPr>
          <w:szCs w:val="22"/>
        </w:rPr>
        <w:t>dvance of the opening of the short-form application window, beginning with the release of step-by-step instructions for completing the FCC Form 175</w:t>
      </w:r>
      <w:r w:rsidR="003C2902">
        <w:rPr>
          <w:szCs w:val="22"/>
        </w:rPr>
        <w:t xml:space="preserve">, which OEA </w:t>
      </w:r>
      <w:r w:rsidR="009E2DA8">
        <w:rPr>
          <w:szCs w:val="22"/>
        </w:rPr>
        <w:t xml:space="preserve">will make </w:t>
      </w:r>
      <w:r w:rsidR="003C2902">
        <w:rPr>
          <w:szCs w:val="22"/>
        </w:rPr>
        <w:t xml:space="preserve">available in </w:t>
      </w:r>
      <w:r w:rsidRPr="00435180" w:rsidR="003C2902">
        <w:rPr>
          <w:szCs w:val="22"/>
        </w:rPr>
        <w:t>the Education section of the Auction 10</w:t>
      </w:r>
      <w:r w:rsidR="00C740B0">
        <w:rPr>
          <w:szCs w:val="22"/>
        </w:rPr>
        <w:t>7</w:t>
      </w:r>
      <w:r w:rsidRPr="00435180" w:rsidR="003C2902">
        <w:rPr>
          <w:szCs w:val="22"/>
        </w:rPr>
        <w:t xml:space="preserve"> website at</w:t>
      </w:r>
      <w:r w:rsidR="003C2902">
        <w:rPr>
          <w:szCs w:val="22"/>
        </w:rPr>
        <w:t xml:space="preserve"> </w:t>
      </w:r>
      <w:hyperlink r:id="rId7" w:history="1">
        <w:r w:rsidR="00C740B0">
          <w:rPr>
            <w:rStyle w:val="Hyperlink"/>
            <w:szCs w:val="22"/>
          </w:rPr>
          <w:t>www.fcc.gov/auction/107</w:t>
        </w:r>
      </w:hyperlink>
      <w:r w:rsidRPr="00435180">
        <w:rPr>
          <w:szCs w:val="22"/>
        </w:rPr>
        <w:t xml:space="preserve">.  In addition, </w:t>
      </w:r>
      <w:r w:rsidR="00BE1012">
        <w:rPr>
          <w:szCs w:val="22"/>
        </w:rPr>
        <w:t>OEA</w:t>
      </w:r>
      <w:r w:rsidRPr="00435180">
        <w:rPr>
          <w:szCs w:val="22"/>
        </w:rPr>
        <w:t xml:space="preserve"> will provide an online application procedures tutorial for the auction</w:t>
      </w:r>
      <w:r w:rsidR="00442FCD">
        <w:rPr>
          <w:szCs w:val="22"/>
        </w:rPr>
        <w:t>,</w:t>
      </w:r>
      <w:r w:rsidRPr="00435180">
        <w:rPr>
          <w:szCs w:val="22"/>
        </w:rPr>
        <w:t xml:space="preserve"> covering information on pre-bidding preparation, completing short-form applications, and the application review pr</w:t>
      </w:r>
      <w:r w:rsidRPr="00435180">
        <w:rPr>
          <w:szCs w:val="22"/>
        </w:rPr>
        <w:t>ocess.</w:t>
      </w:r>
    </w:p>
    <w:p w:rsidR="00D6515C" w:rsidRPr="00435180" w:rsidP="00D6515C" w14:paraId="661A7062" w14:textId="08C31211">
      <w:pPr>
        <w:pStyle w:val="ParaNum"/>
        <w:widowControl/>
        <w:rPr>
          <w:szCs w:val="22"/>
        </w:rPr>
      </w:pPr>
      <w:r w:rsidRPr="00435180">
        <w:rPr>
          <w:szCs w:val="22"/>
        </w:rPr>
        <w:t xml:space="preserve">In advance of the start of the mock auction, </w:t>
      </w:r>
      <w:r w:rsidR="00BE1012">
        <w:rPr>
          <w:szCs w:val="22"/>
        </w:rPr>
        <w:t>OEA</w:t>
      </w:r>
      <w:r w:rsidRPr="00435180">
        <w:rPr>
          <w:szCs w:val="22"/>
        </w:rPr>
        <w:t xml:space="preserve"> will provide educational materials on the bidding </w:t>
      </w:r>
      <w:r w:rsidR="0009755C">
        <w:rPr>
          <w:szCs w:val="22"/>
        </w:rPr>
        <w:t>procedures</w:t>
      </w:r>
      <w:r w:rsidRPr="00435180" w:rsidR="0009755C">
        <w:rPr>
          <w:szCs w:val="22"/>
        </w:rPr>
        <w:t xml:space="preserve"> </w:t>
      </w:r>
      <w:r w:rsidRPr="00435180">
        <w:rPr>
          <w:szCs w:val="22"/>
        </w:rPr>
        <w:t>for Auction 10</w:t>
      </w:r>
      <w:r w:rsidR="002966AC">
        <w:rPr>
          <w:szCs w:val="22"/>
        </w:rPr>
        <w:t>7</w:t>
      </w:r>
      <w:r w:rsidRPr="00435180">
        <w:rPr>
          <w:szCs w:val="22"/>
        </w:rPr>
        <w:t>, beginning with release of a user guide for the bidding system and bidding system file formats, followed by an online biddi</w:t>
      </w:r>
      <w:r w:rsidRPr="00435180">
        <w:rPr>
          <w:szCs w:val="22"/>
        </w:rPr>
        <w:t>ng procedures tutorial.</w:t>
      </w:r>
      <w:r>
        <w:rPr>
          <w:rStyle w:val="FootnoteReference"/>
          <w:szCs w:val="22"/>
        </w:rPr>
        <w:footnoteReference w:id="251"/>
      </w:r>
      <w:r w:rsidRPr="00435180">
        <w:rPr>
          <w:szCs w:val="22"/>
        </w:rPr>
        <w:t xml:space="preserve">  We recognize the importance of these materials to applicants’ and bidders’ comprehension of the bidding procedures we adopt herein.  Accordingly, the educational materials shall be released as soon as reasonably possible to provide potential applicants a</w:t>
      </w:r>
      <w:r w:rsidRPr="00435180">
        <w:rPr>
          <w:szCs w:val="22"/>
        </w:rPr>
        <w:t xml:space="preserve">nd bidders with time to understand them and ask questions before </w:t>
      </w:r>
      <w:r w:rsidR="00185B52">
        <w:rPr>
          <w:szCs w:val="22"/>
        </w:rPr>
        <w:t>bidding begins</w:t>
      </w:r>
      <w:r w:rsidRPr="00435180">
        <w:rPr>
          <w:szCs w:val="22"/>
        </w:rPr>
        <w:t xml:space="preserve">.       </w:t>
      </w:r>
    </w:p>
    <w:p w:rsidR="00D6515C" w:rsidRPr="00435180" w:rsidP="00A3075C" w14:paraId="1F564EF3" w14:textId="5930861E">
      <w:pPr>
        <w:pStyle w:val="ParaNum"/>
        <w:widowControl/>
        <w:rPr>
          <w:szCs w:val="22"/>
        </w:rPr>
      </w:pPr>
      <w:r w:rsidRPr="00435180">
        <w:rPr>
          <w:szCs w:val="22"/>
        </w:rPr>
        <w:t>We believe that parties interested in participating in Auction 10</w:t>
      </w:r>
      <w:r w:rsidR="000F7076">
        <w:rPr>
          <w:szCs w:val="22"/>
        </w:rPr>
        <w:t>7</w:t>
      </w:r>
      <w:r w:rsidRPr="00435180">
        <w:rPr>
          <w:szCs w:val="22"/>
        </w:rPr>
        <w:t xml:space="preserve"> will find the interactive, online tutorials an efficient and effective way to further their understan</w:t>
      </w:r>
      <w:r w:rsidRPr="00435180">
        <w:rPr>
          <w:szCs w:val="22"/>
        </w:rPr>
        <w:t xml:space="preserve">ding of the application and bidding processes.  The online tutorials will allow viewers to navigate the presentation outline, review written notes, </w:t>
      </w:r>
      <w:r w:rsidR="00CD752F">
        <w:rPr>
          <w:szCs w:val="22"/>
        </w:rPr>
        <w:t xml:space="preserve">and </w:t>
      </w:r>
      <w:r w:rsidRPr="00435180">
        <w:rPr>
          <w:szCs w:val="22"/>
        </w:rPr>
        <w:t>listen to audio of the notes.  Additional features of this web-based tool include links to auction-speci</w:t>
      </w:r>
      <w:r w:rsidRPr="00435180">
        <w:rPr>
          <w:szCs w:val="22"/>
        </w:rPr>
        <w:t>fic Commission releases, email links for contacting Commission staff, and screen shots of the online application and bidding systems.  The online tutorials will be accessible in the Education section of the Auction 10</w:t>
      </w:r>
      <w:r w:rsidR="00885E0A">
        <w:rPr>
          <w:szCs w:val="22"/>
        </w:rPr>
        <w:t>7</w:t>
      </w:r>
      <w:r w:rsidRPr="00435180">
        <w:rPr>
          <w:szCs w:val="22"/>
        </w:rPr>
        <w:t xml:space="preserve"> website at</w:t>
      </w:r>
      <w:r>
        <w:rPr>
          <w:szCs w:val="22"/>
        </w:rPr>
        <w:t xml:space="preserve"> </w:t>
      </w:r>
      <w:hyperlink r:id="rId7" w:history="1">
        <w:r w:rsidR="00885E0A">
          <w:rPr>
            <w:rStyle w:val="Hyperlink"/>
            <w:szCs w:val="22"/>
          </w:rPr>
          <w:t>www.fcc.gov/auction/107</w:t>
        </w:r>
      </w:hyperlink>
      <w:r>
        <w:rPr>
          <w:szCs w:val="22"/>
        </w:rPr>
        <w:t xml:space="preserve">.  </w:t>
      </w:r>
      <w:r w:rsidRPr="00435180">
        <w:rPr>
          <w:szCs w:val="22"/>
        </w:rPr>
        <w:t xml:space="preserve">Once posted, the tutorials will be accessible anytime.  </w:t>
      </w:r>
    </w:p>
    <w:p w:rsidR="00D6515C" w:rsidRPr="00435180" w:rsidP="000C230C" w14:paraId="4D1F709B" w14:textId="31BD2981">
      <w:pPr>
        <w:pStyle w:val="Heading2"/>
      </w:pPr>
      <w:bookmarkStart w:id="1490" w:name="_Toc6383492"/>
      <w:bookmarkStart w:id="1491" w:name="_Toc7525817"/>
      <w:bookmarkStart w:id="1492" w:name="_Toc8657172"/>
      <w:bookmarkStart w:id="1493" w:name="_Toc9410698"/>
      <w:bookmarkStart w:id="1494" w:name="_Toc9430104"/>
      <w:bookmarkStart w:id="1495" w:name="_Toc10116866"/>
      <w:bookmarkStart w:id="1496" w:name="_Toc10646172"/>
      <w:bookmarkStart w:id="1497" w:name="_Toc11156576"/>
      <w:bookmarkStart w:id="1498" w:name="_Toc11244320"/>
      <w:bookmarkStart w:id="1499" w:name="_Toc11653576"/>
      <w:bookmarkStart w:id="1500" w:name="_Toc11678155"/>
      <w:bookmarkStart w:id="1501" w:name="_Toc13654742"/>
      <w:bookmarkStart w:id="1502" w:name="_Toc24459462"/>
      <w:bookmarkStart w:id="1503" w:name="_Toc24459559"/>
      <w:bookmarkStart w:id="1504" w:name="_Toc25926255"/>
      <w:bookmarkStart w:id="1505" w:name="_Toc25926833"/>
      <w:bookmarkStart w:id="1506" w:name="_Toc25926951"/>
      <w:bookmarkStart w:id="1507" w:name="_Toc27039014"/>
      <w:bookmarkStart w:id="1508" w:name="_Toc29813158"/>
      <w:bookmarkStart w:id="1509" w:name="_Toc29886883"/>
      <w:bookmarkStart w:id="1510" w:name="_Toc29999487"/>
      <w:bookmarkStart w:id="1511" w:name="_Toc30699413"/>
      <w:bookmarkStart w:id="1512" w:name="_Toc30701493"/>
      <w:bookmarkStart w:id="1513" w:name="_Toc31189314"/>
      <w:bookmarkStart w:id="1514" w:name="_Toc31189768"/>
      <w:bookmarkStart w:id="1515" w:name="_Toc31193135"/>
      <w:bookmarkStart w:id="1516" w:name="_Toc31195883"/>
      <w:bookmarkStart w:id="1517" w:name="_Toc31200007"/>
      <w:bookmarkStart w:id="1518" w:name="_Toc31713774"/>
      <w:bookmarkStart w:id="1519" w:name="_Toc31822683"/>
      <w:bookmarkStart w:id="1520" w:name="_Toc33629840"/>
      <w:bookmarkStart w:id="1521" w:name="_Toc33696692"/>
      <w:bookmarkEnd w:id="1489"/>
      <w:r w:rsidRPr="00435180">
        <w:t xml:space="preserve">Short-Form Applications:  Due Before 6:00 p.m. ET on </w:t>
      </w:r>
      <w:r w:rsidR="00AF2001">
        <w:t>September 22</w:t>
      </w:r>
      <w:r w:rsidRPr="00435180">
        <w:t>, 20</w:t>
      </w:r>
      <w:r w:rsidR="00B821C9">
        <w:t>20</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rsidR="00D6515C" w:rsidRPr="00435180" w:rsidP="00D6515C" w14:paraId="4A2FCA37" w14:textId="786CB93F">
      <w:pPr>
        <w:pStyle w:val="ParaNum"/>
        <w:widowControl/>
        <w:rPr>
          <w:szCs w:val="22"/>
        </w:rPr>
      </w:pPr>
      <w:r w:rsidRPr="00435180">
        <w:rPr>
          <w:szCs w:val="22"/>
        </w:rPr>
        <w:t>In order to be eligible to bid in Auction 10</w:t>
      </w:r>
      <w:r w:rsidR="00526AAD">
        <w:rPr>
          <w:szCs w:val="22"/>
        </w:rPr>
        <w:t>7</w:t>
      </w:r>
      <w:r w:rsidRPr="00435180">
        <w:rPr>
          <w:szCs w:val="22"/>
        </w:rPr>
        <w:t>, an appl</w:t>
      </w:r>
      <w:r w:rsidRPr="00435180">
        <w:rPr>
          <w:szCs w:val="22"/>
        </w:rPr>
        <w:t xml:space="preserve">icant must first follow the procedures to submit a short-form application (FCC Form 175) electronically via the Auction Application System, </w:t>
      </w:r>
      <w:r w:rsidRPr="00435180">
        <w:rPr>
          <w:szCs w:val="22"/>
        </w:rPr>
        <w:t>following the instructions set forth in the FCC Form 175 Instructions.  The short-form application will become avail</w:t>
      </w:r>
      <w:r w:rsidRPr="00435180">
        <w:rPr>
          <w:szCs w:val="22"/>
        </w:rPr>
        <w:t xml:space="preserve">able with the opening of the initial filing window and must be submitted </w:t>
      </w:r>
      <w:r w:rsidRPr="00435180">
        <w:rPr>
          <w:b/>
          <w:szCs w:val="22"/>
        </w:rPr>
        <w:t>prior to</w:t>
      </w:r>
      <w:r w:rsidRPr="00435180">
        <w:rPr>
          <w:szCs w:val="22"/>
        </w:rPr>
        <w:t xml:space="preserve"> 6:00 p.m. ET on </w:t>
      </w:r>
      <w:r w:rsidR="00EB20F7">
        <w:rPr>
          <w:szCs w:val="22"/>
        </w:rPr>
        <w:t>September 22</w:t>
      </w:r>
      <w:r w:rsidRPr="00435180">
        <w:rPr>
          <w:szCs w:val="22"/>
        </w:rPr>
        <w:t>, 20</w:t>
      </w:r>
      <w:r w:rsidR="000815E3">
        <w:rPr>
          <w:szCs w:val="22"/>
        </w:rPr>
        <w:t>20</w:t>
      </w:r>
      <w:r w:rsidRPr="00435180">
        <w:rPr>
          <w:szCs w:val="22"/>
        </w:rPr>
        <w:t xml:space="preserve">.  </w:t>
      </w:r>
      <w:r w:rsidRPr="00435180">
        <w:rPr>
          <w:b/>
          <w:szCs w:val="22"/>
        </w:rPr>
        <w:t>Late applications will not be accepted.</w:t>
      </w:r>
      <w:r w:rsidRPr="00435180">
        <w:rPr>
          <w:szCs w:val="22"/>
        </w:rPr>
        <w:t xml:space="preserve">  No application fee is required.</w:t>
      </w:r>
    </w:p>
    <w:p w:rsidR="00D6515C" w:rsidRPr="00435180" w:rsidP="00D6515C" w14:paraId="266D8D01" w14:textId="7FBEDD60">
      <w:pPr>
        <w:pStyle w:val="ParaNum"/>
        <w:widowControl/>
        <w:rPr>
          <w:szCs w:val="22"/>
        </w:rPr>
      </w:pPr>
      <w:r w:rsidRPr="00435180">
        <w:rPr>
          <w:szCs w:val="22"/>
        </w:rPr>
        <w:t xml:space="preserve">Applications may be filed at any time beginning at noon ET on </w:t>
      </w:r>
      <w:r w:rsidR="002C54DF">
        <w:rPr>
          <w:szCs w:val="22"/>
        </w:rPr>
        <w:t>September 9</w:t>
      </w:r>
      <w:r w:rsidRPr="00435180">
        <w:rPr>
          <w:szCs w:val="22"/>
        </w:rPr>
        <w:t>, 20</w:t>
      </w:r>
      <w:r w:rsidR="00E727EA">
        <w:rPr>
          <w:szCs w:val="22"/>
        </w:rPr>
        <w:t>20</w:t>
      </w:r>
      <w:r w:rsidRPr="00435180">
        <w:rPr>
          <w:szCs w:val="22"/>
        </w:rPr>
        <w:t xml:space="preserve">, until the filing window closes at 6:00 p.m. ET on </w:t>
      </w:r>
      <w:r w:rsidR="0026737F">
        <w:rPr>
          <w:szCs w:val="22"/>
        </w:rPr>
        <w:t>September 22</w:t>
      </w:r>
      <w:r w:rsidRPr="00435180">
        <w:rPr>
          <w:szCs w:val="22"/>
        </w:rPr>
        <w:t>, 2</w:t>
      </w:r>
      <w:r w:rsidR="00E727EA">
        <w:rPr>
          <w:szCs w:val="22"/>
        </w:rPr>
        <w:t>020</w:t>
      </w:r>
      <w:r w:rsidRPr="00435180">
        <w:rPr>
          <w:szCs w:val="22"/>
        </w:rPr>
        <w:t>.  Applicants are strongly encouraged to file early and are responsible for allowing adequate time for filing their applications.  There are no limits or restrictions on t</w:t>
      </w:r>
      <w:r w:rsidRPr="00435180">
        <w:rPr>
          <w:szCs w:val="22"/>
        </w:rPr>
        <w:t xml:space="preserve">he number of times an application can be updated or amended until the initial filing deadline on </w:t>
      </w:r>
      <w:r w:rsidR="00263558">
        <w:rPr>
          <w:szCs w:val="22"/>
        </w:rPr>
        <w:t>September 22</w:t>
      </w:r>
      <w:r w:rsidRPr="00435180">
        <w:rPr>
          <w:szCs w:val="22"/>
        </w:rPr>
        <w:t>, 20</w:t>
      </w:r>
      <w:r w:rsidR="003D66D6">
        <w:rPr>
          <w:szCs w:val="22"/>
        </w:rPr>
        <w:t>20</w:t>
      </w:r>
      <w:r w:rsidRPr="00435180">
        <w:rPr>
          <w:szCs w:val="22"/>
        </w:rPr>
        <w:t>.</w:t>
      </w:r>
    </w:p>
    <w:p w:rsidR="00D6515C" w:rsidRPr="00435180" w:rsidP="00A3075C" w14:paraId="53C71DDA" w14:textId="3E98C0F6">
      <w:pPr>
        <w:pStyle w:val="ParaNum"/>
        <w:widowControl/>
        <w:rPr>
          <w:szCs w:val="22"/>
        </w:rPr>
      </w:pPr>
      <w:r w:rsidRPr="00435180">
        <w:rPr>
          <w:szCs w:val="22"/>
        </w:rPr>
        <w:t xml:space="preserve">An applicant must always click on the CERTIFY &amp; SUBMIT button on the “Certify &amp; Submit” screen to successfully submit its FCC Form 175 and </w:t>
      </w:r>
      <w:r w:rsidRPr="00435180">
        <w:rPr>
          <w:szCs w:val="22"/>
        </w:rPr>
        <w:t>any modifications; otherwise the application or changes to the application will not be received or reviewed by Commission staff.  Additional information about accessing, completing, and viewing the FCC Form 175 is provided in the FCC Form 175 Instructions.</w:t>
      </w:r>
      <w:r w:rsidRPr="00435180">
        <w:rPr>
          <w:szCs w:val="22"/>
        </w:rPr>
        <w:t xml:space="preserve">  Applicants requiring technical assistance should contact FCC Auctions Technical Support at (877) 480-3201, option nine; (202) 414-1250; or (202) 414-1255 (text telephone (TTY)); hours of service are Monday through Friday, from 8:00 a.m. to 6:00 p.m. ET.</w:t>
      </w:r>
      <w:r>
        <w:rPr>
          <w:rStyle w:val="FootnoteReference"/>
          <w:szCs w:val="22"/>
        </w:rPr>
        <w:footnoteReference w:id="252"/>
      </w:r>
      <w:r w:rsidRPr="00435180">
        <w:rPr>
          <w:szCs w:val="22"/>
        </w:rPr>
        <w:t xml:space="preserve">  In order to provide better service to the public, all calls to Technical Support are recorded. </w:t>
      </w:r>
    </w:p>
    <w:p w:rsidR="00D6515C" w:rsidRPr="00435180" w:rsidP="000C230C" w14:paraId="18D120C5" w14:textId="1DEFBC5B">
      <w:pPr>
        <w:pStyle w:val="Heading2"/>
      </w:pPr>
      <w:bookmarkStart w:id="1522" w:name="_Toc6383493"/>
      <w:bookmarkStart w:id="1523" w:name="_Toc7525818"/>
      <w:bookmarkStart w:id="1524" w:name="_Toc8657173"/>
      <w:bookmarkStart w:id="1525" w:name="_Toc9410699"/>
      <w:bookmarkStart w:id="1526" w:name="_Toc9430105"/>
      <w:bookmarkStart w:id="1527" w:name="_Toc10116867"/>
      <w:bookmarkStart w:id="1528" w:name="_Toc10646173"/>
      <w:bookmarkStart w:id="1529" w:name="_Toc11156577"/>
      <w:bookmarkStart w:id="1530" w:name="_Toc11244321"/>
      <w:bookmarkStart w:id="1531" w:name="_Toc11653577"/>
      <w:bookmarkStart w:id="1532" w:name="_Toc11678156"/>
      <w:bookmarkStart w:id="1533" w:name="_Toc13654743"/>
      <w:bookmarkStart w:id="1534" w:name="_Toc24459463"/>
      <w:bookmarkStart w:id="1535" w:name="_Toc24459560"/>
      <w:bookmarkStart w:id="1536" w:name="_Toc25926256"/>
      <w:bookmarkStart w:id="1537" w:name="_Toc25926834"/>
      <w:bookmarkStart w:id="1538" w:name="_Toc25926952"/>
      <w:bookmarkStart w:id="1539" w:name="_Toc27039015"/>
      <w:bookmarkStart w:id="1540" w:name="_Toc29813159"/>
      <w:bookmarkStart w:id="1541" w:name="_Toc29886884"/>
      <w:bookmarkStart w:id="1542" w:name="_Toc29999488"/>
      <w:bookmarkStart w:id="1543" w:name="_Toc30699414"/>
      <w:bookmarkStart w:id="1544" w:name="_Toc30701494"/>
      <w:bookmarkStart w:id="1545" w:name="_Toc31189315"/>
      <w:bookmarkStart w:id="1546" w:name="_Toc31189769"/>
      <w:bookmarkStart w:id="1547" w:name="_Toc31193136"/>
      <w:bookmarkStart w:id="1548" w:name="_Toc31195884"/>
      <w:bookmarkStart w:id="1549" w:name="_Toc31200008"/>
      <w:bookmarkStart w:id="1550" w:name="_Toc31713775"/>
      <w:bookmarkStart w:id="1551" w:name="_Toc31822684"/>
      <w:bookmarkStart w:id="1552" w:name="_Toc33629841"/>
      <w:bookmarkStart w:id="1553" w:name="_Toc33696693"/>
      <w:r w:rsidRPr="00435180">
        <w:t>Application Processing and Minor Modifications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rsidR="00D6515C" w:rsidRPr="00435180" w:rsidP="00D6515C" w14:paraId="29E2E09D" w14:textId="7415ED37">
      <w:pPr>
        <w:pStyle w:val="Heading3"/>
        <w:rPr>
          <w:szCs w:val="22"/>
        </w:rPr>
      </w:pPr>
      <w:bookmarkStart w:id="1554" w:name="_Toc6383494"/>
      <w:bookmarkStart w:id="1555" w:name="_Toc7525819"/>
      <w:bookmarkStart w:id="1556" w:name="_Toc8657174"/>
      <w:bookmarkStart w:id="1557" w:name="_Toc9410700"/>
      <w:bookmarkStart w:id="1558" w:name="_Toc9430106"/>
      <w:bookmarkStart w:id="1559" w:name="_Toc10116868"/>
      <w:bookmarkStart w:id="1560" w:name="_Toc10646174"/>
      <w:bookmarkStart w:id="1561" w:name="_Toc11156578"/>
      <w:bookmarkStart w:id="1562" w:name="_Toc11244322"/>
      <w:bookmarkStart w:id="1563" w:name="_Toc11653578"/>
      <w:bookmarkStart w:id="1564" w:name="_Toc11678157"/>
      <w:bookmarkStart w:id="1565" w:name="_Toc13654744"/>
      <w:bookmarkStart w:id="1566" w:name="_Toc24459464"/>
      <w:bookmarkStart w:id="1567" w:name="_Toc24459561"/>
      <w:bookmarkStart w:id="1568" w:name="_Toc25926257"/>
      <w:bookmarkStart w:id="1569" w:name="_Toc25926835"/>
      <w:bookmarkStart w:id="1570" w:name="_Toc25926953"/>
      <w:bookmarkStart w:id="1571" w:name="_Toc27039016"/>
      <w:bookmarkStart w:id="1572" w:name="_Toc29813160"/>
      <w:bookmarkStart w:id="1573" w:name="_Toc29886885"/>
      <w:bookmarkStart w:id="1574" w:name="_Toc29999489"/>
      <w:bookmarkStart w:id="1575" w:name="_Toc30699415"/>
      <w:bookmarkStart w:id="1576" w:name="_Toc30701495"/>
      <w:bookmarkStart w:id="1577" w:name="_Toc31189316"/>
      <w:bookmarkStart w:id="1578" w:name="_Toc31189770"/>
      <w:bookmarkStart w:id="1579" w:name="_Toc31193137"/>
      <w:bookmarkStart w:id="1580" w:name="_Toc31195885"/>
      <w:bookmarkStart w:id="1581" w:name="_Toc31200009"/>
      <w:bookmarkStart w:id="1582" w:name="_Toc31713776"/>
      <w:bookmarkStart w:id="1583" w:name="_Toc31822685"/>
      <w:bookmarkStart w:id="1584" w:name="_Toc33629842"/>
      <w:bookmarkStart w:id="1585" w:name="_Toc33696694"/>
      <w:r w:rsidRPr="00435180">
        <w:rPr>
          <w:szCs w:val="22"/>
        </w:rPr>
        <w:t>Public Notice of Applicant</w:t>
      </w:r>
      <w:r w:rsidR="00694D8C">
        <w:rPr>
          <w:szCs w:val="22"/>
        </w:rPr>
        <w:t>s</w:t>
      </w:r>
      <w:r w:rsidRPr="00435180">
        <w:rPr>
          <w:szCs w:val="22"/>
        </w:rPr>
        <w:t>’ Initial Application Status and Opportunity for Minor Modifications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sidRPr="00435180">
        <w:rPr>
          <w:szCs w:val="22"/>
        </w:rPr>
        <w:tab/>
      </w:r>
    </w:p>
    <w:p w:rsidR="00D6515C" w:rsidRPr="00435180" w:rsidP="00D6515C" w14:paraId="7FCF9F9A" w14:textId="13D005E0">
      <w:pPr>
        <w:pStyle w:val="ParaNum"/>
        <w:widowControl/>
        <w:rPr>
          <w:szCs w:val="22"/>
        </w:rPr>
      </w:pPr>
      <w:r w:rsidRPr="00435180">
        <w:rPr>
          <w:szCs w:val="22"/>
        </w:rPr>
        <w:t>After the dea</w:t>
      </w:r>
      <w:r w:rsidRPr="00435180">
        <w:rPr>
          <w:szCs w:val="22"/>
        </w:rPr>
        <w:t xml:space="preserve">dline for filing auction applications, the Commission will process all timely submitted applications to determine whether each applicant has complied with the application requirements and provided all information concerning its qualifications for bidding. </w:t>
      </w:r>
      <w:r w:rsidRPr="00435180">
        <w:rPr>
          <w:szCs w:val="22"/>
        </w:rPr>
        <w:t xml:space="preserve"> </w:t>
      </w:r>
      <w:r w:rsidR="00BE1012">
        <w:rPr>
          <w:szCs w:val="22"/>
        </w:rPr>
        <w:t>OEA</w:t>
      </w:r>
      <w:r w:rsidRPr="00435180">
        <w:rPr>
          <w:szCs w:val="22"/>
        </w:rPr>
        <w:t xml:space="preserve"> will issue a public notice with applicants’ initial application status</w:t>
      </w:r>
      <w:r w:rsidR="00A7447C">
        <w:rPr>
          <w:szCs w:val="22"/>
        </w:rPr>
        <w:t>,</w:t>
      </w:r>
      <w:r w:rsidRPr="00435180">
        <w:rPr>
          <w:szCs w:val="22"/>
        </w:rPr>
        <w:t xml:space="preserve"> identifying</w:t>
      </w:r>
      <w:r w:rsidR="00C43677">
        <w:rPr>
          <w:szCs w:val="22"/>
        </w:rPr>
        <w:t xml:space="preserve">: </w:t>
      </w:r>
      <w:r w:rsidRPr="00435180">
        <w:rPr>
          <w:szCs w:val="22"/>
        </w:rPr>
        <w:t xml:space="preserve"> (1) those that are complete</w:t>
      </w:r>
      <w:r w:rsidR="00131E70">
        <w:rPr>
          <w:szCs w:val="22"/>
        </w:rPr>
        <w:t>;</w:t>
      </w:r>
      <w:r w:rsidRPr="00435180">
        <w:rPr>
          <w:szCs w:val="22"/>
        </w:rPr>
        <w:t xml:space="preserve"> and (2)</w:t>
      </w:r>
      <w:r w:rsidR="003C79CE">
        <w:rPr>
          <w:szCs w:val="22"/>
        </w:rPr>
        <w:t> </w:t>
      </w:r>
      <w:r w:rsidRPr="00435180">
        <w:rPr>
          <w:szCs w:val="22"/>
        </w:rPr>
        <w:t xml:space="preserve">those that are incomplete or deficient because of defects that may be corrected.  The public notice will include the deadline for resubmitting corrected applications </w:t>
      </w:r>
      <w:r w:rsidRPr="00435180" w:rsidR="00EC4D8D">
        <w:rPr>
          <w:szCs w:val="22"/>
        </w:rPr>
        <w:t>and a</w:t>
      </w:r>
      <w:r w:rsidR="00EC4D8D">
        <w:rPr>
          <w:szCs w:val="22"/>
        </w:rPr>
        <w:t>n electronic</w:t>
      </w:r>
      <w:r w:rsidRPr="00435180" w:rsidR="00EC4D8D">
        <w:rPr>
          <w:szCs w:val="22"/>
        </w:rPr>
        <w:t xml:space="preserve"> copy will be sent by </w:t>
      </w:r>
      <w:r w:rsidR="00EC4D8D">
        <w:t xml:space="preserve">email </w:t>
      </w:r>
      <w:r w:rsidRPr="00435180" w:rsidR="00EC4D8D">
        <w:rPr>
          <w:szCs w:val="22"/>
        </w:rPr>
        <w:t xml:space="preserve">to the contact address listed in the FCC Form 175 for each applicant.  In addition, each applicant with an incomplete application will be sent information on the nature of the deficiencies in its application, along with the name and </w:t>
      </w:r>
      <w:r w:rsidR="00EC4D8D">
        <w:rPr>
          <w:szCs w:val="22"/>
        </w:rPr>
        <w:t>contact information</w:t>
      </w:r>
      <w:r w:rsidRPr="00435180" w:rsidR="00EC4D8D">
        <w:rPr>
          <w:szCs w:val="22"/>
        </w:rPr>
        <w:t xml:space="preserve"> of a </w:t>
      </w:r>
      <w:r w:rsidRPr="00435180">
        <w:rPr>
          <w:szCs w:val="22"/>
        </w:rPr>
        <w:t>Commission staff member who can answer ques</w:t>
      </w:r>
      <w:r w:rsidRPr="00435180">
        <w:rPr>
          <w:szCs w:val="22"/>
        </w:rPr>
        <w:t xml:space="preserve">tions specific to the application.  </w:t>
      </w:r>
    </w:p>
    <w:p w:rsidR="00D6515C" w:rsidRPr="00435180" w:rsidP="00D6515C" w14:paraId="5B2ADC77" w14:textId="075C30AF">
      <w:pPr>
        <w:pStyle w:val="ParaNum"/>
        <w:widowControl/>
        <w:rPr>
          <w:szCs w:val="22"/>
        </w:rPr>
      </w:pPr>
      <w:r w:rsidRPr="00435180">
        <w:rPr>
          <w:szCs w:val="22"/>
        </w:rPr>
        <w:t xml:space="preserve">After the initial application filing deadline on </w:t>
      </w:r>
      <w:r w:rsidR="00E87694">
        <w:rPr>
          <w:szCs w:val="22"/>
        </w:rPr>
        <w:t>September 22</w:t>
      </w:r>
      <w:r w:rsidRPr="00435180">
        <w:rPr>
          <w:szCs w:val="22"/>
        </w:rPr>
        <w:t>, 20</w:t>
      </w:r>
      <w:r w:rsidR="00E87694">
        <w:rPr>
          <w:szCs w:val="22"/>
        </w:rPr>
        <w:t>20</w:t>
      </w:r>
      <w:r w:rsidRPr="00435180">
        <w:rPr>
          <w:szCs w:val="22"/>
        </w:rPr>
        <w:t>, applicants can make only minor modifications to their applications.</w:t>
      </w:r>
      <w:r>
        <w:rPr>
          <w:rStyle w:val="FootnoteReference"/>
          <w:szCs w:val="22"/>
        </w:rPr>
        <w:footnoteReference w:id="253"/>
      </w:r>
      <w:r w:rsidRPr="00435180">
        <w:rPr>
          <w:szCs w:val="22"/>
        </w:rPr>
        <w:t xml:space="preserve">  Major modifications (e.g., change of </w:t>
      </w:r>
      <w:r w:rsidR="00C80082">
        <w:rPr>
          <w:szCs w:val="22"/>
        </w:rPr>
        <w:t>PEA selection</w:t>
      </w:r>
      <w:r w:rsidRPr="00435180">
        <w:rPr>
          <w:szCs w:val="22"/>
        </w:rPr>
        <w:t>, certain changes in ownershi</w:t>
      </w:r>
      <w:r w:rsidRPr="00435180">
        <w:rPr>
          <w:szCs w:val="22"/>
        </w:rPr>
        <w:t>p that would constitute an assignment or transfer of control of the applicant, change in the required certifications, change in applicant’s legal classification that results in a change in control, or change in claimed eligibility for a higher percentage o</w:t>
      </w:r>
      <w:r w:rsidRPr="00435180">
        <w:rPr>
          <w:szCs w:val="22"/>
        </w:rPr>
        <w:t>f bidding credit) will not be permitted.</w:t>
      </w:r>
      <w:r>
        <w:rPr>
          <w:rStyle w:val="FootnoteReference"/>
          <w:szCs w:val="22"/>
        </w:rPr>
        <w:footnoteReference w:id="254"/>
      </w:r>
      <w:r w:rsidRPr="00435180">
        <w:rPr>
          <w:szCs w:val="22"/>
        </w:rPr>
        <w:t xml:space="preserve">  After the deadline for resubmitting corrected applications, an applicant will have no further opportunity to cure any deficiencies in its application or provide any additional information that may affect Commissi</w:t>
      </w:r>
      <w:r w:rsidRPr="00435180">
        <w:rPr>
          <w:szCs w:val="22"/>
        </w:rPr>
        <w:t>on staff’s ultimate determination of whether and to what extent the applicant is qualified to participate in Auction 10</w:t>
      </w:r>
      <w:r w:rsidR="00D508AB">
        <w:rPr>
          <w:szCs w:val="22"/>
        </w:rPr>
        <w:t>7</w:t>
      </w:r>
      <w:r w:rsidRPr="00435180">
        <w:rPr>
          <w:szCs w:val="22"/>
        </w:rPr>
        <w:t>.</w:t>
      </w:r>
    </w:p>
    <w:p w:rsidR="00D6515C" w:rsidRPr="00435180" w:rsidP="00D6515C" w14:paraId="1658B572" w14:textId="76C44C57">
      <w:pPr>
        <w:pStyle w:val="ParaNum"/>
        <w:widowControl/>
        <w:rPr>
          <w:szCs w:val="22"/>
        </w:rPr>
      </w:pPr>
      <w:r w:rsidRPr="00435180">
        <w:rPr>
          <w:szCs w:val="22"/>
        </w:rPr>
        <w:t>Commission staff will communicate only with an applicant’s contact person or certifying official, as designated on the applicant’s FCC</w:t>
      </w:r>
      <w:r w:rsidRPr="00435180">
        <w:rPr>
          <w:szCs w:val="22"/>
        </w:rPr>
        <w:t xml:space="preserve"> Form 175, unless the applicant’s certifying official or </w:t>
      </w:r>
      <w:r w:rsidRPr="00435180">
        <w:rPr>
          <w:szCs w:val="22"/>
        </w:rPr>
        <w:t>contact person notifies Commission staff in writing that another representative is authorized to speak on the applicant’s behalf.</w:t>
      </w:r>
      <w:r>
        <w:rPr>
          <w:rStyle w:val="FootnoteReference"/>
          <w:szCs w:val="22"/>
        </w:rPr>
        <w:footnoteReference w:id="255"/>
      </w:r>
      <w:r w:rsidRPr="00435180">
        <w:rPr>
          <w:szCs w:val="22"/>
        </w:rPr>
        <w:t xml:space="preserve">  Authorizations may be sent by email to </w:t>
      </w:r>
      <w:hyperlink r:id="rId6" w:history="1">
        <w:r w:rsidR="00C75982">
          <w:rPr>
            <w:rStyle w:val="Hyperlink"/>
            <w:szCs w:val="22"/>
          </w:rPr>
          <w:t>auction107@fcc.gov</w:t>
        </w:r>
      </w:hyperlink>
      <w:r w:rsidRPr="00435180">
        <w:rPr>
          <w:szCs w:val="22"/>
        </w:rPr>
        <w:t>.</w:t>
      </w:r>
    </w:p>
    <w:p w:rsidR="00D6515C" w:rsidRPr="00435180" w:rsidP="00D6515C" w14:paraId="6435A5B0" w14:textId="76388390">
      <w:pPr>
        <w:pStyle w:val="Heading3"/>
        <w:rPr>
          <w:szCs w:val="22"/>
        </w:rPr>
      </w:pPr>
      <w:bookmarkStart w:id="1586" w:name="_Toc6383495"/>
      <w:bookmarkStart w:id="1587" w:name="_Toc7525820"/>
      <w:bookmarkStart w:id="1588" w:name="_Toc8657175"/>
      <w:bookmarkStart w:id="1589" w:name="_Toc9410701"/>
      <w:bookmarkStart w:id="1590" w:name="_Toc9430107"/>
      <w:bookmarkStart w:id="1591" w:name="_Toc10116869"/>
      <w:bookmarkStart w:id="1592" w:name="_Toc10646175"/>
      <w:bookmarkStart w:id="1593" w:name="_Toc11156579"/>
      <w:bookmarkStart w:id="1594" w:name="_Toc11244323"/>
      <w:bookmarkStart w:id="1595" w:name="_Toc11653579"/>
      <w:bookmarkStart w:id="1596" w:name="_Toc11678158"/>
      <w:bookmarkStart w:id="1597" w:name="_Toc13654745"/>
      <w:bookmarkStart w:id="1598" w:name="_Toc24459465"/>
      <w:bookmarkStart w:id="1599" w:name="_Toc24459562"/>
      <w:bookmarkStart w:id="1600" w:name="_Toc25926258"/>
      <w:bookmarkStart w:id="1601" w:name="_Toc25926836"/>
      <w:bookmarkStart w:id="1602" w:name="_Toc25926954"/>
      <w:bookmarkStart w:id="1603" w:name="_Toc27039017"/>
      <w:bookmarkStart w:id="1604" w:name="_Toc29813161"/>
      <w:bookmarkStart w:id="1605" w:name="_Toc29886886"/>
      <w:bookmarkStart w:id="1606" w:name="_Toc29999490"/>
      <w:bookmarkStart w:id="1607" w:name="_Toc30699416"/>
      <w:bookmarkStart w:id="1608" w:name="_Toc30701496"/>
      <w:bookmarkStart w:id="1609" w:name="_Toc31189317"/>
      <w:bookmarkStart w:id="1610" w:name="_Toc31189771"/>
      <w:bookmarkStart w:id="1611" w:name="_Toc31193138"/>
      <w:bookmarkStart w:id="1612" w:name="_Toc31195886"/>
      <w:bookmarkStart w:id="1613" w:name="_Toc31200010"/>
      <w:bookmarkStart w:id="1614" w:name="_Toc31713777"/>
      <w:bookmarkStart w:id="1615" w:name="_Toc31822686"/>
      <w:bookmarkStart w:id="1616" w:name="_Toc33629843"/>
      <w:bookmarkStart w:id="1617" w:name="_Toc33696695"/>
      <w:r w:rsidRPr="00435180">
        <w:rPr>
          <w:szCs w:val="22"/>
        </w:rPr>
        <w:t>Public Notice of Applicant</w:t>
      </w:r>
      <w:r w:rsidR="00694D8C">
        <w:rPr>
          <w:szCs w:val="22"/>
        </w:rPr>
        <w:t>s</w:t>
      </w:r>
      <w:r w:rsidRPr="00435180">
        <w:rPr>
          <w:szCs w:val="22"/>
        </w:rPr>
        <w:t>’ Final Application Status</w:t>
      </w:r>
      <w:r w:rsidR="003C79CE">
        <w:rPr>
          <w:szCs w:val="22"/>
        </w:rPr>
        <w:t xml:space="preserve"> </w:t>
      </w:r>
      <w:r w:rsidRPr="00435180">
        <w:rPr>
          <w:szCs w:val="22"/>
        </w:rPr>
        <w:t>After Upfront Payment Deadline</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rsidR="00D6515C" w:rsidRPr="00435180" w:rsidP="002E0F39" w14:paraId="79223184" w14:textId="1B348498">
      <w:pPr>
        <w:pStyle w:val="ParaNum"/>
        <w:widowControl/>
        <w:rPr>
          <w:szCs w:val="22"/>
        </w:rPr>
      </w:pPr>
      <w:r w:rsidRPr="00435180">
        <w:rPr>
          <w:szCs w:val="22"/>
        </w:rPr>
        <w:t>After Commission staff review</w:t>
      </w:r>
      <w:r w:rsidR="00877BFE">
        <w:rPr>
          <w:szCs w:val="22"/>
        </w:rPr>
        <w:t>s</w:t>
      </w:r>
      <w:r w:rsidRPr="00435180">
        <w:rPr>
          <w:szCs w:val="22"/>
        </w:rPr>
        <w:t xml:space="preserve"> resubmitted applications</w:t>
      </w:r>
      <w:r w:rsidR="00F62E40">
        <w:rPr>
          <w:szCs w:val="22"/>
        </w:rPr>
        <w:t xml:space="preserve"> and upfront payment</w:t>
      </w:r>
      <w:r w:rsidR="007167C9">
        <w:rPr>
          <w:szCs w:val="22"/>
        </w:rPr>
        <w:t>s</w:t>
      </w:r>
      <w:r w:rsidRPr="00435180">
        <w:rPr>
          <w:szCs w:val="22"/>
        </w:rPr>
        <w:t xml:space="preserve">, </w:t>
      </w:r>
      <w:r w:rsidR="00BE1012">
        <w:rPr>
          <w:szCs w:val="22"/>
        </w:rPr>
        <w:t>OEA</w:t>
      </w:r>
      <w:r w:rsidRPr="00435180">
        <w:rPr>
          <w:szCs w:val="22"/>
        </w:rPr>
        <w:t xml:space="preserve"> will release a public notice identifying applicants that have become qualified bidders for </w:t>
      </w:r>
      <w:r w:rsidR="000F7861">
        <w:rPr>
          <w:szCs w:val="22"/>
        </w:rPr>
        <w:t>the</w:t>
      </w:r>
      <w:r w:rsidRPr="00435180" w:rsidR="000F7861">
        <w:rPr>
          <w:szCs w:val="22"/>
        </w:rPr>
        <w:t xml:space="preserve"> </w:t>
      </w:r>
      <w:r w:rsidRPr="00435180">
        <w:rPr>
          <w:szCs w:val="22"/>
        </w:rPr>
        <w:t xml:space="preserve">auction.  A </w:t>
      </w:r>
      <w:r w:rsidRPr="00435180">
        <w:rPr>
          <w:i/>
          <w:szCs w:val="22"/>
        </w:rPr>
        <w:t>Qualified Bidders Public Notice</w:t>
      </w:r>
      <w:r w:rsidRPr="00435180">
        <w:rPr>
          <w:szCs w:val="22"/>
        </w:rPr>
        <w:t xml:space="preserve"> will be issued before bidding in the auction begins.  Qualified bidders are those applicants with submitted FCC Form</w:t>
      </w:r>
      <w:r w:rsidRPr="00435180">
        <w:rPr>
          <w:szCs w:val="22"/>
        </w:rPr>
        <w:t xml:space="preserve"> 175 applications that are deemed timely filed and complete</w:t>
      </w:r>
      <w:r w:rsidR="00FD4EE8">
        <w:rPr>
          <w:szCs w:val="22"/>
        </w:rPr>
        <w:t xml:space="preserve"> and that have made a sufficient upfront payment</w:t>
      </w:r>
      <w:r w:rsidRPr="00435180">
        <w:rPr>
          <w:szCs w:val="22"/>
        </w:rPr>
        <w:t xml:space="preserve">.  </w:t>
      </w:r>
    </w:p>
    <w:p w:rsidR="00D6515C" w:rsidRPr="00435180" w:rsidP="000C230C" w14:paraId="2FD29A54" w14:textId="3A499FFB">
      <w:pPr>
        <w:pStyle w:val="Heading2"/>
      </w:pPr>
      <w:bookmarkStart w:id="1618" w:name="_Toc6383496"/>
      <w:bookmarkStart w:id="1619" w:name="_Toc7525821"/>
      <w:bookmarkStart w:id="1620" w:name="_Toc8657176"/>
      <w:bookmarkStart w:id="1621" w:name="_Toc9410702"/>
      <w:bookmarkStart w:id="1622" w:name="_Toc9430108"/>
      <w:bookmarkStart w:id="1623" w:name="_Toc10116870"/>
      <w:bookmarkStart w:id="1624" w:name="_Toc10646176"/>
      <w:bookmarkStart w:id="1625" w:name="_Toc11156580"/>
      <w:bookmarkStart w:id="1626" w:name="_Toc11244324"/>
      <w:bookmarkStart w:id="1627" w:name="_Toc11653580"/>
      <w:bookmarkStart w:id="1628" w:name="_Toc11678159"/>
      <w:bookmarkStart w:id="1629" w:name="_Toc13654746"/>
      <w:bookmarkStart w:id="1630" w:name="_Toc24459466"/>
      <w:bookmarkStart w:id="1631" w:name="_Toc24459563"/>
      <w:bookmarkStart w:id="1632" w:name="_Toc25926259"/>
      <w:bookmarkStart w:id="1633" w:name="_Toc25926837"/>
      <w:bookmarkStart w:id="1634" w:name="_Toc25926955"/>
      <w:bookmarkStart w:id="1635" w:name="_Toc27039018"/>
      <w:bookmarkStart w:id="1636" w:name="_Toc29813162"/>
      <w:bookmarkStart w:id="1637" w:name="_Toc29886887"/>
      <w:bookmarkStart w:id="1638" w:name="_Toc29999491"/>
      <w:bookmarkStart w:id="1639" w:name="_Toc30699417"/>
      <w:bookmarkStart w:id="1640" w:name="_Toc30701497"/>
      <w:bookmarkStart w:id="1641" w:name="_Toc31189318"/>
      <w:bookmarkStart w:id="1642" w:name="_Toc31189772"/>
      <w:bookmarkStart w:id="1643" w:name="_Toc31193139"/>
      <w:bookmarkStart w:id="1644" w:name="_Toc31195887"/>
      <w:bookmarkStart w:id="1645" w:name="_Toc31200011"/>
      <w:bookmarkStart w:id="1646" w:name="_Toc31713778"/>
      <w:bookmarkStart w:id="1647" w:name="_Toc31822687"/>
      <w:bookmarkStart w:id="1648" w:name="_Toc33629844"/>
      <w:bookmarkStart w:id="1649" w:name="_Toc33696696"/>
      <w:r w:rsidRPr="00435180">
        <w:t>Upfront Payments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rsidR="00D6515C" w:rsidRPr="00435180" w:rsidP="00D6515C" w14:paraId="3D774848" w14:textId="7649CDCB">
      <w:pPr>
        <w:pStyle w:val="ParaNum"/>
        <w:widowControl/>
        <w:rPr>
          <w:szCs w:val="22"/>
        </w:rPr>
      </w:pPr>
      <w:r w:rsidRPr="00435180">
        <w:rPr>
          <w:szCs w:val="22"/>
        </w:rPr>
        <w:t>In order to be eligible to bid in Auction 10</w:t>
      </w:r>
      <w:r w:rsidR="00591F6E">
        <w:rPr>
          <w:szCs w:val="22"/>
        </w:rPr>
        <w:t>7</w:t>
      </w:r>
      <w:r w:rsidRPr="00435180">
        <w:rPr>
          <w:szCs w:val="22"/>
        </w:rPr>
        <w:t>, a sufficient upfront payment and a complete and accurate FCC Remittance Advice Fo</w:t>
      </w:r>
      <w:r w:rsidRPr="00435180">
        <w:rPr>
          <w:szCs w:val="22"/>
        </w:rPr>
        <w:t xml:space="preserve">rm (FCC Form 159, Revised 2/03) must be submitted before 6:00 p.m. ET on </w:t>
      </w:r>
      <w:r w:rsidR="00960448">
        <w:rPr>
          <w:szCs w:val="22"/>
        </w:rPr>
        <w:t>November 2</w:t>
      </w:r>
      <w:r w:rsidRPr="00435180">
        <w:rPr>
          <w:szCs w:val="22"/>
        </w:rPr>
        <w:t>, 20</w:t>
      </w:r>
      <w:r w:rsidR="0046467D">
        <w:rPr>
          <w:szCs w:val="22"/>
        </w:rPr>
        <w:t>20</w:t>
      </w:r>
      <w:r w:rsidRPr="00435180">
        <w:rPr>
          <w:szCs w:val="22"/>
        </w:rPr>
        <w:t>.  After completing its short-form application, an applicant will have access to an electronic pre-filled version of the FCC Form 159.  An accurate and complete FCC Fo</w:t>
      </w:r>
      <w:r w:rsidRPr="00435180">
        <w:rPr>
          <w:szCs w:val="22"/>
        </w:rPr>
        <w:t>rm 159 must accompany each payment.  Proper completion of this form is critical to ensuring correct crediting of upfront payments.  Payers using the pre-filled FCC Form 159 are responsible for ensuring that all the information on the form, including paymen</w:t>
      </w:r>
      <w:r w:rsidRPr="00435180">
        <w:rPr>
          <w:szCs w:val="22"/>
        </w:rPr>
        <w:t>t amounts, is accurate.</w:t>
      </w:r>
      <w:r w:rsidR="002202A7">
        <w:rPr>
          <w:szCs w:val="22"/>
        </w:rPr>
        <w:t xml:space="preserve">  </w:t>
      </w:r>
      <w:r w:rsidR="00165694">
        <w:rPr>
          <w:szCs w:val="22"/>
        </w:rPr>
        <w:t>Instructions for completing FCC Form 159 for Auction 107 are provided below.</w:t>
      </w:r>
      <w:bookmarkStart w:id="1650" w:name="_Hlk519063226"/>
      <w:r w:rsidRPr="00435180">
        <w:rPr>
          <w:szCs w:val="22"/>
        </w:rPr>
        <w:t xml:space="preserve">   </w:t>
      </w:r>
    </w:p>
    <w:p w:rsidR="00D6515C" w:rsidRPr="00435180" w:rsidP="00D6515C" w14:paraId="241CBBBD" w14:textId="1D36602B">
      <w:pPr>
        <w:pStyle w:val="Heading3"/>
        <w:rPr>
          <w:szCs w:val="22"/>
        </w:rPr>
      </w:pPr>
      <w:bookmarkStart w:id="1651" w:name="_Toc6383497"/>
      <w:bookmarkStart w:id="1652" w:name="_Toc7525822"/>
      <w:bookmarkStart w:id="1653" w:name="_Toc8657177"/>
      <w:bookmarkStart w:id="1654" w:name="_Toc9410703"/>
      <w:bookmarkStart w:id="1655" w:name="_Toc9430109"/>
      <w:bookmarkStart w:id="1656" w:name="_Toc10116871"/>
      <w:bookmarkStart w:id="1657" w:name="_Toc10646177"/>
      <w:bookmarkStart w:id="1658" w:name="_Toc11156581"/>
      <w:bookmarkStart w:id="1659" w:name="_Toc11244325"/>
      <w:bookmarkStart w:id="1660" w:name="_Toc11653581"/>
      <w:bookmarkStart w:id="1661" w:name="_Toc11678160"/>
      <w:bookmarkStart w:id="1662" w:name="_Toc13654747"/>
      <w:bookmarkStart w:id="1663" w:name="_Toc24459467"/>
      <w:bookmarkStart w:id="1664" w:name="_Toc24459564"/>
      <w:bookmarkStart w:id="1665" w:name="_Toc25926260"/>
      <w:bookmarkStart w:id="1666" w:name="_Toc25926838"/>
      <w:bookmarkStart w:id="1667" w:name="_Toc25926956"/>
      <w:bookmarkStart w:id="1668" w:name="_Toc27039019"/>
      <w:bookmarkStart w:id="1669" w:name="_Toc29813163"/>
      <w:bookmarkStart w:id="1670" w:name="_Toc29886888"/>
      <w:bookmarkStart w:id="1671" w:name="_Toc29999492"/>
      <w:bookmarkStart w:id="1672" w:name="_Toc30699418"/>
      <w:bookmarkStart w:id="1673" w:name="_Toc30701498"/>
      <w:bookmarkStart w:id="1674" w:name="_Toc31189319"/>
      <w:bookmarkStart w:id="1675" w:name="_Toc31189773"/>
      <w:bookmarkStart w:id="1676" w:name="_Toc31193140"/>
      <w:bookmarkStart w:id="1677" w:name="_Toc31195888"/>
      <w:bookmarkStart w:id="1678" w:name="_Toc31200012"/>
      <w:bookmarkStart w:id="1679" w:name="_Toc31713779"/>
      <w:bookmarkStart w:id="1680" w:name="_Toc31822688"/>
      <w:bookmarkStart w:id="1681" w:name="_Toc33629845"/>
      <w:bookmarkStart w:id="1682" w:name="_Toc33696697"/>
      <w:bookmarkEnd w:id="1650"/>
      <w:r w:rsidRPr="00435180">
        <w:rPr>
          <w:szCs w:val="22"/>
        </w:rPr>
        <w:t>Making Upfront Payments by Wire Transfer for Auction 10</w:t>
      </w:r>
      <w:r w:rsidR="00521DE2">
        <w:rPr>
          <w:szCs w:val="22"/>
        </w:rPr>
        <w:t>7</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rsidR="00D6515C" w:rsidRPr="00435180" w:rsidP="00D6515C" w14:paraId="7D5B035E" w14:textId="63B18A3B">
      <w:pPr>
        <w:pStyle w:val="ParaNum"/>
        <w:widowControl/>
        <w:rPr>
          <w:szCs w:val="22"/>
        </w:rPr>
      </w:pPr>
      <w:r>
        <w:rPr>
          <w:szCs w:val="22"/>
        </w:rPr>
        <w:t>U</w:t>
      </w:r>
      <w:r w:rsidRPr="00435180" w:rsidR="00777B66">
        <w:rPr>
          <w:szCs w:val="22"/>
        </w:rPr>
        <w:t>pfront payments for Auction 10</w:t>
      </w:r>
      <w:r w:rsidR="00521DE2">
        <w:rPr>
          <w:szCs w:val="22"/>
        </w:rPr>
        <w:t>7</w:t>
      </w:r>
      <w:r w:rsidRPr="00435180" w:rsidR="00777B66">
        <w:rPr>
          <w:szCs w:val="22"/>
        </w:rPr>
        <w:t xml:space="preserve"> must be wired to, and will be deposited in, the U.S. Treasury.</w:t>
      </w:r>
      <w:r>
        <w:rPr>
          <w:rStyle w:val="FootnoteReference"/>
          <w:szCs w:val="22"/>
        </w:rPr>
        <w:footnoteReference w:id="256"/>
      </w:r>
    </w:p>
    <w:p w:rsidR="00D6515C" w:rsidRPr="00435180" w:rsidP="00D6515C" w14:paraId="279D38D1" w14:textId="7EF53781">
      <w:pPr>
        <w:pStyle w:val="ParaNum"/>
        <w:widowControl/>
        <w:rPr>
          <w:szCs w:val="22"/>
        </w:rPr>
      </w:pPr>
      <w:r w:rsidRPr="00435180">
        <w:rPr>
          <w:szCs w:val="22"/>
        </w:rPr>
        <w:t>Wire transfer payments for Auction 10</w:t>
      </w:r>
      <w:r w:rsidR="00523F41">
        <w:rPr>
          <w:szCs w:val="22"/>
        </w:rPr>
        <w:t>7</w:t>
      </w:r>
      <w:r w:rsidRPr="00435180">
        <w:rPr>
          <w:szCs w:val="22"/>
        </w:rPr>
        <w:t xml:space="preserve"> must be received before 6:00 p.m. ET on</w:t>
      </w:r>
      <w:r w:rsidR="006720BD">
        <w:rPr>
          <w:szCs w:val="22"/>
        </w:rPr>
        <w:t xml:space="preserve"> November </w:t>
      </w:r>
      <w:r w:rsidR="00D039B9">
        <w:rPr>
          <w:szCs w:val="22"/>
        </w:rPr>
        <w:t>2</w:t>
      </w:r>
      <w:r w:rsidRPr="00435180">
        <w:rPr>
          <w:szCs w:val="22"/>
        </w:rPr>
        <w:t>, 20</w:t>
      </w:r>
      <w:r w:rsidR="00D039B9">
        <w:rPr>
          <w:szCs w:val="22"/>
        </w:rPr>
        <w:t>20</w:t>
      </w:r>
      <w:r w:rsidRPr="00435180">
        <w:rPr>
          <w:szCs w:val="22"/>
        </w:rPr>
        <w:t>.</w:t>
      </w:r>
      <w:r>
        <w:rPr>
          <w:rStyle w:val="FootnoteReference"/>
          <w:szCs w:val="22"/>
        </w:rPr>
        <w:footnoteReference w:id="257"/>
      </w:r>
      <w:r w:rsidRPr="00435180">
        <w:rPr>
          <w:szCs w:val="22"/>
        </w:rPr>
        <w:t xml:space="preserve">  No other payment method is acceptable.</w:t>
      </w:r>
      <w:r>
        <w:rPr>
          <w:rStyle w:val="FootnoteReference"/>
          <w:szCs w:val="22"/>
        </w:rPr>
        <w:footnoteReference w:id="258"/>
      </w:r>
      <w:r w:rsidRPr="00435180">
        <w:rPr>
          <w:szCs w:val="22"/>
        </w:rPr>
        <w:t xml:space="preserve">  To avoid untimely payments, applicants should discuss arrangements (including bank closing schedules and other specific bank wire transfer requirements, such as an in-person written request before a specified time of day) with their bankers several days </w:t>
      </w:r>
      <w:r w:rsidRPr="00435180">
        <w:rPr>
          <w:szCs w:val="22"/>
        </w:rPr>
        <w:t>before they plan to make the wire transfer, and must allow sufficient time for the transfer to be initiated and completed before the deadline.  The following information will be needed:</w:t>
      </w:r>
    </w:p>
    <w:p w:rsidR="00D6515C" w:rsidRPr="00435180" w:rsidP="00CF5E54" w14:paraId="55997394" w14:textId="085D8569">
      <w:pPr>
        <w:keepNext/>
        <w:widowControl/>
        <w:ind w:left="720"/>
        <w:jc w:val="both"/>
        <w:rPr>
          <w:szCs w:val="22"/>
        </w:rPr>
      </w:pPr>
      <w:r w:rsidRPr="00435180">
        <w:rPr>
          <w:szCs w:val="22"/>
        </w:rPr>
        <w:t>ABA Routing Number:</w:t>
      </w:r>
      <w:r w:rsidR="00C9534C">
        <w:rPr>
          <w:szCs w:val="22"/>
        </w:rPr>
        <w:tab/>
      </w:r>
      <w:r w:rsidRPr="00435180">
        <w:rPr>
          <w:szCs w:val="22"/>
        </w:rPr>
        <w:t>021030004</w:t>
      </w:r>
    </w:p>
    <w:p w:rsidR="00D6515C" w:rsidRPr="00435180" w:rsidP="00CF5E54" w14:paraId="7AF3E3CE" w14:textId="0F9F525A">
      <w:pPr>
        <w:keepNext/>
        <w:widowControl/>
        <w:ind w:left="720"/>
        <w:jc w:val="both"/>
        <w:rPr>
          <w:szCs w:val="22"/>
        </w:rPr>
      </w:pPr>
      <w:r w:rsidRPr="00435180">
        <w:rPr>
          <w:szCs w:val="22"/>
        </w:rPr>
        <w:t xml:space="preserve">Receiving Bank: </w:t>
      </w:r>
      <w:r w:rsidR="00C9534C">
        <w:rPr>
          <w:szCs w:val="22"/>
        </w:rPr>
        <w:tab/>
      </w:r>
      <w:r w:rsidRPr="00435180">
        <w:rPr>
          <w:szCs w:val="22"/>
        </w:rPr>
        <w:t>TREAS NYC</w:t>
      </w:r>
    </w:p>
    <w:p w:rsidR="00D6515C" w:rsidRPr="00435180" w:rsidP="00CF5E54" w14:paraId="79775D61" w14:textId="6E26F885">
      <w:pPr>
        <w:keepNext/>
        <w:widowControl/>
        <w:ind w:left="720"/>
        <w:jc w:val="both"/>
        <w:rPr>
          <w:szCs w:val="22"/>
        </w:rPr>
      </w:pPr>
      <w:r w:rsidRPr="00435180">
        <w:rPr>
          <w:szCs w:val="22"/>
        </w:rPr>
        <w:tab/>
      </w:r>
      <w:r w:rsidRPr="00435180">
        <w:rPr>
          <w:szCs w:val="22"/>
        </w:rPr>
        <w:tab/>
        <w:t xml:space="preserve"> </w:t>
      </w:r>
      <w:r w:rsidR="00C9534C">
        <w:rPr>
          <w:szCs w:val="22"/>
        </w:rPr>
        <w:tab/>
      </w:r>
      <w:r w:rsidRPr="00435180">
        <w:rPr>
          <w:szCs w:val="22"/>
        </w:rPr>
        <w:t xml:space="preserve">33 </w:t>
      </w:r>
      <w:r w:rsidRPr="00435180">
        <w:rPr>
          <w:szCs w:val="22"/>
        </w:rPr>
        <w:t>Liberty Street</w:t>
      </w:r>
    </w:p>
    <w:p w:rsidR="00D6515C" w:rsidRPr="00435180" w:rsidP="00D6515C" w14:paraId="734642B4" w14:textId="21E85BD4">
      <w:pPr>
        <w:widowControl/>
        <w:ind w:left="720"/>
        <w:jc w:val="both"/>
        <w:rPr>
          <w:szCs w:val="22"/>
        </w:rPr>
      </w:pPr>
      <w:r w:rsidRPr="00435180">
        <w:rPr>
          <w:szCs w:val="22"/>
        </w:rPr>
        <w:tab/>
        <w:t xml:space="preserve">             </w:t>
      </w:r>
      <w:r w:rsidR="00C9534C">
        <w:rPr>
          <w:szCs w:val="22"/>
        </w:rPr>
        <w:tab/>
      </w:r>
      <w:r w:rsidRPr="00435180">
        <w:rPr>
          <w:szCs w:val="22"/>
        </w:rPr>
        <w:t xml:space="preserve"> </w:t>
      </w:r>
      <w:r w:rsidR="00C9534C">
        <w:rPr>
          <w:szCs w:val="22"/>
        </w:rPr>
        <w:tab/>
      </w:r>
      <w:r w:rsidRPr="00435180">
        <w:rPr>
          <w:szCs w:val="22"/>
        </w:rPr>
        <w:t>New York, NY 10045</w:t>
      </w:r>
    </w:p>
    <w:p w:rsidR="00D6515C" w:rsidRPr="00435180" w:rsidP="00D6515C" w14:paraId="6979E5F4" w14:textId="77777777">
      <w:pPr>
        <w:widowControl/>
        <w:ind w:left="720"/>
        <w:jc w:val="both"/>
        <w:rPr>
          <w:szCs w:val="22"/>
        </w:rPr>
      </w:pPr>
    </w:p>
    <w:p w:rsidR="00D6515C" w:rsidRPr="00435180" w:rsidP="00D6515C" w14:paraId="0477B782" w14:textId="6A1799FF">
      <w:pPr>
        <w:widowControl/>
        <w:ind w:left="720"/>
        <w:jc w:val="both"/>
        <w:rPr>
          <w:szCs w:val="22"/>
        </w:rPr>
      </w:pPr>
      <w:r w:rsidRPr="00435180">
        <w:rPr>
          <w:szCs w:val="22"/>
        </w:rPr>
        <w:t xml:space="preserve">BENEFICIARY:   </w:t>
      </w:r>
      <w:r w:rsidR="00C9534C">
        <w:rPr>
          <w:szCs w:val="22"/>
        </w:rPr>
        <w:tab/>
      </w:r>
      <w:r w:rsidRPr="00435180">
        <w:rPr>
          <w:szCs w:val="22"/>
        </w:rPr>
        <w:t>FCC</w:t>
      </w:r>
    </w:p>
    <w:p w:rsidR="00D6515C" w:rsidRPr="00435180" w:rsidP="00D6515C" w14:paraId="7FC79EFC" w14:textId="7D902F50">
      <w:pPr>
        <w:widowControl/>
        <w:ind w:left="720"/>
        <w:jc w:val="both"/>
        <w:rPr>
          <w:szCs w:val="22"/>
        </w:rPr>
      </w:pPr>
      <w:r w:rsidRPr="00435180">
        <w:rPr>
          <w:szCs w:val="22"/>
        </w:rPr>
        <w:t xml:space="preserve">    </w:t>
      </w:r>
      <w:r w:rsidRPr="00435180">
        <w:rPr>
          <w:szCs w:val="22"/>
        </w:rPr>
        <w:tab/>
      </w:r>
      <w:r w:rsidRPr="00435180">
        <w:rPr>
          <w:szCs w:val="22"/>
        </w:rPr>
        <w:tab/>
        <w:t xml:space="preserve">   </w:t>
      </w:r>
      <w:r w:rsidR="00C9534C">
        <w:rPr>
          <w:szCs w:val="22"/>
        </w:rPr>
        <w:tab/>
      </w:r>
      <w:r w:rsidRPr="00435180">
        <w:rPr>
          <w:szCs w:val="22"/>
        </w:rPr>
        <w:t>45</w:t>
      </w:r>
      <w:r w:rsidR="00BD60B5">
        <w:rPr>
          <w:szCs w:val="22"/>
        </w:rPr>
        <w:t xml:space="preserve"> L </w:t>
      </w:r>
      <w:r w:rsidRPr="00435180">
        <w:rPr>
          <w:szCs w:val="22"/>
        </w:rPr>
        <w:t xml:space="preserve">Street, </w:t>
      </w:r>
      <w:r w:rsidR="00BD60B5">
        <w:rPr>
          <w:szCs w:val="22"/>
        </w:rPr>
        <w:t>NE,</w:t>
      </w:r>
      <w:r w:rsidR="00DF55CF">
        <w:rPr>
          <w:szCs w:val="22"/>
        </w:rPr>
        <w:t xml:space="preserve"> 3</w:t>
      </w:r>
      <w:r w:rsidRPr="00A92463" w:rsidR="00DF55CF">
        <w:rPr>
          <w:szCs w:val="22"/>
          <w:vertAlign w:val="superscript"/>
        </w:rPr>
        <w:t>rd</w:t>
      </w:r>
      <w:r w:rsidR="00DF55CF">
        <w:rPr>
          <w:szCs w:val="22"/>
        </w:rPr>
        <w:t xml:space="preserve"> </w:t>
      </w:r>
      <w:r w:rsidR="00BD60B5">
        <w:rPr>
          <w:szCs w:val="22"/>
        </w:rPr>
        <w:t>Floor</w:t>
      </w:r>
    </w:p>
    <w:p w:rsidR="00D6515C" w:rsidRPr="00435180" w:rsidP="00D6515C" w14:paraId="282B228F" w14:textId="1F73FC09">
      <w:pPr>
        <w:widowControl/>
        <w:ind w:left="720"/>
        <w:jc w:val="both"/>
        <w:rPr>
          <w:szCs w:val="22"/>
        </w:rPr>
      </w:pPr>
      <w:r w:rsidRPr="00435180">
        <w:rPr>
          <w:szCs w:val="22"/>
        </w:rPr>
        <w:tab/>
      </w:r>
      <w:r w:rsidRPr="00435180">
        <w:rPr>
          <w:szCs w:val="22"/>
        </w:rPr>
        <w:tab/>
        <w:t xml:space="preserve">    </w:t>
      </w:r>
      <w:r w:rsidR="00C9534C">
        <w:rPr>
          <w:szCs w:val="22"/>
        </w:rPr>
        <w:tab/>
      </w:r>
      <w:r w:rsidRPr="00435180">
        <w:rPr>
          <w:szCs w:val="22"/>
        </w:rPr>
        <w:t>Washington, DC 2</w:t>
      </w:r>
      <w:r w:rsidR="00BD60B5">
        <w:rPr>
          <w:szCs w:val="22"/>
        </w:rPr>
        <w:t>0001</w:t>
      </w:r>
    </w:p>
    <w:p w:rsidR="00D6515C" w:rsidRPr="00435180" w:rsidP="00D6515C" w14:paraId="19D988EA" w14:textId="6072B7A8">
      <w:pPr>
        <w:widowControl/>
        <w:ind w:left="720"/>
        <w:jc w:val="both"/>
        <w:rPr>
          <w:szCs w:val="22"/>
        </w:rPr>
      </w:pPr>
      <w:r w:rsidRPr="00435180">
        <w:rPr>
          <w:szCs w:val="22"/>
        </w:rPr>
        <w:t xml:space="preserve">ACCOUNT NUMBER:  </w:t>
      </w:r>
      <w:r w:rsidRPr="00A92463" w:rsidR="00BD60B5">
        <w:rPr>
          <w:b/>
          <w:bCs/>
          <w:szCs w:val="22"/>
        </w:rPr>
        <w:t>827000001002</w:t>
      </w:r>
    </w:p>
    <w:p w:rsidR="00D6515C" w:rsidRPr="00435180" w:rsidP="00D6515C" w14:paraId="49663EFE" w14:textId="77777777">
      <w:pPr>
        <w:widowControl/>
        <w:ind w:left="720"/>
        <w:jc w:val="both"/>
        <w:rPr>
          <w:szCs w:val="22"/>
        </w:rPr>
      </w:pPr>
      <w:r w:rsidRPr="00435180">
        <w:rPr>
          <w:szCs w:val="22"/>
        </w:rPr>
        <w:t>Originating Bank Information (OBI Field): (Skip one space between each information item)</w:t>
      </w:r>
    </w:p>
    <w:p w:rsidR="00D6515C" w:rsidRPr="00435180" w:rsidP="00D6515C" w14:paraId="728B62C6" w14:textId="77777777">
      <w:pPr>
        <w:widowControl/>
        <w:ind w:left="720"/>
        <w:jc w:val="both"/>
        <w:rPr>
          <w:szCs w:val="22"/>
        </w:rPr>
      </w:pPr>
      <w:r w:rsidRPr="00435180">
        <w:rPr>
          <w:szCs w:val="22"/>
        </w:rPr>
        <w:t>“</w:t>
      </w:r>
      <w:r w:rsidRPr="00A92463">
        <w:rPr>
          <w:b/>
          <w:bCs/>
          <w:szCs w:val="22"/>
        </w:rPr>
        <w:t>AUCTIONPAY</w:t>
      </w:r>
      <w:r w:rsidRPr="00435180">
        <w:rPr>
          <w:szCs w:val="22"/>
        </w:rPr>
        <w:t>”</w:t>
      </w:r>
    </w:p>
    <w:p w:rsidR="00D6515C" w:rsidRPr="00435180" w:rsidP="00D6515C" w14:paraId="6859313A" w14:textId="30B0F583">
      <w:pPr>
        <w:widowControl/>
        <w:ind w:left="720"/>
        <w:jc w:val="both"/>
        <w:rPr>
          <w:szCs w:val="22"/>
        </w:rPr>
      </w:pPr>
      <w:r w:rsidRPr="00435180">
        <w:rPr>
          <w:szCs w:val="22"/>
        </w:rPr>
        <w:t xml:space="preserve">APPLICANT FCC REGISTRATION NUMBER (FRN): </w:t>
      </w:r>
      <w:r w:rsidRPr="00AD52D7" w:rsidR="00AD52D7">
        <w:rPr>
          <w:szCs w:val="22"/>
        </w:rPr>
        <w:t>(use the same FRN as used on the applicant’s FCC Form 159, block 21)</w:t>
      </w:r>
    </w:p>
    <w:p w:rsidR="00D6515C" w:rsidRPr="00435180" w:rsidP="00D6515C" w14:paraId="40C25C1B" w14:textId="662ED2B2">
      <w:pPr>
        <w:widowControl/>
        <w:ind w:left="720"/>
        <w:jc w:val="both"/>
        <w:rPr>
          <w:szCs w:val="22"/>
        </w:rPr>
      </w:pPr>
      <w:r w:rsidRPr="00435180">
        <w:rPr>
          <w:szCs w:val="22"/>
        </w:rPr>
        <w:t>PAYMENT TYPE CODE: (same as FCC Form 159, block 24A: “</w:t>
      </w:r>
      <w:r w:rsidRPr="00435180">
        <w:rPr>
          <w:b/>
          <w:szCs w:val="22"/>
        </w:rPr>
        <w:t>U10</w:t>
      </w:r>
      <w:r w:rsidR="00C739A6">
        <w:rPr>
          <w:b/>
          <w:szCs w:val="22"/>
        </w:rPr>
        <w:t>7</w:t>
      </w:r>
      <w:r w:rsidRPr="00435180">
        <w:rPr>
          <w:szCs w:val="22"/>
        </w:rPr>
        <w:t>”)</w:t>
      </w:r>
    </w:p>
    <w:p w:rsidR="00D6515C" w:rsidRPr="00435180" w:rsidP="00D6515C" w14:paraId="7B545012" w14:textId="77777777">
      <w:pPr>
        <w:widowControl/>
        <w:jc w:val="both"/>
        <w:rPr>
          <w:szCs w:val="22"/>
        </w:rPr>
      </w:pPr>
    </w:p>
    <w:p w:rsidR="00D6515C" w:rsidRPr="00435180" w:rsidP="00D6515C" w14:paraId="6C90C1B1" w14:textId="18B9B53F">
      <w:pPr>
        <w:widowControl/>
        <w:spacing w:after="120"/>
        <w:rPr>
          <w:szCs w:val="22"/>
        </w:rPr>
      </w:pPr>
      <w:r w:rsidRPr="00435180">
        <w:rPr>
          <w:bCs/>
          <w:szCs w:val="22"/>
        </w:rPr>
        <w:t>NOTE:</w:t>
      </w:r>
      <w:r w:rsidRPr="00435180">
        <w:rPr>
          <w:szCs w:val="22"/>
        </w:rPr>
        <w:t xml:space="preserve">  The beneficiary account </w:t>
      </w:r>
      <w:r w:rsidRPr="00435180" w:rsidR="00701C0F">
        <w:rPr>
          <w:szCs w:val="22"/>
        </w:rPr>
        <w:t xml:space="preserve">number (BNF Account Number) is </w:t>
      </w:r>
      <w:r w:rsidRPr="00435180">
        <w:rPr>
          <w:szCs w:val="22"/>
        </w:rPr>
        <w:t>specific</w:t>
      </w:r>
      <w:r w:rsidRPr="00435180">
        <w:rPr>
          <w:szCs w:val="22"/>
        </w:rPr>
        <w:t xml:space="preserve"> to the upfront payments for Auction 10</w:t>
      </w:r>
      <w:r w:rsidR="003E0912">
        <w:rPr>
          <w:szCs w:val="22"/>
        </w:rPr>
        <w:t>7</w:t>
      </w:r>
      <w:r w:rsidRPr="00435180">
        <w:rPr>
          <w:szCs w:val="22"/>
        </w:rPr>
        <w:t xml:space="preserve">.  Do not use a BNF Account Number from a previous auction.  </w:t>
      </w:r>
    </w:p>
    <w:p w:rsidR="00D6515C" w:rsidRPr="00435180" w:rsidP="002E0F39" w14:paraId="08638696" w14:textId="205F4FEB">
      <w:pPr>
        <w:pStyle w:val="ParaNum"/>
        <w:widowControl/>
        <w:rPr>
          <w:szCs w:val="22"/>
        </w:rPr>
      </w:pPr>
      <w:r w:rsidRPr="00435180">
        <w:rPr>
          <w:szCs w:val="22"/>
        </w:rPr>
        <w:t>At least one hour before placing the order for the wire transfer (but on the same business day), applicants must print and fax a completed FCC Form 159 (R</w:t>
      </w:r>
      <w:r w:rsidRPr="00435180">
        <w:rPr>
          <w:szCs w:val="22"/>
        </w:rPr>
        <w:t xml:space="preserve">evised 2/03) to the FCC at (202) 418-2843.  Alternatively, the completed form can be scanned and sent as an attachment to an email to </w:t>
      </w:r>
      <w:hyperlink r:id="rId9" w:history="1">
        <w:r w:rsidRPr="00435180">
          <w:rPr>
            <w:rStyle w:val="Hyperlink"/>
            <w:szCs w:val="22"/>
          </w:rPr>
          <w:t>RROGWireFaxes@fcc.gov</w:t>
        </w:r>
      </w:hyperlink>
      <w:r w:rsidRPr="00435180">
        <w:rPr>
          <w:szCs w:val="22"/>
        </w:rPr>
        <w:t>.  On the fax cover sheet or in the email subject header</w:t>
      </w:r>
      <w:r w:rsidRPr="00435180">
        <w:rPr>
          <w:szCs w:val="22"/>
        </w:rPr>
        <w:t>, write “Wire Transfer – Auction Payment for Auction 10</w:t>
      </w:r>
      <w:r w:rsidR="00BC616D">
        <w:rPr>
          <w:szCs w:val="22"/>
        </w:rPr>
        <w:t>7</w:t>
      </w:r>
      <w:r w:rsidRPr="00435180">
        <w:rPr>
          <w:szCs w:val="22"/>
        </w:rPr>
        <w:t>”.  To meet the upfront payment deadline, an applicant’s payment must be credited to the Commission’s account for Auction 10</w:t>
      </w:r>
      <w:r w:rsidR="002E6715">
        <w:rPr>
          <w:szCs w:val="22"/>
        </w:rPr>
        <w:t>7</w:t>
      </w:r>
      <w:r w:rsidRPr="00435180">
        <w:rPr>
          <w:szCs w:val="22"/>
        </w:rPr>
        <w:t xml:space="preserve"> before the deadline.</w:t>
      </w:r>
      <w:r>
        <w:rPr>
          <w:rStyle w:val="FootnoteReference"/>
          <w:szCs w:val="22"/>
        </w:rPr>
        <w:footnoteReference w:id="259"/>
      </w:r>
      <w:r w:rsidRPr="00435180">
        <w:rPr>
          <w:szCs w:val="22"/>
        </w:rPr>
        <w:t xml:space="preserve">  </w:t>
      </w:r>
    </w:p>
    <w:p w:rsidR="00D6515C" w:rsidRPr="00435180" w:rsidP="002E0F39" w14:paraId="6D2ECF87" w14:textId="53EC034F">
      <w:pPr>
        <w:pStyle w:val="ParaNum"/>
        <w:widowControl/>
        <w:rPr>
          <w:szCs w:val="22"/>
        </w:rPr>
      </w:pPr>
      <w:r w:rsidRPr="00435180">
        <w:rPr>
          <w:szCs w:val="22"/>
        </w:rPr>
        <w:t>Each applicant is responsible for ensuring timely</w:t>
      </w:r>
      <w:r w:rsidRPr="00435180">
        <w:rPr>
          <w:szCs w:val="22"/>
        </w:rPr>
        <w:t xml:space="preserve"> submission of its upfront payment and for timely filing of an accurate and complete FCC Form 159.  An applicant should coordinate with its financial institution well ahead of the due date regarding its wire transfer and allow sufficient time for the trans</w:t>
      </w:r>
      <w:r w:rsidRPr="00435180">
        <w:rPr>
          <w:szCs w:val="22"/>
        </w:rPr>
        <w:t>fer to be initiated and completed prior to the deadline.</w:t>
      </w:r>
      <w:r>
        <w:rPr>
          <w:rStyle w:val="FootnoteReference"/>
          <w:szCs w:val="22"/>
        </w:rPr>
        <w:footnoteReference w:id="260"/>
      </w:r>
      <w:r w:rsidRPr="00435180">
        <w:rPr>
          <w:szCs w:val="22"/>
        </w:rPr>
        <w:t xml:space="preserve">  The Commission repeatedly has cautioned auction participants about the importance of planning ahead to prepare for unforeseen last-minute difficulties in making payments by wire transfer.</w:t>
      </w:r>
      <w:r>
        <w:rPr>
          <w:rStyle w:val="FootnoteReference"/>
          <w:szCs w:val="22"/>
        </w:rPr>
        <w:footnoteReference w:id="261"/>
      </w:r>
      <w:r w:rsidRPr="00435180">
        <w:rPr>
          <w:szCs w:val="22"/>
        </w:rPr>
        <w:t xml:space="preserve">  </w:t>
      </w:r>
      <w:r w:rsidRPr="00435180">
        <w:rPr>
          <w:b/>
          <w:szCs w:val="22"/>
        </w:rPr>
        <w:t xml:space="preserve">Each </w:t>
      </w:r>
      <w:r w:rsidRPr="00435180">
        <w:rPr>
          <w:b/>
          <w:szCs w:val="22"/>
        </w:rPr>
        <w:t>applicant also is responsible for obtaining confirmation from its financial institution that its wire transfer to the U.S. Treasury was successful and from Commission staff that its upfront payment was timely received and that it was deposited into the pro</w:t>
      </w:r>
      <w:r w:rsidRPr="00435180">
        <w:rPr>
          <w:b/>
          <w:szCs w:val="22"/>
        </w:rPr>
        <w:t>per account</w:t>
      </w:r>
      <w:r w:rsidRPr="00435180">
        <w:rPr>
          <w:szCs w:val="22"/>
        </w:rPr>
        <w:t>.  To receive confirmation from Commission staff, contact Scott Radcliffe of the Office of Managing Director’s Revenue &amp; Receivables Operations Group/Auctions at (202) 418-7518</w:t>
      </w:r>
      <w:r w:rsidR="00450151">
        <w:rPr>
          <w:szCs w:val="22"/>
        </w:rPr>
        <w:t xml:space="preserve"> or</w:t>
      </w:r>
      <w:r w:rsidRPr="00435180">
        <w:rPr>
          <w:szCs w:val="22"/>
        </w:rPr>
        <w:t xml:space="preserve"> Theresa Meeks at (202) 418-2945.</w:t>
      </w:r>
    </w:p>
    <w:p w:rsidR="00D6515C" w:rsidRPr="00435180" w:rsidP="00D6515C" w14:paraId="37DC603C" w14:textId="77777777">
      <w:pPr>
        <w:pStyle w:val="ParaNum"/>
        <w:rPr>
          <w:szCs w:val="22"/>
        </w:rPr>
      </w:pPr>
      <w:r w:rsidRPr="00435180">
        <w:rPr>
          <w:szCs w:val="22"/>
        </w:rPr>
        <w:t>Please note the following inform</w:t>
      </w:r>
      <w:r w:rsidRPr="00435180">
        <w:rPr>
          <w:szCs w:val="22"/>
        </w:rPr>
        <w:t>ation regarding upfront payments:</w:t>
      </w:r>
    </w:p>
    <w:p w:rsidR="00D6515C" w:rsidRPr="00435180" w:rsidP="00D6515C" w14:paraId="1C64B0BF" w14:textId="77777777">
      <w:pPr>
        <w:pStyle w:val="BulletCharChar"/>
        <w:keepNext/>
        <w:keepLines/>
        <w:widowControl/>
        <w:numPr>
          <w:ilvl w:val="0"/>
          <w:numId w:val="1"/>
        </w:numPr>
        <w:tabs>
          <w:tab w:val="clear" w:pos="360"/>
          <w:tab w:val="num" w:pos="1080"/>
        </w:tabs>
        <w:spacing w:after="120" w:line="240" w:lineRule="auto"/>
        <w:ind w:left="1080"/>
        <w:rPr>
          <w:szCs w:val="22"/>
        </w:rPr>
      </w:pPr>
      <w:r w:rsidRPr="00435180">
        <w:rPr>
          <w:szCs w:val="22"/>
        </w:rPr>
        <w:t>All payments must be made in U.S. dollars.</w:t>
      </w:r>
    </w:p>
    <w:p w:rsidR="00D6515C" w:rsidRPr="00435180" w:rsidP="00D6515C" w14:paraId="5DDD45C8" w14:textId="77777777">
      <w:pPr>
        <w:pStyle w:val="BulletCharChar"/>
        <w:keepNext/>
        <w:keepLines/>
        <w:widowControl/>
        <w:numPr>
          <w:ilvl w:val="0"/>
          <w:numId w:val="1"/>
        </w:numPr>
        <w:tabs>
          <w:tab w:val="clear" w:pos="360"/>
          <w:tab w:val="num" w:pos="1080"/>
        </w:tabs>
        <w:spacing w:after="120" w:line="240" w:lineRule="auto"/>
        <w:ind w:left="1080"/>
        <w:rPr>
          <w:szCs w:val="22"/>
        </w:rPr>
      </w:pPr>
      <w:r w:rsidRPr="00435180">
        <w:rPr>
          <w:szCs w:val="22"/>
        </w:rPr>
        <w:t>All payments must be made by wire transfer.</w:t>
      </w:r>
    </w:p>
    <w:p w:rsidR="00D6515C" w:rsidRPr="00435180" w:rsidP="00D6515C" w14:paraId="0CCB04EB" w14:textId="35B718D7">
      <w:pPr>
        <w:pStyle w:val="BulletCharChar"/>
        <w:widowControl/>
        <w:numPr>
          <w:ilvl w:val="0"/>
          <w:numId w:val="1"/>
        </w:numPr>
        <w:tabs>
          <w:tab w:val="clear" w:pos="360"/>
          <w:tab w:val="num" w:pos="1080"/>
        </w:tabs>
        <w:spacing w:after="120" w:line="240" w:lineRule="auto"/>
        <w:ind w:left="1080"/>
        <w:rPr>
          <w:szCs w:val="22"/>
        </w:rPr>
      </w:pPr>
      <w:r w:rsidRPr="00435180">
        <w:rPr>
          <w:szCs w:val="22"/>
        </w:rPr>
        <w:t>Upfront payments for Auction 10</w:t>
      </w:r>
      <w:r w:rsidR="00377EC9">
        <w:rPr>
          <w:szCs w:val="22"/>
        </w:rPr>
        <w:t>7</w:t>
      </w:r>
      <w:r w:rsidRPr="00435180">
        <w:rPr>
          <w:szCs w:val="22"/>
        </w:rPr>
        <w:t xml:space="preserve"> go to an account number different from the accounts used in previous FCC auctions.</w:t>
      </w:r>
    </w:p>
    <w:p w:rsidR="00D6515C" w:rsidRPr="00435180" w:rsidP="002E0F39" w14:paraId="63885721" w14:textId="77777777">
      <w:pPr>
        <w:pStyle w:val="ParaNum"/>
        <w:widowControl/>
        <w:rPr>
          <w:szCs w:val="22"/>
        </w:rPr>
      </w:pPr>
      <w:r w:rsidRPr="00435180">
        <w:rPr>
          <w:szCs w:val="22"/>
        </w:rPr>
        <w:t>Failure to deliver a sufficient upfront payment as instructed herein by the upfront payment deadline will result in dismissal of the short-form application and disqualifica</w:t>
      </w:r>
      <w:r w:rsidRPr="00435180">
        <w:rPr>
          <w:szCs w:val="22"/>
        </w:rPr>
        <w:t>tion from participation in the auction.</w:t>
      </w:r>
    </w:p>
    <w:p w:rsidR="00D6515C" w:rsidRPr="00435180" w:rsidP="00D6515C" w14:paraId="008369D4" w14:textId="77777777">
      <w:pPr>
        <w:pStyle w:val="Heading3"/>
        <w:rPr>
          <w:szCs w:val="22"/>
        </w:rPr>
      </w:pPr>
      <w:bookmarkStart w:id="1683" w:name="_Toc4164787"/>
      <w:bookmarkStart w:id="1684" w:name="_Toc4419590"/>
      <w:bookmarkStart w:id="1685" w:name="_Toc5609566"/>
      <w:bookmarkStart w:id="1686" w:name="_Toc5975822"/>
      <w:bookmarkStart w:id="1687" w:name="_Toc6220346"/>
      <w:bookmarkStart w:id="1688" w:name="_Toc6232679"/>
      <w:bookmarkStart w:id="1689" w:name="_Toc7525823"/>
      <w:bookmarkStart w:id="1690" w:name="_Toc8657178"/>
      <w:bookmarkStart w:id="1691" w:name="_Toc9410704"/>
      <w:bookmarkStart w:id="1692" w:name="_Toc9430110"/>
      <w:bookmarkStart w:id="1693" w:name="_Toc10116872"/>
      <w:bookmarkStart w:id="1694" w:name="_Toc10646178"/>
      <w:bookmarkStart w:id="1695" w:name="_Toc11156582"/>
      <w:bookmarkStart w:id="1696" w:name="_Toc11244326"/>
      <w:bookmarkStart w:id="1697" w:name="_Toc11653582"/>
      <w:bookmarkStart w:id="1698" w:name="_Toc11678161"/>
      <w:bookmarkStart w:id="1699" w:name="_Toc13654748"/>
      <w:bookmarkStart w:id="1700" w:name="_Toc24459468"/>
      <w:bookmarkStart w:id="1701" w:name="_Toc24459565"/>
      <w:bookmarkStart w:id="1702" w:name="_Toc25926261"/>
      <w:bookmarkStart w:id="1703" w:name="_Toc25926839"/>
      <w:bookmarkStart w:id="1704" w:name="_Toc25926957"/>
      <w:bookmarkStart w:id="1705" w:name="_Toc27039020"/>
      <w:bookmarkStart w:id="1706" w:name="_Toc29813164"/>
      <w:bookmarkStart w:id="1707" w:name="_Toc29886889"/>
      <w:bookmarkStart w:id="1708" w:name="_Toc29999493"/>
      <w:bookmarkStart w:id="1709" w:name="_Toc30699419"/>
      <w:bookmarkStart w:id="1710" w:name="_Toc30701499"/>
      <w:bookmarkStart w:id="1711" w:name="_Toc31189320"/>
      <w:bookmarkStart w:id="1712" w:name="_Toc31189774"/>
      <w:bookmarkStart w:id="1713" w:name="_Toc31193141"/>
      <w:bookmarkStart w:id="1714" w:name="_Toc31195889"/>
      <w:bookmarkStart w:id="1715" w:name="_Toc31200013"/>
      <w:bookmarkStart w:id="1716" w:name="_Toc31713780"/>
      <w:bookmarkStart w:id="1717" w:name="_Toc31822689"/>
      <w:bookmarkStart w:id="1718" w:name="_Toc33629846"/>
      <w:bookmarkStart w:id="1719" w:name="_Toc33696698"/>
      <w:bookmarkStart w:id="1720" w:name="_Toc6383498"/>
      <w:r w:rsidRPr="00435180">
        <w:rPr>
          <w:szCs w:val="22"/>
        </w:rPr>
        <w:t>Completing and Submitting FCC Form 159</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rsidR="00D6515C" w:rsidRPr="00435180" w:rsidP="00D6515C" w14:paraId="4C7F9F84" w14:textId="4C40BC9B">
      <w:pPr>
        <w:pStyle w:val="ParaNum"/>
        <w:widowControl/>
        <w:rPr>
          <w:szCs w:val="22"/>
        </w:rPr>
      </w:pPr>
      <w:r w:rsidRPr="00435180">
        <w:rPr>
          <w:szCs w:val="22"/>
        </w:rPr>
        <w:t>The following information supplements the standard instructions for FCC Form 159 (Revised 2/03) and is provided to help ensure correct completion of FCC Form 159 for upfront pay</w:t>
      </w:r>
      <w:r w:rsidRPr="00435180">
        <w:rPr>
          <w:szCs w:val="22"/>
        </w:rPr>
        <w:t>ments for Auction 10</w:t>
      </w:r>
      <w:r w:rsidR="00940E8C">
        <w:rPr>
          <w:szCs w:val="22"/>
        </w:rPr>
        <w:t>7</w:t>
      </w:r>
      <w:r w:rsidRPr="00435180">
        <w:rPr>
          <w:szCs w:val="22"/>
        </w:rPr>
        <w:t>.  Applicants need to complete FCC Form 159 carefully, because:</w:t>
      </w:r>
    </w:p>
    <w:p w:rsidR="00D6515C" w:rsidRPr="00435180" w:rsidP="002314BA" w14:paraId="571758F4" w14:textId="77777777">
      <w:pPr>
        <w:pStyle w:val="ParaNum"/>
        <w:numPr>
          <w:ilvl w:val="0"/>
          <w:numId w:val="7"/>
        </w:numPr>
        <w:rPr>
          <w:b/>
          <w:szCs w:val="22"/>
        </w:rPr>
      </w:pPr>
      <w:r w:rsidRPr="00435180">
        <w:rPr>
          <w:b/>
          <w:szCs w:val="22"/>
        </w:rPr>
        <w:t>Mistakes may affect bidding eligibility; and</w:t>
      </w:r>
    </w:p>
    <w:p w:rsidR="00D6515C" w:rsidRPr="00435180" w:rsidP="002314BA" w14:paraId="35BC7151" w14:textId="77005DC7">
      <w:pPr>
        <w:pStyle w:val="ParaNum"/>
        <w:numPr>
          <w:ilvl w:val="0"/>
          <w:numId w:val="7"/>
        </w:numPr>
        <w:rPr>
          <w:b/>
          <w:szCs w:val="22"/>
        </w:rPr>
      </w:pPr>
      <w:r w:rsidRPr="00435180">
        <w:rPr>
          <w:b/>
          <w:szCs w:val="22"/>
        </w:rPr>
        <w:t>Lack of consistency between information provided in FCC Form 159 (Revised 2/03), FCC Form 175, long-form application</w:t>
      </w:r>
      <w:r w:rsidR="0022022E">
        <w:rPr>
          <w:b/>
          <w:szCs w:val="22"/>
        </w:rPr>
        <w:t xml:space="preserve"> (FCC Form 601)</w:t>
      </w:r>
      <w:r w:rsidRPr="00435180">
        <w:rPr>
          <w:b/>
          <w:szCs w:val="22"/>
        </w:rPr>
        <w:t>, and correspondence about an application may cause processing delays.</w:t>
      </w:r>
    </w:p>
    <w:p w:rsidR="00D6515C" w:rsidRPr="00435180" w:rsidP="002E0F39" w14:paraId="195400C0" w14:textId="77777777">
      <w:pPr>
        <w:pStyle w:val="ParaNum"/>
        <w:widowControl/>
        <w:rPr>
          <w:szCs w:val="22"/>
        </w:rPr>
      </w:pPr>
      <w:r w:rsidRPr="00435180">
        <w:rPr>
          <w:szCs w:val="22"/>
        </w:rPr>
        <w:t>Therefore, appropriate cross-references between the FCC Form 159 Remittance Advice and the short-form application (FCC Form 175) are described below.</w:t>
      </w:r>
      <w:bookmarkStart w:id="1721" w:name="_Toc470404563"/>
      <w:bookmarkStart w:id="1722" w:name="_Toc470407468"/>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98"/>
        <w:gridCol w:w="8343"/>
      </w:tblGrid>
      <w:tr w14:paraId="0006C52E" w14:textId="77777777" w:rsidTr="000F02E7">
        <w:tblPrEx>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22"/>
        </w:trPr>
        <w:tc>
          <w:tcPr>
            <w:tcW w:w="0" w:type="auto"/>
            <w:tcBorders>
              <w:top w:val="nil"/>
              <w:left w:val="nil"/>
              <w:bottom w:val="nil"/>
              <w:right w:val="nil"/>
            </w:tcBorders>
          </w:tcPr>
          <w:p w:rsidR="00D6515C" w:rsidRPr="00435180" w:rsidP="000F02E7" w14:paraId="46AD94CD" w14:textId="77777777">
            <w:pPr>
              <w:keepNext/>
              <w:widowControl/>
              <w:jc w:val="center"/>
              <w:rPr>
                <w:b/>
                <w:szCs w:val="22"/>
              </w:rPr>
            </w:pPr>
            <w:r w:rsidRPr="00435180">
              <w:rPr>
                <w:b/>
                <w:szCs w:val="22"/>
              </w:rPr>
              <w:t>Block Number</w:t>
            </w:r>
          </w:p>
        </w:tc>
        <w:tc>
          <w:tcPr>
            <w:tcW w:w="0" w:type="auto"/>
            <w:tcBorders>
              <w:top w:val="nil"/>
              <w:left w:val="nil"/>
              <w:bottom w:val="nil"/>
              <w:right w:val="nil"/>
            </w:tcBorders>
            <w:vAlign w:val="bottom"/>
          </w:tcPr>
          <w:p w:rsidR="00D6515C" w:rsidRPr="00435180" w:rsidP="000F02E7" w14:paraId="0C324827" w14:textId="77777777">
            <w:pPr>
              <w:keepNext/>
              <w:widowControl/>
              <w:rPr>
                <w:b/>
                <w:szCs w:val="22"/>
              </w:rPr>
            </w:pPr>
            <w:r w:rsidRPr="00435180">
              <w:rPr>
                <w:b/>
                <w:szCs w:val="22"/>
              </w:rPr>
              <w:t>Required Informat</w:t>
            </w:r>
            <w:r w:rsidRPr="00435180">
              <w:rPr>
                <w:b/>
                <w:szCs w:val="22"/>
              </w:rPr>
              <w:t xml:space="preserve">ion </w:t>
            </w:r>
          </w:p>
        </w:tc>
      </w:tr>
      <w:tr w14:paraId="636802E8"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1EC7345A" w14:textId="77777777">
            <w:pPr>
              <w:keepNext/>
              <w:widowControl/>
              <w:suppressAutoHyphens/>
              <w:spacing w:before="120"/>
              <w:jc w:val="center"/>
              <w:rPr>
                <w:szCs w:val="22"/>
              </w:rPr>
            </w:pPr>
            <w:r w:rsidRPr="00435180">
              <w:rPr>
                <w:szCs w:val="22"/>
              </w:rPr>
              <w:t>1</w:t>
            </w:r>
          </w:p>
        </w:tc>
        <w:tc>
          <w:tcPr>
            <w:tcW w:w="0" w:type="auto"/>
            <w:tcBorders>
              <w:top w:val="nil"/>
              <w:left w:val="nil"/>
              <w:bottom w:val="nil"/>
              <w:right w:val="nil"/>
            </w:tcBorders>
          </w:tcPr>
          <w:p w:rsidR="00D6515C" w:rsidRPr="00435180" w:rsidP="000F02E7" w14:paraId="5B3034D7" w14:textId="77777777">
            <w:pPr>
              <w:keepNext/>
              <w:widowControl/>
              <w:suppressAutoHyphens/>
              <w:spacing w:before="120"/>
              <w:rPr>
                <w:szCs w:val="22"/>
              </w:rPr>
            </w:pPr>
            <w:r w:rsidRPr="00435180">
              <w:rPr>
                <w:szCs w:val="22"/>
              </w:rPr>
              <w:t>LOCKBOX # - Leave Blank</w:t>
            </w:r>
          </w:p>
        </w:tc>
      </w:tr>
      <w:tr w14:paraId="48624C68" w14:textId="77777777" w:rsidTr="000F02E7">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D6515C" w:rsidRPr="00435180" w:rsidP="000F02E7" w14:paraId="28446037" w14:textId="77777777">
            <w:pPr>
              <w:keepNext/>
              <w:widowControl/>
              <w:suppressAutoHyphens/>
              <w:spacing w:before="120"/>
              <w:jc w:val="center"/>
              <w:rPr>
                <w:szCs w:val="22"/>
              </w:rPr>
            </w:pPr>
            <w:r w:rsidRPr="00435180">
              <w:rPr>
                <w:szCs w:val="22"/>
              </w:rPr>
              <w:t>2</w:t>
            </w:r>
          </w:p>
        </w:tc>
        <w:tc>
          <w:tcPr>
            <w:tcW w:w="0" w:type="auto"/>
            <w:tcBorders>
              <w:top w:val="nil"/>
              <w:left w:val="nil"/>
              <w:bottom w:val="nil"/>
              <w:right w:val="nil"/>
            </w:tcBorders>
          </w:tcPr>
          <w:p w:rsidR="00D6515C" w:rsidRPr="00435180" w:rsidP="000F02E7" w14:paraId="622BE0F7" w14:textId="77777777">
            <w:pPr>
              <w:keepNext/>
              <w:widowControl/>
              <w:suppressAutoHyphens/>
              <w:spacing w:before="120"/>
              <w:rPr>
                <w:szCs w:val="22"/>
              </w:rPr>
            </w:pPr>
            <w:r w:rsidRPr="00435180">
              <w:rPr>
                <w:szCs w:val="22"/>
              </w:rPr>
              <w:t>Payer Name - Enter the name of the person or company making the payment.  If the applicant itself is the payer, this entry would be the same name as in FCC Form 175.</w:t>
            </w:r>
          </w:p>
        </w:tc>
      </w:tr>
      <w:tr w14:paraId="248E87AD" w14:textId="77777777" w:rsidTr="000F02E7">
        <w:tblPrEx>
          <w:tblW w:w="9541" w:type="dxa"/>
          <w:tblInd w:w="108" w:type="dxa"/>
          <w:tblCellMar>
            <w:left w:w="115" w:type="dxa"/>
            <w:right w:w="115" w:type="dxa"/>
          </w:tblCellMar>
          <w:tblLook w:val="01E0"/>
        </w:tblPrEx>
        <w:trPr>
          <w:trHeight w:val="644"/>
        </w:trPr>
        <w:tc>
          <w:tcPr>
            <w:tcW w:w="0" w:type="auto"/>
            <w:tcBorders>
              <w:top w:val="nil"/>
              <w:left w:val="nil"/>
              <w:bottom w:val="nil"/>
              <w:right w:val="nil"/>
            </w:tcBorders>
          </w:tcPr>
          <w:p w:rsidR="00D6515C" w:rsidRPr="00435180" w:rsidP="000F02E7" w14:paraId="7E1A021A" w14:textId="77777777">
            <w:pPr>
              <w:keepNext/>
              <w:widowControl/>
              <w:suppressAutoHyphens/>
              <w:spacing w:before="120"/>
              <w:jc w:val="center"/>
              <w:rPr>
                <w:szCs w:val="22"/>
              </w:rPr>
            </w:pPr>
            <w:r w:rsidRPr="00435180">
              <w:rPr>
                <w:szCs w:val="22"/>
              </w:rPr>
              <w:t>3</w:t>
            </w:r>
          </w:p>
        </w:tc>
        <w:tc>
          <w:tcPr>
            <w:tcW w:w="0" w:type="auto"/>
            <w:tcBorders>
              <w:top w:val="nil"/>
              <w:left w:val="nil"/>
              <w:bottom w:val="nil"/>
              <w:right w:val="nil"/>
            </w:tcBorders>
          </w:tcPr>
          <w:p w:rsidR="00D6515C" w:rsidRPr="00435180" w:rsidP="000F02E7" w14:paraId="46CF94DC" w14:textId="77777777">
            <w:pPr>
              <w:keepNext/>
              <w:widowControl/>
              <w:suppressAutoHyphens/>
              <w:spacing w:before="120"/>
              <w:rPr>
                <w:szCs w:val="22"/>
              </w:rPr>
            </w:pPr>
            <w:r w:rsidRPr="00435180">
              <w:rPr>
                <w:szCs w:val="22"/>
              </w:rPr>
              <w:t xml:space="preserve">Total Amount Paid - Enter the amount of the </w:t>
            </w:r>
            <w:r w:rsidRPr="00435180">
              <w:rPr>
                <w:szCs w:val="22"/>
              </w:rPr>
              <w:t>upfront payment associated with the FCC Form 159 (Revised 2/03).</w:t>
            </w:r>
          </w:p>
        </w:tc>
      </w:tr>
      <w:tr w14:paraId="19A49A4B" w14:textId="77777777" w:rsidTr="000F02E7">
        <w:tblPrEx>
          <w:tblW w:w="9541" w:type="dxa"/>
          <w:tblInd w:w="108" w:type="dxa"/>
          <w:tblCellMar>
            <w:left w:w="115" w:type="dxa"/>
            <w:right w:w="115" w:type="dxa"/>
          </w:tblCellMar>
          <w:tblLook w:val="01E0"/>
        </w:tblPrEx>
        <w:trPr>
          <w:trHeight w:val="905"/>
        </w:trPr>
        <w:tc>
          <w:tcPr>
            <w:tcW w:w="0" w:type="auto"/>
            <w:tcBorders>
              <w:top w:val="nil"/>
              <w:left w:val="nil"/>
              <w:bottom w:val="nil"/>
              <w:right w:val="nil"/>
            </w:tcBorders>
          </w:tcPr>
          <w:p w:rsidR="00D6515C" w:rsidRPr="00435180" w:rsidP="000F02E7" w14:paraId="0AF7C3D4" w14:textId="77777777">
            <w:pPr>
              <w:keepNext/>
              <w:widowControl/>
              <w:suppressAutoHyphens/>
              <w:spacing w:before="120"/>
              <w:jc w:val="center"/>
              <w:rPr>
                <w:szCs w:val="22"/>
              </w:rPr>
            </w:pPr>
            <w:r w:rsidRPr="00435180">
              <w:rPr>
                <w:szCs w:val="22"/>
              </w:rPr>
              <w:t>4-8</w:t>
            </w:r>
          </w:p>
        </w:tc>
        <w:tc>
          <w:tcPr>
            <w:tcW w:w="0" w:type="auto"/>
            <w:tcBorders>
              <w:top w:val="nil"/>
              <w:left w:val="nil"/>
              <w:bottom w:val="nil"/>
              <w:right w:val="nil"/>
            </w:tcBorders>
          </w:tcPr>
          <w:p w:rsidR="00D6515C" w:rsidRPr="00435180" w:rsidP="000F02E7" w14:paraId="5E205688" w14:textId="77777777">
            <w:pPr>
              <w:keepNext/>
              <w:widowControl/>
              <w:suppressAutoHyphens/>
              <w:spacing w:before="120"/>
              <w:rPr>
                <w:szCs w:val="22"/>
              </w:rPr>
            </w:pPr>
            <w:r w:rsidRPr="00435180">
              <w:rPr>
                <w:szCs w:val="22"/>
              </w:rPr>
              <w:t xml:space="preserve">Street Address, City, State, ZIP Code - Enter the street mailing address (not Post Office box number) where mail should be sent to the payer.  If the applicant is the payer, these </w:t>
            </w:r>
            <w:r w:rsidRPr="00435180">
              <w:rPr>
                <w:szCs w:val="22"/>
              </w:rPr>
              <w:t>entries would be the same as FCC Form 175 from the Applicant Information section.</w:t>
            </w:r>
          </w:p>
        </w:tc>
      </w:tr>
      <w:tr w14:paraId="667FFB40" w14:textId="77777777" w:rsidTr="000F02E7">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D6515C" w:rsidRPr="00435180" w:rsidP="000F02E7" w14:paraId="5ABFDE86" w14:textId="77777777">
            <w:pPr>
              <w:keepNext/>
              <w:widowControl/>
              <w:suppressAutoHyphens/>
              <w:spacing w:before="120"/>
              <w:jc w:val="center"/>
              <w:rPr>
                <w:szCs w:val="22"/>
              </w:rPr>
            </w:pPr>
            <w:r w:rsidRPr="00435180">
              <w:rPr>
                <w:szCs w:val="22"/>
              </w:rPr>
              <w:t>9</w:t>
            </w:r>
          </w:p>
        </w:tc>
        <w:tc>
          <w:tcPr>
            <w:tcW w:w="0" w:type="auto"/>
            <w:tcBorders>
              <w:top w:val="nil"/>
              <w:left w:val="nil"/>
              <w:bottom w:val="nil"/>
              <w:right w:val="nil"/>
            </w:tcBorders>
          </w:tcPr>
          <w:p w:rsidR="00D6515C" w:rsidRPr="00435180" w:rsidP="000F02E7" w14:paraId="0DC8AC20" w14:textId="77777777">
            <w:pPr>
              <w:keepNext/>
              <w:widowControl/>
              <w:suppressAutoHyphens/>
              <w:spacing w:before="120"/>
              <w:rPr>
                <w:szCs w:val="22"/>
              </w:rPr>
            </w:pPr>
            <w:r w:rsidRPr="00435180">
              <w:rPr>
                <w:szCs w:val="22"/>
              </w:rPr>
              <w:t>Daytime Telephone Number - Enter the telephone number of a person knowledgeable about this upfront payment.</w:t>
            </w:r>
          </w:p>
        </w:tc>
      </w:tr>
      <w:tr w14:paraId="07E01384" w14:textId="77777777" w:rsidTr="000F02E7">
        <w:tblPrEx>
          <w:tblW w:w="9541" w:type="dxa"/>
          <w:tblInd w:w="108" w:type="dxa"/>
          <w:tblCellMar>
            <w:left w:w="115" w:type="dxa"/>
            <w:right w:w="115" w:type="dxa"/>
          </w:tblCellMar>
          <w:tblLook w:val="01E0"/>
        </w:tblPrEx>
        <w:trPr>
          <w:trHeight w:val="675"/>
        </w:trPr>
        <w:tc>
          <w:tcPr>
            <w:tcW w:w="0" w:type="auto"/>
            <w:tcBorders>
              <w:top w:val="nil"/>
              <w:left w:val="nil"/>
              <w:bottom w:val="nil"/>
              <w:right w:val="nil"/>
            </w:tcBorders>
          </w:tcPr>
          <w:p w:rsidR="00D6515C" w:rsidRPr="00435180" w:rsidP="000F02E7" w14:paraId="56D6A5DC" w14:textId="77777777">
            <w:pPr>
              <w:keepNext/>
              <w:widowControl/>
              <w:suppressAutoHyphens/>
              <w:spacing w:before="120"/>
              <w:jc w:val="center"/>
              <w:rPr>
                <w:szCs w:val="22"/>
              </w:rPr>
            </w:pPr>
            <w:r w:rsidRPr="00435180">
              <w:rPr>
                <w:szCs w:val="22"/>
              </w:rPr>
              <w:t>10</w:t>
            </w:r>
          </w:p>
        </w:tc>
        <w:tc>
          <w:tcPr>
            <w:tcW w:w="0" w:type="auto"/>
            <w:tcBorders>
              <w:top w:val="nil"/>
              <w:left w:val="nil"/>
              <w:bottom w:val="nil"/>
              <w:right w:val="nil"/>
            </w:tcBorders>
          </w:tcPr>
          <w:p w:rsidR="00D6515C" w:rsidRPr="00435180" w:rsidP="000F02E7" w14:paraId="03A5BA13" w14:textId="77777777">
            <w:pPr>
              <w:keepNext/>
              <w:widowControl/>
              <w:suppressAutoHyphens/>
              <w:spacing w:before="120"/>
              <w:rPr>
                <w:szCs w:val="22"/>
              </w:rPr>
            </w:pPr>
            <w:r w:rsidRPr="00435180">
              <w:rPr>
                <w:szCs w:val="22"/>
              </w:rPr>
              <w:t xml:space="preserve">Country Code - For addresses outside the United </w:t>
            </w:r>
            <w:r w:rsidRPr="00435180">
              <w:rPr>
                <w:szCs w:val="22"/>
              </w:rPr>
              <w:t>States, enter the appropriate postal country code (available from the Mailing Requirements Department of the U.S. Postal Service).</w:t>
            </w:r>
          </w:p>
        </w:tc>
      </w:tr>
      <w:tr w14:paraId="4D032E18" w14:textId="77777777" w:rsidTr="000F02E7">
        <w:tblPrEx>
          <w:tblW w:w="9541" w:type="dxa"/>
          <w:tblInd w:w="108" w:type="dxa"/>
          <w:tblCellMar>
            <w:left w:w="115" w:type="dxa"/>
            <w:right w:w="115" w:type="dxa"/>
          </w:tblCellMar>
          <w:tblLook w:val="01E0"/>
        </w:tblPrEx>
        <w:trPr>
          <w:trHeight w:val="644"/>
        </w:trPr>
        <w:tc>
          <w:tcPr>
            <w:tcW w:w="0" w:type="auto"/>
            <w:tcBorders>
              <w:top w:val="nil"/>
              <w:left w:val="nil"/>
              <w:bottom w:val="nil"/>
              <w:right w:val="nil"/>
            </w:tcBorders>
          </w:tcPr>
          <w:p w:rsidR="00D6515C" w:rsidRPr="00435180" w:rsidP="000F02E7" w14:paraId="3A5973AA" w14:textId="77777777">
            <w:pPr>
              <w:keepNext/>
              <w:widowControl/>
              <w:suppressAutoHyphens/>
              <w:spacing w:before="120"/>
              <w:jc w:val="center"/>
              <w:rPr>
                <w:szCs w:val="22"/>
              </w:rPr>
            </w:pPr>
            <w:r w:rsidRPr="00435180">
              <w:rPr>
                <w:szCs w:val="22"/>
              </w:rPr>
              <w:t>11</w:t>
            </w:r>
          </w:p>
        </w:tc>
        <w:tc>
          <w:tcPr>
            <w:tcW w:w="0" w:type="auto"/>
            <w:tcBorders>
              <w:top w:val="nil"/>
              <w:left w:val="nil"/>
              <w:bottom w:val="nil"/>
              <w:right w:val="nil"/>
            </w:tcBorders>
          </w:tcPr>
          <w:p w:rsidR="00D6515C" w:rsidRPr="00435180" w:rsidP="000F02E7" w14:paraId="14B709E4" w14:textId="77777777">
            <w:pPr>
              <w:keepNext/>
              <w:widowControl/>
              <w:suppressAutoHyphens/>
              <w:spacing w:before="120"/>
              <w:rPr>
                <w:szCs w:val="22"/>
              </w:rPr>
            </w:pPr>
            <w:r w:rsidRPr="00435180">
              <w:rPr>
                <w:szCs w:val="22"/>
              </w:rPr>
              <w:t xml:space="preserve">Payer FRN - Enter the payer’s </w:t>
            </w:r>
            <w:r>
              <w:rPr>
                <w:szCs w:val="22"/>
              </w:rPr>
              <w:t>10</w:t>
            </w:r>
            <w:r w:rsidRPr="00435180">
              <w:rPr>
                <w:szCs w:val="22"/>
              </w:rPr>
              <w:t>-digit FCC Registration Number (FRN) registered in the Commission Registration System (CO</w:t>
            </w:r>
            <w:r w:rsidRPr="00435180">
              <w:rPr>
                <w:szCs w:val="22"/>
              </w:rPr>
              <w:t xml:space="preserve">RES).  </w:t>
            </w:r>
          </w:p>
        </w:tc>
      </w:tr>
      <w:tr w14:paraId="6708F952" w14:textId="77777777" w:rsidTr="000F02E7">
        <w:tblPrEx>
          <w:tblW w:w="9541" w:type="dxa"/>
          <w:tblInd w:w="108" w:type="dxa"/>
          <w:tblCellMar>
            <w:left w:w="115" w:type="dxa"/>
            <w:right w:w="115" w:type="dxa"/>
          </w:tblCellMar>
          <w:tblLook w:val="01E0"/>
        </w:tblPrEx>
        <w:trPr>
          <w:trHeight w:val="629"/>
        </w:trPr>
        <w:tc>
          <w:tcPr>
            <w:tcW w:w="0" w:type="auto"/>
            <w:tcBorders>
              <w:top w:val="nil"/>
              <w:left w:val="nil"/>
              <w:bottom w:val="nil"/>
              <w:right w:val="nil"/>
            </w:tcBorders>
          </w:tcPr>
          <w:p w:rsidR="00D6515C" w:rsidRPr="00435180" w:rsidP="000F02E7" w14:paraId="0E0C2663" w14:textId="77777777">
            <w:pPr>
              <w:keepNext/>
              <w:widowControl/>
              <w:suppressAutoHyphens/>
              <w:spacing w:before="120"/>
              <w:jc w:val="center"/>
              <w:rPr>
                <w:szCs w:val="22"/>
              </w:rPr>
            </w:pPr>
            <w:r w:rsidRPr="00435180">
              <w:rPr>
                <w:szCs w:val="22"/>
              </w:rPr>
              <w:t>21</w:t>
            </w:r>
          </w:p>
        </w:tc>
        <w:tc>
          <w:tcPr>
            <w:tcW w:w="0" w:type="auto"/>
            <w:tcBorders>
              <w:top w:val="nil"/>
              <w:left w:val="nil"/>
              <w:bottom w:val="nil"/>
              <w:right w:val="nil"/>
            </w:tcBorders>
          </w:tcPr>
          <w:p w:rsidR="00D6515C" w:rsidRPr="00435180" w:rsidP="000F02E7" w14:paraId="03296B60" w14:textId="77777777">
            <w:pPr>
              <w:keepNext/>
              <w:widowControl/>
              <w:suppressAutoHyphens/>
              <w:spacing w:before="120"/>
              <w:rPr>
                <w:szCs w:val="22"/>
              </w:rPr>
            </w:pPr>
            <w:r w:rsidRPr="00435180">
              <w:rPr>
                <w:szCs w:val="22"/>
              </w:rPr>
              <w:t xml:space="preserve">Applicant FRN (Complete only if applicant is different than payer) – Enter the applicant’s </w:t>
            </w:r>
            <w:r>
              <w:rPr>
                <w:szCs w:val="22"/>
              </w:rPr>
              <w:t>10</w:t>
            </w:r>
            <w:r w:rsidRPr="00435180">
              <w:rPr>
                <w:szCs w:val="22"/>
              </w:rPr>
              <w:t>-digit FRN registered in CORES.</w:t>
            </w:r>
          </w:p>
        </w:tc>
      </w:tr>
      <w:tr w14:paraId="7C756966"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5E51A884" w14:textId="77777777">
            <w:pPr>
              <w:keepNext/>
              <w:widowControl/>
              <w:suppressAutoHyphens/>
              <w:spacing w:before="120"/>
              <w:jc w:val="center"/>
              <w:rPr>
                <w:szCs w:val="22"/>
              </w:rPr>
            </w:pPr>
            <w:r w:rsidRPr="00435180">
              <w:rPr>
                <w:szCs w:val="22"/>
              </w:rPr>
              <w:t>24A</w:t>
            </w:r>
          </w:p>
        </w:tc>
        <w:tc>
          <w:tcPr>
            <w:tcW w:w="0" w:type="auto"/>
            <w:tcBorders>
              <w:top w:val="nil"/>
              <w:left w:val="nil"/>
              <w:bottom w:val="nil"/>
              <w:right w:val="nil"/>
            </w:tcBorders>
          </w:tcPr>
          <w:p w:rsidR="00D6515C" w:rsidRPr="00435180" w:rsidP="000F02E7" w14:paraId="7DBAA5BE" w14:textId="6A90719B">
            <w:pPr>
              <w:keepNext/>
              <w:widowControl/>
              <w:suppressAutoHyphens/>
              <w:spacing w:before="120"/>
              <w:rPr>
                <w:szCs w:val="22"/>
                <w:lang w:val="fr-FR"/>
              </w:rPr>
            </w:pPr>
            <w:r w:rsidRPr="00435180">
              <w:rPr>
                <w:szCs w:val="22"/>
                <w:lang w:val="fr-FR"/>
              </w:rPr>
              <w:t>Payment Type Code - Enter “</w:t>
            </w:r>
            <w:r w:rsidRPr="00435180">
              <w:rPr>
                <w:b/>
                <w:szCs w:val="22"/>
                <w:lang w:val="fr-FR"/>
              </w:rPr>
              <w:t>U10</w:t>
            </w:r>
            <w:r w:rsidR="00C4115D">
              <w:rPr>
                <w:b/>
                <w:szCs w:val="22"/>
                <w:lang w:val="fr-FR"/>
              </w:rPr>
              <w:t>7</w:t>
            </w:r>
            <w:r w:rsidRPr="00435180">
              <w:rPr>
                <w:szCs w:val="22"/>
                <w:lang w:val="fr-FR"/>
              </w:rPr>
              <w:t>”</w:t>
            </w:r>
            <w:r>
              <w:rPr>
                <w:szCs w:val="22"/>
                <w:lang w:val="fr-FR"/>
              </w:rPr>
              <w:t>.</w:t>
            </w:r>
          </w:p>
        </w:tc>
      </w:tr>
      <w:tr w14:paraId="20FF0C60"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3F59662A" w14:textId="77777777">
            <w:pPr>
              <w:keepNext/>
              <w:widowControl/>
              <w:suppressAutoHyphens/>
              <w:spacing w:before="120"/>
              <w:jc w:val="center"/>
              <w:rPr>
                <w:szCs w:val="22"/>
              </w:rPr>
            </w:pPr>
            <w:r w:rsidRPr="00435180">
              <w:rPr>
                <w:szCs w:val="22"/>
              </w:rPr>
              <w:t>25A</w:t>
            </w:r>
          </w:p>
        </w:tc>
        <w:tc>
          <w:tcPr>
            <w:tcW w:w="0" w:type="auto"/>
            <w:tcBorders>
              <w:top w:val="nil"/>
              <w:left w:val="nil"/>
              <w:bottom w:val="nil"/>
              <w:right w:val="nil"/>
            </w:tcBorders>
          </w:tcPr>
          <w:p w:rsidR="00D6515C" w:rsidRPr="00435180" w:rsidP="000F02E7" w14:paraId="63B139B0" w14:textId="77777777">
            <w:pPr>
              <w:keepNext/>
              <w:widowControl/>
              <w:suppressAutoHyphens/>
              <w:spacing w:before="120"/>
              <w:rPr>
                <w:szCs w:val="22"/>
              </w:rPr>
            </w:pPr>
            <w:r w:rsidRPr="00435180">
              <w:rPr>
                <w:szCs w:val="22"/>
              </w:rPr>
              <w:t>Quantity - Enter the number “1”</w:t>
            </w:r>
            <w:r>
              <w:rPr>
                <w:szCs w:val="22"/>
              </w:rPr>
              <w:t>.</w:t>
            </w:r>
          </w:p>
        </w:tc>
      </w:tr>
      <w:tr w14:paraId="5E781D94"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738A86E1" w14:textId="77777777">
            <w:pPr>
              <w:keepNext/>
              <w:widowControl/>
              <w:suppressAutoHyphens/>
              <w:spacing w:before="120"/>
              <w:jc w:val="center"/>
              <w:rPr>
                <w:szCs w:val="22"/>
              </w:rPr>
            </w:pPr>
            <w:r w:rsidRPr="00435180">
              <w:rPr>
                <w:szCs w:val="22"/>
              </w:rPr>
              <w:t>26A</w:t>
            </w:r>
          </w:p>
        </w:tc>
        <w:tc>
          <w:tcPr>
            <w:tcW w:w="0" w:type="auto"/>
            <w:tcBorders>
              <w:top w:val="nil"/>
              <w:left w:val="nil"/>
              <w:bottom w:val="nil"/>
              <w:right w:val="nil"/>
            </w:tcBorders>
          </w:tcPr>
          <w:p w:rsidR="00D6515C" w:rsidRPr="00435180" w:rsidP="000F02E7" w14:paraId="246554EF" w14:textId="77777777">
            <w:pPr>
              <w:keepNext/>
              <w:widowControl/>
              <w:suppressAutoHyphens/>
              <w:spacing w:before="120"/>
              <w:rPr>
                <w:szCs w:val="22"/>
              </w:rPr>
            </w:pPr>
            <w:r w:rsidRPr="00435180">
              <w:rPr>
                <w:szCs w:val="22"/>
              </w:rPr>
              <w:t xml:space="preserve">Fee Due - Amount of Upfront </w:t>
            </w:r>
            <w:r w:rsidRPr="00435180">
              <w:rPr>
                <w:szCs w:val="22"/>
              </w:rPr>
              <w:t>Payment</w:t>
            </w:r>
          </w:p>
        </w:tc>
      </w:tr>
      <w:tr w14:paraId="112186B1"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41139EEB" w14:textId="77777777">
            <w:pPr>
              <w:keepNext/>
              <w:widowControl/>
              <w:suppressAutoHyphens/>
              <w:spacing w:before="120"/>
              <w:jc w:val="center"/>
              <w:rPr>
                <w:szCs w:val="22"/>
              </w:rPr>
            </w:pPr>
            <w:r w:rsidRPr="00435180">
              <w:rPr>
                <w:szCs w:val="22"/>
              </w:rPr>
              <w:t>27A</w:t>
            </w:r>
          </w:p>
        </w:tc>
        <w:tc>
          <w:tcPr>
            <w:tcW w:w="0" w:type="auto"/>
            <w:tcBorders>
              <w:top w:val="nil"/>
              <w:left w:val="nil"/>
              <w:bottom w:val="nil"/>
              <w:right w:val="nil"/>
            </w:tcBorders>
          </w:tcPr>
          <w:p w:rsidR="00D6515C" w:rsidRPr="00435180" w:rsidP="000F02E7" w14:paraId="28C46348" w14:textId="77777777">
            <w:pPr>
              <w:keepNext/>
              <w:widowControl/>
              <w:suppressAutoHyphens/>
              <w:spacing w:before="120"/>
              <w:rPr>
                <w:szCs w:val="22"/>
              </w:rPr>
            </w:pPr>
            <w:r w:rsidRPr="00435180">
              <w:rPr>
                <w:szCs w:val="22"/>
              </w:rPr>
              <w:t>Total Fee - Will be the same amount as 26A.</w:t>
            </w:r>
          </w:p>
        </w:tc>
      </w:tr>
      <w:tr w14:paraId="653C74F5" w14:textId="77777777" w:rsidTr="000F02E7">
        <w:tblPrEx>
          <w:tblW w:w="9541" w:type="dxa"/>
          <w:tblInd w:w="108" w:type="dxa"/>
          <w:tblCellMar>
            <w:left w:w="115" w:type="dxa"/>
            <w:right w:w="115" w:type="dxa"/>
          </w:tblCellMar>
          <w:tblLook w:val="01E0"/>
        </w:tblPrEx>
        <w:trPr>
          <w:trHeight w:val="383"/>
        </w:trPr>
        <w:tc>
          <w:tcPr>
            <w:tcW w:w="0" w:type="auto"/>
            <w:tcBorders>
              <w:top w:val="nil"/>
              <w:left w:val="nil"/>
              <w:bottom w:val="nil"/>
              <w:right w:val="nil"/>
            </w:tcBorders>
          </w:tcPr>
          <w:p w:rsidR="00D6515C" w:rsidRPr="00435180" w:rsidP="000F02E7" w14:paraId="4E38FD5B" w14:textId="77777777">
            <w:pPr>
              <w:keepNext/>
              <w:widowControl/>
              <w:suppressAutoHyphens/>
              <w:spacing w:before="120"/>
              <w:jc w:val="center"/>
              <w:rPr>
                <w:szCs w:val="22"/>
              </w:rPr>
            </w:pPr>
            <w:r w:rsidRPr="00435180">
              <w:rPr>
                <w:szCs w:val="22"/>
              </w:rPr>
              <w:t>28A</w:t>
            </w:r>
          </w:p>
        </w:tc>
        <w:tc>
          <w:tcPr>
            <w:tcW w:w="0" w:type="auto"/>
            <w:tcBorders>
              <w:top w:val="nil"/>
              <w:left w:val="nil"/>
              <w:bottom w:val="nil"/>
              <w:right w:val="nil"/>
            </w:tcBorders>
          </w:tcPr>
          <w:p w:rsidR="00D6515C" w:rsidRPr="00435180" w:rsidP="000F02E7" w14:paraId="7B5C69B7" w14:textId="709C793B">
            <w:pPr>
              <w:keepNext/>
              <w:widowControl/>
              <w:suppressAutoHyphens/>
              <w:spacing w:before="120"/>
              <w:rPr>
                <w:szCs w:val="22"/>
              </w:rPr>
            </w:pPr>
            <w:r w:rsidRPr="00435180">
              <w:rPr>
                <w:szCs w:val="22"/>
              </w:rPr>
              <w:t>FCC Code 1 - Enter the number “10</w:t>
            </w:r>
            <w:r w:rsidR="00E647E6">
              <w:rPr>
                <w:szCs w:val="22"/>
              </w:rPr>
              <w:t>7</w:t>
            </w:r>
            <w:r w:rsidRPr="00435180">
              <w:rPr>
                <w:szCs w:val="22"/>
              </w:rPr>
              <w:t>” (indicating Auction 10</w:t>
            </w:r>
            <w:r w:rsidR="00E647E6">
              <w:rPr>
                <w:szCs w:val="22"/>
              </w:rPr>
              <w:t>7</w:t>
            </w:r>
            <w:r w:rsidRPr="00435180">
              <w:rPr>
                <w:szCs w:val="22"/>
              </w:rPr>
              <w:t>).</w:t>
            </w:r>
          </w:p>
          <w:p w:rsidR="00D6515C" w:rsidRPr="00435180" w:rsidP="002314BA" w14:paraId="235093A2" w14:textId="77777777">
            <w:pPr>
              <w:widowControl/>
              <w:numPr>
                <w:ilvl w:val="0"/>
                <w:numId w:val="8"/>
              </w:numPr>
              <w:tabs>
                <w:tab w:val="left" w:pos="-4950"/>
                <w:tab w:val="left" w:pos="-4770"/>
                <w:tab w:val="clear" w:pos="360"/>
                <w:tab w:val="num" w:pos="1080"/>
              </w:tabs>
              <w:suppressAutoHyphens/>
              <w:ind w:left="0"/>
              <w:rPr>
                <w:szCs w:val="22"/>
              </w:rPr>
            </w:pPr>
          </w:p>
        </w:tc>
      </w:tr>
    </w:tbl>
    <w:bookmarkEnd w:id="1721"/>
    <w:bookmarkEnd w:id="1722"/>
    <w:p w:rsidR="00D6515C" w:rsidRPr="00435180" w:rsidP="00D6515C" w14:paraId="5B5FC34E" w14:textId="77777777">
      <w:pPr>
        <w:keepNext/>
        <w:keepLines/>
        <w:widowControl/>
        <w:rPr>
          <w:szCs w:val="22"/>
        </w:rPr>
      </w:pPr>
      <w:r w:rsidRPr="00435180">
        <w:rPr>
          <w:szCs w:val="22"/>
        </w:rPr>
        <w:t>NOTES:</w:t>
      </w:r>
    </w:p>
    <w:p w:rsidR="00D6515C" w:rsidRPr="00435180" w:rsidP="00D6515C" w14:paraId="03D45B2F" w14:textId="77777777">
      <w:pPr>
        <w:keepNext/>
        <w:keepLines/>
        <w:widowControl/>
        <w:rPr>
          <w:szCs w:val="22"/>
        </w:rPr>
      </w:pPr>
    </w:p>
    <w:p w:rsidR="00D6515C" w:rsidRPr="00E533A2" w:rsidP="002314BA" w14:paraId="04BAD75F" w14:textId="77777777">
      <w:pPr>
        <w:widowControl/>
        <w:numPr>
          <w:ilvl w:val="0"/>
          <w:numId w:val="8"/>
        </w:numPr>
        <w:tabs>
          <w:tab w:val="left" w:pos="-4950"/>
          <w:tab w:val="left" w:pos="-4770"/>
          <w:tab w:val="left" w:pos="-4680"/>
          <w:tab w:val="clear" w:pos="360"/>
          <w:tab w:val="num" w:pos="1800"/>
        </w:tabs>
        <w:suppressAutoHyphens/>
        <w:spacing w:after="120"/>
        <w:ind w:left="1800" w:hanging="1080"/>
        <w:rPr>
          <w:szCs w:val="22"/>
        </w:rPr>
      </w:pPr>
      <w:r w:rsidRPr="00435180">
        <w:rPr>
          <w:szCs w:val="22"/>
        </w:rPr>
        <w:t>Do not use Remittance Advice (Continuation Sheet), FCC Form 159-C, for upfront payments.</w:t>
      </w:r>
    </w:p>
    <w:p w:rsidR="007D3648" w:rsidP="002314BA" w14:paraId="3941AED5" w14:textId="77777777">
      <w:pPr>
        <w:widowControl/>
        <w:numPr>
          <w:ilvl w:val="0"/>
          <w:numId w:val="8"/>
        </w:numPr>
        <w:tabs>
          <w:tab w:val="left" w:pos="-4950"/>
          <w:tab w:val="left" w:pos="-4770"/>
          <w:tab w:val="left" w:pos="-4680"/>
          <w:tab w:val="clear" w:pos="360"/>
          <w:tab w:val="num" w:pos="1800"/>
        </w:tabs>
        <w:suppressAutoHyphens/>
        <w:spacing w:after="120" w:line="259" w:lineRule="auto"/>
        <w:ind w:left="1800" w:hanging="1080"/>
      </w:pPr>
      <w:r w:rsidRPr="00A92463">
        <w:rPr>
          <w:b/>
          <w:bCs/>
        </w:rPr>
        <w:t xml:space="preserve">If applicant is </w:t>
      </w:r>
      <w:r w:rsidRPr="00A92463">
        <w:rPr>
          <w:b/>
          <w:bCs/>
        </w:rPr>
        <w:t>different from the payer, complete blocks 13 through 21 for the applicant, using the same information shown on FCC Form 175.</w:t>
      </w:r>
      <w:r w:rsidRPr="00435180">
        <w:t xml:space="preserve">  Otherwise leave them blank.</w:t>
      </w:r>
    </w:p>
    <w:p w:rsidR="007D3648" w:rsidRPr="00E533A2" w:rsidP="002314BA" w14:paraId="27DCF021" w14:textId="13D15040">
      <w:pPr>
        <w:widowControl/>
        <w:numPr>
          <w:ilvl w:val="0"/>
          <w:numId w:val="8"/>
        </w:numPr>
        <w:tabs>
          <w:tab w:val="left" w:pos="-4950"/>
          <w:tab w:val="left" w:pos="-4770"/>
          <w:tab w:val="left" w:pos="-4680"/>
          <w:tab w:val="clear" w:pos="360"/>
          <w:tab w:val="num" w:pos="1800"/>
        </w:tabs>
        <w:suppressAutoHyphens/>
        <w:spacing w:after="120" w:line="259" w:lineRule="auto"/>
        <w:ind w:left="1800" w:hanging="1080"/>
      </w:pPr>
      <w:r>
        <w:t xml:space="preserve">No signature is required on </w:t>
      </w:r>
      <w:r w:rsidR="0076652A">
        <w:t xml:space="preserve">FCC </w:t>
      </w:r>
      <w:r>
        <w:t>Form 159 for auction payments</w:t>
      </w:r>
    </w:p>
    <w:p w:rsidR="00D6515C" w:rsidRPr="00435180" w:rsidP="002314BA" w14:paraId="017C3943" w14:textId="61F4F827">
      <w:pPr>
        <w:widowControl/>
        <w:numPr>
          <w:ilvl w:val="0"/>
          <w:numId w:val="8"/>
        </w:numPr>
        <w:tabs>
          <w:tab w:val="left" w:pos="-4950"/>
          <w:tab w:val="left" w:pos="-4770"/>
          <w:tab w:val="clear" w:pos="360"/>
          <w:tab w:val="num" w:pos="1800"/>
        </w:tabs>
        <w:suppressAutoHyphens/>
        <w:spacing w:after="120"/>
        <w:ind w:left="1800" w:hanging="1080"/>
        <w:rPr>
          <w:szCs w:val="22"/>
        </w:rPr>
      </w:pPr>
      <w:r w:rsidRPr="00435180">
        <w:t>Since credit card payments will not be a</w:t>
      </w:r>
      <w:r w:rsidRPr="00435180">
        <w:t>ccepted for upfront payments for an auction, leave Section E blank.</w:t>
      </w:r>
    </w:p>
    <w:p w:rsidR="00D6515C" w:rsidRPr="00435180" w:rsidP="00D6515C" w14:paraId="15AD71EB" w14:textId="3C0F3B48">
      <w:pPr>
        <w:pStyle w:val="Heading3"/>
        <w:rPr>
          <w:szCs w:val="22"/>
        </w:rPr>
      </w:pPr>
      <w:bookmarkStart w:id="1723" w:name="_Toc7525824"/>
      <w:bookmarkStart w:id="1724" w:name="_Toc8657179"/>
      <w:bookmarkStart w:id="1725" w:name="_Toc9410705"/>
      <w:bookmarkStart w:id="1726" w:name="_Toc9430111"/>
      <w:bookmarkStart w:id="1727" w:name="_Toc10116873"/>
      <w:bookmarkStart w:id="1728" w:name="_Toc10646179"/>
      <w:bookmarkStart w:id="1729" w:name="_Toc11156583"/>
      <w:bookmarkStart w:id="1730" w:name="_Toc11244327"/>
      <w:bookmarkStart w:id="1731" w:name="_Toc11653583"/>
      <w:bookmarkStart w:id="1732" w:name="_Toc11678162"/>
      <w:bookmarkStart w:id="1733" w:name="_Toc13654749"/>
      <w:bookmarkStart w:id="1734" w:name="_Toc24459469"/>
      <w:bookmarkStart w:id="1735" w:name="_Toc24459566"/>
      <w:bookmarkStart w:id="1736" w:name="_Toc25926262"/>
      <w:bookmarkStart w:id="1737" w:name="_Toc25926840"/>
      <w:bookmarkStart w:id="1738" w:name="_Toc25926958"/>
      <w:bookmarkStart w:id="1739" w:name="_Toc27039021"/>
      <w:bookmarkStart w:id="1740" w:name="_Toc29813165"/>
      <w:bookmarkStart w:id="1741" w:name="_Toc29886890"/>
      <w:bookmarkStart w:id="1742" w:name="_Toc29999494"/>
      <w:bookmarkStart w:id="1743" w:name="_Toc30699420"/>
      <w:bookmarkStart w:id="1744" w:name="_Toc30701500"/>
      <w:bookmarkStart w:id="1745" w:name="_Toc31189321"/>
      <w:bookmarkStart w:id="1746" w:name="_Toc31189775"/>
      <w:bookmarkStart w:id="1747" w:name="_Toc31193142"/>
      <w:bookmarkStart w:id="1748" w:name="_Toc31195890"/>
      <w:bookmarkStart w:id="1749" w:name="_Toc31200014"/>
      <w:bookmarkStart w:id="1750" w:name="_Toc31713781"/>
      <w:bookmarkStart w:id="1751" w:name="_Toc31822690"/>
      <w:bookmarkStart w:id="1752" w:name="_Toc33629847"/>
      <w:bookmarkStart w:id="1753" w:name="_Toc33696699"/>
      <w:r w:rsidRPr="00435180">
        <w:rPr>
          <w:szCs w:val="22"/>
        </w:rPr>
        <w:t>Upfront Payments</w:t>
      </w:r>
      <w:r w:rsidR="000B0AD9">
        <w:rPr>
          <w:szCs w:val="22"/>
        </w:rPr>
        <w:t xml:space="preserve"> and</w:t>
      </w:r>
      <w:r w:rsidR="006B1AEF">
        <w:rPr>
          <w:szCs w:val="22"/>
        </w:rPr>
        <w:t xml:space="preserve"> </w:t>
      </w:r>
      <w:r w:rsidRPr="00435180">
        <w:rPr>
          <w:szCs w:val="22"/>
        </w:rPr>
        <w:t>Bidding Eligibility</w:t>
      </w:r>
      <w:bookmarkEnd w:id="1720"/>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rsidR="00D6515C" w:rsidRPr="00435180" w:rsidP="00D6515C" w14:paraId="39F80F27" w14:textId="0006250C">
      <w:pPr>
        <w:pStyle w:val="ParaNum"/>
        <w:widowControl/>
        <w:rPr>
          <w:szCs w:val="22"/>
        </w:rPr>
      </w:pPr>
      <w:r w:rsidRPr="00435180">
        <w:rPr>
          <w:szCs w:val="22"/>
        </w:rPr>
        <w:t>The</w:t>
      </w:r>
      <w:r w:rsidRPr="00435180">
        <w:rPr>
          <w:i/>
          <w:szCs w:val="22"/>
        </w:rPr>
        <w:t xml:space="preserve"> </w:t>
      </w:r>
      <w:r w:rsidRPr="00435180">
        <w:rPr>
          <w:szCs w:val="22"/>
        </w:rPr>
        <w:t xml:space="preserve">Commission has authority to determine appropriate upfront payments for each license being auctioned, taking into account such factors as the </w:t>
      </w:r>
      <w:r w:rsidRPr="00435180">
        <w:rPr>
          <w:szCs w:val="22"/>
        </w:rPr>
        <w:t>efficiency of the auction process and the potential value of similar licenses.</w:t>
      </w:r>
      <w:r>
        <w:rPr>
          <w:rStyle w:val="FootnoteReference"/>
          <w:szCs w:val="22"/>
        </w:rPr>
        <w:footnoteReference w:id="262"/>
      </w:r>
      <w:r w:rsidRPr="00435180">
        <w:rPr>
          <w:szCs w:val="22"/>
        </w:rPr>
        <w:t xml:space="preserve">  An upfront payment is a refundable deposit made by each applicant seeking to participate in bidding to establish its eligibility to bid on licenses.  Upfront payments that ar</w:t>
      </w:r>
      <w:r w:rsidRPr="00435180">
        <w:rPr>
          <w:szCs w:val="22"/>
        </w:rPr>
        <w:t>e related to the inventory of licenses being auctioned protect against frivolous or insincere bidding and provide the Commission with a source of funds from which to collect payments owed at the close of bidding.</w:t>
      </w:r>
      <w:r>
        <w:rPr>
          <w:rStyle w:val="FootnoteReference"/>
          <w:szCs w:val="22"/>
        </w:rPr>
        <w:footnoteReference w:id="263"/>
      </w:r>
      <w:r w:rsidRPr="00435180">
        <w:rPr>
          <w:szCs w:val="22"/>
        </w:rPr>
        <w:t xml:space="preserve">  </w:t>
      </w:r>
    </w:p>
    <w:p w:rsidR="00D6515C" w:rsidRPr="00435180" w:rsidP="00D6515C" w14:paraId="7C6A14C8" w14:textId="3D416C81">
      <w:pPr>
        <w:pStyle w:val="ParaNum"/>
        <w:widowControl/>
        <w:rPr>
          <w:szCs w:val="22"/>
        </w:rPr>
      </w:pPr>
      <w:r w:rsidRPr="00435180">
        <w:rPr>
          <w:szCs w:val="22"/>
        </w:rPr>
        <w:t>Applicants that are former defaulters</w:t>
      </w:r>
      <w:r w:rsidR="00563348">
        <w:rPr>
          <w:szCs w:val="22"/>
        </w:rPr>
        <w:t xml:space="preserve"> </w:t>
      </w:r>
      <w:r w:rsidRPr="00435180">
        <w:rPr>
          <w:szCs w:val="22"/>
        </w:rPr>
        <w:t>m</w:t>
      </w:r>
      <w:r w:rsidRPr="00435180">
        <w:rPr>
          <w:szCs w:val="22"/>
        </w:rPr>
        <w:t>ust pay upfront payments 50% greater than non-former defaulters.</w:t>
      </w:r>
      <w:r>
        <w:rPr>
          <w:rStyle w:val="FootnoteReference"/>
          <w:szCs w:val="22"/>
        </w:rPr>
        <w:footnoteReference w:id="264"/>
      </w:r>
      <w:r w:rsidRPr="00435180">
        <w:rPr>
          <w:szCs w:val="22"/>
        </w:rPr>
        <w:t xml:space="preserve">  For purposes of classification as a former defaulter or a former delinquent, defaults and delinquencies of the applicant itself and its controlling interests are included.</w:t>
      </w:r>
      <w:r>
        <w:rPr>
          <w:rStyle w:val="FootnoteReference"/>
          <w:szCs w:val="22"/>
        </w:rPr>
        <w:footnoteReference w:id="265"/>
      </w:r>
    </w:p>
    <w:p w:rsidR="00D6515C" w:rsidRPr="00435180" w:rsidP="003C56CE" w14:paraId="0CAC3B70" w14:textId="11EC71C4">
      <w:pPr>
        <w:pStyle w:val="ParaNum"/>
        <w:widowControl/>
        <w:rPr>
          <w:szCs w:val="22"/>
        </w:rPr>
      </w:pPr>
      <w:r w:rsidRPr="00435180">
        <w:rPr>
          <w:szCs w:val="22"/>
        </w:rPr>
        <w:t>An applicant m</w:t>
      </w:r>
      <w:r w:rsidRPr="00435180">
        <w:rPr>
          <w:szCs w:val="22"/>
        </w:rPr>
        <w:t xml:space="preserve">ust make an upfront payment sufficient to obtain bidding eligibility on the generic blocks on which it will bid.  We adopt our proposal </w:t>
      </w:r>
      <w:r w:rsidR="00A95CE8">
        <w:rPr>
          <w:szCs w:val="22"/>
        </w:rPr>
        <w:t>to</w:t>
      </w:r>
      <w:r w:rsidRPr="00435180">
        <w:rPr>
          <w:szCs w:val="22"/>
        </w:rPr>
        <w:t xml:space="preserve"> set upfront payments based on MHz-pops, and that the amount of the upfront payment submitted by an applicant will det</w:t>
      </w:r>
      <w:r w:rsidRPr="00435180">
        <w:rPr>
          <w:szCs w:val="22"/>
        </w:rPr>
        <w:t>ermine its initial bidding eligibility, the maximum number of bidding units on which a bidder may place bids in any single round.</w:t>
      </w:r>
      <w:r>
        <w:rPr>
          <w:rStyle w:val="FootnoteReference"/>
          <w:szCs w:val="22"/>
        </w:rPr>
        <w:footnoteReference w:id="266"/>
      </w:r>
      <w:r w:rsidRPr="00435180">
        <w:rPr>
          <w:szCs w:val="22"/>
        </w:rPr>
        <w:t xml:space="preserve">  In order to bid for a block, qualified bidders must have a current eligibility level that meets or exceeds the number of bi</w:t>
      </w:r>
      <w:r w:rsidRPr="00435180">
        <w:rPr>
          <w:szCs w:val="22"/>
        </w:rPr>
        <w:t xml:space="preserve">dding units assigned to that generic block in a </w:t>
      </w:r>
      <w:r w:rsidR="00381778">
        <w:rPr>
          <w:szCs w:val="22"/>
        </w:rPr>
        <w:t>PEA</w:t>
      </w:r>
      <w:r w:rsidRPr="00435180">
        <w:rPr>
          <w:szCs w:val="22"/>
        </w:rPr>
        <w:t xml:space="preserve">.  </w:t>
      </w:r>
      <w:r w:rsidRPr="00435180">
        <w:rPr>
          <w:b/>
          <w:szCs w:val="22"/>
        </w:rPr>
        <w:t xml:space="preserve">At a minimum, therefore, an applicant’s total upfront payment must be enough to establish eligibility to bid on at least one block in one of the </w:t>
      </w:r>
      <w:r w:rsidR="006E07BB">
        <w:rPr>
          <w:b/>
          <w:szCs w:val="22"/>
        </w:rPr>
        <w:t>PEAs</w:t>
      </w:r>
      <w:r w:rsidRPr="00435180" w:rsidR="006E07BB">
        <w:rPr>
          <w:b/>
          <w:szCs w:val="22"/>
        </w:rPr>
        <w:t xml:space="preserve"> </w:t>
      </w:r>
      <w:r w:rsidRPr="00435180">
        <w:rPr>
          <w:b/>
          <w:szCs w:val="22"/>
        </w:rPr>
        <w:t>selected on its FCC Form 175 for Auction 10</w:t>
      </w:r>
      <w:r w:rsidR="00AA6A5F">
        <w:rPr>
          <w:b/>
          <w:szCs w:val="22"/>
        </w:rPr>
        <w:t>7</w:t>
      </w:r>
      <w:r w:rsidRPr="00435180">
        <w:rPr>
          <w:b/>
          <w:szCs w:val="22"/>
        </w:rPr>
        <w:t xml:space="preserve">, or else the applicant will not </w:t>
      </w:r>
      <w:r w:rsidR="006B7293">
        <w:rPr>
          <w:b/>
          <w:szCs w:val="22"/>
        </w:rPr>
        <w:t>become qualified</w:t>
      </w:r>
      <w:r w:rsidRPr="00435180">
        <w:rPr>
          <w:b/>
          <w:szCs w:val="22"/>
        </w:rPr>
        <w:t xml:space="preserve"> to participate in the auction.</w:t>
      </w:r>
      <w:r w:rsidRPr="00435180">
        <w:rPr>
          <w:szCs w:val="22"/>
        </w:rPr>
        <w:t xml:space="preserve">  The total upfront payment does not affect the total dollar amount the bidder may bid.</w:t>
      </w:r>
    </w:p>
    <w:p w:rsidR="00D6515C" w:rsidRPr="00BB1F05" w:rsidP="003C56CE" w14:paraId="76E8E5AF" w14:textId="6069ED27">
      <w:pPr>
        <w:pStyle w:val="ParaNum"/>
        <w:widowControl/>
        <w:rPr>
          <w:szCs w:val="22"/>
        </w:rPr>
      </w:pPr>
      <w:r w:rsidRPr="00B94BDA">
        <w:rPr>
          <w:szCs w:val="22"/>
        </w:rPr>
        <w:t xml:space="preserve">In the </w:t>
      </w:r>
      <w:r w:rsidRPr="00B94BDA">
        <w:rPr>
          <w:i/>
          <w:szCs w:val="22"/>
        </w:rPr>
        <w:t>Auction 10</w:t>
      </w:r>
      <w:r w:rsidR="00D14729">
        <w:rPr>
          <w:i/>
          <w:szCs w:val="22"/>
        </w:rPr>
        <w:t>7</w:t>
      </w:r>
      <w:r w:rsidRPr="00B94BDA">
        <w:rPr>
          <w:i/>
          <w:szCs w:val="22"/>
        </w:rPr>
        <w:t xml:space="preserve"> Comment Public Notice</w:t>
      </w:r>
      <w:r w:rsidRPr="00B94BDA">
        <w:rPr>
          <w:szCs w:val="22"/>
        </w:rPr>
        <w:t xml:space="preserve">, we proposed to require applicants to submit </w:t>
      </w:r>
      <w:r w:rsidRPr="00B94BDA">
        <w:t>up</w:t>
      </w:r>
      <w:r w:rsidRPr="00B94BDA">
        <w:t xml:space="preserve">front payments based on </w:t>
      </w:r>
      <w:bookmarkStart w:id="1754" w:name="_Hlk31718185"/>
      <w:r w:rsidRPr="00B94BDA">
        <w:t>$0.01</w:t>
      </w:r>
      <w:r w:rsidR="00C3664A">
        <w:t>5</w:t>
      </w:r>
      <w:r w:rsidRPr="00B94BDA">
        <w:t xml:space="preserve"> per MHz-pop</w:t>
      </w:r>
      <w:bookmarkEnd w:id="1754"/>
      <w:r w:rsidRPr="00B94BDA">
        <w:t>.</w:t>
      </w:r>
      <w:r>
        <w:rPr>
          <w:szCs w:val="22"/>
          <w:vertAlign w:val="superscript"/>
        </w:rPr>
        <w:footnoteReference w:id="267"/>
      </w:r>
      <w:r w:rsidRPr="00B94BDA">
        <w:t xml:space="preserve">  </w:t>
      </w:r>
      <w:r w:rsidR="0011731C">
        <w:rPr>
          <w:szCs w:val="22"/>
        </w:rPr>
        <w:t xml:space="preserve">U.S. </w:t>
      </w:r>
      <w:r w:rsidR="00164129">
        <w:rPr>
          <w:szCs w:val="22"/>
        </w:rPr>
        <w:t>C</w:t>
      </w:r>
      <w:r w:rsidR="0011731C">
        <w:rPr>
          <w:szCs w:val="22"/>
        </w:rPr>
        <w:t xml:space="preserve">ellular </w:t>
      </w:r>
      <w:r w:rsidR="00CA1F42">
        <w:rPr>
          <w:szCs w:val="22"/>
        </w:rPr>
        <w:t>support</w:t>
      </w:r>
      <w:r w:rsidR="00164129">
        <w:rPr>
          <w:szCs w:val="22"/>
        </w:rPr>
        <w:t>s</w:t>
      </w:r>
      <w:r w:rsidR="00CA1F42">
        <w:rPr>
          <w:szCs w:val="22"/>
        </w:rPr>
        <w:t xml:space="preserve"> this proposal,</w:t>
      </w:r>
      <w:r>
        <w:rPr>
          <w:szCs w:val="22"/>
          <w:vertAlign w:val="superscript"/>
        </w:rPr>
        <w:footnoteReference w:id="268"/>
      </w:r>
      <w:r w:rsidR="007F5D89">
        <w:rPr>
          <w:szCs w:val="22"/>
        </w:rPr>
        <w:t xml:space="preserve"> wh</w:t>
      </w:r>
      <w:r w:rsidR="00EA4138">
        <w:rPr>
          <w:szCs w:val="22"/>
        </w:rPr>
        <w:t>ereas</w:t>
      </w:r>
      <w:r w:rsidR="005B3536">
        <w:rPr>
          <w:szCs w:val="22"/>
        </w:rPr>
        <w:t xml:space="preserve"> </w:t>
      </w:r>
      <w:r w:rsidR="00E91610">
        <w:rPr>
          <w:szCs w:val="22"/>
        </w:rPr>
        <w:t xml:space="preserve">Verizon </w:t>
      </w:r>
      <w:r w:rsidR="00F76386">
        <w:rPr>
          <w:szCs w:val="22"/>
        </w:rPr>
        <w:t>argues that upfront payments should be</w:t>
      </w:r>
      <w:r w:rsidR="00452B15">
        <w:rPr>
          <w:szCs w:val="22"/>
        </w:rPr>
        <w:t xml:space="preserve"> </w:t>
      </w:r>
      <w:r w:rsidR="002E0EE1">
        <w:rPr>
          <w:szCs w:val="22"/>
        </w:rPr>
        <w:t>reduced</w:t>
      </w:r>
      <w:r w:rsidR="005914D4">
        <w:rPr>
          <w:szCs w:val="22"/>
        </w:rPr>
        <w:t xml:space="preserve"> to </w:t>
      </w:r>
      <w:r w:rsidR="0041041C">
        <w:rPr>
          <w:szCs w:val="22"/>
        </w:rPr>
        <w:t xml:space="preserve">$0.010 per MHz-pop </w:t>
      </w:r>
      <w:r w:rsidR="009D426D">
        <w:rPr>
          <w:szCs w:val="22"/>
        </w:rPr>
        <w:t xml:space="preserve">to </w:t>
      </w:r>
      <w:r w:rsidR="005914D4">
        <w:rPr>
          <w:szCs w:val="22"/>
        </w:rPr>
        <w:t>achieve parity with</w:t>
      </w:r>
      <w:r w:rsidR="00F76386">
        <w:rPr>
          <w:szCs w:val="22"/>
        </w:rPr>
        <w:t xml:space="preserve"> Auction 105</w:t>
      </w:r>
      <w:r w:rsidR="002022F5">
        <w:rPr>
          <w:szCs w:val="22"/>
        </w:rPr>
        <w:t>.</w:t>
      </w:r>
      <w:r>
        <w:rPr>
          <w:rStyle w:val="FootnoteReference"/>
          <w:szCs w:val="22"/>
        </w:rPr>
        <w:footnoteReference w:id="269"/>
      </w:r>
      <w:r w:rsidR="00250977">
        <w:rPr>
          <w:szCs w:val="22"/>
        </w:rPr>
        <w:t xml:space="preserve">  </w:t>
      </w:r>
      <w:r w:rsidR="00A179CB">
        <w:rPr>
          <w:szCs w:val="22"/>
        </w:rPr>
        <w:t>We</w:t>
      </w:r>
      <w:r w:rsidR="00A465F7">
        <w:rPr>
          <w:szCs w:val="22"/>
        </w:rPr>
        <w:t xml:space="preserve"> decline to</w:t>
      </w:r>
      <w:r w:rsidR="00955930">
        <w:rPr>
          <w:szCs w:val="22"/>
        </w:rPr>
        <w:t xml:space="preserve"> reduce upfront payment amounts for all PEAs</w:t>
      </w:r>
      <w:r w:rsidR="002314BA">
        <w:rPr>
          <w:szCs w:val="22"/>
        </w:rPr>
        <w:t>.</w:t>
      </w:r>
      <w:r w:rsidR="00910A88">
        <w:rPr>
          <w:szCs w:val="22"/>
        </w:rPr>
        <w:t xml:space="preserve"> </w:t>
      </w:r>
      <w:r w:rsidR="002314BA">
        <w:rPr>
          <w:szCs w:val="22"/>
        </w:rPr>
        <w:t xml:space="preserve"> T</w:t>
      </w:r>
      <w:r w:rsidR="00910A88">
        <w:rPr>
          <w:szCs w:val="22"/>
        </w:rPr>
        <w:t>o maintain consistency with the tiered approach to minimum opening bids we adopt below,</w:t>
      </w:r>
      <w:r>
        <w:rPr>
          <w:rStyle w:val="FootnoteReference"/>
          <w:szCs w:val="22"/>
        </w:rPr>
        <w:footnoteReference w:id="270"/>
      </w:r>
      <w:r w:rsidR="00910A88">
        <w:rPr>
          <w:szCs w:val="22"/>
        </w:rPr>
        <w:t xml:space="preserve"> </w:t>
      </w:r>
      <w:r w:rsidR="002314BA">
        <w:rPr>
          <w:szCs w:val="22"/>
        </w:rPr>
        <w:t xml:space="preserve">however, </w:t>
      </w:r>
      <w:r w:rsidR="00703C07">
        <w:rPr>
          <w:szCs w:val="22"/>
        </w:rPr>
        <w:t>w</w:t>
      </w:r>
      <w:r w:rsidR="008250D2">
        <w:rPr>
          <w:szCs w:val="22"/>
        </w:rPr>
        <w:t>e</w:t>
      </w:r>
      <w:r w:rsidR="00955930">
        <w:rPr>
          <w:szCs w:val="22"/>
        </w:rPr>
        <w:t xml:space="preserve"> </w:t>
      </w:r>
      <w:r w:rsidR="008F6818">
        <w:rPr>
          <w:szCs w:val="22"/>
        </w:rPr>
        <w:t xml:space="preserve">modify our proposal to </w:t>
      </w:r>
      <w:r w:rsidR="00955930">
        <w:rPr>
          <w:szCs w:val="22"/>
        </w:rPr>
        <w:t>adopt a tiered approach under which upfront payment amounts will vary by market population</w:t>
      </w:r>
      <w:r w:rsidR="00910A88">
        <w:rPr>
          <w:szCs w:val="22"/>
        </w:rPr>
        <w:t xml:space="preserve">.  </w:t>
      </w:r>
      <w:r w:rsidR="003A3696">
        <w:t xml:space="preserve">In setting upfront payments, as well as minimum opening bids, it is appropriate to reflect an approximation of relative value of licenses among markets.  We conclude that calculating upfront payments using the </w:t>
      </w:r>
      <w:r w:rsidR="003A3696">
        <w:t>tiers and per MHz-pop dollar amounts we adopt here is a reasonable approximation of relative value and, in this case, would better serve our goals in setting upfront payments, compared to our original proposal.  In particular, this modification is consistent with our experience in past auctions that the top PEAs by population are generally subject to the greatest level of demand and account for a substantial fraction of total auction revenues.</w:t>
      </w:r>
      <w:r>
        <w:rPr>
          <w:rStyle w:val="FootnoteReference"/>
        </w:rPr>
        <w:footnoteReference w:id="271"/>
      </w:r>
      <w:r w:rsidR="003A3696">
        <w:t xml:space="preserve">  Although we do not adopt Verizon’s proposal, we note that calculating upfront payments in this way</w:t>
      </w:r>
      <w:r w:rsidR="00BB1F05">
        <w:t xml:space="preserve"> will reduce upfront payment amounts for</w:t>
      </w:r>
      <w:r w:rsidR="003A3696">
        <w:t xml:space="preserve"> less-densely populated license areas</w:t>
      </w:r>
      <w:r w:rsidR="00BB1F05">
        <w:t>, which will likely facilitate participation by applicants interested in those areas</w:t>
      </w:r>
      <w:r w:rsidR="003A3696">
        <w:t>.</w:t>
      </w:r>
      <w:r>
        <w:rPr>
          <w:rStyle w:val="FootnoteReference"/>
        </w:rPr>
        <w:footnoteReference w:id="272"/>
      </w:r>
      <w:r w:rsidR="002314BA">
        <w:t xml:space="preserve">  Moreover, the total of the upfront payment amounts for one 20-megahertz block in all 406 PEAs available in Auction 107 is approximately two-thirds of the corresponding total of the amounts proposed in the </w:t>
      </w:r>
      <w:r w:rsidRPr="00CA4CAA" w:rsidR="002314BA">
        <w:rPr>
          <w:i/>
        </w:rPr>
        <w:t>Auction</w:t>
      </w:r>
      <w:r w:rsidR="002314BA">
        <w:rPr>
          <w:i/>
        </w:rPr>
        <w:t xml:space="preserve"> 107</w:t>
      </w:r>
      <w:r w:rsidRPr="00CA4CAA" w:rsidR="002314BA">
        <w:rPr>
          <w:i/>
        </w:rPr>
        <w:t xml:space="preserve"> Comment Public Notic</w:t>
      </w:r>
      <w:r w:rsidR="002314BA">
        <w:rPr>
          <w:i/>
        </w:rPr>
        <w:t>e</w:t>
      </w:r>
      <w:r w:rsidR="002314BA">
        <w:t>, which is roughly equivalent to Verizon’s proposal.</w:t>
      </w:r>
      <w:r w:rsidR="003A3696">
        <w:t xml:space="preserve"> </w:t>
      </w:r>
    </w:p>
    <w:p w:rsidR="003A3696" w:rsidRPr="0012413D" w:rsidP="003C56CE" w14:paraId="576617BB" w14:textId="5ABBD964">
      <w:pPr>
        <w:pStyle w:val="ParaNum"/>
        <w:widowControl/>
        <w:rPr>
          <w:szCs w:val="22"/>
        </w:rPr>
      </w:pPr>
      <w:r>
        <w:rPr>
          <w:szCs w:val="22"/>
        </w:rPr>
        <w:t xml:space="preserve">Accordingly, we adopt </w:t>
      </w:r>
      <w:r>
        <w:t xml:space="preserve">upfront payments for a generic </w:t>
      </w:r>
      <w:r>
        <w:t>block in a PEA based on $0.015 per MHz-pop for PEAs 1–50, $0.0030 per MHz-pop for PEAs 51–100, and $0.0015 per MHz-pop</w:t>
      </w:r>
      <w:r w:rsidR="00426372">
        <w:t xml:space="preserve"> for</w:t>
      </w:r>
      <w:r>
        <w:t xml:space="preserve"> </w:t>
      </w:r>
      <w:r w:rsidR="008F6818">
        <w:t xml:space="preserve">all </w:t>
      </w:r>
      <w:r>
        <w:t xml:space="preserve">other </w:t>
      </w:r>
      <w:r w:rsidR="00DF483A">
        <w:t>PEAs, subject to a minimum of $500</w:t>
      </w:r>
      <w:r w:rsidR="00DF483A">
        <w:rPr>
          <w:szCs w:val="22"/>
        </w:rPr>
        <w:t>.</w:t>
      </w:r>
      <w:r>
        <w:rPr>
          <w:rStyle w:val="FootnoteReference"/>
          <w:szCs w:val="22"/>
        </w:rPr>
        <w:footnoteReference w:id="273"/>
      </w:r>
      <w:r w:rsidR="00DF483A">
        <w:rPr>
          <w:szCs w:val="22"/>
        </w:rPr>
        <w:t xml:space="preserve">  </w:t>
      </w:r>
      <w:r w:rsidRPr="00B94BDA">
        <w:rPr>
          <w:szCs w:val="22"/>
        </w:rPr>
        <w:t xml:space="preserve">The upfront payment amount per block in each </w:t>
      </w:r>
      <w:r>
        <w:rPr>
          <w:szCs w:val="22"/>
        </w:rPr>
        <w:t>PEA</w:t>
      </w:r>
      <w:r w:rsidRPr="00B94BDA">
        <w:rPr>
          <w:szCs w:val="22"/>
        </w:rPr>
        <w:t xml:space="preserve"> is set forth in the </w:t>
      </w:r>
      <w:r w:rsidRPr="00B94BDA">
        <w:t>“Attachment A”</w:t>
      </w:r>
      <w:r w:rsidRPr="00B94BDA">
        <w:rPr>
          <w:szCs w:val="22"/>
        </w:rPr>
        <w:t xml:space="preserve"> file.  The upfront payment amounts are approximately half the minimum opening bid amounts, described in </w:t>
      </w:r>
      <w:r>
        <w:rPr>
          <w:szCs w:val="22"/>
        </w:rPr>
        <w:t>section</w:t>
      </w:r>
      <w:r w:rsidRPr="00B94BDA">
        <w:rPr>
          <w:szCs w:val="22"/>
        </w:rPr>
        <w:t xml:space="preserve"> IV.</w:t>
      </w:r>
      <w:r>
        <w:rPr>
          <w:szCs w:val="22"/>
        </w:rPr>
        <w:t>A.7.a</w:t>
      </w:r>
      <w:r w:rsidRPr="00B94BDA">
        <w:rPr>
          <w:szCs w:val="22"/>
        </w:rPr>
        <w:t>, below</w:t>
      </w:r>
      <w:r w:rsidRPr="0012413D">
        <w:rPr>
          <w:szCs w:val="22"/>
        </w:rPr>
        <w:t>.</w:t>
      </w:r>
      <w:r>
        <w:rPr>
          <w:szCs w:val="22"/>
        </w:rPr>
        <w:t xml:space="preserve">  </w:t>
      </w:r>
    </w:p>
    <w:p w:rsidR="00D6515C" w:rsidRPr="00435180" w:rsidP="00D6515C" w14:paraId="5FC0580B" w14:textId="6D74D673">
      <w:pPr>
        <w:pStyle w:val="ParaNum"/>
        <w:widowControl/>
        <w:rPr>
          <w:szCs w:val="22"/>
        </w:rPr>
      </w:pPr>
      <w:r>
        <w:rPr>
          <w:szCs w:val="22"/>
        </w:rPr>
        <w:t>W</w:t>
      </w:r>
      <w:r w:rsidRPr="00435180" w:rsidR="00777B66">
        <w:rPr>
          <w:szCs w:val="22"/>
        </w:rPr>
        <w:t>e</w:t>
      </w:r>
      <w:r>
        <w:rPr>
          <w:szCs w:val="22"/>
        </w:rPr>
        <w:t xml:space="preserve"> </w:t>
      </w:r>
      <w:r w:rsidR="00A159CE">
        <w:rPr>
          <w:szCs w:val="22"/>
        </w:rPr>
        <w:t>also</w:t>
      </w:r>
      <w:r>
        <w:rPr>
          <w:szCs w:val="22"/>
        </w:rPr>
        <w:t xml:space="preserve"> adopt our</w:t>
      </w:r>
      <w:r w:rsidRPr="00435180" w:rsidR="00777B66">
        <w:rPr>
          <w:szCs w:val="22"/>
        </w:rPr>
        <w:t xml:space="preserve"> propos</w:t>
      </w:r>
      <w:r>
        <w:rPr>
          <w:szCs w:val="22"/>
        </w:rPr>
        <w:t>al</w:t>
      </w:r>
      <w:r w:rsidRPr="00435180" w:rsidR="00777B66">
        <w:rPr>
          <w:szCs w:val="22"/>
        </w:rPr>
        <w:t xml:space="preserve"> to assign each generic block in a </w:t>
      </w:r>
      <w:r w:rsidR="00521BC1">
        <w:rPr>
          <w:szCs w:val="22"/>
        </w:rPr>
        <w:t>PEA</w:t>
      </w:r>
      <w:r w:rsidRPr="00435180" w:rsidR="00521BC1">
        <w:rPr>
          <w:szCs w:val="22"/>
        </w:rPr>
        <w:t xml:space="preserve"> </w:t>
      </w:r>
      <w:r w:rsidRPr="00435180" w:rsidR="00777B66">
        <w:rPr>
          <w:szCs w:val="22"/>
        </w:rPr>
        <w:t>a specific number of bidding units, equal to one bidding unit per $10 of the upfront payment.</w:t>
      </w:r>
      <w:r>
        <w:rPr>
          <w:rStyle w:val="FootnoteReference"/>
          <w:szCs w:val="22"/>
        </w:rPr>
        <w:footnoteReference w:id="274"/>
      </w:r>
      <w:r w:rsidRPr="00435180" w:rsidR="00777B66">
        <w:rPr>
          <w:szCs w:val="22"/>
        </w:rPr>
        <w:t xml:space="preserve">  The number of bidding units for </w:t>
      </w:r>
      <w:r w:rsidR="004106C6">
        <w:rPr>
          <w:szCs w:val="22"/>
        </w:rPr>
        <w:t>one</w:t>
      </w:r>
      <w:r w:rsidRPr="00435180" w:rsidR="00777B66">
        <w:rPr>
          <w:szCs w:val="22"/>
        </w:rPr>
        <w:t xml:space="preserve"> block in a</w:t>
      </w:r>
      <w:r w:rsidR="0094374E">
        <w:rPr>
          <w:szCs w:val="22"/>
        </w:rPr>
        <w:t xml:space="preserve"> given</w:t>
      </w:r>
      <w:r w:rsidRPr="00435180" w:rsidR="00777B66">
        <w:rPr>
          <w:szCs w:val="22"/>
        </w:rPr>
        <w:t xml:space="preserve"> </w:t>
      </w:r>
      <w:r w:rsidR="003573EE">
        <w:rPr>
          <w:szCs w:val="22"/>
        </w:rPr>
        <w:t>PEA</w:t>
      </w:r>
      <w:r w:rsidRPr="00435180" w:rsidR="003573EE">
        <w:rPr>
          <w:szCs w:val="22"/>
        </w:rPr>
        <w:t xml:space="preserve"> </w:t>
      </w:r>
      <w:r w:rsidRPr="00435180" w:rsidR="00777B66">
        <w:rPr>
          <w:szCs w:val="22"/>
        </w:rPr>
        <w:t>is fixed</w:t>
      </w:r>
      <w:r w:rsidR="008D0A16">
        <w:rPr>
          <w:szCs w:val="22"/>
        </w:rPr>
        <w:t>,</w:t>
      </w:r>
      <w:r w:rsidRPr="00435180" w:rsidR="00777B66">
        <w:rPr>
          <w:szCs w:val="22"/>
        </w:rPr>
        <w:t xml:space="preserve"> </w:t>
      </w:r>
      <w:r w:rsidRPr="00557698" w:rsidR="003F5EE3">
        <w:t>since it is based on the MHz-pops in the block and does not change during the auction as prices change.</w:t>
      </w:r>
      <w:r w:rsidRPr="00435180" w:rsidR="00777B66">
        <w:rPr>
          <w:szCs w:val="22"/>
        </w:rPr>
        <w:t xml:space="preserve">  Thus, in calculating its upfront payment amount, an applicant should determine the </w:t>
      </w:r>
      <w:r w:rsidRPr="00435180" w:rsidR="00777B66">
        <w:rPr>
          <w:b/>
          <w:szCs w:val="22"/>
        </w:rPr>
        <w:t>maximum</w:t>
      </w:r>
      <w:r w:rsidRPr="00435180" w:rsidR="00777B66">
        <w:rPr>
          <w:szCs w:val="22"/>
        </w:rPr>
        <w:t xml:space="preserve"> number of bidding units on which it may wish to bid in any single round, and submit an upfront payment amount for th</w:t>
      </w:r>
      <w:r w:rsidR="00777B66">
        <w:rPr>
          <w:szCs w:val="22"/>
        </w:rPr>
        <w:t>e</w:t>
      </w:r>
      <w:r w:rsidRPr="00435180" w:rsidR="00777B66">
        <w:rPr>
          <w:szCs w:val="22"/>
        </w:rPr>
        <w:t xml:space="preserve"> auction covering that number of bidding units.</w:t>
      </w:r>
      <w:r>
        <w:rPr>
          <w:rStyle w:val="FootnoteReference"/>
          <w:szCs w:val="22"/>
        </w:rPr>
        <w:footnoteReference w:id="275"/>
      </w:r>
      <w:r w:rsidRPr="00435180" w:rsidR="00777B66">
        <w:rPr>
          <w:szCs w:val="22"/>
        </w:rPr>
        <w:t xml:space="preserve">  In order to make this calculation, an applicant should add together the bidding units for the number of blocks in </w:t>
      </w:r>
      <w:r w:rsidR="00255F0C">
        <w:rPr>
          <w:szCs w:val="22"/>
        </w:rPr>
        <w:t>PEAs</w:t>
      </w:r>
      <w:r w:rsidRPr="00435180" w:rsidR="00777B66">
        <w:rPr>
          <w:szCs w:val="22"/>
        </w:rPr>
        <w:t xml:space="preserve"> on which it seeks to be active in any given round.  </w:t>
      </w:r>
      <w:r w:rsidRPr="00435180" w:rsidR="00777B66">
        <w:rPr>
          <w:b/>
          <w:szCs w:val="22"/>
        </w:rPr>
        <w:t xml:space="preserve">Applicants should check their calculations carefully, as there is no provision for increasing a bidder’s eligibility after the upfront payment deadline. </w:t>
      </w:r>
    </w:p>
    <w:p w:rsidR="00D6515C" w:rsidRPr="00435180" w:rsidP="00D6515C" w14:paraId="70FE865E" w14:textId="1B78284E">
      <w:pPr>
        <w:keepNext/>
        <w:spacing w:before="240" w:after="360"/>
        <w:jc w:val="center"/>
        <w:rPr>
          <w:b/>
          <w:szCs w:val="22"/>
          <w:u w:val="single"/>
        </w:rPr>
      </w:pPr>
      <w:bookmarkStart w:id="1755" w:name="_Hlk45030045"/>
      <w:r w:rsidRPr="00435180">
        <w:rPr>
          <w:b/>
          <w:szCs w:val="22"/>
          <w:u w:val="single"/>
        </w:rPr>
        <w:t>Table 1:  Upfront Payments, Bidding Eligibility, and Bidding Flexibility Example</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070"/>
        <w:gridCol w:w="3060"/>
      </w:tblGrid>
      <w:tr w14:paraId="3DF153DD" w14:textId="77777777" w:rsidTr="000F02E7">
        <w:tblPrEx>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9"/>
          <w:jc w:val="center"/>
        </w:trPr>
        <w:tc>
          <w:tcPr>
            <w:tcW w:w="3060" w:type="dxa"/>
            <w:tcBorders>
              <w:top w:val="single" w:sz="4" w:space="0" w:color="auto"/>
            </w:tcBorders>
            <w:shd w:val="pct15" w:color="000000" w:fill="FFFFFF"/>
            <w:vAlign w:val="center"/>
          </w:tcPr>
          <w:p w:rsidR="00D6515C" w:rsidRPr="00435180" w:rsidP="000F02E7" w14:paraId="6F75C552" w14:textId="143F1EE2">
            <w:pPr>
              <w:keepNext/>
              <w:widowControl/>
              <w:jc w:val="center"/>
              <w:rPr>
                <w:b/>
                <w:szCs w:val="22"/>
              </w:rPr>
            </w:pPr>
            <w:r>
              <w:rPr>
                <w:b/>
                <w:szCs w:val="22"/>
              </w:rPr>
              <w:t>PEA</w:t>
            </w:r>
          </w:p>
        </w:tc>
        <w:tc>
          <w:tcPr>
            <w:tcW w:w="2070" w:type="dxa"/>
            <w:shd w:val="pct15" w:color="000000" w:fill="FFFFFF"/>
            <w:vAlign w:val="center"/>
          </w:tcPr>
          <w:p w:rsidR="00D6515C" w:rsidRPr="00435180" w:rsidP="000F02E7" w14:paraId="141FE0B0" w14:textId="77777777">
            <w:pPr>
              <w:keepNext/>
              <w:widowControl/>
              <w:jc w:val="center"/>
              <w:rPr>
                <w:b/>
                <w:szCs w:val="22"/>
              </w:rPr>
            </w:pPr>
            <w:r w:rsidRPr="00435180">
              <w:rPr>
                <w:b/>
                <w:szCs w:val="22"/>
              </w:rPr>
              <w:t xml:space="preserve">Bidding </w:t>
            </w:r>
            <w:r w:rsidRPr="00435180">
              <w:rPr>
                <w:b/>
                <w:szCs w:val="22"/>
              </w:rPr>
              <w:t>Units</w:t>
            </w:r>
          </w:p>
        </w:tc>
        <w:tc>
          <w:tcPr>
            <w:tcW w:w="3060" w:type="dxa"/>
            <w:shd w:val="pct15" w:color="000000" w:fill="FFFFFF"/>
            <w:vAlign w:val="center"/>
          </w:tcPr>
          <w:p w:rsidR="00D6515C" w:rsidRPr="00435180" w:rsidP="000F02E7" w14:paraId="25FB8A31" w14:textId="77777777">
            <w:pPr>
              <w:keepNext/>
              <w:widowControl/>
              <w:jc w:val="center"/>
              <w:rPr>
                <w:b/>
                <w:szCs w:val="22"/>
              </w:rPr>
            </w:pPr>
            <w:r w:rsidRPr="00435180">
              <w:rPr>
                <w:b/>
                <w:szCs w:val="22"/>
              </w:rPr>
              <w:t>Upfront Payment</w:t>
            </w:r>
          </w:p>
        </w:tc>
      </w:tr>
      <w:tr w14:paraId="056319B3" w14:textId="77777777" w:rsidTr="000F02E7">
        <w:tblPrEx>
          <w:tblW w:w="8190" w:type="dxa"/>
          <w:jc w:val="center"/>
          <w:tblLayout w:type="fixed"/>
          <w:tblLook w:val="0000"/>
        </w:tblPrEx>
        <w:trPr>
          <w:cantSplit/>
          <w:trHeight w:val="350"/>
          <w:jc w:val="center"/>
        </w:trPr>
        <w:tc>
          <w:tcPr>
            <w:tcW w:w="3060" w:type="dxa"/>
            <w:tcBorders>
              <w:top w:val="single" w:sz="4" w:space="0" w:color="auto"/>
            </w:tcBorders>
            <w:vAlign w:val="center"/>
          </w:tcPr>
          <w:p w:rsidR="00DF483A" w:rsidRPr="00435180" w:rsidP="00DF483A" w14:paraId="6E2B2BDC" w14:textId="585C83F1">
            <w:pPr>
              <w:keepNext/>
              <w:widowControl/>
              <w:jc w:val="center"/>
              <w:rPr>
                <w:szCs w:val="22"/>
              </w:rPr>
            </w:pPr>
            <w:r>
              <w:rPr>
                <w:szCs w:val="22"/>
              </w:rPr>
              <w:t>PEA058 — Bloomington, IN</w:t>
            </w:r>
          </w:p>
        </w:tc>
        <w:tc>
          <w:tcPr>
            <w:tcW w:w="2070" w:type="dxa"/>
            <w:tcMar>
              <w:left w:w="115" w:type="dxa"/>
              <w:right w:w="302" w:type="dxa"/>
            </w:tcMar>
            <w:vAlign w:val="center"/>
          </w:tcPr>
          <w:p w:rsidR="00DF483A" w:rsidRPr="00435180" w:rsidP="00DF483A" w14:paraId="093E8A51" w14:textId="703EA9A9">
            <w:pPr>
              <w:keepNext/>
              <w:widowControl/>
              <w:ind w:right="522"/>
              <w:jc w:val="right"/>
              <w:rPr>
                <w:szCs w:val="22"/>
              </w:rPr>
            </w:pPr>
            <w:r>
              <w:rPr>
                <w:szCs w:val="22"/>
              </w:rPr>
              <w:t>6,400</w:t>
            </w:r>
          </w:p>
        </w:tc>
        <w:tc>
          <w:tcPr>
            <w:tcW w:w="3060" w:type="dxa"/>
            <w:tcMar>
              <w:left w:w="115" w:type="dxa"/>
              <w:right w:w="576" w:type="dxa"/>
            </w:tcMar>
            <w:vAlign w:val="center"/>
          </w:tcPr>
          <w:p w:rsidR="00DF483A" w:rsidRPr="00435180" w:rsidP="00DF483A" w14:paraId="3F4CEE69" w14:textId="2EFFB4ED">
            <w:pPr>
              <w:keepNext/>
              <w:widowControl/>
              <w:ind w:right="522"/>
              <w:jc w:val="right"/>
              <w:rPr>
                <w:b/>
                <w:szCs w:val="22"/>
              </w:rPr>
            </w:pPr>
            <w:r w:rsidRPr="00351AD8">
              <w:rPr>
                <w:bCs/>
                <w:szCs w:val="22"/>
              </w:rPr>
              <w:t>$64,000</w:t>
            </w:r>
          </w:p>
        </w:tc>
      </w:tr>
      <w:tr w14:paraId="3A7D6FF6" w14:textId="77777777" w:rsidTr="000F02E7">
        <w:tblPrEx>
          <w:tblW w:w="8190" w:type="dxa"/>
          <w:jc w:val="center"/>
          <w:tblLayout w:type="fixed"/>
          <w:tblLook w:val="0000"/>
        </w:tblPrEx>
        <w:trPr>
          <w:cantSplit/>
          <w:trHeight w:val="350"/>
          <w:jc w:val="center"/>
        </w:trPr>
        <w:tc>
          <w:tcPr>
            <w:tcW w:w="3060" w:type="dxa"/>
            <w:tcBorders>
              <w:top w:val="single" w:sz="4" w:space="0" w:color="auto"/>
            </w:tcBorders>
            <w:vAlign w:val="center"/>
          </w:tcPr>
          <w:p w:rsidR="00DF483A" w:rsidRPr="00435180" w:rsidP="00DF483A" w14:paraId="45DD9C8D" w14:textId="22CCBDBE">
            <w:pPr>
              <w:keepNext/>
              <w:widowControl/>
              <w:jc w:val="center"/>
              <w:rPr>
                <w:szCs w:val="22"/>
              </w:rPr>
            </w:pPr>
            <w:r>
              <w:rPr>
                <w:szCs w:val="22"/>
              </w:rPr>
              <w:t>PEA064 — South Bend, IN</w:t>
            </w:r>
          </w:p>
        </w:tc>
        <w:tc>
          <w:tcPr>
            <w:tcW w:w="2070" w:type="dxa"/>
            <w:tcMar>
              <w:left w:w="115" w:type="dxa"/>
              <w:right w:w="302" w:type="dxa"/>
            </w:tcMar>
            <w:vAlign w:val="center"/>
          </w:tcPr>
          <w:p w:rsidR="00DF483A" w:rsidRPr="00435180" w:rsidP="00DF483A" w14:paraId="61CBB3B9" w14:textId="2397ED1B">
            <w:pPr>
              <w:keepNext/>
              <w:widowControl/>
              <w:ind w:right="522"/>
              <w:jc w:val="right"/>
              <w:rPr>
                <w:szCs w:val="22"/>
              </w:rPr>
            </w:pPr>
            <w:r>
              <w:rPr>
                <w:szCs w:val="22"/>
              </w:rPr>
              <w:t>5,700</w:t>
            </w:r>
          </w:p>
        </w:tc>
        <w:tc>
          <w:tcPr>
            <w:tcW w:w="3060" w:type="dxa"/>
            <w:tcMar>
              <w:left w:w="115" w:type="dxa"/>
              <w:right w:w="576" w:type="dxa"/>
            </w:tcMar>
            <w:vAlign w:val="center"/>
          </w:tcPr>
          <w:p w:rsidR="00DF483A" w:rsidRPr="00435180" w:rsidP="00DF483A" w14:paraId="5EBAACA0" w14:textId="166FD870">
            <w:pPr>
              <w:keepNext/>
              <w:widowControl/>
              <w:ind w:right="522"/>
              <w:jc w:val="right"/>
              <w:rPr>
                <w:szCs w:val="22"/>
              </w:rPr>
            </w:pPr>
            <w:r w:rsidRPr="00EC23AC">
              <w:rPr>
                <w:bCs/>
                <w:szCs w:val="22"/>
              </w:rPr>
              <w:t>$</w:t>
            </w:r>
            <w:r>
              <w:rPr>
                <w:bCs/>
                <w:szCs w:val="22"/>
              </w:rPr>
              <w:t>57</w:t>
            </w:r>
            <w:r w:rsidRPr="00EC23AC">
              <w:rPr>
                <w:bCs/>
                <w:szCs w:val="22"/>
              </w:rPr>
              <w:t>,000</w:t>
            </w:r>
          </w:p>
        </w:tc>
      </w:tr>
      <w:tr w14:paraId="31FD501F" w14:textId="77777777" w:rsidTr="000F02E7">
        <w:tblPrEx>
          <w:tblW w:w="8190" w:type="dxa"/>
          <w:jc w:val="center"/>
          <w:tblLayout w:type="fixed"/>
          <w:tblLook w:val="0000"/>
        </w:tblPrEx>
        <w:trPr>
          <w:cantSplit/>
          <w:trHeight w:val="1817"/>
          <w:jc w:val="center"/>
        </w:trPr>
        <w:tc>
          <w:tcPr>
            <w:tcW w:w="8190" w:type="dxa"/>
            <w:gridSpan w:val="3"/>
            <w:tcBorders>
              <w:top w:val="single" w:sz="4" w:space="0" w:color="auto"/>
            </w:tcBorders>
          </w:tcPr>
          <w:p w:rsidR="00DF483A" w:rsidRPr="00435180" w:rsidP="00DF483A" w14:paraId="793CF12D" w14:textId="6E163029">
            <w:pPr>
              <w:keepNext/>
              <w:widowControl/>
              <w:spacing w:after="120"/>
              <w:rPr>
                <w:szCs w:val="22"/>
              </w:rPr>
            </w:pPr>
            <w:r w:rsidRPr="00435180">
              <w:rPr>
                <w:szCs w:val="22"/>
              </w:rPr>
              <w:t xml:space="preserve">If a bidder wishes to bid on one block in both of the above </w:t>
            </w:r>
            <w:r>
              <w:rPr>
                <w:szCs w:val="22"/>
              </w:rPr>
              <w:t>PEAs</w:t>
            </w:r>
            <w:r w:rsidRPr="00435180">
              <w:rPr>
                <w:szCs w:val="22"/>
              </w:rPr>
              <w:t xml:space="preserve"> in a round, it must have selected both </w:t>
            </w:r>
            <w:r>
              <w:rPr>
                <w:szCs w:val="22"/>
              </w:rPr>
              <w:t>PEAs</w:t>
            </w:r>
            <w:r w:rsidRPr="00435180">
              <w:rPr>
                <w:szCs w:val="22"/>
              </w:rPr>
              <w:t xml:space="preserve"> on its FCC Form 175 and purchased at least</w:t>
            </w:r>
            <w:r>
              <w:rPr>
                <w:szCs w:val="22"/>
              </w:rPr>
              <w:t xml:space="preserve"> 12,100</w:t>
            </w:r>
            <w:r w:rsidRPr="00435180">
              <w:rPr>
                <w:szCs w:val="22"/>
              </w:rPr>
              <w:t xml:space="preserve"> bidding units (</w:t>
            </w:r>
            <w:r>
              <w:rPr>
                <w:szCs w:val="22"/>
              </w:rPr>
              <w:t>6,400 + 5,700</w:t>
            </w:r>
            <w:r w:rsidRPr="00435180">
              <w:rPr>
                <w:szCs w:val="22"/>
              </w:rPr>
              <w:t>) of bidding eligibility.  If a bidder only wishes to bid on a block in one</w:t>
            </w:r>
            <w:r>
              <w:rPr>
                <w:szCs w:val="22"/>
              </w:rPr>
              <w:t xml:space="preserve"> of these PEAs</w:t>
            </w:r>
            <w:r w:rsidRPr="00435180">
              <w:rPr>
                <w:szCs w:val="22"/>
              </w:rPr>
              <w:t xml:space="preserve">, but not both, purchasing </w:t>
            </w:r>
            <w:r>
              <w:rPr>
                <w:szCs w:val="22"/>
              </w:rPr>
              <w:t>6,400</w:t>
            </w:r>
            <w:r w:rsidRPr="00435180">
              <w:rPr>
                <w:szCs w:val="22"/>
              </w:rPr>
              <w:t xml:space="preserve"> bidding units would meet the eligibility requirement fo</w:t>
            </w:r>
            <w:r w:rsidRPr="00435180">
              <w:rPr>
                <w:szCs w:val="22"/>
              </w:rPr>
              <w:t xml:space="preserve">r a block in either </w:t>
            </w:r>
            <w:r>
              <w:rPr>
                <w:szCs w:val="22"/>
              </w:rPr>
              <w:t>PEA</w:t>
            </w:r>
            <w:r w:rsidRPr="00435180">
              <w:rPr>
                <w:szCs w:val="22"/>
              </w:rPr>
              <w:t xml:space="preserve">.  The bidder would be able to bid on a block in either </w:t>
            </w:r>
            <w:r>
              <w:rPr>
                <w:szCs w:val="22"/>
              </w:rPr>
              <w:t>PEA</w:t>
            </w:r>
            <w:r w:rsidRPr="00435180">
              <w:rPr>
                <w:szCs w:val="22"/>
              </w:rPr>
              <w:t xml:space="preserve">, but not both at the same time.  If the bidder purchased only </w:t>
            </w:r>
            <w:r>
              <w:rPr>
                <w:szCs w:val="22"/>
              </w:rPr>
              <w:t>5,700</w:t>
            </w:r>
            <w:r w:rsidRPr="00435180">
              <w:rPr>
                <w:szCs w:val="22"/>
              </w:rPr>
              <w:t xml:space="preserve"> bidding units, the bidder would have enough eligibility to bid for a block in </w:t>
            </w:r>
            <w:r>
              <w:rPr>
                <w:szCs w:val="22"/>
              </w:rPr>
              <w:t xml:space="preserve">PEA064 </w:t>
            </w:r>
            <w:r w:rsidRPr="00435180">
              <w:rPr>
                <w:szCs w:val="22"/>
              </w:rPr>
              <w:t xml:space="preserve">but not for one in </w:t>
            </w:r>
            <w:r>
              <w:rPr>
                <w:szCs w:val="22"/>
              </w:rPr>
              <w:t>P</w:t>
            </w:r>
            <w:r>
              <w:rPr>
                <w:szCs w:val="22"/>
              </w:rPr>
              <w:t>EA058</w:t>
            </w:r>
            <w:r w:rsidRPr="00435180">
              <w:rPr>
                <w:szCs w:val="22"/>
              </w:rPr>
              <w:t xml:space="preserve">.  </w:t>
            </w:r>
          </w:p>
        </w:tc>
      </w:tr>
    </w:tbl>
    <w:bookmarkEnd w:id="1755"/>
    <w:p w:rsidR="00C134DA" w:rsidRPr="006765C4" w:rsidP="008C214D" w14:paraId="5BA53CA7" w14:textId="4C37401F">
      <w:pPr>
        <w:pStyle w:val="ParaNum"/>
        <w:widowControl/>
        <w:spacing w:before="100" w:beforeAutospacing="1"/>
      </w:pPr>
      <w:r w:rsidRPr="000C0736">
        <w:rPr>
          <w:szCs w:val="22"/>
        </w:rPr>
        <w:t xml:space="preserve">If an applicant is a former defaulter, it must calculate its upfront payment for </w:t>
      </w:r>
      <w:r w:rsidRPr="000C0736" w:rsidR="00564005">
        <w:rPr>
          <w:szCs w:val="22"/>
        </w:rPr>
        <w:t xml:space="preserve">the maximum amount </w:t>
      </w:r>
      <w:r w:rsidRPr="000C0736">
        <w:rPr>
          <w:szCs w:val="22"/>
        </w:rPr>
        <w:t xml:space="preserve">of generic blocks in </w:t>
      </w:r>
      <w:r w:rsidRPr="000C0736" w:rsidR="00041852">
        <w:rPr>
          <w:szCs w:val="22"/>
        </w:rPr>
        <w:t xml:space="preserve">each </w:t>
      </w:r>
      <w:r w:rsidR="005D4B42">
        <w:rPr>
          <w:szCs w:val="22"/>
        </w:rPr>
        <w:t>PEA</w:t>
      </w:r>
      <w:r w:rsidRPr="000C0736" w:rsidR="005D4B42">
        <w:rPr>
          <w:szCs w:val="22"/>
        </w:rPr>
        <w:t xml:space="preserve"> </w:t>
      </w:r>
      <w:r w:rsidRPr="000C0736" w:rsidR="001D1442">
        <w:rPr>
          <w:szCs w:val="22"/>
        </w:rPr>
        <w:t>on which it plans to bid</w:t>
      </w:r>
      <w:r w:rsidRPr="000C0736">
        <w:rPr>
          <w:szCs w:val="22"/>
        </w:rPr>
        <w:t xml:space="preserve"> by multiplying the number of bidding units on which it wishes to be active by 1.5.</w:t>
      </w:r>
      <w:r>
        <w:rPr>
          <w:rStyle w:val="FootnoteReference"/>
          <w:szCs w:val="22"/>
        </w:rPr>
        <w:footnoteReference w:id="276"/>
      </w:r>
      <w:r w:rsidRPr="000C0736">
        <w:rPr>
          <w:szCs w:val="22"/>
        </w:rPr>
        <w:t xml:space="preserve">  In order to calculate the number of bidding units to assign to former defaulters, the </w:t>
      </w:r>
      <w:r w:rsidRPr="000C0736" w:rsidR="008139CD">
        <w:rPr>
          <w:szCs w:val="22"/>
        </w:rPr>
        <w:t xml:space="preserve">Commission will </w:t>
      </w:r>
      <w:r w:rsidR="008139CD">
        <w:rPr>
          <w:szCs w:val="22"/>
        </w:rPr>
        <w:t xml:space="preserve">calculate the number of bidding units a non-former defaulter would get for </w:t>
      </w:r>
      <w:r w:rsidRPr="000C0736" w:rsidR="008139CD">
        <w:rPr>
          <w:szCs w:val="22"/>
        </w:rPr>
        <w:t>the upfront payment received</w:t>
      </w:r>
      <w:r w:rsidR="008139CD">
        <w:rPr>
          <w:szCs w:val="22"/>
        </w:rPr>
        <w:t>, divide that</w:t>
      </w:r>
      <w:r w:rsidRPr="000C0736" w:rsidR="008139CD">
        <w:rPr>
          <w:szCs w:val="22"/>
        </w:rPr>
        <w:t xml:space="preserve"> </w:t>
      </w:r>
      <w:r w:rsidR="008139CD">
        <w:rPr>
          <w:szCs w:val="22"/>
        </w:rPr>
        <w:t>number</w:t>
      </w:r>
      <w:r w:rsidRPr="000C0736" w:rsidR="008139CD">
        <w:rPr>
          <w:szCs w:val="22"/>
        </w:rPr>
        <w:t xml:space="preserve"> by 1.5</w:t>
      </w:r>
      <w:r w:rsidR="008139CD">
        <w:rPr>
          <w:szCs w:val="22"/>
        </w:rPr>
        <w:t>,</w:t>
      </w:r>
      <w:r w:rsidRPr="000C0736" w:rsidR="008139CD">
        <w:rPr>
          <w:szCs w:val="22"/>
        </w:rPr>
        <w:t xml:space="preserve"> and round </w:t>
      </w:r>
      <w:r w:rsidRPr="000C0736">
        <w:rPr>
          <w:szCs w:val="22"/>
        </w:rPr>
        <w:t>the result up to the nearest bidding unit.</w:t>
      </w:r>
      <w:r>
        <w:rPr>
          <w:rStyle w:val="FootnoteReference"/>
          <w:szCs w:val="22"/>
        </w:rPr>
        <w:footnoteReference w:id="277"/>
      </w:r>
    </w:p>
    <w:p w:rsidR="00D6515C" w:rsidRPr="00435180" w:rsidP="000C230C" w14:paraId="7C7632E8" w14:textId="15DD36DC">
      <w:pPr>
        <w:pStyle w:val="Heading2"/>
      </w:pPr>
      <w:bookmarkStart w:id="1756" w:name="_Toc6383499"/>
      <w:bookmarkStart w:id="1757" w:name="_Toc7525825"/>
      <w:bookmarkStart w:id="1758" w:name="_Toc8657180"/>
      <w:bookmarkStart w:id="1759" w:name="_Toc9410706"/>
      <w:bookmarkStart w:id="1760" w:name="_Toc9430112"/>
      <w:bookmarkStart w:id="1761" w:name="_Toc10116874"/>
      <w:bookmarkStart w:id="1762" w:name="_Toc10646180"/>
      <w:bookmarkStart w:id="1763" w:name="_Toc11156584"/>
      <w:bookmarkStart w:id="1764" w:name="_Toc11244328"/>
      <w:bookmarkStart w:id="1765" w:name="_Toc11653584"/>
      <w:bookmarkStart w:id="1766" w:name="_Toc11678163"/>
      <w:bookmarkStart w:id="1767" w:name="_Toc13654750"/>
      <w:bookmarkStart w:id="1768" w:name="_Toc24459470"/>
      <w:bookmarkStart w:id="1769" w:name="_Toc24459567"/>
      <w:bookmarkStart w:id="1770" w:name="_Toc25926841"/>
      <w:bookmarkStart w:id="1771" w:name="_Toc25926959"/>
      <w:bookmarkStart w:id="1772" w:name="_Toc27039022"/>
      <w:bookmarkStart w:id="1773" w:name="_Toc29813166"/>
      <w:bookmarkStart w:id="1774" w:name="_Toc29886891"/>
      <w:bookmarkStart w:id="1775" w:name="_Toc29999495"/>
      <w:bookmarkStart w:id="1776" w:name="_Toc30699421"/>
      <w:bookmarkStart w:id="1777" w:name="_Toc30701501"/>
      <w:bookmarkStart w:id="1778" w:name="_Toc31189322"/>
      <w:bookmarkStart w:id="1779" w:name="_Toc31189776"/>
      <w:bookmarkStart w:id="1780" w:name="_Toc31193143"/>
      <w:bookmarkStart w:id="1781" w:name="_Toc31195891"/>
      <w:bookmarkStart w:id="1782" w:name="_Toc31200015"/>
      <w:bookmarkStart w:id="1783" w:name="_Toc31713782"/>
      <w:bookmarkStart w:id="1784" w:name="_Toc31822691"/>
      <w:bookmarkStart w:id="1785" w:name="_Toc33629848"/>
      <w:bookmarkStart w:id="1786" w:name="_Toc33696700"/>
      <w:bookmarkStart w:id="1787" w:name="_Toc25926263"/>
      <w:r w:rsidRPr="00435180">
        <w:t>Auction Registration</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r w:rsidR="0005773F">
        <w:t xml:space="preserve"> </w:t>
      </w:r>
      <w:bookmarkEnd w:id="1787"/>
      <w:r w:rsidRPr="00435180">
        <w:tab/>
      </w:r>
    </w:p>
    <w:p w:rsidR="00D6515C" w:rsidRPr="00435180" w:rsidP="003C56CE" w14:paraId="5D8BF9B9" w14:textId="20F38C0B">
      <w:pPr>
        <w:pStyle w:val="ParaNum"/>
        <w:widowControl/>
        <w:rPr>
          <w:szCs w:val="22"/>
        </w:rPr>
      </w:pPr>
      <w:r w:rsidRPr="00435180">
        <w:rPr>
          <w:szCs w:val="22"/>
        </w:rPr>
        <w:t>All qualified bidders for Auction 10</w:t>
      </w:r>
      <w:r w:rsidR="00041DE1">
        <w:rPr>
          <w:szCs w:val="22"/>
        </w:rPr>
        <w:t>7</w:t>
      </w:r>
      <w:r w:rsidRPr="00435180">
        <w:rPr>
          <w:szCs w:val="22"/>
        </w:rPr>
        <w:t xml:space="preserve"> are automatically registered for the auction.  Registration materials will </w:t>
      </w:r>
      <w:r w:rsidRPr="00435180">
        <w:rPr>
          <w:szCs w:val="22"/>
        </w:rPr>
        <w:t xml:space="preserve">be distributed prior to the auction by </w:t>
      </w:r>
      <w:r w:rsidRPr="00907334" w:rsidR="00451888">
        <w:t>overnight delivery</w:t>
      </w:r>
      <w:r w:rsidRPr="00435180">
        <w:rPr>
          <w:szCs w:val="22"/>
        </w:rPr>
        <w:t>.  The mailing will be sent only to the contact person at the contact address listed in the FCC Form 175 and will include the SecurID</w:t>
      </w:r>
      <w:r w:rsidRPr="00435180">
        <w:rPr>
          <w:szCs w:val="22"/>
          <w:vertAlign w:val="superscript"/>
        </w:rPr>
        <w:t>®</w:t>
      </w:r>
      <w:r w:rsidRPr="00435180">
        <w:rPr>
          <w:szCs w:val="22"/>
        </w:rPr>
        <w:t xml:space="preserve"> tokens that will be required to place bids.</w:t>
      </w:r>
    </w:p>
    <w:p w:rsidR="00D6515C" w:rsidRPr="00435180" w:rsidP="003C56CE" w14:paraId="5DF80965" w14:textId="36AC96E9">
      <w:pPr>
        <w:pStyle w:val="ParaNum"/>
        <w:widowControl/>
        <w:rPr>
          <w:szCs w:val="22"/>
        </w:rPr>
      </w:pPr>
      <w:r w:rsidRPr="00435180">
        <w:rPr>
          <w:szCs w:val="22"/>
        </w:rPr>
        <w:t>Qualified bidders th</w:t>
      </w:r>
      <w:r w:rsidRPr="00435180">
        <w:rPr>
          <w:szCs w:val="22"/>
        </w:rPr>
        <w:t>at do not receive this registration mailing will not be able to submit bids.  Therefore, any qualified bidder for Auction 10</w:t>
      </w:r>
      <w:r w:rsidR="004D66FB">
        <w:rPr>
          <w:szCs w:val="22"/>
        </w:rPr>
        <w:t>7</w:t>
      </w:r>
      <w:r w:rsidRPr="00435180">
        <w:rPr>
          <w:szCs w:val="22"/>
        </w:rPr>
        <w:t xml:space="preserve"> that has not received this mailing by </w:t>
      </w:r>
      <w:r w:rsidRPr="00435180" w:rsidR="0095150A">
        <w:t xml:space="preserve">noon on </w:t>
      </w:r>
      <w:r w:rsidR="0095150A">
        <w:t>November 25</w:t>
      </w:r>
      <w:r w:rsidRPr="00B371C6" w:rsidR="0095150A">
        <w:t>, 2020</w:t>
      </w:r>
      <w:r w:rsidRPr="00435180">
        <w:rPr>
          <w:szCs w:val="22"/>
        </w:rPr>
        <w:t xml:space="preserve">, should call the Auctions Hotline at (717) 338-2868.  </w:t>
      </w:r>
      <w:r w:rsidRPr="00435180">
        <w:rPr>
          <w:szCs w:val="22"/>
        </w:rPr>
        <w:t>Receipt of this registration mailing is critical to participating in the auction, and each applicant is responsible for ensuring it has received all the registration materials.</w:t>
      </w:r>
    </w:p>
    <w:p w:rsidR="00D6515C" w:rsidRPr="00435180" w:rsidP="00D6515C" w14:paraId="0F8D43B5" w14:textId="178B20A4">
      <w:pPr>
        <w:pStyle w:val="ParaNum"/>
        <w:widowControl/>
        <w:rPr>
          <w:szCs w:val="22"/>
        </w:rPr>
      </w:pPr>
      <w:r w:rsidRPr="00435180">
        <w:rPr>
          <w:szCs w:val="22"/>
        </w:rPr>
        <w:t xml:space="preserve">In the event that </w:t>
      </w:r>
      <w:r w:rsidR="00DE49C1">
        <w:rPr>
          <w:szCs w:val="22"/>
        </w:rPr>
        <w:t xml:space="preserve">a </w:t>
      </w:r>
      <w:r w:rsidRPr="00435180">
        <w:rPr>
          <w:szCs w:val="22"/>
        </w:rPr>
        <w:t>SecurID</w:t>
      </w:r>
      <w:r w:rsidRPr="00435180">
        <w:rPr>
          <w:szCs w:val="22"/>
          <w:vertAlign w:val="superscript"/>
        </w:rPr>
        <w:t>®</w:t>
      </w:r>
      <w:r w:rsidRPr="00435180">
        <w:rPr>
          <w:szCs w:val="22"/>
        </w:rPr>
        <w:t xml:space="preserve"> token</w:t>
      </w:r>
      <w:r w:rsidR="00DE49C1">
        <w:rPr>
          <w:szCs w:val="22"/>
        </w:rPr>
        <w:t xml:space="preserve"> is </w:t>
      </w:r>
      <w:r w:rsidRPr="00435180">
        <w:rPr>
          <w:szCs w:val="22"/>
        </w:rPr>
        <w:t>lost or damaged, only a person who has be</w:t>
      </w:r>
      <w:r w:rsidRPr="00435180">
        <w:rPr>
          <w:szCs w:val="22"/>
        </w:rPr>
        <w:t xml:space="preserve">en designated as an authorized bidder, the contact person, or the certifying official on the applicant’s short-form application may request </w:t>
      </w:r>
      <w:r w:rsidR="00DE49C1">
        <w:rPr>
          <w:szCs w:val="22"/>
        </w:rPr>
        <w:t xml:space="preserve">a </w:t>
      </w:r>
      <w:r w:rsidRPr="00435180">
        <w:rPr>
          <w:szCs w:val="22"/>
        </w:rPr>
        <w:t xml:space="preserve">replacement.  To request </w:t>
      </w:r>
      <w:r w:rsidR="00DE49C1">
        <w:rPr>
          <w:szCs w:val="22"/>
        </w:rPr>
        <w:t xml:space="preserve">a </w:t>
      </w:r>
      <w:r w:rsidRPr="00435180">
        <w:rPr>
          <w:szCs w:val="22"/>
        </w:rPr>
        <w:t>replacement, call the Auction Bidder Line at the telephone number provided in the regis</w:t>
      </w:r>
      <w:r w:rsidRPr="00435180">
        <w:rPr>
          <w:szCs w:val="22"/>
        </w:rPr>
        <w:t>tration materials or the Auction Hotline at (717) 338-2868.</w:t>
      </w:r>
    </w:p>
    <w:p w:rsidR="00D6515C" w:rsidRPr="00435180" w:rsidP="000C230C" w14:paraId="396B2C54" w14:textId="3CB92C77">
      <w:pPr>
        <w:pStyle w:val="Heading2"/>
      </w:pPr>
      <w:bookmarkStart w:id="1788" w:name="_Toc6383500"/>
      <w:bookmarkStart w:id="1789" w:name="_Toc7525826"/>
      <w:bookmarkStart w:id="1790" w:name="_Toc8657181"/>
      <w:bookmarkStart w:id="1791" w:name="_Toc9410707"/>
      <w:bookmarkStart w:id="1792" w:name="_Toc9430113"/>
      <w:bookmarkStart w:id="1793" w:name="_Toc10116875"/>
      <w:bookmarkStart w:id="1794" w:name="_Toc10646181"/>
      <w:bookmarkStart w:id="1795" w:name="_Toc11156585"/>
      <w:bookmarkStart w:id="1796" w:name="_Toc11244329"/>
      <w:bookmarkStart w:id="1797" w:name="_Toc11653585"/>
      <w:bookmarkStart w:id="1798" w:name="_Toc11678164"/>
      <w:bookmarkStart w:id="1799" w:name="_Toc13654751"/>
      <w:bookmarkStart w:id="1800" w:name="_Toc24459471"/>
      <w:bookmarkStart w:id="1801" w:name="_Toc24459568"/>
      <w:bookmarkStart w:id="1802" w:name="_Toc25926265"/>
      <w:bookmarkStart w:id="1803" w:name="_Toc25926843"/>
      <w:bookmarkStart w:id="1804" w:name="_Toc25926961"/>
      <w:bookmarkStart w:id="1805" w:name="_Toc27039024"/>
      <w:bookmarkStart w:id="1806" w:name="_Toc29813167"/>
      <w:bookmarkStart w:id="1807" w:name="_Toc29886892"/>
      <w:bookmarkStart w:id="1808" w:name="_Toc29999496"/>
      <w:bookmarkStart w:id="1809" w:name="_Toc30699422"/>
      <w:bookmarkStart w:id="1810" w:name="_Toc30701502"/>
      <w:bookmarkStart w:id="1811" w:name="_Toc31189323"/>
      <w:bookmarkStart w:id="1812" w:name="_Toc31189777"/>
      <w:bookmarkStart w:id="1813" w:name="_Toc31193144"/>
      <w:bookmarkStart w:id="1814" w:name="_Toc31195892"/>
      <w:bookmarkStart w:id="1815" w:name="_Toc31200016"/>
      <w:bookmarkStart w:id="1816" w:name="_Toc31713783"/>
      <w:bookmarkStart w:id="1817" w:name="_Toc31822692"/>
      <w:bookmarkStart w:id="1818" w:name="_Toc33629849"/>
      <w:bookmarkStart w:id="1819" w:name="_Toc33696701"/>
      <w:r>
        <w:t xml:space="preserve">Remote </w:t>
      </w:r>
      <w:r w:rsidR="00F541EA">
        <w:t xml:space="preserve">Electronic </w:t>
      </w:r>
      <w:r>
        <w:t xml:space="preserve">Bidding via the </w:t>
      </w:r>
      <w:r w:rsidRPr="00435180" w:rsidR="00777B66">
        <w:t>FCC Auction Bidding System</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rsidR="00335C6D" w:rsidP="00B10B5C" w14:paraId="556C25A6" w14:textId="56AFD090">
      <w:pPr>
        <w:pStyle w:val="ParaNum"/>
        <w:widowControl/>
        <w:rPr>
          <w:szCs w:val="22"/>
        </w:rPr>
      </w:pPr>
      <w:r w:rsidRPr="00435180">
        <w:rPr>
          <w:szCs w:val="22"/>
        </w:rPr>
        <w:t>Bidders will be able to participate in Auction 10</w:t>
      </w:r>
      <w:r w:rsidR="005E0090">
        <w:rPr>
          <w:szCs w:val="22"/>
        </w:rPr>
        <w:t>7</w:t>
      </w:r>
      <w:r w:rsidRPr="00435180">
        <w:rPr>
          <w:szCs w:val="22"/>
        </w:rPr>
        <w:t xml:space="preserve"> over the Internet using the FCC Auction Bidding System (bidding system).  </w:t>
      </w:r>
      <w:r w:rsidRPr="00435180" w:rsidR="00E559C8">
        <w:rPr>
          <w:szCs w:val="22"/>
        </w:rPr>
        <w:t xml:space="preserve">In addition, bidders will have the option of placing bids by telephone through a dedicated auction bidder line.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w:t>
      </w:r>
      <w:r w:rsidR="00E559C8">
        <w:rPr>
          <w:szCs w:val="22"/>
        </w:rPr>
        <w:t>10</w:t>
      </w:r>
      <w:r w:rsidRPr="00435180" w:rsidR="00E559C8">
        <w:rPr>
          <w:szCs w:val="22"/>
        </w:rPr>
        <w:t xml:space="preserve"> minutes.  The toll-free telephone number for the auction bidder line will be provided to qualified bidders prior to the start of bidding in the auction.</w:t>
      </w:r>
    </w:p>
    <w:p w:rsidR="00D6515C" w:rsidRPr="00B10B5C" w:rsidP="00B10B5C" w14:paraId="5F90677C" w14:textId="317B5829">
      <w:pPr>
        <w:pStyle w:val="ParaNum"/>
        <w:widowControl/>
        <w:rPr>
          <w:szCs w:val="22"/>
        </w:rPr>
      </w:pPr>
      <w:r>
        <w:rPr>
          <w:szCs w:val="22"/>
        </w:rPr>
        <w:t>O</w:t>
      </w:r>
      <w:r w:rsidRPr="00B10B5C" w:rsidR="00777B66">
        <w:rPr>
          <w:szCs w:val="22"/>
        </w:rPr>
        <w:t>nly qualified bidders are permitted to bid.  Each authorized bidder must have his or her own SecurID</w:t>
      </w:r>
      <w:bookmarkStart w:id="1820" w:name="_Hlk34228100"/>
      <w:r w:rsidRPr="00B10B5C" w:rsidR="00777B66">
        <w:rPr>
          <w:szCs w:val="22"/>
          <w:vertAlign w:val="superscript"/>
        </w:rPr>
        <w:t>®</w:t>
      </w:r>
      <w:bookmarkEnd w:id="1820"/>
      <w:r w:rsidRPr="00B10B5C" w:rsidR="00777B66">
        <w:rPr>
          <w:szCs w:val="22"/>
        </w:rPr>
        <w:t xml:space="preserve"> token, which the Commission will provide at no charge.  </w:t>
      </w:r>
      <w:r w:rsidRPr="00B10B5C" w:rsidR="00701C0F">
        <w:rPr>
          <w:szCs w:val="22"/>
        </w:rPr>
        <w:t xml:space="preserve">Each applicant will be issued </w:t>
      </w:r>
      <w:r w:rsidR="00701C0F">
        <w:rPr>
          <w:szCs w:val="22"/>
        </w:rPr>
        <w:t>three</w:t>
      </w:r>
      <w:r w:rsidRPr="00B10B5C" w:rsidR="00701C0F">
        <w:rPr>
          <w:szCs w:val="22"/>
        </w:rPr>
        <w:t xml:space="preserve"> SecurID</w:t>
      </w:r>
      <w:r w:rsidRPr="00B10B5C" w:rsidR="00701C0F">
        <w:rPr>
          <w:szCs w:val="22"/>
          <w:vertAlign w:val="superscript"/>
        </w:rPr>
        <w:t>®</w:t>
      </w:r>
      <w:r w:rsidRPr="00B10B5C" w:rsidR="00701C0F">
        <w:rPr>
          <w:szCs w:val="22"/>
        </w:rPr>
        <w:t xml:space="preserve"> tokens.  A bidder cannot bid without his or her SecurID</w:t>
      </w:r>
      <w:r w:rsidRPr="00B10B5C" w:rsidR="00701C0F">
        <w:rPr>
          <w:szCs w:val="22"/>
          <w:vertAlign w:val="superscript"/>
        </w:rPr>
        <w:t>®</w:t>
      </w:r>
      <w:r w:rsidRPr="00B10B5C" w:rsidR="00701C0F">
        <w:rPr>
          <w:szCs w:val="22"/>
        </w:rPr>
        <w:t xml:space="preserve"> token.  </w:t>
      </w:r>
      <w:r w:rsidRPr="00435180" w:rsidR="00C87FCC">
        <w:rPr>
          <w:szCs w:val="22"/>
        </w:rPr>
        <w:t>In order to access the bidding function of the bidding system, bidders must be logged in during the bidding round using the passcode generated by the SecurID</w:t>
      </w:r>
      <w:r w:rsidRPr="00435180" w:rsidR="00C87FCC">
        <w:rPr>
          <w:szCs w:val="22"/>
          <w:vertAlign w:val="superscript"/>
        </w:rPr>
        <w:t>®</w:t>
      </w:r>
      <w:r w:rsidRPr="00435180" w:rsidR="00C87FCC">
        <w:rPr>
          <w:szCs w:val="22"/>
        </w:rPr>
        <w:t xml:space="preserve"> token and a personal identification number (PIN) created by the bidder.  Bidders are strongly encouraged to print a </w:t>
      </w:r>
      <w:r w:rsidRPr="00435180" w:rsidR="00C87FCC">
        <w:rPr>
          <w:i/>
          <w:szCs w:val="22"/>
        </w:rPr>
        <w:t>bid summary</w:t>
      </w:r>
      <w:r w:rsidRPr="00435180" w:rsidR="00C87FCC">
        <w:rPr>
          <w:szCs w:val="22"/>
        </w:rPr>
        <w:t xml:space="preserve"> for each round after they have completed all their activity for that round.</w:t>
      </w:r>
      <w:r w:rsidR="00C87FCC">
        <w:rPr>
          <w:szCs w:val="22"/>
        </w:rPr>
        <w:t xml:space="preserve">  </w:t>
      </w:r>
      <w:r w:rsidRPr="00907334" w:rsidR="00BA1810">
        <w:rPr>
          <w:b/>
        </w:rPr>
        <w:t>For security purposes, the SecurID</w:t>
      </w:r>
      <w:r w:rsidRPr="00907334" w:rsidR="00BA1810">
        <w:rPr>
          <w:vertAlign w:val="superscript"/>
        </w:rPr>
        <w:t>®</w:t>
      </w:r>
      <w:r w:rsidRPr="00907334" w:rsidR="00BA1810">
        <w:rPr>
          <w:b/>
        </w:rPr>
        <w:t xml:space="preserve"> tokens and a telephone number for bidding questions are only mailed to the contact person at the contact address listed on the FCC Form 175</w:t>
      </w:r>
      <w:r w:rsidRPr="00B10B5C" w:rsidR="00777B66">
        <w:rPr>
          <w:b/>
          <w:szCs w:val="22"/>
        </w:rPr>
        <w:t>.</w:t>
      </w:r>
      <w:r w:rsidRPr="00B10B5C" w:rsidR="00777B66">
        <w:rPr>
          <w:szCs w:val="22"/>
        </w:rPr>
        <w:t xml:space="preserve">  Each SecurID</w:t>
      </w:r>
      <w:r w:rsidRPr="00B10B5C" w:rsidR="00777B66">
        <w:rPr>
          <w:szCs w:val="22"/>
          <w:vertAlign w:val="superscript"/>
        </w:rPr>
        <w:t>®</w:t>
      </w:r>
      <w:r w:rsidRPr="00B10B5C" w:rsidR="00777B66">
        <w:rPr>
          <w:szCs w:val="22"/>
        </w:rPr>
        <w:t xml:space="preserve"> token is tailored to a specific auction.  SecurID</w:t>
      </w:r>
      <w:r w:rsidRPr="00B10B5C" w:rsidR="00777B66">
        <w:rPr>
          <w:szCs w:val="22"/>
          <w:vertAlign w:val="superscript"/>
        </w:rPr>
        <w:t>®</w:t>
      </w:r>
      <w:r w:rsidRPr="00B10B5C" w:rsidR="00777B66">
        <w:rPr>
          <w:szCs w:val="22"/>
        </w:rPr>
        <w:t xml:space="preserve"> tokens issued for other auctions or obtained from a source other than the FCC will not work for Auction 10</w:t>
      </w:r>
      <w:r w:rsidR="009F4078">
        <w:rPr>
          <w:szCs w:val="22"/>
        </w:rPr>
        <w:t>7</w:t>
      </w:r>
      <w:r w:rsidRPr="00B10B5C" w:rsidR="00777B66">
        <w:rPr>
          <w:szCs w:val="22"/>
        </w:rPr>
        <w:t>.  Please note that the SecurID</w:t>
      </w:r>
      <w:r w:rsidRPr="00B10B5C" w:rsidR="00777B66">
        <w:rPr>
          <w:szCs w:val="22"/>
          <w:vertAlign w:val="superscript"/>
        </w:rPr>
        <w:t>®</w:t>
      </w:r>
      <w:r w:rsidRPr="00B10B5C" w:rsidR="00777B66">
        <w:rPr>
          <w:szCs w:val="22"/>
        </w:rPr>
        <w:t xml:space="preserve"> tokens can be recycled, and the Commission </w:t>
      </w:r>
      <w:r w:rsidR="00BA1810">
        <w:rPr>
          <w:szCs w:val="22"/>
        </w:rPr>
        <w:t>requests that</w:t>
      </w:r>
      <w:r w:rsidRPr="00B10B5C" w:rsidR="00777B66">
        <w:rPr>
          <w:szCs w:val="22"/>
        </w:rPr>
        <w:t xml:space="preserve"> bidders return the tokens to the FCC.  Pre-addressed envelopes will be provided to return the tokens once the auction has ended.</w:t>
      </w:r>
    </w:p>
    <w:p w:rsidR="00D6515C" w:rsidRPr="00435180" w:rsidP="00B04A4E" w14:paraId="41DED923" w14:textId="77777777">
      <w:pPr>
        <w:pStyle w:val="ParaNum"/>
      </w:pPr>
      <w:r w:rsidRPr="00B04A4E">
        <w:rPr>
          <w:b/>
          <w:bCs/>
        </w:rPr>
        <w:t>The Commission makes no warranties whatsoever, and shall not be deemed to have made any warranties, with respect to the bidding system, including any implied warranties of merchantability or fitness for a particular purpose.  In no event shall the C</w:t>
      </w:r>
      <w:r w:rsidRPr="00B04A4E">
        <w:rPr>
          <w:b/>
          <w:bCs/>
        </w:rPr>
        <w:t xml:space="preserve">ommission, or any of its officers, employees, or agents, be liable for any damages whatsoever (including, but not limited to, loss of business profits, business interruption, loss of use, revenue, or business information, or any other direct, indirect, or </w:t>
      </w:r>
      <w:r w:rsidRPr="00B04A4E">
        <w:rPr>
          <w:b/>
          <w:bCs/>
        </w:rPr>
        <w:t xml:space="preserve">consequential damages) arising out of or relating to the existence, furnishing, functioning, or use of the bidding system.  Moreover, no obligation or liability will arise out of the Commission’s technical, programming, or other advice or service provided </w:t>
      </w:r>
      <w:r w:rsidRPr="00B04A4E">
        <w:rPr>
          <w:b/>
          <w:bCs/>
        </w:rPr>
        <w:t>in connection with the bidding system.</w:t>
      </w:r>
    </w:p>
    <w:p w:rsidR="009D7C07" w:rsidRPr="006E063A" w:rsidP="006E063A" w14:paraId="77E43A27" w14:textId="04AAFBAB">
      <w:pPr>
        <w:pStyle w:val="ParaNum"/>
        <w:widowControl/>
        <w:rPr>
          <w:szCs w:val="22"/>
        </w:rPr>
      </w:pPr>
      <w:r w:rsidRPr="00435180">
        <w:rPr>
          <w:szCs w:val="22"/>
        </w:rPr>
        <w:t>To the extent an issue arises with the bidding system itself, the Commission will take all appropriate measures to resolve such issues quickly and equitably.  Should an issue arise that is outside the bidding system o</w:t>
      </w:r>
      <w:r w:rsidRPr="00435180">
        <w:rPr>
          <w:szCs w:val="22"/>
        </w:rPr>
        <w:t>r attributable to a bidder, including, but not limited to, a bidder’s hardware, software, or Internet access problem that prevents the bidder from submitting a bid prior to the end of a round, the Commission shall have no obligation to resolve or remediate</w:t>
      </w:r>
      <w:r w:rsidRPr="00435180">
        <w:rPr>
          <w:szCs w:val="22"/>
        </w:rPr>
        <w:t xml:space="preserve"> such an issue on behalf of the bidder.  Similarly, if an issue arises due to bidder error using the bidding system, the Commission shall have no obligation to resolve or remediate such an issue on behalf of the bidder.  Accordingly, after the close of a b</w:t>
      </w:r>
      <w:r w:rsidRPr="00435180">
        <w:rPr>
          <w:szCs w:val="22"/>
        </w:rPr>
        <w:t xml:space="preserve">idding round, the results of bid processing will not be altered absent evidence of any failure in the bidding system. </w:t>
      </w:r>
      <w:r w:rsidRPr="006E063A">
        <w:rPr>
          <w:szCs w:val="22"/>
        </w:rPr>
        <w:t xml:space="preserve">  </w:t>
      </w:r>
    </w:p>
    <w:p w:rsidR="009D7C07" w:rsidRPr="00435180" w:rsidP="009D7C07" w14:paraId="0997ED12" w14:textId="77777777">
      <w:pPr>
        <w:pStyle w:val="Heading2"/>
      </w:pPr>
      <w:bookmarkStart w:id="1821" w:name="_Toc6383501"/>
      <w:bookmarkStart w:id="1822" w:name="_Toc7525827"/>
      <w:bookmarkStart w:id="1823" w:name="_Toc8657182"/>
      <w:bookmarkStart w:id="1824" w:name="_Toc9410708"/>
      <w:bookmarkStart w:id="1825" w:name="_Toc9430114"/>
      <w:bookmarkStart w:id="1826" w:name="_Toc10116876"/>
      <w:bookmarkStart w:id="1827" w:name="_Toc10646182"/>
      <w:bookmarkStart w:id="1828" w:name="_Toc11156586"/>
      <w:bookmarkStart w:id="1829" w:name="_Toc11244330"/>
      <w:bookmarkStart w:id="1830" w:name="_Toc11653586"/>
      <w:bookmarkStart w:id="1831" w:name="_Toc11678165"/>
      <w:bookmarkStart w:id="1832" w:name="_Toc13654752"/>
      <w:bookmarkStart w:id="1833" w:name="_Toc24459472"/>
      <w:bookmarkStart w:id="1834" w:name="_Toc24459569"/>
      <w:bookmarkStart w:id="1835" w:name="_Toc25926266"/>
      <w:bookmarkStart w:id="1836" w:name="_Toc25926844"/>
      <w:bookmarkStart w:id="1837" w:name="_Toc25926962"/>
      <w:bookmarkStart w:id="1838" w:name="_Toc27039025"/>
      <w:bookmarkStart w:id="1839" w:name="_Toc29813168"/>
      <w:bookmarkStart w:id="1840" w:name="_Toc29886893"/>
      <w:bookmarkStart w:id="1841" w:name="_Toc29999497"/>
      <w:bookmarkStart w:id="1842" w:name="_Toc30699423"/>
      <w:bookmarkStart w:id="1843" w:name="_Toc30701503"/>
      <w:bookmarkStart w:id="1844" w:name="_Toc31189324"/>
      <w:bookmarkStart w:id="1845" w:name="_Toc31189778"/>
      <w:bookmarkStart w:id="1846" w:name="_Toc31193145"/>
      <w:bookmarkStart w:id="1847" w:name="_Toc31195893"/>
      <w:bookmarkStart w:id="1848" w:name="_Toc31200017"/>
      <w:bookmarkStart w:id="1849" w:name="_Toc31713784"/>
      <w:bookmarkStart w:id="1850" w:name="_Toc31822693"/>
      <w:bookmarkStart w:id="1851" w:name="_Toc33629850"/>
      <w:bookmarkStart w:id="1852" w:name="_Toc33696702"/>
      <w:r w:rsidRPr="00435180">
        <w:t>Mock Auctio</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t>n</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rsidR="00D6515C" w:rsidP="009D7C07" w14:paraId="52DEB301" w14:textId="7EA3D5A7">
      <w:pPr>
        <w:pStyle w:val="ParaNum"/>
        <w:widowControl/>
        <w:rPr>
          <w:szCs w:val="22"/>
        </w:rPr>
      </w:pPr>
      <w:r w:rsidRPr="00435180">
        <w:rPr>
          <w:szCs w:val="22"/>
        </w:rPr>
        <w:t>All qualified bidders will be eligible to participate in a mock auction</w:t>
      </w:r>
      <w:r w:rsidR="00620B2A">
        <w:rPr>
          <w:szCs w:val="22"/>
        </w:rPr>
        <w:t xml:space="preserve"> for the clock phase</w:t>
      </w:r>
      <w:r w:rsidR="0047764E">
        <w:rPr>
          <w:szCs w:val="22"/>
        </w:rPr>
        <w:t>,</w:t>
      </w:r>
      <w:r w:rsidRPr="00435180" w:rsidR="00777B66">
        <w:rPr>
          <w:szCs w:val="22"/>
        </w:rPr>
        <w:t xml:space="preserve"> which will begin </w:t>
      </w:r>
      <w:r w:rsidR="00BE18D9">
        <w:rPr>
          <w:szCs w:val="22"/>
        </w:rPr>
        <w:t xml:space="preserve">on </w:t>
      </w:r>
      <w:r w:rsidR="00A833D6">
        <w:rPr>
          <w:szCs w:val="22"/>
        </w:rPr>
        <w:t>December 3</w:t>
      </w:r>
      <w:r w:rsidR="00045870">
        <w:rPr>
          <w:szCs w:val="22"/>
        </w:rPr>
        <w:t>, 2020</w:t>
      </w:r>
      <w:r w:rsidRPr="00435180" w:rsidR="00777B66">
        <w:rPr>
          <w:szCs w:val="22"/>
        </w:rPr>
        <w:t>.</w:t>
      </w:r>
      <w:r>
        <w:rPr>
          <w:rStyle w:val="FootnoteReference"/>
          <w:szCs w:val="22"/>
        </w:rPr>
        <w:footnoteReference w:id="278"/>
      </w:r>
      <w:r w:rsidRPr="00435180" w:rsidR="00777B66">
        <w:rPr>
          <w:szCs w:val="22"/>
        </w:rPr>
        <w:t xml:space="preserve">  The mock auction will enable qualified bidders to become familiar with the bidding system and to practice submitting bids prior to the auction.  We recommend that all qualified bidders, including all their authorized bidders, participate to assure that they can log in to the bidding system and gain experience with the bidding procedures.  Participating in the mock auction may </w:t>
      </w:r>
      <w:r w:rsidRPr="00435180" w:rsidR="00777B66">
        <w:rPr>
          <w:szCs w:val="22"/>
        </w:rPr>
        <w:t xml:space="preserve">reduce the likelihood of a bidder making a mistake during the auction.  Details regarding the mock auction will be announced in the </w:t>
      </w:r>
      <w:r w:rsidRPr="00435180" w:rsidR="00777B66">
        <w:rPr>
          <w:i/>
          <w:szCs w:val="22"/>
        </w:rPr>
        <w:t>Qualified Bidders Public Notice</w:t>
      </w:r>
      <w:r w:rsidRPr="00435180" w:rsidR="00777B66">
        <w:rPr>
          <w:szCs w:val="22"/>
        </w:rPr>
        <w:t xml:space="preserve"> for Auction 10</w:t>
      </w:r>
      <w:r w:rsidR="00F846B9">
        <w:rPr>
          <w:szCs w:val="22"/>
        </w:rPr>
        <w:t>7</w:t>
      </w:r>
      <w:r w:rsidRPr="00435180" w:rsidR="00777B66">
        <w:rPr>
          <w:szCs w:val="22"/>
        </w:rPr>
        <w:t xml:space="preserve">.  </w:t>
      </w:r>
    </w:p>
    <w:p w:rsidR="00DC3501" w:rsidRPr="00435180" w:rsidP="00B371C6" w14:paraId="07691698" w14:textId="200AFA41">
      <w:pPr>
        <w:pStyle w:val="ParaNum"/>
        <w:widowControl/>
        <w:rPr>
          <w:szCs w:val="22"/>
        </w:rPr>
      </w:pPr>
      <w:r w:rsidRPr="00435180">
        <w:rPr>
          <w:szCs w:val="22"/>
        </w:rPr>
        <w:t>After the clock phase of the auction concludes, a separate mock auction for the assignment phase will be held for those qualified bidders that won generic blocks in the clock phase.</w:t>
      </w:r>
    </w:p>
    <w:p w:rsidR="00E438BA" w:rsidRPr="00435180" w:rsidP="000C230C" w14:paraId="69EA7639" w14:textId="77777777">
      <w:pPr>
        <w:pStyle w:val="Heading2"/>
      </w:pPr>
      <w:bookmarkStart w:id="1853" w:name="_Toc8657193"/>
      <w:bookmarkStart w:id="1854" w:name="_Toc9410719"/>
      <w:bookmarkStart w:id="1855" w:name="_Toc9430125"/>
      <w:bookmarkStart w:id="1856" w:name="_Toc10116887"/>
      <w:bookmarkStart w:id="1857" w:name="_Toc10646193"/>
      <w:bookmarkStart w:id="1858" w:name="_Toc11156597"/>
      <w:bookmarkStart w:id="1859" w:name="_Toc11244341"/>
      <w:bookmarkStart w:id="1860" w:name="_Toc11653597"/>
      <w:bookmarkStart w:id="1861" w:name="_Toc11678176"/>
      <w:bookmarkStart w:id="1862" w:name="_Toc13654763"/>
      <w:bookmarkStart w:id="1863" w:name="_Toc24459482"/>
      <w:bookmarkStart w:id="1864" w:name="_Toc24459579"/>
      <w:bookmarkStart w:id="1865" w:name="_Toc25926275"/>
      <w:bookmarkStart w:id="1866" w:name="_Toc25926853"/>
      <w:bookmarkStart w:id="1867" w:name="_Toc25926971"/>
      <w:bookmarkStart w:id="1868" w:name="_Toc27039034"/>
      <w:bookmarkStart w:id="1869" w:name="_Toc29813177"/>
      <w:bookmarkStart w:id="1870" w:name="_Toc29886902"/>
      <w:bookmarkStart w:id="1871" w:name="_Toc29999506"/>
      <w:bookmarkStart w:id="1872" w:name="_Toc30699424"/>
      <w:bookmarkStart w:id="1873" w:name="_Toc30701504"/>
      <w:bookmarkStart w:id="1874" w:name="_Toc31189325"/>
      <w:bookmarkStart w:id="1875" w:name="_Toc31189779"/>
      <w:bookmarkStart w:id="1876" w:name="_Toc31193146"/>
      <w:bookmarkStart w:id="1877" w:name="_Toc31195894"/>
      <w:bookmarkStart w:id="1878" w:name="_Toc31200018"/>
      <w:bookmarkStart w:id="1879" w:name="_Toc31713785"/>
      <w:bookmarkStart w:id="1880" w:name="_Toc31822694"/>
      <w:bookmarkStart w:id="1881" w:name="_Toc33629851"/>
      <w:bookmarkStart w:id="1882" w:name="_Toc33696703"/>
      <w:bookmarkStart w:id="1883" w:name="_Toc6383502"/>
      <w:bookmarkStart w:id="1884" w:name="_Toc7525828"/>
      <w:bookmarkStart w:id="1885" w:name="_Toc8657183"/>
      <w:bookmarkStart w:id="1886" w:name="_Toc9410709"/>
      <w:bookmarkStart w:id="1887" w:name="_Toc9430115"/>
      <w:bookmarkStart w:id="1888" w:name="_Toc10116877"/>
      <w:bookmarkStart w:id="1889" w:name="_Toc10646183"/>
      <w:bookmarkStart w:id="1890" w:name="_Toc11156587"/>
      <w:bookmarkStart w:id="1891" w:name="_Toc11244331"/>
      <w:bookmarkStart w:id="1892" w:name="_Toc11653587"/>
      <w:bookmarkStart w:id="1893" w:name="_Toc11678166"/>
      <w:bookmarkStart w:id="1894" w:name="_Toc13654753"/>
      <w:bookmarkStart w:id="1895" w:name="_Toc24459473"/>
      <w:bookmarkStart w:id="1896" w:name="_Toc24459570"/>
      <w:bookmarkStart w:id="1897" w:name="_Toc25926267"/>
      <w:bookmarkStart w:id="1898" w:name="_Toc25926845"/>
      <w:bookmarkStart w:id="1899" w:name="_Toc25926963"/>
      <w:bookmarkStart w:id="1900" w:name="_Toc27039026"/>
      <w:bookmarkStart w:id="1901" w:name="_Toc29813169"/>
      <w:bookmarkStart w:id="1902" w:name="_Toc29886894"/>
      <w:bookmarkStart w:id="1903" w:name="_Toc29999498"/>
      <w:r w:rsidRPr="00435180">
        <w:t>Auction Delay, Suspens</w:t>
      </w:r>
      <w:r w:rsidRPr="00435180">
        <w:t>ion, or Cancellation</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rsidR="00E438BA" w:rsidRPr="00435180" w:rsidP="00B371C6" w14:paraId="62C654AD" w14:textId="6E485330">
      <w:pPr>
        <w:pStyle w:val="ParaNum"/>
        <w:widowControl/>
        <w:rPr>
          <w:szCs w:val="22"/>
        </w:rPr>
      </w:pPr>
      <w:r w:rsidRPr="00435180">
        <w:rPr>
          <w:szCs w:val="22"/>
        </w:rPr>
        <w:t xml:space="preserve">At any time before or during the bidding process, </w:t>
      </w:r>
      <w:r>
        <w:rPr>
          <w:szCs w:val="22"/>
        </w:rPr>
        <w:t>OEA</w:t>
      </w:r>
      <w:r w:rsidRPr="00435180">
        <w:rPr>
          <w:szCs w:val="22"/>
        </w:rPr>
        <w:t xml:space="preserve">, in conjunction with </w:t>
      </w:r>
      <w:r w:rsidR="00197B1F">
        <w:rPr>
          <w:szCs w:val="22"/>
        </w:rPr>
        <w:t>WTB</w:t>
      </w:r>
      <w:r w:rsidRPr="00435180">
        <w:rPr>
          <w:szCs w:val="22"/>
        </w:rPr>
        <w:t>, may delay, suspend, or cancel bidding in Auction 10</w:t>
      </w:r>
      <w:r w:rsidR="00A942A3">
        <w:rPr>
          <w:szCs w:val="22"/>
        </w:rPr>
        <w:t>7</w:t>
      </w:r>
      <w:r w:rsidRPr="00435180">
        <w:rPr>
          <w:szCs w:val="22"/>
        </w:rPr>
        <w:t xml:space="preserve"> in the event of a natural disaster, technical obstacle, network interruption, administrative or weathe</w:t>
      </w:r>
      <w:r w:rsidRPr="00435180">
        <w:rPr>
          <w:szCs w:val="22"/>
        </w:rPr>
        <w:t>r necessity, evidence of an auction security breach or unlawful bidding activity, or for any other reason that affects the fair and efficient conduct of competitive bidding.</w:t>
      </w:r>
      <w:r>
        <w:rPr>
          <w:rStyle w:val="FootnoteReference"/>
          <w:szCs w:val="22"/>
        </w:rPr>
        <w:footnoteReference w:id="279"/>
      </w:r>
      <w:r w:rsidRPr="00435180">
        <w:rPr>
          <w:szCs w:val="22"/>
        </w:rPr>
        <w:t xml:space="preserve">  This approach has proven effective in resolving exigent circumstances in previo</w:t>
      </w:r>
      <w:r w:rsidRPr="00435180">
        <w:rPr>
          <w:szCs w:val="22"/>
        </w:rPr>
        <w:t xml:space="preserve">us auctions and we find no reason to depart from it here.  </w:t>
      </w:r>
      <w:r>
        <w:rPr>
          <w:szCs w:val="22"/>
        </w:rPr>
        <w:t>OEA</w:t>
      </w:r>
      <w:r w:rsidRPr="00435180">
        <w:rPr>
          <w:szCs w:val="22"/>
        </w:rPr>
        <w:t xml:space="preserve"> will notify participants of any such delay, suspension, or cancellation by public notice and/or through the bidding system’s announcement function.  If the bidding is delayed or suspended, </w:t>
      </w:r>
      <w:r w:rsidR="00AA311B">
        <w:rPr>
          <w:szCs w:val="22"/>
        </w:rPr>
        <w:t xml:space="preserve">then </w:t>
      </w:r>
      <w:r>
        <w:rPr>
          <w:szCs w:val="22"/>
        </w:rPr>
        <w:t>OEA</w:t>
      </w:r>
      <w:r w:rsidRPr="00435180">
        <w:rPr>
          <w:szCs w:val="22"/>
        </w:rPr>
        <w:t xml:space="preserve"> may, in its sole discretion, elect to resume the auction starting from the beginning of the current round or from some previous round, or cancel the auction in its entirety.  We emphasize that </w:t>
      </w:r>
      <w:r>
        <w:rPr>
          <w:szCs w:val="22"/>
        </w:rPr>
        <w:t xml:space="preserve">OEA </w:t>
      </w:r>
      <w:r w:rsidRPr="00435180">
        <w:rPr>
          <w:szCs w:val="22"/>
        </w:rPr>
        <w:t>and</w:t>
      </w:r>
      <w:r w:rsidR="00D13F91">
        <w:rPr>
          <w:szCs w:val="22"/>
        </w:rPr>
        <w:t xml:space="preserve"> WTB</w:t>
      </w:r>
      <w:r w:rsidRPr="00435180">
        <w:rPr>
          <w:szCs w:val="22"/>
        </w:rPr>
        <w:t xml:space="preserve"> will exercise this authority at their discreti</w:t>
      </w:r>
      <w:r w:rsidRPr="00435180">
        <w:rPr>
          <w:szCs w:val="22"/>
        </w:rPr>
        <w:t>on.</w:t>
      </w:r>
    </w:p>
    <w:p w:rsidR="00D6515C" w:rsidRPr="00435180" w:rsidP="000C230C" w14:paraId="67F9C317" w14:textId="10A68F06">
      <w:pPr>
        <w:pStyle w:val="Heading2"/>
      </w:pPr>
      <w:bookmarkStart w:id="1904" w:name="_Toc30699425"/>
      <w:bookmarkStart w:id="1905" w:name="_Toc30701505"/>
      <w:bookmarkStart w:id="1906" w:name="_Toc31189326"/>
      <w:bookmarkStart w:id="1907" w:name="_Toc31189780"/>
      <w:bookmarkStart w:id="1908" w:name="_Toc31193147"/>
      <w:bookmarkStart w:id="1909" w:name="_Toc31195895"/>
      <w:bookmarkStart w:id="1910" w:name="_Toc31200019"/>
      <w:bookmarkStart w:id="1911" w:name="_Toc31713786"/>
      <w:bookmarkStart w:id="1912" w:name="_Toc31822695"/>
      <w:bookmarkStart w:id="1913" w:name="_Toc33629852"/>
      <w:bookmarkStart w:id="1914" w:name="_Toc33696704"/>
      <w:r w:rsidRPr="00435180">
        <w:t>Fraud Alert</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rsidR="00D6515C" w:rsidRPr="00435180" w:rsidP="00D6515C" w14:paraId="73BE3DDE" w14:textId="3D244737">
      <w:pPr>
        <w:pStyle w:val="ParaNum"/>
        <w:keepNext/>
        <w:widowControl/>
        <w:rPr>
          <w:szCs w:val="22"/>
        </w:rPr>
      </w:pPr>
      <w:r w:rsidRPr="00435180">
        <w:rPr>
          <w:szCs w:val="22"/>
        </w:rPr>
        <w:t>As is the case with many business investment opportunities, some unscrupulous entrepreneurs may attempt to use Auction 10</w:t>
      </w:r>
      <w:r w:rsidR="00494BD2">
        <w:rPr>
          <w:szCs w:val="22"/>
        </w:rPr>
        <w:t>7</w:t>
      </w:r>
      <w:r w:rsidRPr="00435180">
        <w:rPr>
          <w:szCs w:val="22"/>
        </w:rPr>
        <w:t xml:space="preserve"> to deceive and defraud unsuspecting investors.  Common warning signals of fraud include the following:</w:t>
      </w:r>
    </w:p>
    <w:p w:rsidR="00D6515C" w:rsidRPr="00435180" w:rsidP="00D6515C" w14:paraId="645858CB" w14:textId="77777777">
      <w:pPr>
        <w:pStyle w:val="BulletCharChar"/>
        <w:widowControl/>
        <w:numPr>
          <w:ilvl w:val="0"/>
          <w:numId w:val="1"/>
        </w:numPr>
        <w:tabs>
          <w:tab w:val="clear" w:pos="360"/>
          <w:tab w:val="num" w:pos="720"/>
        </w:tabs>
        <w:spacing w:after="120" w:line="240" w:lineRule="auto"/>
        <w:ind w:left="720"/>
        <w:rPr>
          <w:szCs w:val="22"/>
        </w:rPr>
      </w:pPr>
      <w:r w:rsidRPr="00435180">
        <w:rPr>
          <w:szCs w:val="22"/>
        </w:rPr>
        <w:t>The first cont</w:t>
      </w:r>
      <w:r w:rsidRPr="00435180">
        <w:rPr>
          <w:szCs w:val="22"/>
        </w:rPr>
        <w:t>act is a “cold call” from a telemarketer or is made in response to an inquiry prompted by a radio or television infomercial.</w:t>
      </w:r>
    </w:p>
    <w:p w:rsidR="00D6515C" w:rsidRPr="00435180" w:rsidP="00D6515C" w14:paraId="2C535A5C" w14:textId="77777777">
      <w:pPr>
        <w:pStyle w:val="BulletCharChar"/>
        <w:widowControl/>
        <w:numPr>
          <w:ilvl w:val="0"/>
          <w:numId w:val="1"/>
        </w:numPr>
        <w:tabs>
          <w:tab w:val="clear" w:pos="360"/>
          <w:tab w:val="num" w:pos="720"/>
        </w:tabs>
        <w:spacing w:after="120" w:line="240" w:lineRule="auto"/>
        <w:ind w:left="720"/>
        <w:rPr>
          <w:szCs w:val="22"/>
        </w:rPr>
      </w:pPr>
      <w:r w:rsidRPr="00435180">
        <w:rPr>
          <w:szCs w:val="22"/>
        </w:rPr>
        <w:t>The offering materials used to invest in the venture appear to be targeted at IRA funds, for example, by including all documents an</w:t>
      </w:r>
      <w:r w:rsidRPr="00435180">
        <w:rPr>
          <w:szCs w:val="22"/>
        </w:rPr>
        <w:t>d papers needed for the transfer of funds maintained in IRA accounts.</w:t>
      </w:r>
    </w:p>
    <w:p w:rsidR="00D6515C" w:rsidRPr="00435180" w:rsidP="00D6515C" w14:paraId="14BE4382" w14:textId="77777777">
      <w:pPr>
        <w:pStyle w:val="BulletCharChar"/>
        <w:widowControl/>
        <w:numPr>
          <w:ilvl w:val="0"/>
          <w:numId w:val="1"/>
        </w:numPr>
        <w:tabs>
          <w:tab w:val="clear" w:pos="360"/>
          <w:tab w:val="num" w:pos="720"/>
        </w:tabs>
        <w:spacing w:after="120" w:line="240" w:lineRule="auto"/>
        <w:ind w:left="720"/>
        <w:rPr>
          <w:szCs w:val="22"/>
        </w:rPr>
      </w:pPr>
      <w:r w:rsidRPr="00435180">
        <w:rPr>
          <w:szCs w:val="22"/>
        </w:rPr>
        <w:t>The amount of investment is less than $25,000.</w:t>
      </w:r>
    </w:p>
    <w:p w:rsidR="00D6515C" w:rsidRPr="00435180" w:rsidP="00D6515C" w14:paraId="62307BA9" w14:textId="317DB94A">
      <w:pPr>
        <w:pStyle w:val="BulletCharChar"/>
        <w:widowControl/>
        <w:numPr>
          <w:ilvl w:val="0"/>
          <w:numId w:val="1"/>
        </w:numPr>
        <w:tabs>
          <w:tab w:val="clear" w:pos="360"/>
          <w:tab w:val="num" w:pos="720"/>
        </w:tabs>
        <w:spacing w:after="120" w:line="240" w:lineRule="auto"/>
        <w:ind w:left="720"/>
        <w:rPr>
          <w:szCs w:val="22"/>
        </w:rPr>
      </w:pPr>
      <w:r w:rsidRPr="00435180">
        <w:rPr>
          <w:szCs w:val="22"/>
        </w:rPr>
        <w:t>The sales representative makes verbal representations that</w:t>
      </w:r>
      <w:r w:rsidR="007964A1">
        <w:rPr>
          <w:szCs w:val="22"/>
        </w:rPr>
        <w:t xml:space="preserve">: </w:t>
      </w:r>
      <w:r w:rsidRPr="00435180">
        <w:rPr>
          <w:szCs w:val="22"/>
        </w:rPr>
        <w:t xml:space="preserve"> (a) the Internal Revenue Service, Federal Trade Commission (FTC), Securities and Exchange Commission (SEC), FCC, or other government agency has approved the investment; (b) the investment is not subject to state or federal securities laws; or (c) the inve</w:t>
      </w:r>
      <w:r w:rsidRPr="00435180">
        <w:rPr>
          <w:szCs w:val="22"/>
        </w:rPr>
        <w:t>stment will yield unrealistically high short-term profits.  In addition, the offering materials often include copies of actual FCC releases, or quotes from FCC personnel, giving the appearance of FCC knowledge or approval of the solicitation.</w:t>
      </w:r>
    </w:p>
    <w:p w:rsidR="00D6515C" w:rsidRPr="00435180" w:rsidP="00B371C6" w14:paraId="7904ED64" w14:textId="560F6869">
      <w:pPr>
        <w:pStyle w:val="ParaNum"/>
        <w:widowControl/>
        <w:rPr>
          <w:szCs w:val="22"/>
        </w:rPr>
      </w:pPr>
      <w:r w:rsidRPr="00435180">
        <w:rPr>
          <w:szCs w:val="22"/>
        </w:rPr>
        <w:t>Information a</w:t>
      </w:r>
      <w:r w:rsidRPr="00435180">
        <w:rPr>
          <w:szCs w:val="22"/>
        </w:rPr>
        <w:t>bout deceptive telemarketing investment schemes is available from the FCC</w:t>
      </w:r>
      <w:r w:rsidR="00D20183">
        <w:rPr>
          <w:szCs w:val="22"/>
        </w:rPr>
        <w:t>,</w:t>
      </w:r>
      <w:r w:rsidRPr="00435180">
        <w:rPr>
          <w:szCs w:val="22"/>
        </w:rPr>
        <w:t xml:space="preserve"> as well as the FTC and SEC.  Additional sources of information for potential bidders and investors may be obtained from the following sources: </w:t>
      </w:r>
    </w:p>
    <w:p w:rsidR="00D6515C" w:rsidRPr="00435180" w:rsidP="00D6515C" w14:paraId="4D13FDDA" w14:textId="77777777">
      <w:pPr>
        <w:pStyle w:val="BulletCharChar"/>
        <w:widowControl/>
        <w:numPr>
          <w:ilvl w:val="0"/>
          <w:numId w:val="1"/>
        </w:numPr>
        <w:tabs>
          <w:tab w:val="clear" w:pos="360"/>
          <w:tab w:val="clear" w:pos="2160"/>
        </w:tabs>
        <w:spacing w:after="120" w:line="240" w:lineRule="auto"/>
        <w:ind w:left="1080"/>
        <w:rPr>
          <w:szCs w:val="22"/>
        </w:rPr>
      </w:pPr>
      <w:r w:rsidRPr="00435180">
        <w:rPr>
          <w:szCs w:val="22"/>
        </w:rPr>
        <w:t>the FCC’s Consumer Call Center at (88</w:t>
      </w:r>
      <w:r w:rsidRPr="00435180">
        <w:rPr>
          <w:szCs w:val="22"/>
        </w:rPr>
        <w:t xml:space="preserve">8) 225-5322 or by visiting  </w:t>
      </w:r>
      <w:hyperlink r:id="rId10" w:history="1">
        <w:r w:rsidRPr="00435180">
          <w:rPr>
            <w:rStyle w:val="Hyperlink"/>
            <w:szCs w:val="22"/>
          </w:rPr>
          <w:t>www.fcc.gov/general/frauds-scams-and-alerts-guides</w:t>
        </w:r>
      </w:hyperlink>
      <w:r w:rsidRPr="00435180">
        <w:rPr>
          <w:szCs w:val="22"/>
        </w:rPr>
        <w:t xml:space="preserve">  </w:t>
      </w:r>
    </w:p>
    <w:p w:rsidR="00D6515C" w:rsidRPr="00435180" w:rsidP="00D6515C" w14:paraId="12FE7D06" w14:textId="33CCD0EA">
      <w:pPr>
        <w:pStyle w:val="BulletCharChar"/>
        <w:widowControl/>
        <w:numPr>
          <w:ilvl w:val="0"/>
          <w:numId w:val="1"/>
        </w:numPr>
        <w:tabs>
          <w:tab w:val="clear" w:pos="360"/>
          <w:tab w:val="clear" w:pos="2160"/>
        </w:tabs>
        <w:spacing w:after="120" w:line="240" w:lineRule="auto"/>
        <w:ind w:left="1080"/>
        <w:rPr>
          <w:szCs w:val="22"/>
        </w:rPr>
      </w:pPr>
      <w:r w:rsidRPr="00435180">
        <w:rPr>
          <w:szCs w:val="22"/>
        </w:rPr>
        <w:t>the FTC at (877) FTC-HELP ((877) 382-4357) or by visiting</w:t>
      </w:r>
      <w:r>
        <w:rPr>
          <w:szCs w:val="22"/>
        </w:rPr>
        <w:t xml:space="preserve"> </w:t>
      </w:r>
      <w:hyperlink r:id="rId11" w:history="1">
        <w:r w:rsidRPr="002A5CC2">
          <w:rPr>
            <w:rStyle w:val="Hyperlink"/>
            <w:szCs w:val="22"/>
          </w:rPr>
          <w:t>www.consumer.ftc.gov/articles/0238-investment-risks</w:t>
        </w:r>
      </w:hyperlink>
      <w:r>
        <w:rPr>
          <w:szCs w:val="22"/>
        </w:rPr>
        <w:t xml:space="preserve">  </w:t>
      </w:r>
      <w:r w:rsidRPr="00435180">
        <w:rPr>
          <w:szCs w:val="22"/>
        </w:rPr>
        <w:t xml:space="preserve">  </w:t>
      </w:r>
    </w:p>
    <w:p w:rsidR="00D6515C" w:rsidRPr="00435180" w:rsidP="00D6515C" w14:paraId="480F0713" w14:textId="2618D1E4">
      <w:pPr>
        <w:pStyle w:val="BulletCharChar"/>
        <w:widowControl/>
        <w:numPr>
          <w:ilvl w:val="0"/>
          <w:numId w:val="1"/>
        </w:numPr>
        <w:tabs>
          <w:tab w:val="clear" w:pos="360"/>
          <w:tab w:val="clear" w:pos="2160"/>
        </w:tabs>
        <w:spacing w:after="120" w:line="240" w:lineRule="auto"/>
        <w:ind w:left="1080"/>
        <w:rPr>
          <w:szCs w:val="22"/>
        </w:rPr>
      </w:pPr>
      <w:r w:rsidRPr="00435180">
        <w:rPr>
          <w:szCs w:val="22"/>
        </w:rPr>
        <w:t xml:space="preserve">the SEC at (202) 942-7040 or by visiting </w:t>
      </w:r>
      <w:hyperlink r:id="rId12" w:history="1">
        <w:r w:rsidR="00041B89">
          <w:rPr>
            <w:rStyle w:val="Hyperlink"/>
            <w:szCs w:val="22"/>
          </w:rPr>
          <w:t>www.sec.gov/investor</w:t>
        </w:r>
      </w:hyperlink>
    </w:p>
    <w:p w:rsidR="00D6515C" w:rsidRPr="00435180" w:rsidP="00B371C6" w14:paraId="038F5114" w14:textId="77777777">
      <w:pPr>
        <w:pStyle w:val="ParaNum"/>
        <w:widowControl/>
        <w:rPr>
          <w:szCs w:val="22"/>
        </w:rPr>
      </w:pPr>
      <w:r w:rsidRPr="00435180">
        <w:rPr>
          <w:szCs w:val="22"/>
        </w:rPr>
        <w:t>Complaints about specific deceptive telemarketing investmen</w:t>
      </w:r>
      <w:r w:rsidRPr="00435180">
        <w:rPr>
          <w:szCs w:val="22"/>
        </w:rPr>
        <w:t>t schemes should be directed to the FTC, the SEC, or the National Fraud Information Center at (202) 835-0618.</w:t>
      </w:r>
    </w:p>
    <w:p w:rsidR="00062EAF" w:rsidRPr="00417439" w:rsidP="00062EAF" w14:paraId="6500D158" w14:textId="77777777">
      <w:pPr>
        <w:pStyle w:val="Heading1"/>
        <w:rPr>
          <w:rFonts w:ascii="Times New Roman" w:hAnsi="Times New Roman"/>
          <w:szCs w:val="22"/>
        </w:rPr>
      </w:pPr>
      <w:bookmarkStart w:id="1915" w:name="_Toc6383503"/>
      <w:bookmarkStart w:id="1916" w:name="_Toc7525829"/>
      <w:bookmarkStart w:id="1917" w:name="_Toc8657184"/>
      <w:bookmarkStart w:id="1918" w:name="_Toc9410710"/>
      <w:bookmarkStart w:id="1919" w:name="_Toc9430116"/>
      <w:bookmarkStart w:id="1920" w:name="_Toc10116878"/>
      <w:bookmarkStart w:id="1921" w:name="_Toc10646184"/>
      <w:bookmarkStart w:id="1922" w:name="_Toc11156588"/>
      <w:bookmarkStart w:id="1923" w:name="_Toc11244332"/>
      <w:bookmarkStart w:id="1924" w:name="_Toc11653588"/>
      <w:bookmarkStart w:id="1925" w:name="_Toc11678167"/>
      <w:bookmarkStart w:id="1926" w:name="_Toc13654754"/>
      <w:bookmarkStart w:id="1927" w:name="_Toc24459474"/>
      <w:bookmarkStart w:id="1928" w:name="_Toc24459571"/>
      <w:bookmarkStart w:id="1929" w:name="_Toc25926268"/>
      <w:bookmarkStart w:id="1930" w:name="_Toc25926846"/>
      <w:bookmarkStart w:id="1931" w:name="_Toc25926964"/>
      <w:bookmarkStart w:id="1932" w:name="_Toc27039027"/>
      <w:bookmarkStart w:id="1933" w:name="_Toc29813170"/>
      <w:bookmarkStart w:id="1934" w:name="_Toc29886895"/>
      <w:bookmarkStart w:id="1935" w:name="_Toc29999499"/>
      <w:bookmarkStart w:id="1936" w:name="_Toc30699426"/>
      <w:bookmarkStart w:id="1937" w:name="_Toc30701506"/>
      <w:bookmarkStart w:id="1938" w:name="_Toc31189327"/>
      <w:bookmarkStart w:id="1939" w:name="_Toc31189781"/>
      <w:bookmarkStart w:id="1940" w:name="_Toc31193148"/>
      <w:bookmarkStart w:id="1941" w:name="_Toc31195896"/>
      <w:bookmarkStart w:id="1942" w:name="_Toc31200020"/>
      <w:bookmarkStart w:id="1943" w:name="_Toc31713787"/>
      <w:bookmarkStart w:id="1944" w:name="_Toc31822696"/>
      <w:bookmarkStart w:id="1945" w:name="_Toc33629853"/>
      <w:bookmarkStart w:id="1946" w:name="_Toc33696705"/>
      <w:r w:rsidRPr="00417439">
        <w:rPr>
          <w:rFonts w:ascii="Times New Roman" w:hAnsi="Times New Roman"/>
          <w:szCs w:val="22"/>
        </w:rPr>
        <w:t xml:space="preserve">Bidding </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Pr="00417439">
        <w:rPr>
          <w:rFonts w:ascii="Times New Roman" w:hAnsi="Times New Roman"/>
          <w:szCs w:val="22"/>
        </w:rPr>
        <w:t>Procedures</w:t>
      </w:r>
      <w:bookmarkEnd w:id="1935"/>
      <w:bookmarkEnd w:id="1936"/>
      <w:bookmarkEnd w:id="1937"/>
      <w:bookmarkEnd w:id="1938"/>
      <w:bookmarkEnd w:id="1939"/>
      <w:bookmarkEnd w:id="1940"/>
      <w:bookmarkEnd w:id="1941"/>
      <w:bookmarkEnd w:id="1942"/>
      <w:bookmarkEnd w:id="1943"/>
      <w:bookmarkEnd w:id="1944"/>
      <w:bookmarkEnd w:id="1945"/>
      <w:bookmarkEnd w:id="1946"/>
    </w:p>
    <w:p w:rsidR="00062EAF" w:rsidP="00062EAF" w14:paraId="6B6C1201" w14:textId="67AC4B73">
      <w:pPr>
        <w:pStyle w:val="ParaNum"/>
      </w:pPr>
      <w:r>
        <w:rPr>
          <w:szCs w:val="22"/>
        </w:rPr>
        <w:t xml:space="preserve">We will </w:t>
      </w:r>
      <w:r w:rsidRPr="00FD4CBC">
        <w:t>conduct Auction 10</w:t>
      </w:r>
      <w:r>
        <w:t>7</w:t>
      </w:r>
      <w:r w:rsidRPr="00FD4CBC">
        <w:t xml:space="preserve"> using an ascending clock auction design</w:t>
      </w:r>
      <w:r>
        <w:t xml:space="preserve"> with two phases.  </w:t>
      </w:r>
      <w:r w:rsidRPr="00FD4CBC">
        <w:t>The first phase of the auction</w:t>
      </w:r>
      <w:r>
        <w:t xml:space="preserve">—the clock </w:t>
      </w:r>
      <w:r>
        <w:t>phase—</w:t>
      </w:r>
      <w:r w:rsidRPr="00FD4CBC">
        <w:t>w</w:t>
      </w:r>
      <w:r>
        <w:t>ill</w:t>
      </w:r>
      <w:r w:rsidRPr="00FD4CBC">
        <w:t xml:space="preserve"> consist of successive clock bidding rounds in which bidders indicate their demands for</w:t>
      </w:r>
      <w:r>
        <w:t xml:space="preserve"> a number of</w:t>
      </w:r>
      <w:r w:rsidRPr="00FD4CBC">
        <w:t xml:space="preserve"> generic license blocks in </w:t>
      </w:r>
      <w:r>
        <w:t xml:space="preserve">specific categories and PEAs.  </w:t>
      </w:r>
      <w:bookmarkStart w:id="1947" w:name="_Hlk46396793"/>
      <w:r w:rsidRPr="00435180">
        <w:rPr>
          <w:szCs w:val="22"/>
        </w:rPr>
        <w:t>In the second phase—the assignment phase—winning clock</w:t>
      </w:r>
      <w:r>
        <w:rPr>
          <w:szCs w:val="22"/>
        </w:rPr>
        <w:t xml:space="preserve"> </w:t>
      </w:r>
      <w:r w:rsidRPr="00435180">
        <w:rPr>
          <w:szCs w:val="22"/>
        </w:rPr>
        <w:t>phase bidders will have the opport</w:t>
      </w:r>
      <w:r w:rsidRPr="00435180">
        <w:rPr>
          <w:szCs w:val="22"/>
        </w:rPr>
        <w:t>unity to bid for their preferred combinations of frequency-specific license</w:t>
      </w:r>
      <w:r>
        <w:rPr>
          <w:szCs w:val="22"/>
        </w:rPr>
        <w:t xml:space="preserve"> assignments</w:t>
      </w:r>
      <w:r w:rsidRPr="00435180">
        <w:rPr>
          <w:szCs w:val="22"/>
        </w:rPr>
        <w:t>, consistent with their clock</w:t>
      </w:r>
      <w:r>
        <w:rPr>
          <w:szCs w:val="22"/>
        </w:rPr>
        <w:t xml:space="preserve"> </w:t>
      </w:r>
      <w:r w:rsidRPr="00435180">
        <w:rPr>
          <w:szCs w:val="22"/>
        </w:rPr>
        <w:t>phase winnings</w:t>
      </w:r>
      <w:bookmarkEnd w:id="1947"/>
      <w:r w:rsidRPr="00435180">
        <w:rPr>
          <w:szCs w:val="22"/>
        </w:rPr>
        <w:t xml:space="preserve">, in a series of single sealed-bid rounds conducted by PEA or, in some cases, PEA </w:t>
      </w:r>
      <w:r>
        <w:t>group.  Commenters support this general fra</w:t>
      </w:r>
      <w:r>
        <w:t>mework for an ascending clock auction.</w:t>
      </w:r>
      <w:r>
        <w:rPr>
          <w:rStyle w:val="FootnoteReference"/>
        </w:rPr>
        <w:footnoteReference w:id="280"/>
      </w:r>
    </w:p>
    <w:p w:rsidR="00062EAF" w:rsidRPr="00011869" w:rsidP="00062EAF" w14:paraId="2BFBA5ED" w14:textId="57D77416">
      <w:pPr>
        <w:pStyle w:val="ParaNum"/>
      </w:pPr>
      <w:r w:rsidRPr="00435180">
        <w:rPr>
          <w:szCs w:val="22"/>
        </w:rPr>
        <w:t>We direct O</w:t>
      </w:r>
      <w:r>
        <w:rPr>
          <w:szCs w:val="22"/>
        </w:rPr>
        <w:t>EA</w:t>
      </w:r>
      <w:r w:rsidRPr="00435180">
        <w:rPr>
          <w:szCs w:val="22"/>
        </w:rPr>
        <w:t xml:space="preserve">, in conjunction with </w:t>
      </w:r>
      <w:r>
        <w:rPr>
          <w:szCs w:val="22"/>
        </w:rPr>
        <w:t>WTB</w:t>
      </w:r>
      <w:r w:rsidRPr="00435180">
        <w:rPr>
          <w:szCs w:val="22"/>
        </w:rPr>
        <w:t xml:space="preserve">, to prepare and release, concurrent with this Public Notice, updated technical guides that provide the mathematical details of the adopted auction design and </w:t>
      </w:r>
      <w:r w:rsidRPr="00435180">
        <w:rPr>
          <w:szCs w:val="22"/>
        </w:rPr>
        <w:t>algorithms for the clock and assignment phases of Auction 10</w:t>
      </w:r>
      <w:r>
        <w:rPr>
          <w:szCs w:val="22"/>
        </w:rPr>
        <w:t>7</w:t>
      </w:r>
      <w:r w:rsidRPr="00435180">
        <w:rPr>
          <w:szCs w:val="22"/>
        </w:rPr>
        <w:t>.  The information in the updated technical guides, which are available in the Education section of the Auction 10</w:t>
      </w:r>
      <w:r>
        <w:rPr>
          <w:szCs w:val="22"/>
        </w:rPr>
        <w:t>7</w:t>
      </w:r>
      <w:r w:rsidRPr="00435180">
        <w:rPr>
          <w:szCs w:val="22"/>
        </w:rPr>
        <w:t xml:space="preserve"> website (</w:t>
      </w:r>
      <w:hyperlink r:id="rId7" w:history="1">
        <w:r>
          <w:rPr>
            <w:rStyle w:val="Hyperlink"/>
            <w:szCs w:val="22"/>
          </w:rPr>
          <w:t>www.fcc.gov/auction/1</w:t>
        </w:r>
        <w:r>
          <w:rPr>
            <w:rStyle w:val="Hyperlink"/>
            <w:szCs w:val="22"/>
          </w:rPr>
          <w:t>07</w:t>
        </w:r>
      </w:hyperlink>
      <w:r w:rsidRPr="00435180">
        <w:rPr>
          <w:szCs w:val="22"/>
        </w:rPr>
        <w:t>), supplements our decisions in this Public Notice.</w:t>
      </w:r>
      <w:r>
        <w:rPr>
          <w:rStyle w:val="FootnoteReference"/>
          <w:szCs w:val="22"/>
        </w:rPr>
        <w:footnoteReference w:id="281"/>
      </w:r>
    </w:p>
    <w:p w:rsidR="00062EAF" w:rsidP="00062EAF" w14:paraId="70194EC9" w14:textId="77777777">
      <w:pPr>
        <w:pStyle w:val="Heading2"/>
      </w:pPr>
      <w:bookmarkStart w:id="1948" w:name="_Toc30699427"/>
      <w:bookmarkStart w:id="1949" w:name="_Toc30701507"/>
      <w:bookmarkStart w:id="1950" w:name="_Toc31189328"/>
      <w:bookmarkStart w:id="1951" w:name="_Toc31189782"/>
      <w:bookmarkStart w:id="1952" w:name="_Toc31193149"/>
      <w:bookmarkStart w:id="1953" w:name="_Toc31195897"/>
      <w:bookmarkStart w:id="1954" w:name="_Toc31200021"/>
      <w:bookmarkStart w:id="1955" w:name="_Toc31713788"/>
      <w:bookmarkStart w:id="1956" w:name="_Toc31822697"/>
      <w:bookmarkStart w:id="1957" w:name="_Toc33629854"/>
      <w:bookmarkStart w:id="1958" w:name="_Toc33696706"/>
      <w:bookmarkStart w:id="1959" w:name="_Toc8657185"/>
      <w:bookmarkStart w:id="1960" w:name="_Toc9410711"/>
      <w:bookmarkStart w:id="1961" w:name="_Toc9430117"/>
      <w:bookmarkStart w:id="1962" w:name="_Toc10116879"/>
      <w:bookmarkStart w:id="1963" w:name="_Toc10646185"/>
      <w:bookmarkStart w:id="1964" w:name="_Toc11156589"/>
      <w:bookmarkStart w:id="1965" w:name="_Toc11244333"/>
      <w:bookmarkStart w:id="1966" w:name="_Toc11653589"/>
      <w:bookmarkStart w:id="1967" w:name="_Toc11678168"/>
      <w:bookmarkStart w:id="1968" w:name="_Toc13654755"/>
      <w:bookmarkStart w:id="1969" w:name="_Toc24459475"/>
      <w:bookmarkStart w:id="1970" w:name="_Toc24459572"/>
      <w:bookmarkStart w:id="1971" w:name="_Toc25926269"/>
      <w:bookmarkStart w:id="1972" w:name="_Toc25926847"/>
      <w:bookmarkStart w:id="1973" w:name="_Toc25926965"/>
      <w:bookmarkStart w:id="1974" w:name="_Toc27039028"/>
      <w:bookmarkStart w:id="1975" w:name="_Toc29813171"/>
      <w:bookmarkStart w:id="1976" w:name="_Toc29886896"/>
      <w:bookmarkStart w:id="1977" w:name="_Toc29999500"/>
      <w:r>
        <w:t>Clock Phase</w:t>
      </w:r>
    </w:p>
    <w:p w:rsidR="00062EAF" w:rsidP="00062EAF" w14:paraId="15F05F1F" w14:textId="77777777">
      <w:pPr>
        <w:pStyle w:val="Heading3"/>
      </w:pPr>
      <w:r>
        <w:t>Clock Auction Design</w:t>
      </w:r>
    </w:p>
    <w:p w:rsidR="00062EAF" w:rsidRPr="006842AD" w:rsidP="00062EAF" w14:paraId="417DE388" w14:textId="7F8D4CC0">
      <w:pPr>
        <w:pStyle w:val="ParaNum"/>
        <w:widowControl/>
        <w:rPr>
          <w:szCs w:val="22"/>
        </w:rPr>
      </w:pPr>
      <w:r>
        <w:t xml:space="preserve">During the clock phase of Auction 107, </w:t>
      </w:r>
      <w:r w:rsidRPr="00557698">
        <w:t>bidders</w:t>
      </w:r>
      <w:r>
        <w:t xml:space="preserve"> will</w:t>
      </w:r>
      <w:r w:rsidRPr="00557698">
        <w:t xml:space="preserve"> indicate their demands for generic license blocks </w:t>
      </w:r>
      <w:r>
        <w:t xml:space="preserve">in </w:t>
      </w:r>
      <w:r w:rsidR="00110FF9">
        <w:t xml:space="preserve">up to </w:t>
      </w:r>
      <w:r>
        <w:t xml:space="preserve">two bidding categories </w:t>
      </w:r>
      <w:r w:rsidRPr="00557698">
        <w:t>in specific geographic areas—in t</w:t>
      </w:r>
      <w:r w:rsidRPr="00557698">
        <w:t>his case</w:t>
      </w:r>
      <w:r>
        <w:t>, PEAs</w:t>
      </w:r>
      <w:r w:rsidRPr="00557698">
        <w:t xml:space="preserve">.  </w:t>
      </w:r>
      <w:r>
        <w:t>Under the clock auction format we adopt, the auction will proceed in a series of rounds, with bidding conducted simultaneously for all spectrum blocks in all PEAs</w:t>
      </w:r>
      <w:r w:rsidRPr="00557698">
        <w:t xml:space="preserve"> </w:t>
      </w:r>
      <w:r>
        <w:t>available in the auction.</w:t>
      </w:r>
      <w:r>
        <w:rPr>
          <w:rStyle w:val="FootnoteReference"/>
          <w:szCs w:val="22"/>
        </w:rPr>
        <w:footnoteReference w:id="282"/>
      </w:r>
      <w:r w:rsidRPr="00557698">
        <w:t xml:space="preserve">  </w:t>
      </w:r>
      <w:r w:rsidRPr="00557698">
        <w:rPr>
          <w:szCs w:val="22"/>
        </w:rPr>
        <w:t xml:space="preserve">During each bidding round, </w:t>
      </w:r>
      <w:r>
        <w:t>the bidding system w</w:t>
      </w:r>
      <w:r>
        <w:t>ill</w:t>
      </w:r>
      <w:r w:rsidRPr="00557698">
        <w:t xml:space="preserve"> announce a per-block </w:t>
      </w:r>
      <w:r>
        <w:t xml:space="preserve">clock </w:t>
      </w:r>
      <w:r w:rsidRPr="00557698">
        <w:t>price</w:t>
      </w:r>
      <w:r>
        <w:t xml:space="preserve"> for each product—a category</w:t>
      </w:r>
      <w:r w:rsidRPr="00557698">
        <w:t xml:space="preserve"> in </w:t>
      </w:r>
      <w:r>
        <w:t xml:space="preserve">a </w:t>
      </w:r>
      <w:r w:rsidR="00444056">
        <w:t>PEA—</w:t>
      </w:r>
      <w:r w:rsidRPr="00557698" w:rsidR="00444056">
        <w:t xml:space="preserve">and </w:t>
      </w:r>
      <w:r w:rsidRPr="00557698">
        <w:t xml:space="preserve">qualified bidders </w:t>
      </w:r>
      <w:r>
        <w:t>will</w:t>
      </w:r>
      <w:r w:rsidRPr="00557698">
        <w:t xml:space="preserve"> submit, for each</w:t>
      </w:r>
      <w:r>
        <w:t xml:space="preserve"> product</w:t>
      </w:r>
      <w:r w:rsidRPr="00557698">
        <w:t xml:space="preserve"> for which they wish to bid, the number of blocks</w:t>
      </w:r>
      <w:r>
        <w:t xml:space="preserve"> </w:t>
      </w:r>
      <w:r w:rsidRPr="00557698">
        <w:t xml:space="preserve">they seek at the clock prices associated with the current round.  Bidding rounds </w:t>
      </w:r>
      <w:r>
        <w:t>will</w:t>
      </w:r>
      <w:r w:rsidRPr="00557698">
        <w:t xml:space="preserve"> be open for predetermined periods of time.  Bidders </w:t>
      </w:r>
      <w:r>
        <w:t>will</w:t>
      </w:r>
      <w:r w:rsidRPr="00557698">
        <w:t xml:space="preserve"> be subject to activity and eligibility rules that govern the pace at which they participate in the auction.</w:t>
      </w:r>
    </w:p>
    <w:p w:rsidR="00062EAF" w:rsidRPr="006842AD" w:rsidP="00062EAF" w14:paraId="158EA5E3" w14:textId="61FC19A8">
      <w:pPr>
        <w:pStyle w:val="ParaNum"/>
        <w:widowControl/>
        <w:rPr>
          <w:szCs w:val="22"/>
        </w:rPr>
      </w:pPr>
      <w:r>
        <w:t xml:space="preserve">In Auction 107, for each product, </w:t>
      </w:r>
      <w:r w:rsidRPr="00557698">
        <w:t xml:space="preserve">the clock price for a generic license block </w:t>
      </w:r>
      <w:r>
        <w:t>will</w:t>
      </w:r>
      <w:r w:rsidRPr="00557698">
        <w:t xml:space="preserve"> inc</w:t>
      </w:r>
      <w:r w:rsidRPr="00557698">
        <w:t xml:space="preserve">rease from round to round if bidders indicate total demand </w:t>
      </w:r>
      <w:r>
        <w:t xml:space="preserve">for blocks </w:t>
      </w:r>
      <w:r w:rsidRPr="00557698">
        <w:t xml:space="preserve">in that </w:t>
      </w:r>
      <w:r>
        <w:t>product</w:t>
      </w:r>
      <w:r w:rsidRPr="00557698">
        <w:t xml:space="preserve"> that exceeds the number of blocks available.  The bidding rounds w</w:t>
      </w:r>
      <w:r>
        <w:t>ill</w:t>
      </w:r>
      <w:r w:rsidRPr="00557698">
        <w:t xml:space="preserve"> continue until, for all </w:t>
      </w:r>
      <w:r>
        <w:t>products</w:t>
      </w:r>
      <w:r w:rsidRPr="00557698">
        <w:t>, the total number of blocks that bidders demand does not exceed the</w:t>
      </w:r>
      <w:r w:rsidRPr="00557698">
        <w:t xml:space="preserve"> supply of available blocks.  At that point, those bidders indicating demand for a </w:t>
      </w:r>
      <w:r>
        <w:t>product</w:t>
      </w:r>
      <w:r w:rsidRPr="00557698">
        <w:t xml:space="preserve"> at the final price w</w:t>
      </w:r>
      <w:r>
        <w:t>ill</w:t>
      </w:r>
      <w:r w:rsidRPr="00557698">
        <w:t xml:space="preserve"> be deemed winning bidders</w:t>
      </w:r>
      <w:r>
        <w:t>.</w:t>
      </w:r>
    </w:p>
    <w:p w:rsidR="00062EAF" w:rsidRPr="000C2F84" w:rsidP="00062EAF" w14:paraId="1C7EA1E6" w14:textId="5301B7C4">
      <w:pPr>
        <w:pStyle w:val="ParaNum"/>
        <w:widowControl/>
      </w:pPr>
      <w:r>
        <w:t xml:space="preserve">Following the clock phase, the assignment phase will offer clock phase winners the opportunity to bid an </w:t>
      </w:r>
      <w:r>
        <w:t>additional amount for licenses with specific frequencies.  All winning bidders, regardless of whether they bid in the assignment phase, will be assigned licenses for contiguous blocks within each PEA.</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rsidR="00062EAF" w:rsidRPr="00435180" w:rsidP="00062EAF" w14:paraId="4115C361" w14:textId="77777777">
      <w:pPr>
        <w:pStyle w:val="Heading3"/>
      </w:pPr>
      <w:bookmarkStart w:id="1978" w:name="_Toc25926271"/>
      <w:bookmarkStart w:id="1979" w:name="_Toc25926849"/>
      <w:bookmarkStart w:id="1980" w:name="_Toc25926967"/>
      <w:bookmarkStart w:id="1981" w:name="_Toc27039030"/>
      <w:bookmarkStart w:id="1982" w:name="_Toc29813173"/>
      <w:bookmarkStart w:id="1983" w:name="_Toc29886898"/>
      <w:bookmarkStart w:id="1984" w:name="_Toc29999501"/>
      <w:bookmarkStart w:id="1985" w:name="_Toc30699428"/>
      <w:bookmarkStart w:id="1986" w:name="_Toc30701508"/>
      <w:bookmarkStart w:id="1987" w:name="_Toc31189329"/>
      <w:bookmarkStart w:id="1988" w:name="_Toc31189783"/>
      <w:bookmarkStart w:id="1989" w:name="_Toc31193150"/>
      <w:bookmarkStart w:id="1990" w:name="_Toc31195898"/>
      <w:bookmarkStart w:id="1991" w:name="_Toc31200022"/>
      <w:bookmarkStart w:id="1992" w:name="_Toc31713789"/>
      <w:bookmarkStart w:id="1993" w:name="_Toc31822698"/>
      <w:bookmarkStart w:id="1994" w:name="_Toc33629855"/>
      <w:bookmarkStart w:id="1995" w:name="_Toc33696707"/>
      <w:r>
        <w:t>Generic License Blocks</w:t>
      </w:r>
      <w:bookmarkEnd w:id="1978"/>
      <w:bookmarkEnd w:id="1979"/>
      <w:bookmarkEnd w:id="1980"/>
      <w:bookmarkEnd w:id="1981"/>
      <w:bookmarkEnd w:id="1982"/>
      <w:bookmarkEnd w:id="1983"/>
      <w:r>
        <w:t xml:space="preserve"> and </w:t>
      </w:r>
      <w:bookmarkStart w:id="1996" w:name="_Toc29999502"/>
      <w:bookmarkStart w:id="1997" w:name="_Toc30699429"/>
      <w:bookmarkStart w:id="1998" w:name="_Toc30701509"/>
      <w:bookmarkStart w:id="1999" w:name="_Toc31189330"/>
      <w:bookmarkStart w:id="2000" w:name="_Toc31189784"/>
      <w:bookmarkStart w:id="2001" w:name="_Toc31193151"/>
      <w:bookmarkStart w:id="2002" w:name="_Toc31195899"/>
      <w:bookmarkStart w:id="2003" w:name="_Toc31200023"/>
      <w:bookmarkStart w:id="2004" w:name="_Toc31713790"/>
      <w:bookmarkStart w:id="2005" w:name="_Toc31822699"/>
      <w:bookmarkStart w:id="2006" w:name="_Toc33629856"/>
      <w:bookmarkStart w:id="2007" w:name="_Toc33696708"/>
      <w:bookmarkEnd w:id="1984"/>
      <w:bookmarkEnd w:id="1985"/>
      <w:bookmarkEnd w:id="1986"/>
      <w:bookmarkEnd w:id="1987"/>
      <w:bookmarkEnd w:id="1988"/>
      <w:bookmarkEnd w:id="1989"/>
      <w:bookmarkEnd w:id="1990"/>
      <w:bookmarkEnd w:id="1991"/>
      <w:bookmarkEnd w:id="1992"/>
      <w:bookmarkEnd w:id="1993"/>
      <w:bookmarkEnd w:id="1994"/>
      <w:bookmarkEnd w:id="1995"/>
      <w:r>
        <w:t>Bidding Categories</w:t>
      </w:r>
    </w:p>
    <w:p w:rsidR="00062EAF" w:rsidRPr="00DA5819" w:rsidP="00062EAF" w14:paraId="7AF53D5F" w14:textId="0CD02C9E">
      <w:pPr>
        <w:pStyle w:val="ParaNum"/>
        <w:widowControl/>
      </w:pPr>
      <w:r>
        <w:rPr>
          <w:szCs w:val="22"/>
        </w:rPr>
        <w:t>Under the</w:t>
      </w:r>
      <w:r>
        <w:rPr>
          <w:szCs w:val="22"/>
        </w:rPr>
        <w:t xml:space="preserve"> approach that we adopt, the clock phase categories will be determined based on the </w:t>
      </w:r>
      <w:r w:rsidRPr="00907334">
        <w:t>specific clearing deadline to which incumbent earth stations are subject, i.e., Phase I or Phase II</w:t>
      </w:r>
      <w:r>
        <w:rPr>
          <w:szCs w:val="22"/>
        </w:rPr>
        <w:t xml:space="preserve">, consistent with the alternative approach on which we sought comment in </w:t>
      </w:r>
      <w:r>
        <w:rPr>
          <w:szCs w:val="22"/>
        </w:rPr>
        <w:t xml:space="preserve">the </w:t>
      </w:r>
      <w:r w:rsidRPr="00867A8C">
        <w:rPr>
          <w:i/>
          <w:iCs/>
          <w:szCs w:val="22"/>
        </w:rPr>
        <w:t>Auction 107 Comment Public Notice</w:t>
      </w:r>
      <w:r>
        <w:rPr>
          <w:szCs w:val="22"/>
        </w:rPr>
        <w:t>.</w:t>
      </w:r>
      <w:r>
        <w:rPr>
          <w:rStyle w:val="FootnoteReference"/>
          <w:szCs w:val="22"/>
        </w:rPr>
        <w:footnoteReference w:id="283"/>
      </w:r>
      <w:r>
        <w:rPr>
          <w:szCs w:val="22"/>
        </w:rPr>
        <w:t xml:space="preserve">  All commenters that address bidding procedures </w:t>
      </w:r>
      <w:r w:rsidRPr="00B065F2">
        <w:rPr>
          <w:szCs w:val="22"/>
        </w:rPr>
        <w:t>strongly favor</w:t>
      </w:r>
      <w:r w:rsidRPr="0012404F">
        <w:rPr>
          <w:szCs w:val="22"/>
        </w:rPr>
        <w:t xml:space="preserve"> this alternative approach</w:t>
      </w:r>
      <w:r>
        <w:rPr>
          <w:szCs w:val="22"/>
        </w:rPr>
        <w:t xml:space="preserve">, and assert that it will reduce the need for bidders to switch bidding across categories, facilitate </w:t>
      </w:r>
      <w:r>
        <w:rPr>
          <w:szCs w:val="22"/>
        </w:rPr>
        <w:t>contiguous assignment, an</w:t>
      </w:r>
      <w:r>
        <w:rPr>
          <w:szCs w:val="22"/>
        </w:rPr>
        <w:t>d accelerate the auction</w:t>
      </w:r>
      <w:r w:rsidRPr="00B065F2">
        <w:rPr>
          <w:szCs w:val="22"/>
        </w:rPr>
        <w:t>.</w:t>
      </w:r>
      <w:r>
        <w:rPr>
          <w:rStyle w:val="FootnoteReference"/>
          <w:szCs w:val="22"/>
        </w:rPr>
        <w:footnoteReference w:id="284"/>
      </w:r>
      <w:r w:rsidRPr="00B065F2">
        <w:rPr>
          <w:szCs w:val="22"/>
        </w:rPr>
        <w:t xml:space="preserve">  </w:t>
      </w:r>
      <w:r>
        <w:rPr>
          <w:szCs w:val="22"/>
        </w:rPr>
        <w:t xml:space="preserve">We agree.  </w:t>
      </w:r>
      <w:r w:rsidRPr="002F3839">
        <w:rPr>
          <w:szCs w:val="22"/>
        </w:rPr>
        <w:t xml:space="preserve">The commenters argue that the essential difference between the blocks </w:t>
      </w:r>
      <w:r>
        <w:rPr>
          <w:szCs w:val="22"/>
        </w:rPr>
        <w:t>is</w:t>
      </w:r>
      <w:r w:rsidRPr="002F3839">
        <w:rPr>
          <w:szCs w:val="22"/>
        </w:rPr>
        <w:t xml:space="preserve"> whether they</w:t>
      </w:r>
      <w:r>
        <w:rPr>
          <w:szCs w:val="22"/>
        </w:rPr>
        <w:t xml:space="preserve"> will</w:t>
      </w:r>
      <w:r w:rsidRPr="002F3839">
        <w:rPr>
          <w:szCs w:val="22"/>
        </w:rPr>
        <w:t xml:space="preserve"> be subject to the Ph</w:t>
      </w:r>
      <w:r>
        <w:rPr>
          <w:szCs w:val="22"/>
        </w:rPr>
        <w:t>ase I deadline, and that consequently, the blocks should be categorized for clock phase bidding according</w:t>
      </w:r>
      <w:r>
        <w:rPr>
          <w:szCs w:val="22"/>
        </w:rPr>
        <w:t>ly.</w:t>
      </w:r>
      <w:r>
        <w:rPr>
          <w:rStyle w:val="FootnoteReference"/>
          <w:szCs w:val="22"/>
        </w:rPr>
        <w:footnoteReference w:id="285"/>
      </w:r>
      <w:r>
        <w:rPr>
          <w:szCs w:val="22"/>
        </w:rPr>
        <w:t xml:space="preserve">  </w:t>
      </w:r>
    </w:p>
    <w:p w:rsidR="00062EAF" w:rsidP="00062EAF" w14:paraId="2D405D40" w14:textId="4E5BBBA4">
      <w:pPr>
        <w:pStyle w:val="ParaNum"/>
        <w:widowControl/>
      </w:pPr>
      <w:bookmarkStart w:id="2008" w:name="_Hlk44339213"/>
      <w:r>
        <w:rPr>
          <w:szCs w:val="22"/>
        </w:rPr>
        <w:t xml:space="preserve">In the 46 PEAs where certain blocks are subject to the Phase I deadline and others </w:t>
      </w:r>
      <w:r w:rsidR="00110FF9">
        <w:rPr>
          <w:szCs w:val="22"/>
        </w:rPr>
        <w:t xml:space="preserve">only </w:t>
      </w:r>
      <w:r>
        <w:rPr>
          <w:szCs w:val="22"/>
        </w:rPr>
        <w:t xml:space="preserve">to the Phase II deadline, we will conduct clock phase bidding for two categories of generic blocks based on whether the Phase I or Phase II deadline applies to </w:t>
      </w:r>
      <w:r>
        <w:rPr>
          <w:szCs w:val="22"/>
        </w:rPr>
        <w:t xml:space="preserve">the specific blocks. </w:t>
      </w:r>
      <w:bookmarkEnd w:id="2008"/>
      <w:r>
        <w:rPr>
          <w:szCs w:val="22"/>
        </w:rPr>
        <w:t xml:space="preserve"> </w:t>
      </w:r>
      <w:r w:rsidR="00110FF9">
        <w:rPr>
          <w:szCs w:val="22"/>
        </w:rPr>
        <w:t xml:space="preserve">Accordingly, in the 46 PEAs where certain blocks are subject to the Phase I deadline, </w:t>
      </w:r>
      <w:r w:rsidR="00110FF9">
        <w:t xml:space="preserve">the </w:t>
      </w:r>
      <w:r w:rsidRPr="00A077F4" w:rsidR="00110FF9">
        <w:t xml:space="preserve">first category of generic blocks will consist of the 20-megahertz sub-blocks between 3.7–3.8 GHz.  </w:t>
      </w:r>
      <w:r w:rsidRPr="00A077F4">
        <w:t>This category, designated Category A, will co</w:t>
      </w:r>
      <w:r w:rsidRPr="00A077F4">
        <w:t xml:space="preserve">mprise </w:t>
      </w:r>
      <w:r>
        <w:t xml:space="preserve">the </w:t>
      </w:r>
      <w:r w:rsidRPr="00A077F4">
        <w:t>five blocks</w:t>
      </w:r>
      <w:r>
        <w:t xml:space="preserve"> subject to the Phase I deadline</w:t>
      </w:r>
      <w:r w:rsidRPr="00A077F4">
        <w:t xml:space="preserve">.  </w:t>
      </w:r>
      <w:r>
        <w:t>The</w:t>
      </w:r>
      <w:r w:rsidRPr="00A077F4">
        <w:t xml:space="preserve"> second category</w:t>
      </w:r>
      <w:r>
        <w:t xml:space="preserve"> of blocks, Category BC, will consist of the nine blocks that are subject to the Phase II deadline</w:t>
      </w:r>
      <w:r w:rsidRPr="00A077F4">
        <w:t>.</w:t>
      </w:r>
      <w:r>
        <w:rPr>
          <w:rStyle w:val="FootnoteReference"/>
        </w:rPr>
        <w:footnoteReference w:id="286"/>
      </w:r>
      <w:r w:rsidRPr="00A077F4">
        <w:t xml:space="preserve"> </w:t>
      </w:r>
      <w:r>
        <w:t xml:space="preserve"> </w:t>
      </w:r>
      <w:r w:rsidRPr="00907334">
        <w:t xml:space="preserve">In the remaining 360 PEAs </w:t>
      </w:r>
      <w:r>
        <w:t>where there are no</w:t>
      </w:r>
      <w:r w:rsidR="00444056">
        <w:t xml:space="preserve"> </w:t>
      </w:r>
      <w:r>
        <w:t>blocks subject to the Phase I de</w:t>
      </w:r>
      <w:r>
        <w:t xml:space="preserve">adline there will be a single bidding category, designated ABC, consisting of all of the 14 20-megahertz blocks between </w:t>
      </w:r>
      <w:r w:rsidRPr="00A077F4">
        <w:t>3.</w:t>
      </w:r>
      <w:r>
        <w:t>7</w:t>
      </w:r>
      <w:r w:rsidRPr="00A077F4">
        <w:t>–3.98 GHz</w:t>
      </w:r>
      <w:r>
        <w:t>.</w:t>
      </w:r>
      <w:r>
        <w:rPr>
          <w:rStyle w:val="FootnoteReference"/>
        </w:rPr>
        <w:footnoteReference w:id="287"/>
      </w:r>
      <w:r>
        <w:t xml:space="preserve">  The approach we proposed in the </w:t>
      </w:r>
      <w:r>
        <w:rPr>
          <w:i/>
          <w:iCs/>
        </w:rPr>
        <w:t xml:space="preserve">Auction </w:t>
      </w:r>
      <w:r w:rsidR="00444056">
        <w:rPr>
          <w:i/>
          <w:iCs/>
        </w:rPr>
        <w:t xml:space="preserve">107 </w:t>
      </w:r>
      <w:r>
        <w:rPr>
          <w:i/>
          <w:iCs/>
        </w:rPr>
        <w:t>Comment P</w:t>
      </w:r>
      <w:r w:rsidR="00444056">
        <w:rPr>
          <w:i/>
          <w:iCs/>
        </w:rPr>
        <w:t xml:space="preserve">ublic </w:t>
      </w:r>
      <w:r>
        <w:rPr>
          <w:i/>
          <w:iCs/>
        </w:rPr>
        <w:t>N</w:t>
      </w:r>
      <w:r w:rsidR="00444056">
        <w:rPr>
          <w:i/>
          <w:iCs/>
        </w:rPr>
        <w:t>otice</w:t>
      </w:r>
      <w:r>
        <w:t xml:space="preserve">, in contrast, would have conducted bidding for two </w:t>
      </w:r>
      <w:r>
        <w:t>categories (A and BC) in all 406 PEAs.</w:t>
      </w:r>
      <w:r>
        <w:rPr>
          <w:rStyle w:val="FootnoteReference"/>
        </w:rPr>
        <w:footnoteReference w:id="288"/>
      </w:r>
      <w:r w:rsidRPr="00A077F4">
        <w:t xml:space="preserve"> </w:t>
      </w:r>
      <w:r>
        <w:t xml:space="preserve">  </w:t>
      </w:r>
    </w:p>
    <w:p w:rsidR="00062EAF" w:rsidRPr="00A077F4" w:rsidP="00062EAF" w14:paraId="19461DEB" w14:textId="637E43CD">
      <w:pPr>
        <w:pStyle w:val="ParaNum"/>
        <w:widowControl/>
      </w:pPr>
      <w:r>
        <w:t xml:space="preserve"> </w:t>
      </w:r>
      <w:r w:rsidRPr="00A077F4">
        <w:t>In each bidding round, a bidder will have the opportunity to bid for the quantity of generic blocks it demands in each bidding categor</w:t>
      </w:r>
      <w:r>
        <w:t xml:space="preserve">y </w:t>
      </w:r>
      <w:r w:rsidR="00110FF9">
        <w:t xml:space="preserve">available </w:t>
      </w:r>
      <w:r>
        <w:t>in each PEA</w:t>
      </w:r>
      <w:r w:rsidRPr="00A077F4">
        <w:t xml:space="preserve">.  Bidding in the clock phase will determine a single </w:t>
      </w:r>
      <w:r w:rsidRPr="00A077F4">
        <w:t>price for all the generic blocks in each category in each PEA.</w:t>
      </w:r>
      <w:r w:rsidRPr="00A077F4">
        <w:rPr>
          <w:szCs w:val="22"/>
        </w:rPr>
        <w:t xml:space="preserve"> </w:t>
      </w:r>
      <w:r w:rsidRPr="00A077F4">
        <w:t xml:space="preserve"> </w:t>
      </w:r>
    </w:p>
    <w:p w:rsidR="00062EAF" w:rsidP="00062EAF" w14:paraId="31F686A8" w14:textId="77777777">
      <w:pPr>
        <w:pStyle w:val="Heading3"/>
      </w:pPr>
      <w:r>
        <w:t>Bidding Rounds</w:t>
      </w:r>
      <w:bookmarkEnd w:id="1996"/>
      <w:bookmarkEnd w:id="1997"/>
      <w:bookmarkEnd w:id="1998"/>
      <w:bookmarkEnd w:id="1999"/>
      <w:bookmarkEnd w:id="2000"/>
      <w:bookmarkEnd w:id="2001"/>
      <w:bookmarkEnd w:id="2002"/>
      <w:bookmarkEnd w:id="2003"/>
      <w:bookmarkEnd w:id="2004"/>
      <w:bookmarkEnd w:id="2005"/>
      <w:bookmarkEnd w:id="2006"/>
      <w:bookmarkEnd w:id="2007"/>
    </w:p>
    <w:p w:rsidR="00062EAF" w:rsidRPr="00435180" w:rsidP="009E7E62" w14:paraId="4ECD89CF" w14:textId="35F7C41C">
      <w:pPr>
        <w:pStyle w:val="ParaNum"/>
        <w:keepNext/>
        <w:widowControl/>
        <w:rPr>
          <w:szCs w:val="22"/>
        </w:rPr>
      </w:pPr>
      <w:r>
        <w:t>As proposed</w:t>
      </w:r>
      <w:r w:rsidRPr="00557698">
        <w:t>, Auction 10</w:t>
      </w:r>
      <w:r>
        <w:t>7</w:t>
      </w:r>
      <w:r w:rsidRPr="00557698">
        <w:t xml:space="preserve"> w</w:t>
      </w:r>
      <w:r>
        <w:t>ill</w:t>
      </w:r>
      <w:r w:rsidRPr="00557698">
        <w:t xml:space="preserve"> consist of sequential bidding rounds, each followed by the release of round results.  </w:t>
      </w:r>
      <w:r>
        <w:t>We will conduct bidding simultaneously for all spectrum bloc</w:t>
      </w:r>
      <w:r>
        <w:t xml:space="preserve">ks in all bidding categories for all PEAs available in the auction.  In the first bidding round of Auction 107, a bidder will indicate, for each product, how many generic license blocks it demands at the minimum opening bid price.  </w:t>
      </w:r>
      <w:r w:rsidRPr="00435180">
        <w:rPr>
          <w:szCs w:val="22"/>
        </w:rPr>
        <w:t xml:space="preserve">  </w:t>
      </w:r>
    </w:p>
    <w:p w:rsidR="00062EAF" w:rsidRPr="004C1F1A" w:rsidP="00062EAF" w14:paraId="3E2CA9BC" w14:textId="6C064114">
      <w:pPr>
        <w:pStyle w:val="ParaNum"/>
        <w:widowControl/>
      </w:pPr>
      <w:r w:rsidRPr="009059B5">
        <w:rPr>
          <w:szCs w:val="22"/>
        </w:rPr>
        <w:t>The initial bidding s</w:t>
      </w:r>
      <w:r w:rsidRPr="009059B5">
        <w:rPr>
          <w:szCs w:val="22"/>
        </w:rPr>
        <w:t>chedule will be announced in a public notice to be released at least one week before the start of bidding.</w:t>
      </w:r>
      <w:r>
        <w:rPr>
          <w:rStyle w:val="FootnoteReference"/>
          <w:szCs w:val="22"/>
        </w:rPr>
        <w:footnoteReference w:id="289"/>
      </w:r>
      <w:r w:rsidRPr="009059B5">
        <w:rPr>
          <w:szCs w:val="22"/>
        </w:rPr>
        <w:t xml:space="preserve">  We also adopt the proposal that the bidding schedule may be changed in order to foster an auction pace that reasonably balances speed with the bid</w:t>
      </w:r>
      <w:r w:rsidRPr="009059B5">
        <w:rPr>
          <w:szCs w:val="22"/>
        </w:rPr>
        <w:t>ders’ need to study round results and adjust their bidding strategies.</w:t>
      </w:r>
      <w:r>
        <w:rPr>
          <w:rStyle w:val="FootnoteReference"/>
          <w:szCs w:val="22"/>
        </w:rPr>
        <w:footnoteReference w:id="290"/>
      </w:r>
      <w:r w:rsidRPr="009059B5">
        <w:rPr>
          <w:szCs w:val="22"/>
        </w:rPr>
        <w:t xml:space="preserve">  Such changes may include the amount of time for bidding rounds, the amount of time between rounds, or the number of rounds per day, depending upon bidding activity and other factors.</w:t>
      </w:r>
      <w:r>
        <w:rPr>
          <w:rStyle w:val="FootnoteReference"/>
          <w:szCs w:val="22"/>
        </w:rPr>
        <w:footnoteReference w:id="291"/>
      </w:r>
      <w:r w:rsidRPr="009059B5">
        <w:rPr>
          <w:szCs w:val="22"/>
        </w:rPr>
        <w:t xml:space="preserve">  As </w:t>
      </w:r>
      <w:r>
        <w:rPr>
          <w:szCs w:val="22"/>
        </w:rPr>
        <w:t>is typical</w:t>
      </w:r>
      <w:r w:rsidRPr="009059B5">
        <w:rPr>
          <w:szCs w:val="22"/>
        </w:rPr>
        <w:t xml:space="preserve">, </w:t>
      </w:r>
      <w:r>
        <w:rPr>
          <w:szCs w:val="22"/>
        </w:rPr>
        <w:t xml:space="preserve">the bidding system </w:t>
      </w:r>
      <w:r w:rsidRPr="009059B5">
        <w:rPr>
          <w:szCs w:val="22"/>
        </w:rPr>
        <w:t>will announce any such changes to the bidding schedule several rounds before the change occurs.</w:t>
      </w:r>
    </w:p>
    <w:p w:rsidR="00062EAF" w:rsidRPr="00C2492D" w:rsidP="00062EAF" w14:paraId="52785B7A" w14:textId="3A198285">
      <w:pPr>
        <w:pStyle w:val="ParaNum"/>
        <w:widowControl/>
        <w:tabs>
          <w:tab w:val="left" w:pos="1440"/>
        </w:tabs>
        <w:rPr>
          <w:szCs w:val="22"/>
        </w:rPr>
      </w:pPr>
      <w:r>
        <w:rPr>
          <w:szCs w:val="22"/>
        </w:rPr>
        <w:t xml:space="preserve">A bidder may submit its bids using the bidding system’s </w:t>
      </w:r>
      <w:r w:rsidRPr="00435180">
        <w:rPr>
          <w:i/>
          <w:szCs w:val="22"/>
        </w:rPr>
        <w:t>upload</w:t>
      </w:r>
      <w:r w:rsidRPr="00435180">
        <w:rPr>
          <w:szCs w:val="22"/>
        </w:rPr>
        <w:t xml:space="preserve"> function</w:t>
      </w:r>
      <w:r>
        <w:rPr>
          <w:szCs w:val="22"/>
        </w:rPr>
        <w:t>, which</w:t>
      </w:r>
      <w:r w:rsidRPr="00435180">
        <w:rPr>
          <w:szCs w:val="22"/>
        </w:rPr>
        <w:t xml:space="preserve"> allows bid files in </w:t>
      </w:r>
      <w:r>
        <w:rPr>
          <w:szCs w:val="22"/>
        </w:rPr>
        <w:t>a</w:t>
      </w:r>
      <w:r w:rsidRPr="00435180">
        <w:rPr>
          <w:szCs w:val="22"/>
        </w:rPr>
        <w:t xml:space="preserve"> </w:t>
      </w:r>
      <w:r>
        <w:rPr>
          <w:szCs w:val="22"/>
        </w:rPr>
        <w:t>comma-separated value (</w:t>
      </w:r>
      <w:r w:rsidRPr="00435180">
        <w:rPr>
          <w:szCs w:val="22"/>
        </w:rPr>
        <w:t>CSV</w:t>
      </w:r>
      <w:r>
        <w:rPr>
          <w:szCs w:val="22"/>
        </w:rPr>
        <w:t>)</w:t>
      </w:r>
      <w:r w:rsidRPr="00435180">
        <w:rPr>
          <w:szCs w:val="22"/>
        </w:rPr>
        <w:t xml:space="preserve"> format to be uploaded.</w:t>
      </w:r>
      <w:r>
        <w:rPr>
          <w:szCs w:val="22"/>
        </w:rPr>
        <w:t xml:space="preserve">  </w:t>
      </w:r>
      <w:r w:rsidRPr="00907334">
        <w:t>A bidder may also submit bids through the auction bidding system user interface or using the telephonic bidder line.</w:t>
      </w:r>
      <w:r>
        <w:rPr>
          <w:rStyle w:val="FootnoteReference"/>
        </w:rPr>
        <w:footnoteReference w:id="292"/>
      </w:r>
      <w:r w:rsidRPr="00907334">
        <w:t xml:space="preserve">  In all cases, the </w:t>
      </w:r>
      <w:r>
        <w:rPr>
          <w:szCs w:val="22"/>
        </w:rPr>
        <w:t xml:space="preserve">bidding system will not allow bids to be submitted unless the bidder selected the PEAs </w:t>
      </w:r>
      <w:r w:rsidRPr="006B1C7F">
        <w:rPr>
          <w:szCs w:val="22"/>
        </w:rPr>
        <w:t xml:space="preserve">on </w:t>
      </w:r>
      <w:r>
        <w:rPr>
          <w:szCs w:val="22"/>
        </w:rPr>
        <w:t>its</w:t>
      </w:r>
      <w:r w:rsidRPr="006B1C7F">
        <w:rPr>
          <w:szCs w:val="22"/>
        </w:rPr>
        <w:t xml:space="preserve"> FCC Form 175</w:t>
      </w:r>
      <w:r>
        <w:rPr>
          <w:szCs w:val="22"/>
        </w:rPr>
        <w:t xml:space="preserve"> and the bidder has sufficient bidding eligibility.</w:t>
      </w:r>
      <w:r>
        <w:rPr>
          <w:rStyle w:val="FootnoteReference"/>
          <w:szCs w:val="22"/>
        </w:rPr>
        <w:footnoteReference w:id="293"/>
      </w:r>
      <w:r w:rsidRPr="006B1C7F">
        <w:rPr>
          <w:szCs w:val="22"/>
        </w:rPr>
        <w:t xml:space="preserve"> </w:t>
      </w:r>
    </w:p>
    <w:p w:rsidR="00062EAF" w:rsidRPr="000C2F84" w:rsidP="00062EAF" w14:paraId="6E5A2A6A" w14:textId="46251943">
      <w:pPr>
        <w:pStyle w:val="ParaNum"/>
        <w:widowControl/>
        <w:tabs>
          <w:tab w:val="left" w:pos="1440"/>
        </w:tabs>
        <w:rPr>
          <w:szCs w:val="22"/>
        </w:rPr>
      </w:pPr>
      <w:r w:rsidRPr="00435180">
        <w:rPr>
          <w:szCs w:val="22"/>
        </w:rPr>
        <w:t>During each round, a bidder may also remove bids placed in the current round</w:t>
      </w:r>
      <w:r>
        <w:rPr>
          <w:szCs w:val="22"/>
        </w:rPr>
        <w:t>, as proposed</w:t>
      </w:r>
      <w:r w:rsidRPr="00435180">
        <w:rPr>
          <w:szCs w:val="22"/>
        </w:rPr>
        <w:t>.</w:t>
      </w:r>
      <w:r>
        <w:rPr>
          <w:rStyle w:val="FootnoteReference"/>
          <w:szCs w:val="22"/>
        </w:rPr>
        <w:footnoteReference w:id="294"/>
      </w:r>
      <w:r w:rsidRPr="00435180">
        <w:rPr>
          <w:szCs w:val="22"/>
        </w:rPr>
        <w:t xml:space="preserve">  I</w:t>
      </w:r>
      <w:r w:rsidRPr="00435180">
        <w:rPr>
          <w:szCs w:val="22"/>
        </w:rPr>
        <w:t xml:space="preserve">f a bidder modifies its bids for blocks in a </w:t>
      </w:r>
      <w:r>
        <w:rPr>
          <w:szCs w:val="22"/>
        </w:rPr>
        <w:t>PEA</w:t>
      </w:r>
      <w:r w:rsidRPr="00435180">
        <w:rPr>
          <w:szCs w:val="22"/>
        </w:rPr>
        <w:t xml:space="preserve"> in a round, the system takes the last bid submission as that bidder’s bid for the round.</w:t>
      </w:r>
      <w:r>
        <w:rPr>
          <w:rStyle w:val="FootnoteReference"/>
          <w:szCs w:val="22"/>
        </w:rPr>
        <w:footnoteReference w:id="295"/>
      </w:r>
    </w:p>
    <w:p w:rsidR="00062EAF" w:rsidRPr="00435180" w:rsidP="00062EAF" w14:paraId="141A0F35" w14:textId="77777777">
      <w:pPr>
        <w:pStyle w:val="Heading3"/>
      </w:pPr>
      <w:bookmarkStart w:id="2009" w:name="_Toc25926273"/>
      <w:bookmarkStart w:id="2010" w:name="_Toc25926851"/>
      <w:bookmarkStart w:id="2011" w:name="_Toc25926969"/>
      <w:bookmarkStart w:id="2012" w:name="_Toc27039032"/>
      <w:bookmarkStart w:id="2013" w:name="_Toc29813175"/>
      <w:bookmarkStart w:id="2014" w:name="_Toc29886900"/>
      <w:bookmarkStart w:id="2015" w:name="_Toc29999504"/>
      <w:bookmarkStart w:id="2016" w:name="_Toc30699430"/>
      <w:bookmarkStart w:id="2017" w:name="_Toc30701510"/>
      <w:bookmarkStart w:id="2018" w:name="_Toc31189331"/>
      <w:bookmarkStart w:id="2019" w:name="_Toc31189785"/>
      <w:bookmarkStart w:id="2020" w:name="_Toc31193152"/>
      <w:bookmarkStart w:id="2021" w:name="_Toc31195900"/>
      <w:bookmarkStart w:id="2022" w:name="_Toc31200024"/>
      <w:bookmarkStart w:id="2023" w:name="_Toc31713791"/>
      <w:bookmarkStart w:id="2024" w:name="_Toc31822700"/>
      <w:bookmarkStart w:id="2025" w:name="_Toc33629857"/>
      <w:bookmarkStart w:id="2026" w:name="_Toc33696709"/>
      <w:r>
        <w:t>Stopping Rule</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rsidR="00062EAF" w:rsidRPr="007876EB" w:rsidP="00062EAF" w14:paraId="46C630E8" w14:textId="1846F609">
      <w:pPr>
        <w:pStyle w:val="ParaNum"/>
        <w:widowControl/>
        <w:rPr>
          <w:szCs w:val="22"/>
        </w:rPr>
      </w:pPr>
      <w:bookmarkStart w:id="2027" w:name="_Hlk31879456"/>
      <w:r>
        <w:rPr>
          <w:szCs w:val="22"/>
        </w:rPr>
        <w:t xml:space="preserve">We </w:t>
      </w:r>
      <w:r w:rsidRPr="00435180">
        <w:rPr>
          <w:szCs w:val="22"/>
        </w:rPr>
        <w:t xml:space="preserve">adopt </w:t>
      </w:r>
      <w:r>
        <w:rPr>
          <w:szCs w:val="22"/>
        </w:rPr>
        <w:t xml:space="preserve">our proposal to use </w:t>
      </w:r>
      <w:r w:rsidRPr="00435180">
        <w:rPr>
          <w:szCs w:val="22"/>
        </w:rPr>
        <w:t xml:space="preserve">a simultaneous stopping rule for </w:t>
      </w:r>
      <w:r>
        <w:rPr>
          <w:szCs w:val="22"/>
        </w:rPr>
        <w:t xml:space="preserve">the clock phase of </w:t>
      </w:r>
      <w:r w:rsidRPr="00435180">
        <w:rPr>
          <w:szCs w:val="22"/>
        </w:rPr>
        <w:t>Auction 10</w:t>
      </w:r>
      <w:r>
        <w:rPr>
          <w:szCs w:val="22"/>
        </w:rPr>
        <w:t>7</w:t>
      </w:r>
      <w:r w:rsidRPr="00435180">
        <w:rPr>
          <w:szCs w:val="22"/>
        </w:rPr>
        <w:t>, under wh</w:t>
      </w:r>
      <w:r w:rsidRPr="00435180">
        <w:rPr>
          <w:szCs w:val="22"/>
        </w:rPr>
        <w:t xml:space="preserve">ich all blocks in </w:t>
      </w:r>
      <w:r>
        <w:rPr>
          <w:szCs w:val="22"/>
        </w:rPr>
        <w:t xml:space="preserve">both categories in </w:t>
      </w:r>
      <w:r w:rsidRPr="00435180">
        <w:rPr>
          <w:szCs w:val="22"/>
        </w:rPr>
        <w:t xml:space="preserve">all </w:t>
      </w:r>
      <w:r>
        <w:rPr>
          <w:szCs w:val="22"/>
        </w:rPr>
        <w:t xml:space="preserve">PEAs </w:t>
      </w:r>
      <w:r w:rsidRPr="00435180">
        <w:rPr>
          <w:szCs w:val="22"/>
        </w:rPr>
        <w:t xml:space="preserve">will remain available for bidding until the bidding stops in every </w:t>
      </w:r>
      <w:r>
        <w:rPr>
          <w:szCs w:val="22"/>
        </w:rPr>
        <w:t>PEA</w:t>
      </w:r>
      <w:r w:rsidRPr="00435180">
        <w:rPr>
          <w:szCs w:val="22"/>
        </w:rPr>
        <w:t>.</w:t>
      </w:r>
      <w:r>
        <w:rPr>
          <w:rStyle w:val="FootnoteReference"/>
          <w:szCs w:val="22"/>
        </w:rPr>
        <w:footnoteReference w:id="296"/>
      </w:r>
      <w:r w:rsidRPr="00435180">
        <w:rPr>
          <w:szCs w:val="22"/>
        </w:rPr>
        <w:t xml:space="preserve">  Specifically, </w:t>
      </w:r>
      <w:r>
        <w:rPr>
          <w:szCs w:val="22"/>
        </w:rPr>
        <w:t>in the clock phase</w:t>
      </w:r>
      <w:r w:rsidR="00444056">
        <w:rPr>
          <w:szCs w:val="22"/>
        </w:rPr>
        <w:t>,</w:t>
      </w:r>
      <w:r>
        <w:rPr>
          <w:szCs w:val="22"/>
        </w:rPr>
        <w:t xml:space="preserve"> </w:t>
      </w:r>
      <w:r w:rsidRPr="00435180">
        <w:rPr>
          <w:szCs w:val="22"/>
        </w:rPr>
        <w:t xml:space="preserve">bidding will close for blocks in all </w:t>
      </w:r>
      <w:r>
        <w:rPr>
          <w:szCs w:val="22"/>
        </w:rPr>
        <w:t>PEAs</w:t>
      </w:r>
      <w:r w:rsidRPr="00435180">
        <w:rPr>
          <w:szCs w:val="22"/>
        </w:rPr>
        <w:t xml:space="preserve"> after the first round in which there is no excess </w:t>
      </w:r>
      <w:r>
        <w:rPr>
          <w:szCs w:val="22"/>
        </w:rPr>
        <w:t>processed</w:t>
      </w:r>
      <w:r>
        <w:rPr>
          <w:szCs w:val="22"/>
        </w:rPr>
        <w:t xml:space="preserve"> </w:t>
      </w:r>
      <w:r w:rsidRPr="00435180">
        <w:rPr>
          <w:szCs w:val="22"/>
        </w:rPr>
        <w:t xml:space="preserve">demand in any </w:t>
      </w:r>
      <w:r>
        <w:rPr>
          <w:szCs w:val="22"/>
        </w:rPr>
        <w:t>product.</w:t>
      </w:r>
      <w:r w:rsidRPr="00435180">
        <w:rPr>
          <w:szCs w:val="22"/>
        </w:rPr>
        <w:t xml:space="preserve">  Consequently, it is not possible to determine in advance how long the bidding in Auction 10</w:t>
      </w:r>
      <w:r>
        <w:rPr>
          <w:szCs w:val="22"/>
        </w:rPr>
        <w:t>7</w:t>
      </w:r>
      <w:r w:rsidRPr="00435180">
        <w:rPr>
          <w:szCs w:val="22"/>
        </w:rPr>
        <w:t xml:space="preserve"> will last.</w:t>
      </w:r>
      <w:bookmarkEnd w:id="2027"/>
    </w:p>
    <w:p w:rsidR="00062EAF" w:rsidRPr="00435180" w:rsidP="00062EAF" w14:paraId="3C4F0727" w14:textId="77777777">
      <w:pPr>
        <w:pStyle w:val="Heading3"/>
      </w:pPr>
      <w:bookmarkStart w:id="2028" w:name="_Toc25926852"/>
      <w:bookmarkStart w:id="2029" w:name="_Toc25926970"/>
      <w:bookmarkStart w:id="2030" w:name="_Toc27039033"/>
      <w:bookmarkStart w:id="2031" w:name="_Toc29813176"/>
      <w:bookmarkStart w:id="2032" w:name="_Toc29886901"/>
      <w:bookmarkStart w:id="2033" w:name="_Toc30699431"/>
      <w:bookmarkStart w:id="2034" w:name="_Toc30701511"/>
      <w:bookmarkStart w:id="2035" w:name="_Toc31189332"/>
      <w:bookmarkStart w:id="2036" w:name="_Toc31189786"/>
      <w:bookmarkStart w:id="2037" w:name="_Toc31193153"/>
      <w:bookmarkStart w:id="2038" w:name="_Toc31195901"/>
      <w:bookmarkStart w:id="2039" w:name="_Toc31200025"/>
      <w:bookmarkStart w:id="2040" w:name="_Toc31713792"/>
      <w:bookmarkStart w:id="2041" w:name="_Toc31822701"/>
      <w:bookmarkStart w:id="2042" w:name="_Toc33629858"/>
      <w:bookmarkStart w:id="2043" w:name="_Toc33696710"/>
      <w:bookmarkStart w:id="2044" w:name="_Toc25926274"/>
      <w:bookmarkStart w:id="2045" w:name="_Toc29999505"/>
      <w:r w:rsidRPr="00DF7334">
        <w:t>Availability</w:t>
      </w:r>
      <w:r>
        <w:t xml:space="preserve"> of Bidding Information</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t xml:space="preserve"> </w:t>
      </w:r>
      <w:bookmarkEnd w:id="2044"/>
      <w:bookmarkEnd w:id="2045"/>
    </w:p>
    <w:p w:rsidR="00062EAF" w:rsidRPr="00435180" w:rsidP="00062EAF" w14:paraId="3ED238F6" w14:textId="0349C896">
      <w:pPr>
        <w:pStyle w:val="ParaNum"/>
        <w:widowControl/>
        <w:rPr>
          <w:rFonts w:eastAsia="Calibri"/>
          <w:snapToGrid/>
          <w:szCs w:val="22"/>
        </w:rPr>
      </w:pPr>
      <w:r w:rsidRPr="00435180">
        <w:rPr>
          <w:rFonts w:eastAsia="Calibri"/>
          <w:snapToGrid/>
          <w:szCs w:val="22"/>
        </w:rPr>
        <w:t xml:space="preserve">We will make public after each </w:t>
      </w:r>
      <w:r>
        <w:rPr>
          <w:rFonts w:eastAsia="Calibri"/>
          <w:snapToGrid/>
          <w:szCs w:val="22"/>
        </w:rPr>
        <w:t xml:space="preserve">clock </w:t>
      </w:r>
      <w:r w:rsidRPr="00435180">
        <w:rPr>
          <w:rFonts w:eastAsia="Calibri"/>
          <w:snapToGrid/>
          <w:szCs w:val="22"/>
        </w:rPr>
        <w:t>round of Auction 10</w:t>
      </w:r>
      <w:r>
        <w:rPr>
          <w:rFonts w:eastAsia="Calibri"/>
          <w:snapToGrid/>
          <w:szCs w:val="22"/>
        </w:rPr>
        <w:t>7</w:t>
      </w:r>
      <w:r w:rsidRPr="00435180">
        <w:rPr>
          <w:rFonts w:eastAsia="Calibri"/>
          <w:snapToGrid/>
          <w:szCs w:val="22"/>
        </w:rPr>
        <w:t xml:space="preserve">, for each </w:t>
      </w:r>
      <w:r>
        <w:rPr>
          <w:rFonts w:eastAsia="Calibri"/>
          <w:snapToGrid/>
          <w:szCs w:val="22"/>
        </w:rPr>
        <w:t>category in each PEA</w:t>
      </w:r>
      <w:r w:rsidRPr="00435180">
        <w:rPr>
          <w:rFonts w:eastAsia="Calibri"/>
          <w:snapToGrid/>
          <w:szCs w:val="22"/>
        </w:rPr>
        <w:t xml:space="preserve">: </w:t>
      </w:r>
      <w:r w:rsidRPr="00435180">
        <w:rPr>
          <w:rFonts w:eastAsia="Calibri"/>
          <w:snapToGrid/>
          <w:szCs w:val="22"/>
        </w:rPr>
        <w:t xml:space="preserve"> </w:t>
      </w:r>
      <w:r>
        <w:rPr>
          <w:rFonts w:eastAsia="Calibri"/>
          <w:snapToGrid/>
          <w:szCs w:val="22"/>
        </w:rPr>
        <w:t xml:space="preserve">(1) </w:t>
      </w:r>
      <w:r w:rsidRPr="00435180">
        <w:rPr>
          <w:rFonts w:eastAsia="Calibri"/>
          <w:snapToGrid/>
          <w:szCs w:val="22"/>
        </w:rPr>
        <w:t>the supply</w:t>
      </w:r>
      <w:r>
        <w:rPr>
          <w:rFonts w:eastAsia="Calibri"/>
          <w:snapToGrid/>
          <w:szCs w:val="22"/>
        </w:rPr>
        <w:t>, (2)</w:t>
      </w:r>
      <w:r w:rsidRPr="00435180">
        <w:rPr>
          <w:rFonts w:eastAsia="Calibri"/>
          <w:snapToGrid/>
          <w:szCs w:val="22"/>
        </w:rPr>
        <w:t xml:space="preserve"> the aggregate demand</w:t>
      </w:r>
      <w:r>
        <w:rPr>
          <w:rFonts w:eastAsia="Calibri"/>
          <w:snapToGrid/>
          <w:szCs w:val="22"/>
        </w:rPr>
        <w:t>, (3)</w:t>
      </w:r>
      <w:r w:rsidRPr="00435180">
        <w:rPr>
          <w:rFonts w:eastAsia="Calibri"/>
          <w:snapToGrid/>
          <w:szCs w:val="22"/>
        </w:rPr>
        <w:t xml:space="preserve"> the posted price of the last completed round</w:t>
      </w:r>
      <w:r>
        <w:rPr>
          <w:rFonts w:eastAsia="Calibri"/>
          <w:snapToGrid/>
          <w:szCs w:val="22"/>
        </w:rPr>
        <w:t>,</w:t>
      </w:r>
      <w:r>
        <w:rPr>
          <w:rStyle w:val="FootnoteReference"/>
          <w:rFonts w:eastAsia="Calibri"/>
          <w:szCs w:val="22"/>
        </w:rPr>
        <w:footnoteReference w:id="297"/>
      </w:r>
      <w:r w:rsidRPr="00435180">
        <w:rPr>
          <w:rFonts w:eastAsia="Calibri"/>
          <w:snapToGrid/>
          <w:szCs w:val="22"/>
        </w:rPr>
        <w:t xml:space="preserve"> and </w:t>
      </w:r>
      <w:r>
        <w:rPr>
          <w:rFonts w:eastAsia="Calibri"/>
          <w:snapToGrid/>
          <w:szCs w:val="22"/>
        </w:rPr>
        <w:t xml:space="preserve">(4) </w:t>
      </w:r>
      <w:r w:rsidRPr="00435180">
        <w:rPr>
          <w:rFonts w:eastAsia="Calibri"/>
          <w:snapToGrid/>
          <w:szCs w:val="22"/>
        </w:rPr>
        <w:t xml:space="preserve">the clock price for the next round.  The identities of bidders demanding blocks in a specific </w:t>
      </w:r>
      <w:r>
        <w:rPr>
          <w:rFonts w:eastAsia="Calibri"/>
          <w:snapToGrid/>
          <w:szCs w:val="22"/>
        </w:rPr>
        <w:t xml:space="preserve">category or PEA </w:t>
      </w:r>
      <w:r w:rsidRPr="00435180">
        <w:rPr>
          <w:rFonts w:eastAsia="Calibri"/>
          <w:snapToGrid/>
          <w:szCs w:val="22"/>
        </w:rPr>
        <w:t>will not be disclosed until after Auction 10</w:t>
      </w:r>
      <w:r>
        <w:rPr>
          <w:rFonts w:eastAsia="Calibri"/>
          <w:snapToGrid/>
          <w:szCs w:val="22"/>
        </w:rPr>
        <w:t>7</w:t>
      </w:r>
      <w:r w:rsidRPr="00435180">
        <w:rPr>
          <w:rFonts w:eastAsia="Calibri"/>
          <w:snapToGrid/>
          <w:szCs w:val="22"/>
        </w:rPr>
        <w:t xml:space="preserve"> concludes (i.e., after the close of bidding).</w:t>
      </w:r>
      <w:r>
        <w:rPr>
          <w:rStyle w:val="FootnoteReference"/>
          <w:rFonts w:eastAsia="Calibri"/>
          <w:szCs w:val="22"/>
        </w:rPr>
        <w:footnoteReference w:id="298"/>
      </w:r>
    </w:p>
    <w:p w:rsidR="00062EAF" w:rsidRPr="00435180" w:rsidP="00062EAF" w14:paraId="21E00E62" w14:textId="40A0E10F">
      <w:pPr>
        <w:pStyle w:val="ParaNum"/>
        <w:widowControl/>
        <w:rPr>
          <w:szCs w:val="22"/>
        </w:rPr>
      </w:pPr>
      <w:r>
        <w:rPr>
          <w:szCs w:val="22"/>
        </w:rPr>
        <w:t>As proposed, e</w:t>
      </w:r>
      <w:r w:rsidRPr="00435180">
        <w:rPr>
          <w:szCs w:val="22"/>
        </w:rPr>
        <w:t>ach bidder will have access to additio</w:t>
      </w:r>
      <w:r w:rsidRPr="00435180">
        <w:rPr>
          <w:szCs w:val="22"/>
        </w:rPr>
        <w:t>nal information related to its own bidding and bid eligibility.</w:t>
      </w:r>
      <w:r>
        <w:rPr>
          <w:rStyle w:val="FootnoteReference"/>
          <w:szCs w:val="22"/>
        </w:rPr>
        <w:footnoteReference w:id="299"/>
      </w:r>
      <w:r w:rsidRPr="00435180">
        <w:rPr>
          <w:szCs w:val="22"/>
        </w:rPr>
        <w:t xml:space="preserve">  Specifically, after the bids of a round have been processed, the bidding system will inform each bidder of the number of blocks it holds after the round (its processed demand) for every </w:t>
      </w:r>
      <w:r>
        <w:rPr>
          <w:szCs w:val="22"/>
        </w:rPr>
        <w:t>pro</w:t>
      </w:r>
      <w:r>
        <w:rPr>
          <w:szCs w:val="22"/>
        </w:rPr>
        <w:t>duct</w:t>
      </w:r>
      <w:r w:rsidRPr="00907334">
        <w:t xml:space="preserve"> </w:t>
      </w:r>
      <w:r>
        <w:rPr>
          <w:szCs w:val="22"/>
        </w:rPr>
        <w:t>and</w:t>
      </w:r>
      <w:r w:rsidRPr="00435180">
        <w:rPr>
          <w:szCs w:val="22"/>
        </w:rPr>
        <w:t xml:space="preserve"> its eligibility for the next round.</w:t>
      </w:r>
    </w:p>
    <w:p w:rsidR="00062EAF" w:rsidRPr="009E0828" w:rsidP="00062EAF" w14:paraId="2B94975A" w14:textId="77777777">
      <w:pPr>
        <w:pStyle w:val="ParaNum"/>
        <w:widowControl/>
        <w:rPr>
          <w:szCs w:val="22"/>
        </w:rPr>
      </w:pPr>
      <w:r w:rsidRPr="00435180">
        <w:rPr>
          <w:szCs w:val="22"/>
        </w:rPr>
        <w:t xml:space="preserve">Limiting the availability of bidding information during the auction balances our interest in providing bidders with sufficient information about the status of their own bids and </w:t>
      </w:r>
      <w:r>
        <w:rPr>
          <w:szCs w:val="22"/>
        </w:rPr>
        <w:t xml:space="preserve">the general level of </w:t>
      </w:r>
      <w:r w:rsidRPr="00435180">
        <w:rPr>
          <w:szCs w:val="22"/>
        </w:rPr>
        <w:t xml:space="preserve">bidding </w:t>
      </w:r>
      <w:r>
        <w:rPr>
          <w:szCs w:val="22"/>
        </w:rPr>
        <w:t>in</w:t>
      </w:r>
      <w:r w:rsidRPr="00435180">
        <w:rPr>
          <w:szCs w:val="22"/>
        </w:rPr>
        <w:t xml:space="preserve"> a</w:t>
      </w:r>
      <w:r w:rsidRPr="00435180">
        <w:rPr>
          <w:szCs w:val="22"/>
        </w:rPr>
        <w:t xml:space="preserve">ll </w:t>
      </w:r>
      <w:r>
        <w:rPr>
          <w:szCs w:val="22"/>
        </w:rPr>
        <w:t xml:space="preserve">areas and </w:t>
      </w:r>
      <w:r w:rsidRPr="00435180">
        <w:rPr>
          <w:szCs w:val="22"/>
        </w:rPr>
        <w:t>license categories to allow them to bid confidently and effectively, while restricting the availability of information that may facilitate identification of bidders placing particular bids, which could potentially lead to undesirable strategic</w:t>
      </w:r>
      <w:r w:rsidRPr="00435180">
        <w:rPr>
          <w:szCs w:val="22"/>
        </w:rPr>
        <w:t xml:space="preserve"> bidding.</w:t>
      </w:r>
    </w:p>
    <w:p w:rsidR="00062EAF" w:rsidRPr="00C84DC9" w:rsidP="00062EAF" w14:paraId="7E7F11B0" w14:textId="0C5C0527">
      <w:pPr>
        <w:pStyle w:val="Heading3"/>
      </w:pPr>
      <w:bookmarkStart w:id="2046" w:name="_Toc30699432"/>
      <w:bookmarkStart w:id="2047" w:name="_Toc30701512"/>
      <w:bookmarkStart w:id="2048" w:name="_Toc31189333"/>
      <w:bookmarkStart w:id="2049" w:name="_Toc31189787"/>
      <w:bookmarkStart w:id="2050" w:name="_Toc31193154"/>
      <w:bookmarkStart w:id="2051" w:name="_Toc31195902"/>
      <w:bookmarkStart w:id="2052" w:name="_Toc31200026"/>
      <w:bookmarkStart w:id="2053" w:name="_Toc31713793"/>
      <w:bookmarkStart w:id="2054" w:name="_Toc31822702"/>
      <w:bookmarkStart w:id="2055" w:name="_Toc33629859"/>
      <w:bookmarkStart w:id="2056" w:name="_Toc33696711"/>
      <w:r>
        <w:t>Activity Requirement</w:t>
      </w:r>
      <w:r w:rsidRPr="0012404F">
        <w:t xml:space="preserve"> and Activity Upper Limit</w:t>
      </w:r>
      <w:bookmarkEnd w:id="2046"/>
      <w:bookmarkEnd w:id="2047"/>
      <w:bookmarkEnd w:id="2048"/>
      <w:bookmarkEnd w:id="2049"/>
      <w:bookmarkEnd w:id="2050"/>
      <w:bookmarkEnd w:id="2051"/>
      <w:bookmarkEnd w:id="2052"/>
      <w:bookmarkEnd w:id="2053"/>
      <w:bookmarkEnd w:id="2054"/>
      <w:bookmarkEnd w:id="2055"/>
      <w:bookmarkEnd w:id="2056"/>
    </w:p>
    <w:p w:rsidR="00062EAF" w:rsidRPr="008168F4" w:rsidP="00062EAF" w14:paraId="6BD67D67" w14:textId="2773FFC1">
      <w:pPr>
        <w:pStyle w:val="ParaNum"/>
        <w:widowControl/>
        <w:rPr>
          <w:rFonts w:eastAsia="Calibri"/>
          <w:snapToGrid/>
          <w:szCs w:val="22"/>
        </w:rPr>
      </w:pPr>
      <w:r>
        <w:rPr>
          <w:rFonts w:eastAsia="Calibri"/>
          <w:i/>
          <w:iCs/>
          <w:snapToGrid/>
          <w:szCs w:val="22"/>
        </w:rPr>
        <w:t>Activity requirement.</w:t>
      </w:r>
      <w:r>
        <w:rPr>
          <w:rFonts w:eastAsia="Calibri"/>
          <w:snapToGrid/>
          <w:szCs w:val="22"/>
        </w:rPr>
        <w:t xml:space="preserve">  </w:t>
      </w:r>
      <w:r w:rsidRPr="008168F4">
        <w:rPr>
          <w:rFonts w:eastAsia="Calibri"/>
          <w:snapToGrid/>
          <w:szCs w:val="22"/>
        </w:rPr>
        <w:t>We adopt the proposal that bidders be required to maintain a minimum, high level of activity in each clock round in order to maintain bidding eligibility, which will help ensure</w:t>
      </w:r>
      <w:r w:rsidRPr="008168F4">
        <w:rPr>
          <w:rFonts w:eastAsia="Calibri"/>
          <w:snapToGrid/>
          <w:szCs w:val="22"/>
        </w:rPr>
        <w:t xml:space="preserve"> that the auction moves quickly and promote a sound price discovery process.</w:t>
      </w:r>
      <w:r>
        <w:rPr>
          <w:rStyle w:val="FootnoteReference"/>
          <w:szCs w:val="22"/>
        </w:rPr>
        <w:footnoteReference w:id="300"/>
      </w:r>
      <w:r w:rsidRPr="008168F4">
        <w:rPr>
          <w:rFonts w:eastAsia="Calibri"/>
          <w:snapToGrid/>
          <w:szCs w:val="22"/>
        </w:rPr>
        <w:t xml:space="preserve">  </w:t>
      </w:r>
      <w:r>
        <w:t xml:space="preserve">As proposed in the </w:t>
      </w:r>
      <w:r>
        <w:rPr>
          <w:i/>
          <w:iCs/>
        </w:rPr>
        <w:t xml:space="preserve">Auction </w:t>
      </w:r>
      <w:r w:rsidR="00444056">
        <w:rPr>
          <w:i/>
          <w:iCs/>
        </w:rPr>
        <w:t xml:space="preserve">107 </w:t>
      </w:r>
      <w:r>
        <w:rPr>
          <w:i/>
          <w:iCs/>
        </w:rPr>
        <w:t>Comment P</w:t>
      </w:r>
      <w:r w:rsidR="00444056">
        <w:rPr>
          <w:i/>
          <w:iCs/>
        </w:rPr>
        <w:t xml:space="preserve">ublic </w:t>
      </w:r>
      <w:r>
        <w:rPr>
          <w:i/>
          <w:iCs/>
        </w:rPr>
        <w:t>N</w:t>
      </w:r>
      <w:r w:rsidR="00444056">
        <w:rPr>
          <w:i/>
          <w:iCs/>
        </w:rPr>
        <w:t>otice</w:t>
      </w:r>
      <w:r>
        <w:rPr>
          <w:rFonts w:eastAsia="Calibri"/>
          <w:snapToGrid/>
          <w:szCs w:val="22"/>
        </w:rPr>
        <w:t xml:space="preserve">, we </w:t>
      </w:r>
      <w:r w:rsidRPr="008168F4">
        <w:rPr>
          <w:rFonts w:eastAsia="Calibri"/>
          <w:snapToGrid/>
          <w:szCs w:val="22"/>
        </w:rPr>
        <w:t xml:space="preserve">will set the activity requirement </w:t>
      </w:r>
      <w:r w:rsidRPr="008168F4">
        <w:t xml:space="preserve">(the </w:t>
      </w:r>
      <w:r w:rsidRPr="008168F4">
        <w:rPr>
          <w:i/>
          <w:iCs/>
        </w:rPr>
        <w:t>activity requirement percentage</w:t>
      </w:r>
      <w:r w:rsidRPr="008168F4">
        <w:t xml:space="preserve">) </w:t>
      </w:r>
      <w:r w:rsidRPr="008168F4">
        <w:rPr>
          <w:rFonts w:eastAsia="Calibri"/>
          <w:snapToGrid/>
          <w:szCs w:val="22"/>
        </w:rPr>
        <w:t xml:space="preserve">between 90% and 100% of a bidder’s </w:t>
      </w:r>
      <w:r w:rsidRPr="008168F4">
        <w:rPr>
          <w:rFonts w:eastAsia="Calibri"/>
          <w:snapToGrid/>
          <w:szCs w:val="22"/>
        </w:rPr>
        <w:t>bidding eligibility in all clock rounds.</w:t>
      </w:r>
      <w:r>
        <w:rPr>
          <w:rStyle w:val="FootnoteReference"/>
          <w:szCs w:val="22"/>
        </w:rPr>
        <w:footnoteReference w:id="301"/>
      </w:r>
      <w:r>
        <w:rPr>
          <w:rFonts w:eastAsia="Calibri"/>
          <w:snapToGrid/>
          <w:szCs w:val="22"/>
        </w:rPr>
        <w:t xml:space="preserve"> </w:t>
      </w:r>
      <w:r w:rsidRPr="008168F4">
        <w:rPr>
          <w:rFonts w:eastAsia="Calibri"/>
          <w:snapToGrid/>
          <w:szCs w:val="22"/>
        </w:rPr>
        <w:t xml:space="preserve"> Further, we will set the initial activity requirement percentage at 95%.</w:t>
      </w:r>
      <w:r>
        <w:rPr>
          <w:rFonts w:eastAsia="Calibri"/>
          <w:snapToGrid/>
          <w:szCs w:val="22"/>
        </w:rPr>
        <w:t xml:space="preserve"> </w:t>
      </w:r>
      <w:r w:rsidRPr="008168F4">
        <w:rPr>
          <w:rFonts w:eastAsia="Calibri"/>
          <w:snapToGrid/>
          <w:szCs w:val="22"/>
        </w:rPr>
        <w:t xml:space="preserve"> Failure to maintain the requisite activity level will result in a reduction in the bidder’s eligibility, possibly curtailing or eliminatin</w:t>
      </w:r>
      <w:r w:rsidRPr="008168F4">
        <w:rPr>
          <w:rFonts w:eastAsia="Calibri"/>
          <w:snapToGrid/>
          <w:szCs w:val="22"/>
        </w:rPr>
        <w:t>g the bidder’s ability to place additional bids in the auction.</w:t>
      </w:r>
      <w:r>
        <w:rPr>
          <w:rFonts w:eastAsia="Calibri"/>
          <w:snapToGrid/>
          <w:szCs w:val="22"/>
        </w:rPr>
        <w:t xml:space="preserve">  No commenters addressed these activity rule procedures.</w:t>
      </w:r>
      <w:r>
        <w:rPr>
          <w:rStyle w:val="FootnoteReference"/>
        </w:rPr>
        <w:footnoteReference w:id="302"/>
      </w:r>
    </w:p>
    <w:p w:rsidR="00062EAF" w:rsidRPr="008168F4" w:rsidP="00062EAF" w14:paraId="1E95CAFC" w14:textId="77777777">
      <w:pPr>
        <w:pStyle w:val="ParaNum"/>
        <w:widowControl/>
        <w:rPr>
          <w:rFonts w:eastAsia="Calibri"/>
          <w:snapToGrid/>
          <w:szCs w:val="22"/>
        </w:rPr>
      </w:pPr>
      <w:r w:rsidRPr="008168F4">
        <w:rPr>
          <w:rFonts w:eastAsia="Calibri"/>
          <w:snapToGrid/>
          <w:szCs w:val="22"/>
        </w:rPr>
        <w:t xml:space="preserve">We will use upfront payments to determine </w:t>
      </w:r>
      <w:r>
        <w:rPr>
          <w:rFonts w:eastAsia="Calibri"/>
          <w:snapToGrid/>
          <w:szCs w:val="22"/>
        </w:rPr>
        <w:t xml:space="preserve">a bidder’s </w:t>
      </w:r>
      <w:r w:rsidRPr="008168F4">
        <w:rPr>
          <w:rFonts w:eastAsia="Calibri"/>
          <w:snapToGrid/>
          <w:szCs w:val="22"/>
        </w:rPr>
        <w:t>initial (maximum) eligibility in terms of bidding units.  Each spectrum block in</w:t>
      </w:r>
      <w:r w:rsidRPr="008168F4">
        <w:rPr>
          <w:rFonts w:eastAsia="Calibri"/>
          <w:snapToGrid/>
          <w:szCs w:val="22"/>
        </w:rPr>
        <w:t xml:space="preserve"> a </w:t>
      </w:r>
      <w:r>
        <w:rPr>
          <w:rFonts w:eastAsia="Calibri"/>
          <w:snapToGrid/>
          <w:szCs w:val="22"/>
        </w:rPr>
        <w:t>PEA</w:t>
      </w:r>
      <w:r w:rsidRPr="008168F4">
        <w:rPr>
          <w:rFonts w:eastAsia="Calibri"/>
          <w:snapToGrid/>
          <w:szCs w:val="22"/>
        </w:rPr>
        <w:t xml:space="preserve"> will be assigned a specific number of bidding units based on the number of MHz-pops in the </w:t>
      </w:r>
      <w:r>
        <w:rPr>
          <w:rFonts w:eastAsia="Calibri"/>
          <w:snapToGrid/>
          <w:szCs w:val="22"/>
        </w:rPr>
        <w:t>PEA</w:t>
      </w:r>
      <w:r w:rsidRPr="008168F4">
        <w:rPr>
          <w:rFonts w:eastAsia="Calibri"/>
          <w:snapToGrid/>
          <w:szCs w:val="22"/>
        </w:rPr>
        <w:t>.  Therefore, a bidder’s upfront payment will determine the maximum number of blocks as measured by their associated bidding units that a bidder can demand</w:t>
      </w:r>
      <w:r w:rsidRPr="008168F4">
        <w:rPr>
          <w:rFonts w:eastAsia="Calibri"/>
          <w:snapToGrid/>
          <w:szCs w:val="22"/>
        </w:rPr>
        <w:t xml:space="preserve"> at the start of the auction. </w:t>
      </w:r>
    </w:p>
    <w:p w:rsidR="00062EAF" w:rsidRPr="002F5EFE" w:rsidP="00062EAF" w14:paraId="7398F50B" w14:textId="28274537">
      <w:pPr>
        <w:pStyle w:val="ParaNum"/>
        <w:widowControl/>
        <w:rPr>
          <w:szCs w:val="22"/>
        </w:rPr>
      </w:pPr>
      <w:r w:rsidRPr="008168F4">
        <w:rPr>
          <w:szCs w:val="22"/>
        </w:rPr>
        <w:t>The activity rule will be satisfied when a bidder has bidding activity on blocks with bidding units that total at least the activity requirement percentage of its eligibility in the round.  If the activity rule is met, then t</w:t>
      </w:r>
      <w:r w:rsidRPr="008168F4">
        <w:rPr>
          <w:szCs w:val="22"/>
        </w:rPr>
        <w:t>he bidder’s eligibility will not change in the next round.  Bidding eligibility will be reduced as the auction progresses if a bidder does not meet the activity requirement.</w:t>
      </w:r>
      <w:r>
        <w:rPr>
          <w:rStyle w:val="FootnoteReference"/>
        </w:rPr>
        <w:footnoteReference w:id="303"/>
      </w:r>
      <w:r w:rsidRPr="002F5EFE">
        <w:rPr>
          <w:szCs w:val="22"/>
        </w:rPr>
        <w:t xml:space="preserve"> </w:t>
      </w:r>
    </w:p>
    <w:p w:rsidR="00062EAF" w:rsidRPr="002F5EFE" w:rsidP="00062EAF" w14:paraId="4DFD9C7C" w14:textId="05970801">
      <w:pPr>
        <w:pStyle w:val="ParaNum"/>
        <w:widowControl/>
      </w:pPr>
      <w:r w:rsidRPr="002F5EFE">
        <w:rPr>
          <w:szCs w:val="22"/>
        </w:rPr>
        <w:t>For this clock auction, a bidder’s activity in a round for purposes of the acti</w:t>
      </w:r>
      <w:r w:rsidRPr="002F5EFE">
        <w:rPr>
          <w:szCs w:val="22"/>
        </w:rPr>
        <w:t xml:space="preserve">vity rule will be the sum of the bidding units associated with the bidder’s processed demands, which may not be equal to its submitted demands.  For instance, if a bidder requests a reduction in the quantity of blocks it </w:t>
      </w:r>
      <w:r w:rsidRPr="002F5EFE">
        <w:rPr>
          <w:szCs w:val="22"/>
        </w:rPr>
        <w:t xml:space="preserve">demands in a </w:t>
      </w:r>
      <w:r>
        <w:rPr>
          <w:szCs w:val="22"/>
        </w:rPr>
        <w:t>product</w:t>
      </w:r>
      <w:r w:rsidRPr="002F5EFE">
        <w:rPr>
          <w:szCs w:val="22"/>
        </w:rPr>
        <w:t>, but the biddi</w:t>
      </w:r>
      <w:r w:rsidRPr="002F5EFE">
        <w:rPr>
          <w:szCs w:val="22"/>
        </w:rPr>
        <w:t xml:space="preserve">ng system does not apply the request because demand for the </w:t>
      </w:r>
      <w:r>
        <w:rPr>
          <w:szCs w:val="22"/>
        </w:rPr>
        <w:t>product</w:t>
      </w:r>
      <w:r w:rsidRPr="002F5EFE">
        <w:rPr>
          <w:szCs w:val="22"/>
        </w:rPr>
        <w:t xml:space="preserve"> would fall below the available supply, the bidder’s activity will reflect its unreduced demand.</w:t>
      </w:r>
      <w:r>
        <w:rPr>
          <w:sz w:val="20"/>
          <w:vertAlign w:val="superscript"/>
        </w:rPr>
        <w:footnoteReference w:id="304"/>
      </w:r>
      <w:r w:rsidRPr="002F5EFE">
        <w:rPr>
          <w:szCs w:val="22"/>
        </w:rPr>
        <w:t xml:space="preserve"> </w:t>
      </w:r>
    </w:p>
    <w:p w:rsidR="00062EAF" w:rsidP="00062EAF" w14:paraId="156913B2" w14:textId="6289DEE3">
      <w:pPr>
        <w:pStyle w:val="ParaNum"/>
        <w:widowControl/>
      </w:pPr>
      <w:r w:rsidRPr="00F01E55">
        <w:rPr>
          <w:i/>
        </w:rPr>
        <w:t xml:space="preserve">Activity upper limit.  </w:t>
      </w:r>
      <w:r w:rsidRPr="003D6F07">
        <w:t xml:space="preserve">We adopt </w:t>
      </w:r>
      <w:r>
        <w:t xml:space="preserve">our proposal </w:t>
      </w:r>
      <w:r w:rsidRPr="00557698">
        <w:t>to allow a bidder to submit bids with associ</w:t>
      </w:r>
      <w:r w:rsidRPr="00557698">
        <w:t>ated bidding activity greater than its current bidding eligibility</w:t>
      </w:r>
      <w:r>
        <w:t>, noting, however, that a</w:t>
      </w:r>
      <w:r w:rsidRPr="00557698">
        <w:t xml:space="preserve"> bidder’s activity </w:t>
      </w:r>
      <w:r w:rsidRPr="0041490F">
        <w:rPr>
          <w:i/>
        </w:rPr>
        <w:t>as applied</w:t>
      </w:r>
      <w:r w:rsidRPr="00557698">
        <w:t xml:space="preserve"> by the auction </w:t>
      </w:r>
      <w:r w:rsidR="00444056">
        <w:t xml:space="preserve">bidding </w:t>
      </w:r>
      <w:r w:rsidRPr="00557698">
        <w:t xml:space="preserve">system during bid processing </w:t>
      </w:r>
      <w:r>
        <w:t>will not</w:t>
      </w:r>
      <w:r w:rsidRPr="00557698">
        <w:t xml:space="preserve"> exceed the bidder’s current bidding eligibility</w:t>
      </w:r>
      <w:r>
        <w:t>.</w:t>
      </w:r>
      <w:r>
        <w:rPr>
          <w:rStyle w:val="FootnoteReference"/>
          <w:szCs w:val="22"/>
        </w:rPr>
        <w:footnoteReference w:id="305"/>
      </w:r>
      <w:r>
        <w:t xml:space="preserve">  </w:t>
      </w:r>
      <w:r w:rsidRPr="00557698">
        <w:t xml:space="preserve">Because a bidder’s eligibility for the next round is calculated based on the bidder’s demands </w:t>
      </w:r>
      <w:r w:rsidRPr="0041490F">
        <w:t>as applied</w:t>
      </w:r>
      <w:r w:rsidRPr="00557698">
        <w:t xml:space="preserve"> by the auction </w:t>
      </w:r>
      <w:r w:rsidR="00444056">
        <w:t xml:space="preserve">bidding </w:t>
      </w:r>
      <w:r w:rsidRPr="00557698">
        <w:t xml:space="preserve">system during bid processing, a bidder’s eligibility may be reduced even if the bidder </w:t>
      </w:r>
      <w:r w:rsidRPr="0041490F">
        <w:t>submitted</w:t>
      </w:r>
      <w:r w:rsidRPr="00557698">
        <w:t xml:space="preserve"> bids </w:t>
      </w:r>
      <w:r>
        <w:t>that meet its</w:t>
      </w:r>
      <w:r w:rsidRPr="00557698">
        <w:t xml:space="preserve"> activity </w:t>
      </w:r>
      <w:r>
        <w:t>requirement</w:t>
      </w:r>
      <w:r w:rsidRPr="00557698">
        <w:t xml:space="preserve"> for the round.</w:t>
      </w:r>
      <w:r>
        <w:rPr>
          <w:sz w:val="20"/>
          <w:vertAlign w:val="superscript"/>
        </w:rPr>
        <w:footnoteReference w:id="306"/>
      </w:r>
      <w:r>
        <w:t xml:space="preserve">  We anticipate that adopting an “activity upper limit” will </w:t>
      </w:r>
      <w:r w:rsidRPr="00557698">
        <w:t>help a bidder avoid having its eligibility reduced as a result of submitted bids that c</w:t>
      </w:r>
      <w:r>
        <w:t>an</w:t>
      </w:r>
      <w:r w:rsidRPr="00557698">
        <w:t xml:space="preserve">not be </w:t>
      </w:r>
      <w:r w:rsidRPr="0041490F">
        <w:t>applied</w:t>
      </w:r>
      <w:r>
        <w:t xml:space="preserve"> </w:t>
      </w:r>
      <w:r w:rsidRPr="00557698">
        <w:t>during bid processing.</w:t>
      </w:r>
      <w:r>
        <w:rPr>
          <w:sz w:val="20"/>
          <w:vertAlign w:val="superscript"/>
        </w:rPr>
        <w:footnoteReference w:id="307"/>
      </w:r>
      <w:r>
        <w:t xml:space="preserve">  </w:t>
      </w:r>
    </w:p>
    <w:p w:rsidR="00062EAF" w:rsidRPr="00B0501E" w:rsidP="00062EAF" w14:paraId="7B25548C" w14:textId="131D7851">
      <w:pPr>
        <w:pStyle w:val="ParaNum"/>
        <w:widowControl/>
      </w:pPr>
      <w:r>
        <w:t>One commenter supports the</w:t>
      </w:r>
      <w:r>
        <w:t xml:space="preserve"> activity upper limit,</w:t>
      </w:r>
      <w:r>
        <w:rPr>
          <w:rStyle w:val="FootnoteReference"/>
        </w:rPr>
        <w:footnoteReference w:id="308"/>
      </w:r>
      <w:r>
        <w:t xml:space="preserve"> but two others oppose it.</w:t>
      </w:r>
      <w:r>
        <w:rPr>
          <w:rStyle w:val="FootnoteReference"/>
        </w:rPr>
        <w:footnoteReference w:id="309"/>
      </w:r>
      <w:r>
        <w:t xml:space="preserve">  Opponents of the upper limit appear to misinterpret the way the procedure will be implemented—importantly, </w:t>
      </w:r>
      <w:r w:rsidR="00D20183">
        <w:t>these commenters</w:t>
      </w:r>
      <w:r>
        <w:t xml:space="preserve"> do not appear to recognize that the additional bidding flexibility will never </w:t>
      </w:r>
      <w:r>
        <w:t>result in a bidder being assigned more bidding units than its eligibility permits.  One of the opposing commenters claims, and the other agrees, that because a larger bidder can have more free eligibility under the activity rule than a smaller bidder (100%</w:t>
      </w:r>
      <w:r>
        <w:t xml:space="preserve"> of eligibility minus the activity requirement percentage is a larger number if eligibility is greater), the activity upper limit further disadvantages smaller bidders.</w:t>
      </w:r>
      <w:r>
        <w:rPr>
          <w:rStyle w:val="FootnoteReference"/>
        </w:rPr>
        <w:footnoteReference w:id="310"/>
      </w:r>
      <w:r>
        <w:t xml:space="preserve">  We disagree.  Although it is true that the standard activity rule gives a bidder wit</w:t>
      </w:r>
      <w:r>
        <w:t>h greater eligibility more flexibility to increase its bidding activity, the activity upper limit does not give any bidder the ability to increase its bidding eligibility.  Further, it provides a bidder that does not have sufficient free eligibility—more l</w:t>
      </w:r>
      <w:r>
        <w:t xml:space="preserve">ikely to be a smaller bidder—with a safeguard against losing eligibility, which is a safeguard that a larger bidder may not need. </w:t>
      </w:r>
      <w:r w:rsidR="00495062">
        <w:t xml:space="preserve"> </w:t>
      </w:r>
      <w:r>
        <w:t>In this way, it provides a relative advantage to a bidder with less eligibility, rather than disadvantaging smaller bidders a</w:t>
      </w:r>
      <w:r>
        <w:t xml:space="preserve">s the commenters assert.  A commenter also argues that the activity upper limit </w:t>
      </w:r>
      <w:r w:rsidRPr="00B0501E">
        <w:t xml:space="preserve">could </w:t>
      </w:r>
      <w:r>
        <w:t>“</w:t>
      </w:r>
      <w:r w:rsidRPr="00B0501E">
        <w:t>enable insincere bidding and prolong the auction</w:t>
      </w:r>
      <w:r>
        <w:t>,” but it does not explain that conclusion.</w:t>
      </w:r>
      <w:r>
        <w:rPr>
          <w:rStyle w:val="FootnoteReference"/>
        </w:rPr>
        <w:footnoteReference w:id="311"/>
      </w:r>
      <w:r>
        <w:t xml:space="preserve"> </w:t>
      </w:r>
      <w:r w:rsidR="00495062">
        <w:t xml:space="preserve"> </w:t>
      </w:r>
      <w:r>
        <w:t>The stopping rule depends on the processed demand and, as noted, a bidder’</w:t>
      </w:r>
      <w:r>
        <w:t>s processed activity cannot exceed its eligibility and the activity upper limit will never allow a bidder to increase its eligibility.  Moreover, all bids that a bidder submits, regardless of whether the bidder’s submitted activity exceeds its eligibility,</w:t>
      </w:r>
      <w:r>
        <w:t xml:space="preserve"> are binding commitments on the bidder’s part.  Accordingly, absent convincing arguments against the proposal, we adopt our proposal to implement an activity upper limit. </w:t>
      </w:r>
    </w:p>
    <w:p w:rsidR="00062EAF" w:rsidRPr="00557698" w:rsidP="00062EAF" w14:paraId="62298A99" w14:textId="6C9D750B">
      <w:pPr>
        <w:pStyle w:val="ParaNum"/>
        <w:widowControl/>
      </w:pPr>
      <w:r w:rsidRPr="0079113A">
        <w:t>When submitting bids with</w:t>
      </w:r>
      <w:r>
        <w:t xml:space="preserve"> </w:t>
      </w:r>
      <w:r w:rsidRPr="0079113A">
        <w:t>associated bidding activity greater than its current biddi</w:t>
      </w:r>
      <w:r w:rsidRPr="0079113A">
        <w:t xml:space="preserve">ng eligibility, a bidder </w:t>
      </w:r>
      <w:r>
        <w:t>sh</w:t>
      </w:r>
      <w:r w:rsidRPr="0079113A">
        <w:t>ould consider the price points</w:t>
      </w:r>
      <w:r>
        <w:rPr>
          <w:rStyle w:val="FootnoteReference"/>
        </w:rPr>
        <w:footnoteReference w:id="312"/>
      </w:r>
      <w:r w:rsidRPr="0079113A">
        <w:t xml:space="preserve"> associated with each of its bids to indicate the order in which it wishes the bidding system to consider its bid requests.  Therefore, if bids submitted at lower price points cannot be applied as </w:t>
      </w:r>
      <w:r w:rsidRPr="0079113A">
        <w:t>requested, thereby leaving the bidder with unused eligibility,</w:t>
      </w:r>
      <w:r>
        <w:t xml:space="preserve"> then</w:t>
      </w:r>
      <w:r w:rsidRPr="0079113A">
        <w:t xml:space="preserve"> the system will consider the additional bids submitted at higher price points to use the otherwise lost eligibility. </w:t>
      </w:r>
      <w:r>
        <w:t xml:space="preserve"> </w:t>
      </w:r>
      <w:r w:rsidRPr="0079113A">
        <w:t>We emphasize, however, that a</w:t>
      </w:r>
      <w:r>
        <w:t>lthough a</w:t>
      </w:r>
      <w:r w:rsidRPr="00557698">
        <w:t xml:space="preserve"> bidder may submit bids with ass</w:t>
      </w:r>
      <w:r w:rsidRPr="00557698">
        <w:t xml:space="preserve">ociated bidding units exceeding 100% of its current bidding eligibility, its processed activity </w:t>
      </w:r>
      <w:r w:rsidRPr="00AE0E41">
        <w:t>can</w:t>
      </w:r>
      <w:r w:rsidRPr="00557698">
        <w:t xml:space="preserve"> never exceed its eligibility.</w:t>
      </w:r>
      <w:r>
        <w:t xml:space="preserve">  Thus, if a bidder submits bids with associated bidding units exceeding the bidder’s current eligibility, the bidding system w</w:t>
      </w:r>
      <w:r>
        <w:t xml:space="preserve">ill not apply all of those bids. </w:t>
      </w:r>
    </w:p>
    <w:p w:rsidR="00062EAF" w:rsidRPr="00557698" w:rsidP="00062EAF" w14:paraId="6EB706A4" w14:textId="6FA0295A">
      <w:pPr>
        <w:pStyle w:val="ParaNum"/>
        <w:widowControl/>
      </w:pPr>
      <w:r w:rsidRPr="00557698">
        <w:t>Specifically, after Round 1</w:t>
      </w:r>
      <w:r>
        <w:t>,</w:t>
      </w:r>
      <w:r w:rsidRPr="00557698">
        <w:t xml:space="preserve"> a bidder may submit bids with bidding units totaling up to </w:t>
      </w:r>
      <w:r>
        <w:t>its</w:t>
      </w:r>
      <w:r w:rsidRPr="00557698">
        <w:t xml:space="preserve"> </w:t>
      </w:r>
      <w:r w:rsidRPr="00557698">
        <w:rPr>
          <w:i/>
          <w:iCs/>
        </w:rPr>
        <w:t>activity upper limit</w:t>
      </w:r>
      <w:r w:rsidRPr="005722B2">
        <w:t>,</w:t>
      </w:r>
      <w:r>
        <w:rPr>
          <w:i/>
          <w:iCs/>
        </w:rPr>
        <w:t xml:space="preserve"> </w:t>
      </w:r>
      <w:r>
        <w:t>which is</w:t>
      </w:r>
      <w:r w:rsidRPr="00557698">
        <w:t xml:space="preserve"> equal to the bidder’s current bidding eligibility for the round times a percentage (the </w:t>
      </w:r>
      <w:r w:rsidRPr="00557698">
        <w:rPr>
          <w:i/>
          <w:iCs/>
        </w:rPr>
        <w:t>activity li</w:t>
      </w:r>
      <w:r w:rsidRPr="00557698">
        <w:rPr>
          <w:i/>
          <w:iCs/>
        </w:rPr>
        <w:t>mit percentage</w:t>
      </w:r>
      <w:r w:rsidRPr="005722B2">
        <w:t>)</w:t>
      </w:r>
      <w:r w:rsidRPr="00557698">
        <w:t xml:space="preserve"> equal to or greater than 100%. </w:t>
      </w:r>
      <w:r>
        <w:t xml:space="preserve"> </w:t>
      </w:r>
      <w:r w:rsidRPr="00557698">
        <w:t xml:space="preserve">We </w:t>
      </w:r>
      <w:r>
        <w:t>adopt</w:t>
      </w:r>
      <w:r w:rsidRPr="00557698">
        <w:t xml:space="preserve"> an initial activity limit percentage of </w:t>
      </w:r>
      <w:r w:rsidRPr="001F69E6">
        <w:t>120% t</w:t>
      </w:r>
      <w:r w:rsidRPr="00557698">
        <w:t>o apply to Round 2 and subsequent rounds.</w:t>
      </w:r>
      <w:r>
        <w:rPr>
          <w:sz w:val="20"/>
          <w:vertAlign w:val="superscript"/>
        </w:rPr>
        <w:footnoteReference w:id="313"/>
      </w:r>
      <w:r w:rsidRPr="00557698">
        <w:t xml:space="preserve"> </w:t>
      </w:r>
      <w:r>
        <w:t xml:space="preserve"> </w:t>
      </w:r>
      <w:r w:rsidRPr="00557698">
        <w:t xml:space="preserve">In any bidding round, the auction bidding system will advise the bidder of its current bidding </w:t>
      </w:r>
      <w:r w:rsidRPr="00557698">
        <w:t>eligibility, its required bidding activity, and its activity upper limit.</w:t>
      </w:r>
    </w:p>
    <w:p w:rsidR="00062EAF" w:rsidP="00062EAF" w14:paraId="7E86B377" w14:textId="6E5F4592">
      <w:pPr>
        <w:pStyle w:val="ParaNum"/>
        <w:widowControl/>
      </w:pPr>
      <w:r w:rsidRPr="00557698">
        <w:t xml:space="preserve">Under </w:t>
      </w:r>
      <w:r>
        <w:t>the procedures we adopt,</w:t>
      </w:r>
      <w:r w:rsidRPr="00557698">
        <w:t xml:space="preserve"> OEA retain</w:t>
      </w:r>
      <w:r>
        <w:t>s</w:t>
      </w:r>
      <w:r w:rsidRPr="00557698">
        <w:t xml:space="preserve"> the discretion to change the activity requirement percentage and the activity limit percentage during the auction</w:t>
      </w:r>
      <w:r>
        <w:t xml:space="preserve">, and to set the activity </w:t>
      </w:r>
      <w:r>
        <w:t>limit percentage within a range of 100% and 140%</w:t>
      </w:r>
      <w:r w:rsidRPr="00557698">
        <w:t>.</w:t>
      </w:r>
      <w:r>
        <w:rPr>
          <w:rStyle w:val="FootnoteReference"/>
        </w:rPr>
        <w:footnoteReference w:id="314"/>
      </w:r>
      <w:r w:rsidRPr="00557698">
        <w:t xml:space="preserve">  </w:t>
      </w:r>
      <w:r w:rsidRPr="00F10EA6">
        <w:t>The bidding system would announce</w:t>
      </w:r>
      <w:r w:rsidRPr="00557698">
        <w:t xml:space="preserve"> any such changes in advance of the round in which they would take effect, giving bidders adequate notice to adjust their bidding strategies.</w:t>
      </w:r>
    </w:p>
    <w:p w:rsidR="00062EAF" w:rsidP="00062EAF" w14:paraId="109FE008" w14:textId="4450AF4A">
      <w:pPr>
        <w:pStyle w:val="ParaNum"/>
        <w:widowControl/>
      </w:pPr>
      <w:r w:rsidRPr="00F10EA6">
        <w:rPr>
          <w:i/>
        </w:rPr>
        <w:t>Missing bids.</w:t>
      </w:r>
      <w:r>
        <w:t xml:space="preserve">  Under </w:t>
      </w:r>
      <w:r w:rsidRPr="00557698">
        <w:t>the clo</w:t>
      </w:r>
      <w:r w:rsidRPr="00557698">
        <w:t xml:space="preserve">ck auction format, </w:t>
      </w:r>
      <w:r>
        <w:t xml:space="preserve">a </w:t>
      </w:r>
      <w:r w:rsidRPr="00557698">
        <w:t xml:space="preserve">bidder </w:t>
      </w:r>
      <w:r>
        <w:t>is</w:t>
      </w:r>
      <w:r w:rsidRPr="00557698">
        <w:t xml:space="preserve"> required to indicate </w:t>
      </w:r>
      <w:r>
        <w:t>its</w:t>
      </w:r>
      <w:r w:rsidRPr="00557698">
        <w:t xml:space="preserve"> demands in every round, even if </w:t>
      </w:r>
      <w:r>
        <w:t>its</w:t>
      </w:r>
      <w:r w:rsidRPr="00557698">
        <w:t xml:space="preserve"> demands at the new round’s prices are unchanged from the previous round.  Missing bids—bids that are not reconfirmed—are treated by the auction bidding system as </w:t>
      </w:r>
      <w:r>
        <w:t>bi</w:t>
      </w:r>
      <w:r>
        <w:t xml:space="preserve">ds that </w:t>
      </w:r>
      <w:r w:rsidRPr="00557698">
        <w:t xml:space="preserve">request to reduce to a quantity of zero blocks for the </w:t>
      </w:r>
      <w:r>
        <w:t>product</w:t>
      </w:r>
      <w:r w:rsidR="006D1CD8">
        <w:t xml:space="preserve"> at the start-of-round price</w:t>
      </w:r>
      <w:r w:rsidRPr="00557698">
        <w:t xml:space="preserve">.  If these </w:t>
      </w:r>
      <w:r>
        <w:t xml:space="preserve">bids </w:t>
      </w:r>
      <w:r w:rsidRPr="00557698">
        <w:t xml:space="preserve">are applied, or applied partially, </w:t>
      </w:r>
      <w:r>
        <w:t xml:space="preserve">then </w:t>
      </w:r>
      <w:r w:rsidRPr="00557698">
        <w:t>a bidder’s bidding activity, and its bidding eligibility for the next round, may be reduced.</w:t>
      </w:r>
      <w:r>
        <w:rPr>
          <w:sz w:val="20"/>
          <w:vertAlign w:val="superscript"/>
        </w:rPr>
        <w:footnoteReference w:id="315"/>
      </w:r>
    </w:p>
    <w:p w:rsidR="00062EAF" w:rsidRPr="00B71119" w:rsidP="00062EAF" w14:paraId="606259DD" w14:textId="0AB2B236">
      <w:pPr>
        <w:pStyle w:val="ParaNum"/>
        <w:widowControl/>
      </w:pPr>
      <w:r w:rsidRPr="00557698">
        <w:t>For Au</w:t>
      </w:r>
      <w:r w:rsidRPr="00557698">
        <w:t>ction 10</w:t>
      </w:r>
      <w:r>
        <w:t>7</w:t>
      </w:r>
      <w:r w:rsidRPr="00557698">
        <w:t xml:space="preserve">, </w:t>
      </w:r>
      <w:r>
        <w:t xml:space="preserve">as for other clock auctions, </w:t>
      </w:r>
      <w:r w:rsidRPr="00557698">
        <w:t xml:space="preserve">we do not </w:t>
      </w:r>
      <w:r>
        <w:t>provide for</w:t>
      </w:r>
      <w:r w:rsidRPr="00557698">
        <w:t xml:space="preserve"> activity rule waivers to preserve a bidder’s eligibility.</w:t>
      </w:r>
      <w:r>
        <w:rPr>
          <w:sz w:val="20"/>
          <w:vertAlign w:val="superscript"/>
        </w:rPr>
        <w:footnoteReference w:id="316"/>
      </w:r>
      <w:r w:rsidRPr="00557698">
        <w:t xml:space="preserve">  We note that our </w:t>
      </w:r>
      <w:r>
        <w:t>adoption of an activity upper limit</w:t>
      </w:r>
      <w:r w:rsidRPr="00557698">
        <w:t xml:space="preserve"> to permit a bidder to submit bids with bidding activity greater than its eligibi</w:t>
      </w:r>
      <w:r w:rsidRPr="00557698">
        <w:t xml:space="preserve">lity, within the limits set forth above, would address some of the circumstances under which a bidder risks losing bidding eligibility and otherwise </w:t>
      </w:r>
      <w:r w:rsidRPr="00557698">
        <w:t>could wish to use a bidding activity waiver</w:t>
      </w:r>
      <w:r>
        <w:t xml:space="preserve">, </w:t>
      </w:r>
      <w:bookmarkStart w:id="2061" w:name="_Hlk20144385"/>
      <w:r>
        <w:t>while minimizing any potential adverse impacts on either bidde</w:t>
      </w:r>
      <w:r>
        <w:t>r incentives to bid sincerely or the price-setting mechanism of the clock auction</w:t>
      </w:r>
      <w:bookmarkEnd w:id="2061"/>
      <w:r w:rsidRPr="00557698">
        <w:t xml:space="preserve">. </w:t>
      </w:r>
      <w:r>
        <w:t xml:space="preserve"> </w:t>
      </w:r>
      <w:r w:rsidRPr="00557698">
        <w:t>The clock auction relies on precisely identifying the point at which demand decreases to equal supply to determine winning bidders and final prices.  Allowing waivers would</w:t>
      </w:r>
      <w:r w:rsidRPr="00557698">
        <w:t xml:space="preserve"> create uncertainty with respect to the exact level of bidder demand and interfere with the basic clock price-setting and winner determination mechanism.  Moreover, uncertainty about the level of demand would affect the way bidders’ requests to reduce dema</w:t>
      </w:r>
      <w:r w:rsidRPr="00557698">
        <w:t>nd are processed by the bidding system, as addressed below.</w:t>
      </w:r>
      <w:r>
        <w:rPr>
          <w:szCs w:val="22"/>
          <w:vertAlign w:val="superscript"/>
        </w:rPr>
        <w:footnoteReference w:id="317"/>
      </w:r>
    </w:p>
    <w:p w:rsidR="00062EAF" w:rsidRPr="00435180" w:rsidP="00062EAF" w14:paraId="381E4DA6" w14:textId="77777777">
      <w:pPr>
        <w:pStyle w:val="Heading3"/>
      </w:pPr>
      <w:bookmarkStart w:id="2062" w:name="_Toc25926279"/>
      <w:bookmarkStart w:id="2063" w:name="_Toc25926857"/>
      <w:bookmarkStart w:id="2064" w:name="_Toc25926975"/>
      <w:bookmarkStart w:id="2065" w:name="_Toc27039038"/>
      <w:bookmarkStart w:id="2066" w:name="_Toc29813181"/>
      <w:bookmarkStart w:id="2067" w:name="_Toc29886906"/>
      <w:bookmarkStart w:id="2068" w:name="_Toc29999510"/>
      <w:bookmarkStart w:id="2069" w:name="_Toc30699433"/>
      <w:bookmarkStart w:id="2070" w:name="_Toc30701513"/>
      <w:bookmarkStart w:id="2071" w:name="_Toc31189334"/>
      <w:bookmarkStart w:id="2072" w:name="_Toc31189788"/>
      <w:bookmarkStart w:id="2073" w:name="_Toc31193155"/>
      <w:bookmarkStart w:id="2074" w:name="_Toc31195903"/>
      <w:bookmarkStart w:id="2075" w:name="_Toc31200027"/>
      <w:bookmarkStart w:id="2076" w:name="_Toc31713794"/>
      <w:bookmarkStart w:id="2077" w:name="_Toc31822703"/>
      <w:bookmarkStart w:id="2078" w:name="_Toc33629860"/>
      <w:bookmarkStart w:id="2079" w:name="_Toc33696712"/>
      <w:r>
        <w:t>Acceptable Bids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rsidR="00062EAF" w:rsidP="00062EAF" w14:paraId="7D95B563" w14:textId="77777777">
      <w:pPr>
        <w:pStyle w:val="Heading4"/>
        <w:rPr>
          <w:szCs w:val="22"/>
        </w:rPr>
      </w:pPr>
      <w:bookmarkStart w:id="2080" w:name="_Toc31189335"/>
      <w:bookmarkStart w:id="2081" w:name="_Toc31189789"/>
      <w:bookmarkStart w:id="2082" w:name="_Toc31193156"/>
      <w:bookmarkStart w:id="2083" w:name="_Toc31195904"/>
      <w:bookmarkStart w:id="2084" w:name="_Toc31200028"/>
      <w:bookmarkStart w:id="2085" w:name="_Toc31713795"/>
      <w:bookmarkStart w:id="2086" w:name="_Toc31822704"/>
      <w:bookmarkStart w:id="2087" w:name="_Toc29813182"/>
      <w:bookmarkStart w:id="2088" w:name="_Toc30699434"/>
      <w:bookmarkStart w:id="2089" w:name="_Toc30701514"/>
      <w:bookmarkStart w:id="2090" w:name="_Toc25926280"/>
      <w:bookmarkStart w:id="2091" w:name="_Toc25926858"/>
      <w:bookmarkStart w:id="2092" w:name="_Toc27039039"/>
      <w:bookmarkStart w:id="2093" w:name="_Toc29886907"/>
      <w:bookmarkStart w:id="2094" w:name="_Toc29999511"/>
      <w:bookmarkStart w:id="2095" w:name="_Toc33629861"/>
      <w:bookmarkStart w:id="2096" w:name="_Toc33696713"/>
      <w:r>
        <w:t>Minimum Opening Bids</w:t>
      </w:r>
      <w:bookmarkEnd w:id="2080"/>
      <w:bookmarkEnd w:id="2081"/>
      <w:bookmarkEnd w:id="2082"/>
      <w:bookmarkEnd w:id="2083"/>
      <w:bookmarkEnd w:id="2084"/>
      <w:bookmarkEnd w:id="2085"/>
      <w:bookmarkEnd w:id="2086"/>
      <w:bookmarkEnd w:id="2087"/>
      <w:bookmarkEnd w:id="2088"/>
      <w:bookmarkEnd w:id="2089"/>
      <w:r>
        <w:t xml:space="preserve"> </w:t>
      </w:r>
      <w:bookmarkEnd w:id="2090"/>
      <w:bookmarkEnd w:id="2091"/>
      <w:bookmarkEnd w:id="2092"/>
      <w:bookmarkEnd w:id="2093"/>
      <w:bookmarkEnd w:id="2094"/>
      <w:r>
        <w:t>and Reserve Price</w:t>
      </w:r>
      <w:bookmarkEnd w:id="2095"/>
      <w:bookmarkEnd w:id="2096"/>
    </w:p>
    <w:p w:rsidR="00062EAF" w:rsidRPr="00535310" w:rsidP="00062EAF" w14:paraId="735CA03B" w14:textId="2AD0DBE0">
      <w:pPr>
        <w:pStyle w:val="ParaNum"/>
        <w:widowControl/>
        <w:rPr>
          <w:szCs w:val="22"/>
        </w:rPr>
      </w:pPr>
      <w:r w:rsidRPr="00557698">
        <w:t xml:space="preserve">As </w:t>
      </w:r>
      <w:r>
        <w:t xml:space="preserve">is typical </w:t>
      </w:r>
      <w:r w:rsidRPr="00557698">
        <w:t xml:space="preserve">for each auction, </w:t>
      </w:r>
      <w:r w:rsidRPr="00557698">
        <w:rPr>
          <w:szCs w:val="22"/>
        </w:rPr>
        <w:t>we</w:t>
      </w:r>
      <w:r w:rsidRPr="00557698">
        <w:t xml:space="preserve"> </w:t>
      </w:r>
      <w:r>
        <w:t>sought</w:t>
      </w:r>
      <w:r w:rsidRPr="00557698">
        <w:t xml:space="preserve"> comment on the use of a minimum opening bid amount and/or reserve price, as mandated by </w:t>
      </w:r>
      <w:r>
        <w:t>s</w:t>
      </w:r>
      <w:r w:rsidRPr="00557698">
        <w:t>ection 309(j) of the Communications Act of 1934, as amended.</w:t>
      </w:r>
      <w:r>
        <w:rPr>
          <w:rStyle w:val="FootnoteReference"/>
          <w:szCs w:val="22"/>
        </w:rPr>
        <w:footnoteReference w:id="318"/>
      </w:r>
      <w:r>
        <w:t xml:space="preserve">  </w:t>
      </w:r>
      <w:r w:rsidRPr="00557698">
        <w:t xml:space="preserve">We </w:t>
      </w:r>
      <w:r>
        <w:t>will</w:t>
      </w:r>
      <w:r w:rsidRPr="00557698">
        <w:t xml:space="preserve"> establish minimum opening bid amounts for Auction 10</w:t>
      </w:r>
      <w:r>
        <w:t>7</w:t>
      </w:r>
      <w:r w:rsidRPr="00557698">
        <w:t>.  The bidding system will not accept bids lower than the</w:t>
      </w:r>
      <w:r>
        <w:t xml:space="preserve"> minimum opening bids for each product</w:t>
      </w:r>
      <w:r w:rsidRPr="00557698">
        <w:t>.  Based on our experience in past a</w:t>
      </w:r>
      <w:r w:rsidRPr="00557698">
        <w:t>uctions, setting minimum opening bid amounts judiciously is an effective tool for accelerating the competitive bidding process.</w:t>
      </w:r>
      <w:r>
        <w:rPr>
          <w:vertAlign w:val="superscript"/>
        </w:rPr>
        <w:footnoteReference w:id="319"/>
      </w:r>
      <w:r w:rsidRPr="00557698">
        <w:t xml:space="preserve">  </w:t>
      </w:r>
    </w:p>
    <w:p w:rsidR="00062EAF" w:rsidRPr="00A02614" w:rsidP="00062EAF" w14:paraId="437BEEA5" w14:textId="7D1458FE">
      <w:pPr>
        <w:pStyle w:val="ParaNum"/>
        <w:widowControl/>
        <w:rPr>
          <w:szCs w:val="22"/>
        </w:rPr>
      </w:pPr>
      <w:r w:rsidRPr="00557698">
        <w:t>In the first bidding round of Auction 10</w:t>
      </w:r>
      <w:r>
        <w:t>7</w:t>
      </w:r>
      <w:r w:rsidRPr="00557698">
        <w:t>, a bidder w</w:t>
      </w:r>
      <w:r>
        <w:t>ill</w:t>
      </w:r>
      <w:r w:rsidRPr="00557698">
        <w:t xml:space="preserve"> indicate how many generic license blocks in a </w:t>
      </w:r>
      <w:r>
        <w:t>PEA</w:t>
      </w:r>
      <w:r w:rsidRPr="00557698">
        <w:t xml:space="preserve"> it demands at the</w:t>
      </w:r>
      <w:r w:rsidRPr="00557698">
        <w:t xml:space="preserve"> minimum opening bid price.  </w:t>
      </w:r>
      <w:r>
        <w:t>We will</w:t>
      </w:r>
      <w:r w:rsidRPr="00557698">
        <w:t xml:space="preserve"> calculate minimum opening bid amounts using a formula based on bandwidth and license area population, which is similar to our approach in many previous spectrum auctions.  </w:t>
      </w:r>
      <w:r w:rsidRPr="005712E5" w:rsidR="007D2674">
        <w:rPr>
          <w:szCs w:val="22"/>
        </w:rPr>
        <w:t>Several commenters address the proposed minimum opening bid amounts.</w:t>
      </w:r>
      <w:r>
        <w:rPr>
          <w:rStyle w:val="FootnoteReference"/>
          <w:szCs w:val="22"/>
        </w:rPr>
        <w:footnoteReference w:id="320"/>
      </w:r>
      <w:r w:rsidRPr="005712E5" w:rsidR="007D2674">
        <w:rPr>
          <w:szCs w:val="22"/>
        </w:rPr>
        <w:t xml:space="preserve">  We are persuaded by</w:t>
      </w:r>
      <w:r w:rsidR="007D2674">
        <w:rPr>
          <w:szCs w:val="22"/>
        </w:rPr>
        <w:t xml:space="preserve"> T-Mobile</w:t>
      </w:r>
      <w:r w:rsidR="008F6818">
        <w:rPr>
          <w:szCs w:val="22"/>
        </w:rPr>
        <w:t xml:space="preserve"> and CCA </w:t>
      </w:r>
      <w:r w:rsidRPr="005712E5" w:rsidR="007D2674">
        <w:rPr>
          <w:szCs w:val="22"/>
        </w:rPr>
        <w:t>to adopt a tiered approach, under which minimum opening bid amounts will vary by market population.</w:t>
      </w:r>
      <w:r w:rsidR="008F6818">
        <w:rPr>
          <w:szCs w:val="22"/>
        </w:rPr>
        <w:t xml:space="preserve">  </w:t>
      </w:r>
      <w:r w:rsidRPr="005712E5" w:rsidR="007D2674">
        <w:rPr>
          <w:szCs w:val="22"/>
        </w:rPr>
        <w:t>For PEAs 1–50, minimum opening bid amounts are based on $0.0</w:t>
      </w:r>
      <w:r w:rsidR="008F6818">
        <w:rPr>
          <w:szCs w:val="22"/>
        </w:rPr>
        <w:t>3</w:t>
      </w:r>
      <w:r w:rsidRPr="005712E5" w:rsidR="007D2674">
        <w:rPr>
          <w:szCs w:val="22"/>
        </w:rPr>
        <w:t xml:space="preserve"> per MHz</w:t>
      </w:r>
      <w:r w:rsidR="008F6818">
        <w:rPr>
          <w:szCs w:val="22"/>
        </w:rPr>
        <w:t>-</w:t>
      </w:r>
      <w:r w:rsidRPr="005712E5" w:rsidR="007D2674">
        <w:rPr>
          <w:szCs w:val="22"/>
        </w:rPr>
        <w:t>pop; for PEAs 51–100, minimum opening bid amounts are based on $0.0</w:t>
      </w:r>
      <w:r w:rsidR="008F6818">
        <w:rPr>
          <w:szCs w:val="22"/>
        </w:rPr>
        <w:t>06</w:t>
      </w:r>
      <w:r w:rsidRPr="005712E5" w:rsidR="007D2674">
        <w:rPr>
          <w:szCs w:val="22"/>
        </w:rPr>
        <w:t xml:space="preserve"> per MHz</w:t>
      </w:r>
      <w:r w:rsidR="008F6818">
        <w:rPr>
          <w:szCs w:val="22"/>
        </w:rPr>
        <w:t>-</w:t>
      </w:r>
      <w:r w:rsidRPr="005712E5" w:rsidR="007D2674">
        <w:rPr>
          <w:szCs w:val="22"/>
        </w:rPr>
        <w:t>pop; and for all other PEAs, minimum opening bid amounts are based on $0.00</w:t>
      </w:r>
      <w:r w:rsidR="008F6818">
        <w:rPr>
          <w:szCs w:val="22"/>
        </w:rPr>
        <w:t>3</w:t>
      </w:r>
      <w:r w:rsidRPr="005712E5" w:rsidR="007D2674">
        <w:rPr>
          <w:szCs w:val="22"/>
        </w:rPr>
        <w:t xml:space="preserve"> per </w:t>
      </w:r>
      <w:r w:rsidRPr="005712E5" w:rsidR="00DF483A">
        <w:rPr>
          <w:szCs w:val="22"/>
        </w:rPr>
        <w:t>MHz</w:t>
      </w:r>
      <w:r w:rsidR="00DF483A">
        <w:rPr>
          <w:szCs w:val="22"/>
        </w:rPr>
        <w:t>-</w:t>
      </w:r>
      <w:r w:rsidRPr="005712E5" w:rsidR="00DF483A">
        <w:rPr>
          <w:szCs w:val="22"/>
        </w:rPr>
        <w:t>pop</w:t>
      </w:r>
      <w:r w:rsidR="00DF483A">
        <w:rPr>
          <w:szCs w:val="22"/>
        </w:rPr>
        <w:t>, subject to a minimum of $1,000</w:t>
      </w:r>
      <w:r w:rsidRPr="005712E5" w:rsidR="00DF483A">
        <w:rPr>
          <w:szCs w:val="22"/>
        </w:rPr>
        <w:t>.</w:t>
      </w:r>
      <w:r>
        <w:rPr>
          <w:szCs w:val="22"/>
          <w:vertAlign w:val="superscript"/>
        </w:rPr>
        <w:footnoteReference w:id="321"/>
      </w:r>
      <w:r w:rsidR="008F6818">
        <w:t xml:space="preserve">  </w:t>
      </w:r>
      <w:r w:rsidRPr="005712E5" w:rsidR="007D2674">
        <w:rPr>
          <w:szCs w:val="22"/>
        </w:rPr>
        <w:t>As with upfront payments, we conclude that calculating minimum opening bid amounts using these tiers and per MHz</w:t>
      </w:r>
      <w:r w:rsidR="008F6818">
        <w:rPr>
          <w:szCs w:val="22"/>
        </w:rPr>
        <w:t>-</w:t>
      </w:r>
      <w:r w:rsidRPr="005712E5" w:rsidR="007D2674">
        <w:rPr>
          <w:szCs w:val="22"/>
        </w:rPr>
        <w:t>pop dollar amounts is consistent with our experience in past auctions that the top PEAs by population are generally subject to the greatest level of demand and account for a substantial fraction of total auction revenues.</w:t>
      </w:r>
      <w:r>
        <w:rPr>
          <w:rStyle w:val="FootnoteReference"/>
          <w:szCs w:val="22"/>
        </w:rPr>
        <w:footnoteReference w:id="322"/>
      </w:r>
      <w:r w:rsidRPr="005712E5" w:rsidR="007D2674">
        <w:rPr>
          <w:szCs w:val="22"/>
        </w:rPr>
        <w:t xml:space="preserve">  Moreover, calculating minimum opening bids in this way is likely to promote a speedy auction by starting the bidding in each market closer to the final price.  Thus, we expect that this tiered approach, which reduces minimum opening bid amounts for less</w:t>
      </w:r>
      <w:r w:rsidR="008F6818">
        <w:rPr>
          <w:szCs w:val="22"/>
        </w:rPr>
        <w:t>-</w:t>
      </w:r>
      <w:r w:rsidRPr="005712E5" w:rsidR="007D2674">
        <w:rPr>
          <w:szCs w:val="22"/>
        </w:rPr>
        <w:t>densely</w:t>
      </w:r>
      <w:r w:rsidR="008F6818">
        <w:rPr>
          <w:szCs w:val="22"/>
        </w:rPr>
        <w:t xml:space="preserve"> </w:t>
      </w:r>
      <w:r w:rsidRPr="005712E5" w:rsidR="007D2674">
        <w:rPr>
          <w:szCs w:val="22"/>
        </w:rPr>
        <w:t>populated markets, will encourage auction participation, particularly in rural areas, without unduly prolonging the competitive bidding process.</w:t>
      </w:r>
      <w:r>
        <w:rPr>
          <w:rStyle w:val="FootnoteReference"/>
          <w:szCs w:val="22"/>
        </w:rPr>
        <w:footnoteReference w:id="323"/>
      </w:r>
      <w:r w:rsidRPr="005712E5" w:rsidR="007D2674">
        <w:rPr>
          <w:szCs w:val="22"/>
        </w:rPr>
        <w:t xml:space="preserve">  </w:t>
      </w:r>
      <w:r w:rsidR="008F6818">
        <w:rPr>
          <w:szCs w:val="22"/>
        </w:rPr>
        <w:t>T</w:t>
      </w:r>
      <w:r w:rsidRPr="00557698">
        <w:t>hese minimum opening bid amounts</w:t>
      </w:r>
      <w:r>
        <w:t xml:space="preserve"> </w:t>
      </w:r>
      <w:r w:rsidRPr="00557698">
        <w:t xml:space="preserve">are specified in the Attachment A file.  </w:t>
      </w:r>
      <w:r w:rsidRPr="00A02614">
        <w:t xml:space="preserve"> </w:t>
      </w:r>
    </w:p>
    <w:p w:rsidR="00062EAF" w:rsidP="00062EAF" w14:paraId="189B8FD9" w14:textId="77777777">
      <w:pPr>
        <w:pStyle w:val="Heading4"/>
      </w:pPr>
      <w:bookmarkStart w:id="2097" w:name="_Toc29813183"/>
      <w:bookmarkStart w:id="2098" w:name="_Toc29886908"/>
      <w:bookmarkStart w:id="2099" w:name="_Toc29999512"/>
      <w:bookmarkStart w:id="2100" w:name="_Toc30699435"/>
      <w:bookmarkStart w:id="2101" w:name="_Toc30701515"/>
      <w:bookmarkStart w:id="2102" w:name="_Toc31189336"/>
      <w:bookmarkStart w:id="2103" w:name="_Toc31189790"/>
      <w:bookmarkStart w:id="2104" w:name="_Toc31193157"/>
      <w:bookmarkStart w:id="2105" w:name="_Toc31195905"/>
      <w:bookmarkStart w:id="2106" w:name="_Toc31200029"/>
      <w:bookmarkStart w:id="2107" w:name="_Toc31713796"/>
      <w:bookmarkStart w:id="2108" w:name="_Toc31822705"/>
      <w:bookmarkStart w:id="2109" w:name="_Toc33629862"/>
      <w:bookmarkStart w:id="2110" w:name="_Toc33696714"/>
      <w:bookmarkStart w:id="2111" w:name="_Toc25926281"/>
      <w:bookmarkStart w:id="2112" w:name="_Toc25926859"/>
      <w:bookmarkStart w:id="2113" w:name="_Toc27039040"/>
      <w:r>
        <w:t xml:space="preserve">Clock Price </w:t>
      </w:r>
      <w:r>
        <w:t>Increments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t xml:space="preserve"> </w:t>
      </w:r>
      <w:bookmarkEnd w:id="2111"/>
      <w:bookmarkEnd w:id="2112"/>
      <w:bookmarkEnd w:id="2113"/>
    </w:p>
    <w:p w:rsidR="00062EAF" w:rsidRPr="00557698" w:rsidP="00062EAF" w14:paraId="22EA3B58" w14:textId="733C5626">
      <w:pPr>
        <w:pStyle w:val="ParaNum"/>
        <w:widowControl/>
      </w:pPr>
      <w:r>
        <w:t>Under the procedures we adopt,</w:t>
      </w:r>
      <w:r w:rsidRPr="00557698">
        <w:t xml:space="preserve"> after bidding in the first round and before each subsequent round, the FCC auction bidding system w</w:t>
      </w:r>
      <w:r>
        <w:t>ill</w:t>
      </w:r>
      <w:r w:rsidRPr="00557698">
        <w:t xml:space="preserve"> announce the start-of-round price</w:t>
      </w:r>
      <w:r>
        <w:rPr>
          <w:szCs w:val="22"/>
          <w:vertAlign w:val="superscript"/>
        </w:rPr>
        <w:footnoteReference w:id="324"/>
      </w:r>
      <w:r w:rsidRPr="00557698">
        <w:t xml:space="preserve"> and the clock price for </w:t>
      </w:r>
      <w:r>
        <w:t xml:space="preserve">each product </w:t>
      </w:r>
      <w:r w:rsidRPr="00557698">
        <w:t>for the upcoming round—that is, the l</w:t>
      </w:r>
      <w:r w:rsidRPr="00557698">
        <w:t>owest price and the highest price at which bidders can specify the number of blocks they demand during the round.  As long as aggregate demand for blocks in the</w:t>
      </w:r>
      <w:r>
        <w:t xml:space="preserve"> product</w:t>
      </w:r>
      <w:r w:rsidRPr="00557698">
        <w:t xml:space="preserve"> exceeds the supply of blocks, the start-of-round price w</w:t>
      </w:r>
      <w:r>
        <w:t>ill</w:t>
      </w:r>
      <w:r w:rsidRPr="00557698">
        <w:t xml:space="preserve"> be equal to the clock price</w:t>
      </w:r>
      <w:r w:rsidRPr="00557698">
        <w:t xml:space="preserve"> from the prior round.</w:t>
      </w:r>
      <w:r>
        <w:rPr>
          <w:szCs w:val="22"/>
          <w:vertAlign w:val="superscript"/>
        </w:rPr>
        <w:footnoteReference w:id="325"/>
      </w:r>
      <w:r w:rsidRPr="00557698">
        <w:t xml:space="preserve">  If </w:t>
      </w:r>
      <w:r>
        <w:t>aggregate</w:t>
      </w:r>
      <w:r w:rsidRPr="00557698">
        <w:t xml:space="preserve"> demand equal</w:t>
      </w:r>
      <w:r>
        <w:t>s</w:t>
      </w:r>
      <w:r w:rsidRPr="00557698">
        <w:t xml:space="preserve"> supply at a price in a previous round, </w:t>
      </w:r>
      <w:r>
        <w:t>either a clock price or an intra-round price,</w:t>
      </w:r>
      <w:r w:rsidRPr="00557698">
        <w:t xml:space="preserve"> then the start-of-round price for the next round w</w:t>
      </w:r>
      <w:r>
        <w:t>ill</w:t>
      </w:r>
      <w:r w:rsidRPr="00557698">
        <w:t xml:space="preserve"> be equal to the price at which demand equaled supply.  If demand</w:t>
      </w:r>
      <w:r w:rsidRPr="00557698">
        <w:t xml:space="preserve"> was less than supply in the previous round, then the start-of-round price for the next round w</w:t>
      </w:r>
      <w:r>
        <w:t>ill</w:t>
      </w:r>
      <w:r w:rsidRPr="00557698">
        <w:t xml:space="preserve"> not increase.</w:t>
      </w:r>
    </w:p>
    <w:p w:rsidR="00062EAF" w:rsidRPr="00557698" w:rsidP="00062EAF" w14:paraId="0EF36BB3" w14:textId="6CC1D88D">
      <w:pPr>
        <w:pStyle w:val="ParaNum"/>
        <w:widowControl/>
      </w:pPr>
      <w:r w:rsidRPr="00557698">
        <w:t xml:space="preserve">We </w:t>
      </w:r>
      <w:r>
        <w:t>will</w:t>
      </w:r>
      <w:r w:rsidRPr="00557698">
        <w:t xml:space="preserve"> set the clock price for blocks in a specific</w:t>
      </w:r>
      <w:r>
        <w:t xml:space="preserve"> product</w:t>
      </w:r>
      <w:r w:rsidRPr="00557698">
        <w:t xml:space="preserve"> for a round by adding a percentage increment to the start-of-round price.</w:t>
      </w:r>
      <w:r>
        <w:rPr>
          <w:szCs w:val="22"/>
          <w:vertAlign w:val="superscript"/>
        </w:rPr>
        <w:footnoteReference w:id="326"/>
      </w:r>
    </w:p>
    <w:p w:rsidR="00062EAF" w:rsidRPr="00557698" w:rsidP="00062EAF" w14:paraId="2B776581" w14:textId="639D9707">
      <w:pPr>
        <w:pStyle w:val="ParaNum"/>
        <w:widowControl/>
      </w:pPr>
      <w:r w:rsidRPr="00615A7D">
        <w:t xml:space="preserve">We </w:t>
      </w:r>
      <w:r w:rsidRPr="00372770">
        <w:t>ado</w:t>
      </w:r>
      <w:r w:rsidRPr="00372770">
        <w:t xml:space="preserve">pt our </w:t>
      </w:r>
      <w:r w:rsidRPr="00072DDA">
        <w:t>proposal to set the clock price f</w:t>
      </w:r>
      <w:r w:rsidRPr="00557698">
        <w:t xml:space="preserve">or blocks in a </w:t>
      </w:r>
      <w:r>
        <w:t>PEA</w:t>
      </w:r>
      <w:r w:rsidRPr="00557698">
        <w:t xml:space="preserve"> by adding a fixed increment</w:t>
      </w:r>
      <w:r>
        <w:t xml:space="preserve"> percentage</w:t>
      </w:r>
      <w:r>
        <w:rPr>
          <w:iCs/>
        </w:rPr>
        <w:t xml:space="preserve"> </w:t>
      </w:r>
      <w:r w:rsidRPr="00557698">
        <w:t>to the start-of-round price.</w:t>
      </w:r>
      <w:r>
        <w:rPr>
          <w:rStyle w:val="FootnoteReference"/>
        </w:rPr>
        <w:footnoteReference w:id="327"/>
      </w:r>
      <w:r w:rsidRPr="00557698">
        <w:t xml:space="preserve">  We </w:t>
      </w:r>
      <w:r>
        <w:t>will</w:t>
      </w:r>
      <w:r w:rsidRPr="00557698">
        <w:t xml:space="preserve"> set the increment percentage within a range of 5</w:t>
      </w:r>
      <w:r>
        <w:t>%</w:t>
      </w:r>
      <w:r w:rsidRPr="00557698">
        <w:t xml:space="preserve"> to 20% inclusive </w:t>
      </w:r>
      <w:r>
        <w:t>and will set</w:t>
      </w:r>
      <w:r w:rsidRPr="00557698">
        <w:t xml:space="preserve"> the initial increment percentage at 10</w:t>
      </w:r>
      <w:r w:rsidRPr="00557698">
        <w:t>%</w:t>
      </w:r>
      <w:r>
        <w:t xml:space="preserve">.  We may </w:t>
      </w:r>
      <w:r w:rsidRPr="00557698">
        <w:t>adjust the increment as rounds continue.  Th</w:t>
      </w:r>
      <w:r>
        <w:t>is</w:t>
      </w:r>
      <w:r w:rsidRPr="00557698">
        <w:t xml:space="preserve"> 5</w:t>
      </w:r>
      <w:r>
        <w:t>%</w:t>
      </w:r>
      <w:r w:rsidRPr="00557698">
        <w:t xml:space="preserve"> to 20% increment range will allow us to set a percentage that manages the auction pace and takes into account bidders’ needs to evaluate their bidding strategies while moving the auction along qu</w:t>
      </w:r>
      <w:r w:rsidRPr="00557698">
        <w:t>ickly.</w:t>
      </w:r>
      <w:r>
        <w:t xml:space="preserve"> </w:t>
      </w:r>
      <w:r w:rsidRPr="00557698">
        <w:t xml:space="preserve"> </w:t>
      </w:r>
    </w:p>
    <w:p w:rsidR="00062EAF" w:rsidP="00062EAF" w14:paraId="1E7DD78A" w14:textId="77777777">
      <w:pPr>
        <w:pStyle w:val="Heading4"/>
      </w:pPr>
      <w:bookmarkStart w:id="2114" w:name="_Toc25926282"/>
      <w:bookmarkStart w:id="2115" w:name="_Toc25926860"/>
      <w:bookmarkStart w:id="2116" w:name="_Toc27039041"/>
      <w:bookmarkStart w:id="2117" w:name="_Toc29813184"/>
      <w:bookmarkStart w:id="2118" w:name="_Toc29886909"/>
      <w:bookmarkStart w:id="2119" w:name="_Toc29999513"/>
      <w:bookmarkStart w:id="2120" w:name="_Toc30699436"/>
      <w:bookmarkStart w:id="2121" w:name="_Toc30701516"/>
      <w:bookmarkStart w:id="2122" w:name="_Toc31189337"/>
      <w:bookmarkStart w:id="2123" w:name="_Toc31189791"/>
      <w:bookmarkStart w:id="2124" w:name="_Toc31193158"/>
      <w:bookmarkStart w:id="2125" w:name="_Toc31195906"/>
      <w:bookmarkStart w:id="2126" w:name="_Toc31200030"/>
      <w:bookmarkStart w:id="2127" w:name="_Toc31713797"/>
      <w:bookmarkStart w:id="2128" w:name="_Toc31822706"/>
      <w:bookmarkStart w:id="2129" w:name="_Toc33629863"/>
      <w:bookmarkStart w:id="2130" w:name="_Toc33696715"/>
      <w:r w:rsidRPr="00871477">
        <w:t>Intra</w:t>
      </w:r>
      <w:r>
        <w:t>-Round Bids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rsidR="00062EAF" w:rsidRPr="00557698" w:rsidP="00062EAF" w14:paraId="5CC27C28" w14:textId="2FB7C07C">
      <w:pPr>
        <w:pStyle w:val="ParaNum"/>
        <w:widowControl/>
      </w:pPr>
      <w:bookmarkStart w:id="2131" w:name="_Toc25926283"/>
      <w:bookmarkStart w:id="2132" w:name="_Toc25926861"/>
      <w:bookmarkStart w:id="2133" w:name="_Toc27039042"/>
      <w:bookmarkStart w:id="2134" w:name="_Toc29813185"/>
      <w:bookmarkStart w:id="2135" w:name="_Toc29886910"/>
      <w:bookmarkStart w:id="2136" w:name="_Toc29999514"/>
      <w:r w:rsidRPr="00615A7D">
        <w:t xml:space="preserve">As </w:t>
      </w:r>
      <w:r w:rsidRPr="00372770">
        <w:t>proposed</w:t>
      </w:r>
      <w:r w:rsidRPr="00C71BEE">
        <w:t>, w</w:t>
      </w:r>
      <w:r>
        <w:t>e</w:t>
      </w:r>
      <w:r w:rsidRPr="00557698">
        <w:t xml:space="preserve"> </w:t>
      </w:r>
      <w:r>
        <w:t xml:space="preserve">will </w:t>
      </w:r>
      <w:r w:rsidRPr="00557698">
        <w:t xml:space="preserve">permit a bidder to make intra-round bids by indicating a point between the start-of-round price and the clock price at which its demand for </w:t>
      </w:r>
      <w:r w:rsidRPr="00871477">
        <w:t xml:space="preserve">blocks </w:t>
      </w:r>
      <w:r w:rsidRPr="00B11EE8">
        <w:t>changes</w:t>
      </w:r>
      <w:r w:rsidRPr="00557698">
        <w:t>.</w:t>
      </w:r>
      <w:r>
        <w:rPr>
          <w:rStyle w:val="FootnoteReference"/>
        </w:rPr>
        <w:footnoteReference w:id="328"/>
      </w:r>
      <w:r w:rsidRPr="00557698">
        <w:t xml:space="preserve">  In placing an intra-round bid, a bidder would indi</w:t>
      </w:r>
      <w:r w:rsidRPr="00557698">
        <w:t>cate a specific price and a quantity of blocks it demands if the price for blocks should increase beyond that price.</w:t>
      </w:r>
      <w:r>
        <w:t xml:space="preserve">  </w:t>
      </w:r>
      <w:bookmarkStart w:id="2137" w:name="_Hlk34233825"/>
      <w:r>
        <w:t xml:space="preserve">For example, if a bidder has processed demand of </w:t>
      </w:r>
      <w:r w:rsidR="00E9275E">
        <w:t>three</w:t>
      </w:r>
      <w:r>
        <w:t xml:space="preserve"> blocks at the start-of-round price of $100, but wishes to hold only </w:t>
      </w:r>
      <w:r w:rsidR="00E9275E">
        <w:t>two</w:t>
      </w:r>
      <w:r>
        <w:t xml:space="preserve"> blocks if the price increases by more than $10 (assuming the bid increment is greater than $10), then the bidder will indicate a bid quantity of </w:t>
      </w:r>
      <w:r w:rsidR="00E9275E">
        <w:t xml:space="preserve">two </w:t>
      </w:r>
      <w:r>
        <w:t>at a price of $110 ($100+$10).  Si</w:t>
      </w:r>
      <w:r>
        <w:t xml:space="preserve">milarly, if the bidder wishes to reduce its demand to </w:t>
      </w:r>
      <w:r w:rsidR="00E9275E">
        <w:t xml:space="preserve">zero </w:t>
      </w:r>
      <w:r>
        <w:t xml:space="preserve">should the price increase </w:t>
      </w:r>
      <w:r w:rsidRPr="00B11EE8">
        <w:t>at all above</w:t>
      </w:r>
      <w:r>
        <w:t xml:space="preserve"> $100, then the bidder will indicate a bid quantity of </w:t>
      </w:r>
      <w:r w:rsidR="00E9275E">
        <w:t xml:space="preserve">zero </w:t>
      </w:r>
      <w:r>
        <w:t>at the start-of-round price of $100</w:t>
      </w:r>
      <w:bookmarkEnd w:id="2137"/>
      <w:r>
        <w:t xml:space="preserve">.     </w:t>
      </w:r>
    </w:p>
    <w:p w:rsidR="00062EAF" w:rsidRPr="00C36290" w:rsidP="00062EAF" w14:paraId="2C21FF1F" w14:textId="1B2954D8">
      <w:pPr>
        <w:pStyle w:val="ParaNum"/>
        <w:widowControl/>
      </w:pPr>
      <w:r w:rsidRPr="00557698">
        <w:t xml:space="preserve">Intra-round bids </w:t>
      </w:r>
      <w:r>
        <w:t>are</w:t>
      </w:r>
      <w:r w:rsidRPr="00557698">
        <w:t xml:space="preserve"> optional; a bidder may choose to exp</w:t>
      </w:r>
      <w:r w:rsidRPr="00557698">
        <w:t xml:space="preserve">ress its demands only at the clock prices.  </w:t>
      </w:r>
      <w:r>
        <w:t>Intra-round bids give a bidder the flexibility to express its bid amounts precisely.  At the same time, intra-round bids allow</w:t>
      </w:r>
      <w:r w:rsidRPr="00557698">
        <w:t xml:space="preserve"> the auction </w:t>
      </w:r>
      <w:r w:rsidR="00E9275E">
        <w:t xml:space="preserve">bidding </w:t>
      </w:r>
      <w:r w:rsidRPr="00557698">
        <w:t>system to use relatively large increments, thereby speeding the a</w:t>
      </w:r>
      <w:r w:rsidRPr="00557698">
        <w:t>uction, without running the risk that a</w:t>
      </w:r>
      <w:r>
        <w:t xml:space="preserve">n increase </w:t>
      </w:r>
      <w:r w:rsidRPr="00557698">
        <w:t xml:space="preserve">in the clock price will </w:t>
      </w:r>
      <w:r>
        <w:t>exceed</w:t>
      </w:r>
      <w:r w:rsidRPr="00557698">
        <w:t xml:space="preserve"> the market clearing price—the point at which demand for blocks equals the available supply.</w:t>
      </w:r>
    </w:p>
    <w:p w:rsidR="00062EAF" w:rsidRPr="00435180" w:rsidP="00062EAF" w14:paraId="2F451404" w14:textId="77777777">
      <w:pPr>
        <w:pStyle w:val="Heading3"/>
      </w:pPr>
      <w:bookmarkStart w:id="2138" w:name="_Toc25926284"/>
      <w:bookmarkStart w:id="2139" w:name="_Toc29886911"/>
      <w:bookmarkStart w:id="2140" w:name="_Toc29999515"/>
      <w:bookmarkStart w:id="2141" w:name="_Toc30699437"/>
      <w:bookmarkStart w:id="2142" w:name="_Toc30701517"/>
      <w:bookmarkStart w:id="2143" w:name="_Toc31189338"/>
      <w:bookmarkStart w:id="2144" w:name="_Toc31189792"/>
      <w:bookmarkStart w:id="2145" w:name="_Toc31193159"/>
      <w:bookmarkStart w:id="2146" w:name="_Toc31195907"/>
      <w:bookmarkStart w:id="2147" w:name="_Toc31200031"/>
      <w:bookmarkStart w:id="2148" w:name="_Toc31713798"/>
      <w:bookmarkStart w:id="2149" w:name="_Toc31822707"/>
      <w:bookmarkStart w:id="2150" w:name="_Toc33629864"/>
      <w:bookmarkStart w:id="2151" w:name="_Toc33696716"/>
      <w:bookmarkStart w:id="2152" w:name="_Toc25926862"/>
      <w:bookmarkStart w:id="2153" w:name="_Toc25926976"/>
      <w:bookmarkStart w:id="2154" w:name="_Toc27039043"/>
      <w:bookmarkStart w:id="2155" w:name="_Toc29813186"/>
      <w:bookmarkEnd w:id="2131"/>
      <w:bookmarkEnd w:id="2132"/>
      <w:bookmarkEnd w:id="2133"/>
      <w:bookmarkEnd w:id="2134"/>
      <w:bookmarkEnd w:id="2135"/>
      <w:bookmarkEnd w:id="2136"/>
      <w:r>
        <w:t>Bids to Change Demand, Bid Types, and Bid Processing</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t xml:space="preserve"> </w:t>
      </w:r>
      <w:bookmarkEnd w:id="2152"/>
      <w:bookmarkEnd w:id="2153"/>
      <w:bookmarkEnd w:id="2154"/>
      <w:bookmarkEnd w:id="2155"/>
    </w:p>
    <w:p w:rsidR="00062EAF" w:rsidP="00062EAF" w14:paraId="081DA96F" w14:textId="01E0EA1D">
      <w:pPr>
        <w:pStyle w:val="ParaNum"/>
        <w:widowControl/>
        <w:rPr>
          <w:szCs w:val="22"/>
        </w:rPr>
      </w:pPr>
      <w:r w:rsidRPr="00557698">
        <w:t xml:space="preserve">Under the ascending clock </w:t>
      </w:r>
      <w:r w:rsidR="00E9275E">
        <w:t xml:space="preserve">auction </w:t>
      </w:r>
      <w:r w:rsidRPr="00557698">
        <w:t xml:space="preserve">format we </w:t>
      </w:r>
      <w:r>
        <w:t>adopt</w:t>
      </w:r>
      <w:r w:rsidRPr="00557698">
        <w:t xml:space="preserve"> for Auction 10</w:t>
      </w:r>
      <w:r>
        <w:t>7</w:t>
      </w:r>
      <w:r w:rsidRPr="00557698">
        <w:t xml:space="preserve">, </w:t>
      </w:r>
      <w:r w:rsidRPr="008617B1">
        <w:rPr>
          <w:szCs w:val="22"/>
        </w:rPr>
        <w:t xml:space="preserve">a bidder </w:t>
      </w:r>
      <w:r w:rsidRPr="00C36290">
        <w:rPr>
          <w:szCs w:val="22"/>
        </w:rPr>
        <w:t xml:space="preserve">that is willing to maintain the same demand in a </w:t>
      </w:r>
      <w:r>
        <w:rPr>
          <w:szCs w:val="22"/>
        </w:rPr>
        <w:t>product</w:t>
      </w:r>
      <w:r w:rsidRPr="00C36290">
        <w:rPr>
          <w:szCs w:val="22"/>
        </w:rPr>
        <w:t xml:space="preserve"> at the new clock price will bid for that quantity at the clock price,</w:t>
      </w:r>
      <w:r w:rsidRPr="00C36290">
        <w:t xml:space="preserve"> indicating that it is willing to pay up to </w:t>
      </w:r>
      <w:r>
        <w:t xml:space="preserve">and including </w:t>
      </w:r>
      <w:r w:rsidRPr="00C36290">
        <w:t>that price, if need be, f</w:t>
      </w:r>
      <w:r w:rsidRPr="00C36290">
        <w:t xml:space="preserve">or the specified </w:t>
      </w:r>
      <w:r w:rsidRPr="00C36290">
        <w:t>quantity.  B</w:t>
      </w:r>
      <w:r w:rsidRPr="00C36290">
        <w:rPr>
          <w:szCs w:val="22"/>
        </w:rPr>
        <w:t>ids to maintain demand w</w:t>
      </w:r>
      <w:r>
        <w:rPr>
          <w:szCs w:val="22"/>
        </w:rPr>
        <w:t>ill</w:t>
      </w:r>
      <w:r w:rsidRPr="00C36290">
        <w:rPr>
          <w:szCs w:val="22"/>
        </w:rPr>
        <w:t xml:space="preserve"> always be applied by the auction bidding system</w:t>
      </w:r>
      <w:r w:rsidRPr="00C36290">
        <w:t xml:space="preserve">.  </w:t>
      </w:r>
      <w:r w:rsidRPr="00B007C8">
        <w:t xml:space="preserve">A bidder that wishes to change the quantity it demands </w:t>
      </w:r>
      <w:r>
        <w:t xml:space="preserve">in a product </w:t>
      </w:r>
      <w:r w:rsidRPr="00B007C8">
        <w:t>(relative to its demand from the previous round as processed by the bidding syste</w:t>
      </w:r>
      <w:r w:rsidRPr="00B007C8">
        <w:t>m) can express its demand at the clock price or at an intra-round price</w:t>
      </w:r>
      <w:r w:rsidRPr="00C36290">
        <w:t>, but</w:t>
      </w:r>
      <w:r>
        <w:t xml:space="preserve"> depending upon the bidder’s eligibility and the aggregate demand for the product, the bidding system may not be able to apply the requested change.  </w:t>
      </w:r>
      <w:r w:rsidRPr="00B007C8">
        <w:rPr>
          <w:szCs w:val="22"/>
        </w:rPr>
        <w:t xml:space="preserve"> </w:t>
      </w:r>
    </w:p>
    <w:p w:rsidR="00062EAF" w:rsidRPr="00435180" w:rsidP="00062EAF" w14:paraId="74F9C1D7" w14:textId="37601FD3">
      <w:pPr>
        <w:pStyle w:val="ParaNum"/>
        <w:widowControl/>
        <w:rPr>
          <w:rFonts w:eastAsia="Calibri"/>
          <w:snapToGrid/>
          <w:szCs w:val="22"/>
        </w:rPr>
      </w:pPr>
      <w:r w:rsidRPr="00435180">
        <w:rPr>
          <w:rFonts w:eastAsia="Calibri"/>
          <w:snapToGrid/>
          <w:szCs w:val="22"/>
        </w:rPr>
        <w:t>In order to facilitate biddi</w:t>
      </w:r>
      <w:r w:rsidRPr="00435180">
        <w:rPr>
          <w:rFonts w:eastAsia="Calibri"/>
          <w:snapToGrid/>
          <w:szCs w:val="22"/>
        </w:rPr>
        <w:t xml:space="preserve">ng for multiple blocks in a </w:t>
      </w:r>
      <w:r>
        <w:rPr>
          <w:rFonts w:eastAsia="Calibri"/>
          <w:snapToGrid/>
          <w:szCs w:val="22"/>
        </w:rPr>
        <w:t>product</w:t>
      </w:r>
      <w:r w:rsidRPr="00435180">
        <w:rPr>
          <w:rFonts w:eastAsia="Calibri"/>
          <w:snapToGrid/>
          <w:szCs w:val="22"/>
        </w:rPr>
        <w:t>, bidders will be permitted to make two types of bids:  simple bids and switch bids.</w:t>
      </w:r>
      <w:r>
        <w:rPr>
          <w:rStyle w:val="FootnoteReference"/>
          <w:rFonts w:eastAsia="Calibri"/>
          <w:kern w:val="0"/>
          <w:szCs w:val="22"/>
        </w:rPr>
        <w:footnoteReference w:id="329"/>
      </w:r>
      <w:r w:rsidRPr="00435180">
        <w:rPr>
          <w:rFonts w:eastAsia="Calibri"/>
          <w:snapToGrid/>
          <w:szCs w:val="22"/>
        </w:rPr>
        <w:t xml:space="preserve"> </w:t>
      </w:r>
    </w:p>
    <w:p w:rsidR="00062EAF" w:rsidRPr="00435180" w:rsidP="002314BA" w14:paraId="2C8E4FFD" w14:textId="77777777">
      <w:pPr>
        <w:pStyle w:val="ParaNum"/>
        <w:widowControl/>
        <w:numPr>
          <w:ilvl w:val="0"/>
          <w:numId w:val="9"/>
        </w:numPr>
        <w:rPr>
          <w:rFonts w:eastAsia="Calibri"/>
          <w:snapToGrid/>
          <w:kern w:val="0"/>
          <w:szCs w:val="22"/>
        </w:rPr>
      </w:pPr>
      <w:r w:rsidRPr="00435180">
        <w:rPr>
          <w:rFonts w:eastAsia="Calibri"/>
          <w:snapToGrid/>
          <w:kern w:val="0"/>
          <w:szCs w:val="22"/>
        </w:rPr>
        <w:t xml:space="preserve">A “simple” bid indicates a desired quantity of </w:t>
      </w:r>
      <w:r>
        <w:rPr>
          <w:rFonts w:eastAsia="Calibri"/>
          <w:snapToGrid/>
          <w:kern w:val="0"/>
          <w:szCs w:val="22"/>
        </w:rPr>
        <w:t>blocks in a product</w:t>
      </w:r>
      <w:r w:rsidRPr="00435180">
        <w:rPr>
          <w:rFonts w:eastAsia="Calibri"/>
          <w:snapToGrid/>
          <w:kern w:val="0"/>
          <w:szCs w:val="22"/>
        </w:rPr>
        <w:t xml:space="preserve"> at a price (either the clock price or an intra-round price).  Simple bids may be applied partially.  A simple bid that involves a reduction from the bidder’s previous demands may be implemented partially if aggregate excess demand is insufficient to suppo</w:t>
      </w:r>
      <w:r w:rsidRPr="00435180">
        <w:rPr>
          <w:rFonts w:eastAsia="Calibri"/>
          <w:snapToGrid/>
          <w:kern w:val="0"/>
          <w:szCs w:val="22"/>
        </w:rPr>
        <w:t>rt the entire reduction.  A simple bid to increase a bidder’s demand in a category may be applied partially if the total number of bidding units associated with the bidder’s full increase in demand exceeds the bidder’s bidding eligibility for the round.</w:t>
      </w:r>
    </w:p>
    <w:p w:rsidR="00062EAF" w:rsidRPr="00435180" w:rsidP="002314BA" w14:paraId="6A9F728D" w14:textId="77777777">
      <w:pPr>
        <w:pStyle w:val="ParaNum"/>
        <w:widowControl/>
        <w:numPr>
          <w:ilvl w:val="0"/>
          <w:numId w:val="9"/>
        </w:numPr>
        <w:rPr>
          <w:rFonts w:eastAsia="Calibri"/>
          <w:snapToGrid/>
          <w:kern w:val="0"/>
          <w:szCs w:val="22"/>
        </w:rPr>
      </w:pPr>
      <w:r>
        <w:rPr>
          <w:rFonts w:eastAsia="Calibri"/>
          <w:snapToGrid/>
          <w:kern w:val="0"/>
          <w:szCs w:val="22"/>
        </w:rPr>
        <w:t xml:space="preserve">A </w:t>
      </w:r>
      <w:r>
        <w:rPr>
          <w:rFonts w:eastAsia="Calibri"/>
          <w:snapToGrid/>
          <w:kern w:val="0"/>
          <w:szCs w:val="22"/>
        </w:rPr>
        <w:t xml:space="preserve">“switch” bid, applicable in PEAs in which there are blocks in both A and BC categories, allows </w:t>
      </w:r>
      <w:r w:rsidRPr="00435180">
        <w:rPr>
          <w:rFonts w:eastAsia="Calibri"/>
          <w:snapToGrid/>
          <w:kern w:val="0"/>
          <w:szCs w:val="22"/>
        </w:rPr>
        <w:t xml:space="preserve">the bidder to request to move its demand for a quantity of </w:t>
      </w:r>
      <w:r>
        <w:rPr>
          <w:rFonts w:eastAsia="Calibri"/>
          <w:snapToGrid/>
          <w:kern w:val="0"/>
          <w:szCs w:val="22"/>
        </w:rPr>
        <w:t>blocks</w:t>
      </w:r>
      <w:r w:rsidRPr="00435180">
        <w:rPr>
          <w:rFonts w:eastAsia="Calibri"/>
          <w:snapToGrid/>
          <w:kern w:val="0"/>
          <w:szCs w:val="22"/>
        </w:rPr>
        <w:t xml:space="preserve"> from the</w:t>
      </w:r>
      <w:r>
        <w:rPr>
          <w:rFonts w:eastAsia="Calibri"/>
          <w:snapToGrid/>
          <w:kern w:val="0"/>
          <w:szCs w:val="22"/>
        </w:rPr>
        <w:t xml:space="preserve"> A </w:t>
      </w:r>
      <w:r w:rsidRPr="00435180">
        <w:rPr>
          <w:rFonts w:eastAsia="Calibri"/>
          <w:snapToGrid/>
          <w:kern w:val="0"/>
          <w:szCs w:val="22"/>
        </w:rPr>
        <w:t xml:space="preserve">category to the </w:t>
      </w:r>
      <w:r>
        <w:rPr>
          <w:rFonts w:eastAsia="Calibri"/>
          <w:snapToGrid/>
          <w:kern w:val="0"/>
          <w:szCs w:val="22"/>
        </w:rPr>
        <w:t>BC</w:t>
      </w:r>
      <w:r w:rsidRPr="00435180">
        <w:rPr>
          <w:rFonts w:eastAsia="Calibri"/>
          <w:snapToGrid/>
          <w:kern w:val="0"/>
          <w:szCs w:val="22"/>
        </w:rPr>
        <w:t xml:space="preserve"> category, or vice versa, within the same PEA.  A switch bid may b</w:t>
      </w:r>
      <w:r w:rsidRPr="00435180">
        <w:rPr>
          <w:rFonts w:eastAsia="Calibri"/>
          <w:snapToGrid/>
          <w:kern w:val="0"/>
          <w:szCs w:val="22"/>
        </w:rPr>
        <w:t xml:space="preserve">e applied partially, but the increase in demand in the “to” category will always match in quantity the reduction in the “from” category.  </w:t>
      </w:r>
    </w:p>
    <w:p w:rsidR="00062EAF" w:rsidRPr="00D10A2E" w:rsidP="00062EAF" w14:paraId="01FA7CAB" w14:textId="77777777">
      <w:pPr>
        <w:pStyle w:val="ParaNum"/>
        <w:widowControl/>
        <w:rPr>
          <w:szCs w:val="22"/>
        </w:rPr>
      </w:pPr>
      <w:r w:rsidRPr="00435180">
        <w:rPr>
          <w:rFonts w:eastAsia="Calibri"/>
          <w:snapToGrid/>
          <w:szCs w:val="22"/>
        </w:rPr>
        <w:t>These bid types will allow bidders to express their demand for blocks in the next clock round without running the ris</w:t>
      </w:r>
      <w:r w:rsidRPr="00435180">
        <w:rPr>
          <w:rFonts w:eastAsia="Calibri"/>
          <w:snapToGrid/>
          <w:szCs w:val="22"/>
        </w:rPr>
        <w:t>k that they will be forced to purchase more spectrum at a higher price than they wish.  When a bid to reduce demand can be applied only partially, the uniform price for the category will stop increasing at that point, since the partial application of the b</w:t>
      </w:r>
      <w:r w:rsidRPr="00435180">
        <w:rPr>
          <w:rFonts w:eastAsia="Calibri"/>
          <w:snapToGrid/>
          <w:szCs w:val="22"/>
        </w:rPr>
        <w:t>id results in demand falling to equal supply.  Hence, a bidder that makes a simple bid or a switch bid that cannot be applied fully will not face a price that is higher than its bid price for the remaining demand.</w:t>
      </w:r>
      <w:r w:rsidRPr="00B007C8">
        <w:t xml:space="preserve"> </w:t>
      </w:r>
    </w:p>
    <w:p w:rsidR="00062EAF" w:rsidRPr="00B007C8" w:rsidP="00062EAF" w14:paraId="018D5FC0" w14:textId="7DB1C621">
      <w:pPr>
        <w:pStyle w:val="ParaNum"/>
        <w:widowControl/>
        <w:rPr>
          <w:szCs w:val="22"/>
        </w:rPr>
      </w:pPr>
      <w:r w:rsidRPr="00435180">
        <w:rPr>
          <w:szCs w:val="22"/>
        </w:rPr>
        <w:t xml:space="preserve">As proposed, we do not adopt any package </w:t>
      </w:r>
      <w:r w:rsidRPr="00435180">
        <w:rPr>
          <w:szCs w:val="22"/>
        </w:rPr>
        <w:t>bidding procedures for the clock phase of Auction 10</w:t>
      </w:r>
      <w:r>
        <w:rPr>
          <w:szCs w:val="22"/>
        </w:rPr>
        <w:t>7</w:t>
      </w:r>
      <w:r w:rsidRPr="00435180">
        <w:rPr>
          <w:szCs w:val="22"/>
        </w:rPr>
        <w:t>.</w:t>
      </w:r>
      <w:r>
        <w:rPr>
          <w:rStyle w:val="FootnoteReference"/>
          <w:szCs w:val="22"/>
        </w:rPr>
        <w:footnoteReference w:id="330"/>
      </w:r>
      <w:r w:rsidRPr="00435180">
        <w:rPr>
          <w:szCs w:val="22"/>
        </w:rPr>
        <w:t xml:space="preserve">  A bidder may bid for multiple blocks in a bidding category in a PEA and may submit bids for multiple PEAs.  As set forth below, under the procedures we adopt for the assignment phase, the assignment</w:t>
      </w:r>
      <w:r w:rsidRPr="00435180">
        <w:rPr>
          <w:szCs w:val="22"/>
        </w:rPr>
        <w:t xml:space="preserve"> phase will assign contiguous blocks to winners of multiple blocks </w:t>
      </w:r>
      <w:r>
        <w:rPr>
          <w:szCs w:val="22"/>
        </w:rPr>
        <w:t>in a PEA</w:t>
      </w:r>
      <w:r w:rsidRPr="00435180">
        <w:rPr>
          <w:szCs w:val="22"/>
        </w:rPr>
        <w:t xml:space="preserve"> and give bidders an opportunity to express their preferences for specific frequency blocks, thereby facilitating aggregations of licenses.</w:t>
      </w:r>
    </w:p>
    <w:p w:rsidR="00062EAF" w:rsidRPr="005643E5" w:rsidP="00062EAF" w14:paraId="279F0200" w14:textId="280AD015">
      <w:pPr>
        <w:pStyle w:val="ParaNum"/>
        <w:widowControl/>
        <w:rPr>
          <w:szCs w:val="22"/>
        </w:rPr>
      </w:pPr>
      <w:r>
        <w:t xml:space="preserve">Under the </w:t>
      </w:r>
      <w:r w:rsidRPr="00557698">
        <w:t xml:space="preserve">bid processing procedures </w:t>
      </w:r>
      <w:r>
        <w:t>we pr</w:t>
      </w:r>
      <w:r>
        <w:t xml:space="preserve">oposed and adopt here, </w:t>
      </w:r>
      <w:r w:rsidRPr="00557698">
        <w:t>the auction bidding system w</w:t>
      </w:r>
      <w:r>
        <w:t>ill</w:t>
      </w:r>
      <w:r w:rsidRPr="00557698">
        <w:t xml:space="preserve">, after each bidding round, process bids to change demand to determine the </w:t>
      </w:r>
      <w:r w:rsidRPr="00557698">
        <w:rPr>
          <w:i/>
          <w:iCs/>
        </w:rPr>
        <w:t>processed demand</w:t>
      </w:r>
      <w:r w:rsidRPr="00557698">
        <w:t xml:space="preserve"> of each bidder</w:t>
      </w:r>
      <w:r>
        <w:t xml:space="preserve"> for each product </w:t>
      </w:r>
      <w:r w:rsidRPr="00557698">
        <w:t xml:space="preserve">and a </w:t>
      </w:r>
      <w:r w:rsidRPr="00557698">
        <w:rPr>
          <w:i/>
          <w:iCs/>
        </w:rPr>
        <w:t>posted price</w:t>
      </w:r>
      <w:r w:rsidRPr="00557698">
        <w:t xml:space="preserve"> for each </w:t>
      </w:r>
      <w:r>
        <w:t>product</w:t>
      </w:r>
      <w:r w:rsidRPr="00557698">
        <w:t xml:space="preserve"> that would serve as the start-of-round pri</w:t>
      </w:r>
      <w:r w:rsidRPr="00557698">
        <w:t>ce for the next round.</w:t>
      </w:r>
      <w:r>
        <w:rPr>
          <w:rStyle w:val="FootnoteReference"/>
        </w:rPr>
        <w:footnoteReference w:id="331"/>
      </w:r>
    </w:p>
    <w:p w:rsidR="00062EAF" w:rsidP="00062EAF" w14:paraId="1A1C7BC9" w14:textId="77777777">
      <w:pPr>
        <w:pStyle w:val="Heading4"/>
        <w:rPr>
          <w:rFonts w:eastAsia="Calibri"/>
          <w:snapToGrid/>
        </w:rPr>
      </w:pPr>
      <w:bookmarkStart w:id="2156" w:name="_Toc29999516"/>
      <w:bookmarkStart w:id="2157" w:name="_Toc30699438"/>
      <w:bookmarkStart w:id="2158" w:name="_Toc30701518"/>
      <w:bookmarkStart w:id="2159" w:name="_Toc31189339"/>
      <w:bookmarkStart w:id="2160" w:name="_Toc31189793"/>
      <w:bookmarkStart w:id="2161" w:name="_Toc31193160"/>
      <w:bookmarkStart w:id="2162" w:name="_Toc31195908"/>
      <w:bookmarkStart w:id="2163" w:name="_Toc31200032"/>
      <w:bookmarkStart w:id="2164" w:name="_Toc31713799"/>
      <w:bookmarkStart w:id="2165" w:name="_Toc31822708"/>
      <w:bookmarkStart w:id="2166" w:name="_Toc33629865"/>
      <w:bookmarkStart w:id="2167" w:name="_Toc33696717"/>
      <w:r>
        <w:rPr>
          <w:rFonts w:eastAsia="Calibri"/>
          <w:snapToGrid/>
        </w:rPr>
        <w:t>No Excess Supply Rule</w:t>
      </w:r>
      <w:bookmarkEnd w:id="2156"/>
      <w:bookmarkEnd w:id="2157"/>
      <w:bookmarkEnd w:id="2158"/>
      <w:r>
        <w:rPr>
          <w:rFonts w:eastAsia="Calibri"/>
          <w:snapToGrid/>
        </w:rPr>
        <w:t xml:space="preserve"> </w:t>
      </w:r>
      <w:r>
        <w:t>for Bids to Reduce Demand</w:t>
      </w:r>
      <w:bookmarkEnd w:id="2159"/>
      <w:bookmarkEnd w:id="2160"/>
      <w:bookmarkEnd w:id="2161"/>
      <w:bookmarkEnd w:id="2162"/>
      <w:bookmarkEnd w:id="2163"/>
      <w:bookmarkEnd w:id="2164"/>
      <w:bookmarkEnd w:id="2165"/>
      <w:bookmarkEnd w:id="2166"/>
      <w:bookmarkEnd w:id="2167"/>
    </w:p>
    <w:p w:rsidR="00062EAF" w:rsidP="00062EAF" w14:paraId="51C580C8" w14:textId="77777777">
      <w:pPr>
        <w:pStyle w:val="ParaNum"/>
        <w:widowControl/>
      </w:pPr>
      <w:r>
        <w:t xml:space="preserve">With </w:t>
      </w:r>
      <w:r w:rsidRPr="00557698">
        <w:t xml:space="preserve">the ascending clock auction format, the FCC auction bidding system will not </w:t>
      </w:r>
      <w:r>
        <w:t xml:space="preserve">apply a bid </w:t>
      </w:r>
      <w:r w:rsidRPr="00557698">
        <w:t xml:space="preserve">to reduce the quantity of blocks </w:t>
      </w:r>
      <w:r>
        <w:t xml:space="preserve">a bidder </w:t>
      </w:r>
      <w:r w:rsidRPr="00557698">
        <w:t>demands in a</w:t>
      </w:r>
      <w:r>
        <w:t xml:space="preserve"> product </w:t>
      </w:r>
      <w:r w:rsidRPr="00557698">
        <w:t xml:space="preserve">if the reduction would result in aggregate demand falling below (or further below) the available supply of blocks in the </w:t>
      </w:r>
      <w:r>
        <w:t>product</w:t>
      </w:r>
      <w:r w:rsidRPr="00557698">
        <w:t xml:space="preserve">.  Therefore, if a bidder </w:t>
      </w:r>
      <w:r>
        <w:t xml:space="preserve">submits a simple </w:t>
      </w:r>
      <w:r w:rsidRPr="00557698">
        <w:t xml:space="preserve">bid to reduce the number of blocks </w:t>
      </w:r>
      <w:r>
        <w:t>for which it has processed demand</w:t>
      </w:r>
      <w:r w:rsidRPr="00557698">
        <w:t xml:space="preserve"> as of the previous round, </w:t>
      </w:r>
      <w:r>
        <w:t xml:space="preserve">then </w:t>
      </w:r>
      <w:r w:rsidRPr="00557698">
        <w:t xml:space="preserve">the FCC auction bidding system will treat the bid as a request to reduce demand that will be applied only if the “no excess supply” rule would be satisfied.  </w:t>
      </w:r>
      <w:r>
        <w:t xml:space="preserve">Similarly, if a </w:t>
      </w:r>
      <w:r>
        <w:t>bidder submits a switch bid to move its demand for</w:t>
      </w:r>
      <w:r>
        <w:t xml:space="preserve"> a quantity of blocks from the A category to the BC category within the same PEA, the FCC auction bidding system will treat the bid as a request that will be applied only if the “no excess supply” rule would be satisfied for the A category in the PEA.</w:t>
      </w:r>
      <w:r w:rsidRPr="00557698">
        <w:t xml:space="preserve">  </w:t>
      </w:r>
    </w:p>
    <w:p w:rsidR="00062EAF" w:rsidRPr="00D911F9" w:rsidP="00062EAF" w14:paraId="20EA680A" w14:textId="77777777">
      <w:pPr>
        <w:pStyle w:val="Heading4"/>
      </w:pPr>
      <w:bookmarkStart w:id="2168" w:name="_Toc31189340"/>
      <w:bookmarkStart w:id="2169" w:name="_Toc31189794"/>
      <w:bookmarkStart w:id="2170" w:name="_Toc31193161"/>
      <w:bookmarkStart w:id="2171" w:name="_Toc31195909"/>
      <w:bookmarkStart w:id="2172" w:name="_Toc31200033"/>
      <w:bookmarkStart w:id="2173" w:name="_Toc31713800"/>
      <w:bookmarkStart w:id="2174" w:name="_Toc31822709"/>
      <w:bookmarkStart w:id="2175" w:name="_Toc33629866"/>
      <w:bookmarkStart w:id="2176" w:name="_Toc33696718"/>
      <w:r w:rsidRPr="00D911F9">
        <w:t>El</w:t>
      </w:r>
      <w:r w:rsidRPr="00D911F9">
        <w:t>igibility Rule for Bids to Increase Demand</w:t>
      </w:r>
      <w:bookmarkEnd w:id="2168"/>
      <w:bookmarkEnd w:id="2169"/>
      <w:bookmarkEnd w:id="2170"/>
      <w:bookmarkEnd w:id="2171"/>
      <w:bookmarkEnd w:id="2172"/>
      <w:bookmarkEnd w:id="2173"/>
      <w:bookmarkEnd w:id="2174"/>
      <w:bookmarkEnd w:id="2175"/>
      <w:bookmarkEnd w:id="2176"/>
    </w:p>
    <w:p w:rsidR="00062EAF" w:rsidRPr="00557698" w:rsidP="00062EAF" w14:paraId="5BA60EAA" w14:textId="77777777">
      <w:pPr>
        <w:pStyle w:val="ParaNum"/>
        <w:widowControl/>
      </w:pPr>
      <w:r>
        <w:t>T</w:t>
      </w:r>
      <w:r w:rsidRPr="00557698">
        <w:t xml:space="preserve">he bidding system will not allow a bidder to </w:t>
      </w:r>
      <w:r>
        <w:t>increase</w:t>
      </w:r>
      <w:r w:rsidRPr="00557698">
        <w:t xml:space="preserve"> the quantity of blocks it demands in </w:t>
      </w:r>
      <w:r>
        <w:t>a product</w:t>
      </w:r>
      <w:r w:rsidRPr="00557698">
        <w:t xml:space="preserve"> if the </w:t>
      </w:r>
      <w:r>
        <w:t>total number of bidding units associated with the bidder’s demand exceeds the bidder’s bidding eligibili</w:t>
      </w:r>
      <w:r>
        <w:t>ty for the round.  Therefore, if a bidder submits a simple bid to increase the number of blocks for which it has processed demand as of the previous round, the FCC auction bidding system will treat the bid as a request to increase demand that will be appli</w:t>
      </w:r>
      <w:r>
        <w:t xml:space="preserve">ed only if that would not cause the bidder’s activity to exceed its eligibility.  </w:t>
      </w:r>
      <w:r w:rsidRPr="00557698">
        <w:t xml:space="preserve">    </w:t>
      </w:r>
    </w:p>
    <w:p w:rsidR="00062EAF" w:rsidP="00062EAF" w14:paraId="0C8D7118" w14:textId="77777777">
      <w:pPr>
        <w:pStyle w:val="Heading4"/>
        <w:rPr>
          <w:rFonts w:eastAsia="Calibri"/>
        </w:rPr>
      </w:pPr>
      <w:bookmarkStart w:id="2177" w:name="_Toc29999517"/>
      <w:bookmarkStart w:id="2178" w:name="_Toc30699439"/>
      <w:bookmarkStart w:id="2179" w:name="_Toc30701519"/>
      <w:bookmarkStart w:id="2180" w:name="_Toc31189341"/>
      <w:bookmarkStart w:id="2181" w:name="_Toc31189795"/>
      <w:bookmarkStart w:id="2182" w:name="_Toc31193162"/>
      <w:bookmarkStart w:id="2183" w:name="_Toc31195910"/>
      <w:bookmarkStart w:id="2184" w:name="_Toc31200034"/>
      <w:bookmarkStart w:id="2185" w:name="_Toc31713801"/>
      <w:bookmarkStart w:id="2186" w:name="_Toc31822710"/>
      <w:bookmarkStart w:id="2187" w:name="_Toc33629867"/>
      <w:bookmarkStart w:id="2188" w:name="_Toc33696719"/>
      <w:r>
        <w:rPr>
          <w:rFonts w:eastAsia="Calibri"/>
        </w:rPr>
        <w:t>Partial Application of Bids</w:t>
      </w:r>
      <w:bookmarkEnd w:id="2177"/>
      <w:bookmarkEnd w:id="2178"/>
      <w:bookmarkEnd w:id="2179"/>
      <w:bookmarkEnd w:id="2180"/>
      <w:bookmarkEnd w:id="2181"/>
      <w:bookmarkEnd w:id="2182"/>
      <w:bookmarkEnd w:id="2183"/>
      <w:bookmarkEnd w:id="2184"/>
      <w:bookmarkEnd w:id="2185"/>
      <w:bookmarkEnd w:id="2186"/>
      <w:bookmarkEnd w:id="2187"/>
      <w:bookmarkEnd w:id="2188"/>
    </w:p>
    <w:p w:rsidR="00062EAF" w:rsidRPr="0025491A" w:rsidP="00062EAF" w14:paraId="29385753" w14:textId="77777777">
      <w:pPr>
        <w:pStyle w:val="ParaNum"/>
        <w:widowControl/>
      </w:pPr>
      <w:r w:rsidRPr="00557698">
        <w:t xml:space="preserve">Under </w:t>
      </w:r>
      <w:r>
        <w:t>the</w:t>
      </w:r>
      <w:r w:rsidRPr="00557698">
        <w:t xml:space="preserve"> bid processing procedures</w:t>
      </w:r>
      <w:r>
        <w:t xml:space="preserve"> we adopt</w:t>
      </w:r>
      <w:r w:rsidRPr="00557698">
        <w:t xml:space="preserve">, a bid </w:t>
      </w:r>
      <w:r>
        <w:t xml:space="preserve">(simple bid or switch bid) </w:t>
      </w:r>
      <w:r w:rsidRPr="00557698">
        <w:t xml:space="preserve">that involves a reduction from the bidder’s previous demands </w:t>
      </w:r>
      <w:r>
        <w:t>w</w:t>
      </w:r>
      <w:r>
        <w:t>ill</w:t>
      </w:r>
      <w:r w:rsidRPr="00557698">
        <w:t xml:space="preserve"> be applied partially—that is, reduced by fewer blocks than requested in the bid—if excess demand is insufficient to support the entire reduction.</w:t>
      </w:r>
      <w:r>
        <w:t xml:space="preserve">  A switch bid may be applied partially, but the increase in demand in the “to” category will always match </w:t>
      </w:r>
      <w:r>
        <w:t>in quantity the reduction in the “from” category.</w:t>
      </w:r>
      <w:r w:rsidRPr="00557698">
        <w:t xml:space="preserve">  A </w:t>
      </w:r>
      <w:r>
        <w:t xml:space="preserve">simple </w:t>
      </w:r>
      <w:r w:rsidRPr="00557698">
        <w:t xml:space="preserve">bid to increase a bidder’s demand </w:t>
      </w:r>
      <w:r>
        <w:t>will</w:t>
      </w:r>
      <w:r w:rsidRPr="00557698">
        <w:t xml:space="preserve"> be applied partially if the total number of bidding units associated with the bidder’s demand exceeds the bidder’s bidding eligibility for the round.</w:t>
      </w:r>
    </w:p>
    <w:p w:rsidR="00062EAF" w:rsidP="00062EAF" w14:paraId="717AC811" w14:textId="77777777">
      <w:pPr>
        <w:pStyle w:val="Heading4"/>
        <w:rPr>
          <w:rFonts w:eastAsia="Calibri"/>
        </w:rPr>
      </w:pPr>
      <w:bookmarkStart w:id="2189" w:name="_Toc29999518"/>
      <w:bookmarkStart w:id="2190" w:name="_Toc30699440"/>
      <w:bookmarkStart w:id="2191" w:name="_Toc30701520"/>
      <w:bookmarkStart w:id="2192" w:name="_Toc31189342"/>
      <w:bookmarkStart w:id="2193" w:name="_Toc31189796"/>
      <w:bookmarkStart w:id="2194" w:name="_Toc31193163"/>
      <w:bookmarkStart w:id="2195" w:name="_Toc31195911"/>
      <w:bookmarkStart w:id="2196" w:name="_Toc31200035"/>
      <w:bookmarkStart w:id="2197" w:name="_Toc31713802"/>
      <w:bookmarkStart w:id="2198" w:name="_Toc31822711"/>
      <w:bookmarkStart w:id="2199" w:name="_Toc33629868"/>
      <w:bookmarkStart w:id="2200" w:name="_Toc33696720"/>
      <w:r>
        <w:rPr>
          <w:rFonts w:eastAsia="Calibri"/>
        </w:rPr>
        <w:t>Process</w:t>
      </w:r>
      <w:r>
        <w:rPr>
          <w:rFonts w:eastAsia="Calibri"/>
        </w:rPr>
        <w:t>ed Demands</w:t>
      </w:r>
      <w:bookmarkEnd w:id="2189"/>
      <w:bookmarkEnd w:id="2190"/>
      <w:bookmarkEnd w:id="2191"/>
      <w:bookmarkEnd w:id="2192"/>
      <w:bookmarkEnd w:id="2193"/>
      <w:bookmarkEnd w:id="2194"/>
      <w:bookmarkEnd w:id="2195"/>
      <w:bookmarkEnd w:id="2196"/>
      <w:bookmarkEnd w:id="2197"/>
      <w:bookmarkEnd w:id="2198"/>
      <w:bookmarkEnd w:id="2199"/>
      <w:bookmarkEnd w:id="2200"/>
    </w:p>
    <w:p w:rsidR="00062EAF" w:rsidRPr="00557698" w:rsidP="00062EAF" w14:paraId="0E5A27DE" w14:textId="6CD588F6">
      <w:pPr>
        <w:pStyle w:val="ParaNum"/>
        <w:widowControl/>
      </w:pPr>
      <w:bookmarkStart w:id="2201" w:name="_Hlk19627504"/>
      <w:r>
        <w:t>A</w:t>
      </w:r>
      <w:r w:rsidRPr="00557698">
        <w:t>fter a round ends</w:t>
      </w:r>
      <w:r>
        <w:t xml:space="preserve">, the bidding system will </w:t>
      </w:r>
      <w:r w:rsidRPr="00557698">
        <w:t>process bids to change demand in order of price point,</w:t>
      </w:r>
      <w:r>
        <w:rPr>
          <w:sz w:val="20"/>
          <w:vertAlign w:val="superscript"/>
        </w:rPr>
        <w:footnoteReference w:id="332"/>
      </w:r>
      <w:r w:rsidRPr="00557698">
        <w:t xml:space="preserve"> where the price point represents the percentage of the bidding interval for the round.</w:t>
      </w:r>
      <w:r>
        <w:rPr>
          <w:vertAlign w:val="superscript"/>
        </w:rPr>
        <w:footnoteReference w:id="333"/>
      </w:r>
      <w:r w:rsidRPr="00557698">
        <w:rPr>
          <w:vertAlign w:val="superscript"/>
        </w:rPr>
        <w:t xml:space="preserve"> </w:t>
      </w:r>
      <w:r w:rsidRPr="00557698">
        <w:t xml:space="preserve"> </w:t>
      </w:r>
      <w:r>
        <w:t>T</w:t>
      </w:r>
      <w:r w:rsidRPr="00557698">
        <w:t>he bidding system w</w:t>
      </w:r>
      <w:r>
        <w:t>ill</w:t>
      </w:r>
      <w:r w:rsidRPr="00557698">
        <w:t xml:space="preserve"> first consider intra-round bid</w:t>
      </w:r>
      <w:r w:rsidRPr="00557698">
        <w:t xml:space="preserve">s in </w:t>
      </w:r>
      <w:r>
        <w:t xml:space="preserve">ascending </w:t>
      </w:r>
      <w:r w:rsidRPr="00557698">
        <w:t>order of price point and then bids at the clock price.  The system w</w:t>
      </w:r>
      <w:r>
        <w:t>ill</w:t>
      </w:r>
      <w:r w:rsidRPr="00557698">
        <w:t xml:space="preserve"> consider bids at the lowest price point across all </w:t>
      </w:r>
      <w:r>
        <w:t>products</w:t>
      </w:r>
      <w:r w:rsidRPr="00557698">
        <w:t xml:space="preserve">, then look at bids at the next price point in all </w:t>
      </w:r>
      <w:r>
        <w:t>products</w:t>
      </w:r>
      <w:r w:rsidRPr="00557698">
        <w:t>, and so on.</w:t>
      </w:r>
      <w:r>
        <w:rPr>
          <w:vertAlign w:val="superscript"/>
        </w:rPr>
        <w:footnoteReference w:id="334"/>
      </w:r>
      <w:r w:rsidRPr="00557698">
        <w:t xml:space="preserve"> </w:t>
      </w:r>
      <w:r>
        <w:t xml:space="preserve"> </w:t>
      </w:r>
      <w:r w:rsidRPr="00557698">
        <w:t xml:space="preserve">As it considers each submitted bid </w:t>
      </w:r>
      <w:r w:rsidRPr="00557698">
        <w:t>during bid processing, the bidding system w</w:t>
      </w:r>
      <w:r>
        <w:t>ill</w:t>
      </w:r>
      <w:r w:rsidRPr="00557698">
        <w:t xml:space="preserve"> determine the extent to which there is excess demand in each </w:t>
      </w:r>
      <w:r>
        <w:t>product</w:t>
      </w:r>
      <w:r w:rsidRPr="00557698">
        <w:t xml:space="preserve"> at that point in the processing to determine whether a bidder’s request to reduce demand can be applied.  </w:t>
      </w:r>
      <w:r>
        <w:t>Similarly</w:t>
      </w:r>
      <w:r w:rsidRPr="00557698">
        <w:t>, the auction bidding sys</w:t>
      </w:r>
      <w:r w:rsidRPr="00557698">
        <w:t>tem w</w:t>
      </w:r>
      <w:r>
        <w:t>ill</w:t>
      </w:r>
      <w:r w:rsidRPr="00557698">
        <w:t xml:space="preserve"> evaluate the activity associated with the bidder’s most recently determined demands at that point in the processing to determine whether a request to increase demand can be applied.</w:t>
      </w:r>
    </w:p>
    <w:p w:rsidR="00062EAF" w:rsidRPr="00557698" w:rsidP="00062EAF" w14:paraId="33B83482" w14:textId="5928EC4B">
      <w:pPr>
        <w:pStyle w:val="ParaNum"/>
        <w:widowControl/>
        <w:rPr>
          <w:szCs w:val="22"/>
        </w:rPr>
      </w:pPr>
      <w:r w:rsidRPr="00557698">
        <w:t xml:space="preserve">Because in any given round some bidders may request to increase demands for licenses while others may request reductions, the price point at which a bid is considered by the auction bidding system can affect whether it is applied. </w:t>
      </w:r>
      <w:r>
        <w:t xml:space="preserve"> </w:t>
      </w:r>
      <w:r w:rsidRPr="00557698">
        <w:t xml:space="preserve">In addition to </w:t>
      </w:r>
      <w:r>
        <w:t xml:space="preserve">deciding </w:t>
      </w:r>
      <w:r w:rsidRPr="00557698">
        <w:t xml:space="preserve">that bids </w:t>
      </w:r>
      <w:r>
        <w:t>will</w:t>
      </w:r>
      <w:r w:rsidRPr="00557698">
        <w:t xml:space="preserve"> be considered by the system in increasing order of price point, we </w:t>
      </w:r>
      <w:r>
        <w:t>also adopt procedures such</w:t>
      </w:r>
      <w:r w:rsidRPr="00557698">
        <w:t xml:space="preserve"> that bids not applied because of insufficient aggregate demand or insufficient eligibility be held in a queue and considered, again in order</w:t>
      </w:r>
      <w:r w:rsidR="005405FD">
        <w:t xml:space="preserve"> of price point</w:t>
      </w:r>
      <w:r w:rsidRPr="00557698">
        <w:t xml:space="preserve">, if there should be excess </w:t>
      </w:r>
      <w:r>
        <w:t>demand</w:t>
      </w:r>
      <w:r w:rsidRPr="00557698">
        <w:t xml:space="preserve"> or sufficient eligibility later in the processing after other bids are processed</w:t>
      </w:r>
      <w:r w:rsidRPr="00557698">
        <w:rPr>
          <w:szCs w:val="22"/>
        </w:rPr>
        <w:t>.</w:t>
      </w:r>
    </w:p>
    <w:bookmarkEnd w:id="2201"/>
    <w:p w:rsidR="00062EAF" w:rsidRPr="007B3341" w:rsidP="00062EAF" w14:paraId="3CC3364B" w14:textId="032F5E5E">
      <w:pPr>
        <w:pStyle w:val="ParaNum"/>
        <w:widowControl/>
      </w:pPr>
      <w:r w:rsidRPr="00557698">
        <w:t xml:space="preserve">Therefore, once a round closes, the auction </w:t>
      </w:r>
      <w:r w:rsidR="005405FD">
        <w:t xml:space="preserve">bidding </w:t>
      </w:r>
      <w:r w:rsidRPr="00557698">
        <w:t>system w</w:t>
      </w:r>
      <w:r>
        <w:t>ill</w:t>
      </w:r>
      <w:r w:rsidRPr="00557698">
        <w:t xml:space="preserve"> process bids to change demand by first considering the bid submitte</w:t>
      </w:r>
      <w:r w:rsidRPr="00557698">
        <w:t>d at the lowest price point and determining the maximum extent to which that bid can be applied given bidders’ demands as determined at that point in the bid processing.  If the bid can be applied (either in full or partially), the number of licenses the b</w:t>
      </w:r>
      <w:r w:rsidRPr="00557698">
        <w:t>idder holds at that point in the processing w</w:t>
      </w:r>
      <w:r>
        <w:t>ill</w:t>
      </w:r>
      <w:r w:rsidRPr="00557698">
        <w:t xml:space="preserve"> be adjusted, and aggregate demand w</w:t>
      </w:r>
      <w:r>
        <w:t>ill</w:t>
      </w:r>
      <w:r w:rsidRPr="00557698">
        <w:t xml:space="preserve"> be recalculated accordingly.  If </w:t>
      </w:r>
      <w:r w:rsidRPr="00557698">
        <w:t>the bid cannot be applied in full, the unfulfilled bid, or portion thereof, w</w:t>
      </w:r>
      <w:r>
        <w:t>ill</w:t>
      </w:r>
      <w:r w:rsidRPr="00557698">
        <w:t xml:space="preserve"> be held in a queue to be considered later during bid p</w:t>
      </w:r>
      <w:r w:rsidRPr="00557698">
        <w:t>rocessing for that round.  The bidding system w</w:t>
      </w:r>
      <w:r>
        <w:t>ill</w:t>
      </w:r>
      <w:r w:rsidRPr="00557698">
        <w:t xml:space="preserve"> then consider the bid submitted at the next highest price point, applying it in full, in part, or not at all, given the most recently determined demands of bidders.  Any unfulfilled requests w</w:t>
      </w:r>
      <w:r>
        <w:t>ill</w:t>
      </w:r>
      <w:r w:rsidRPr="00557698">
        <w:t xml:space="preserve"> again be </w:t>
      </w:r>
      <w:r w:rsidRPr="00557698">
        <w:t>held in the queue, and aggregate demand w</w:t>
      </w:r>
      <w:r>
        <w:t>ill</w:t>
      </w:r>
      <w:r w:rsidRPr="00557698">
        <w:t xml:space="preserve"> again be recalculated.  Every time a bid or part of a bid is applied, the unfulfilled bids held in the queue w</w:t>
      </w:r>
      <w:r>
        <w:t>ill</w:t>
      </w:r>
      <w:r w:rsidRPr="00557698">
        <w:t xml:space="preserve"> be reconsidered, in the order of their original price points (and by pseudo-random number, in the</w:t>
      </w:r>
      <w:r w:rsidRPr="00557698">
        <w:t xml:space="preserve"> case of tied price points).  The auction bidding system w</w:t>
      </w:r>
      <w:r>
        <w:t>ill</w:t>
      </w:r>
      <w:r w:rsidRPr="00557698">
        <w:t xml:space="preserve"> not carry over unfulfilled bid requests to the next round, however.  The bidding system w</w:t>
      </w:r>
      <w:r>
        <w:t>ill</w:t>
      </w:r>
      <w:r w:rsidRPr="00557698">
        <w:t xml:space="preserve"> advise bidders of the status of their bids when round results are released.</w:t>
      </w:r>
    </w:p>
    <w:p w:rsidR="00062EAF" w:rsidP="00062EAF" w14:paraId="2806B7A2" w14:textId="77777777">
      <w:pPr>
        <w:pStyle w:val="Heading4"/>
        <w:rPr>
          <w:rFonts w:eastAsia="Calibri"/>
        </w:rPr>
      </w:pPr>
      <w:bookmarkStart w:id="2205" w:name="_Toc29999519"/>
      <w:bookmarkStart w:id="2206" w:name="_Toc30699441"/>
      <w:bookmarkStart w:id="2207" w:name="_Toc30701521"/>
      <w:bookmarkStart w:id="2208" w:name="_Toc31189343"/>
      <w:bookmarkStart w:id="2209" w:name="_Toc31189797"/>
      <w:bookmarkStart w:id="2210" w:name="_Toc31193164"/>
      <w:bookmarkStart w:id="2211" w:name="_Toc31195912"/>
      <w:bookmarkStart w:id="2212" w:name="_Toc31200036"/>
      <w:bookmarkStart w:id="2213" w:name="_Toc31713803"/>
      <w:bookmarkStart w:id="2214" w:name="_Toc31822712"/>
      <w:bookmarkStart w:id="2215" w:name="_Toc33629869"/>
      <w:bookmarkStart w:id="2216" w:name="_Toc33696721"/>
      <w:r>
        <w:rPr>
          <w:rFonts w:eastAsia="Calibri"/>
        </w:rPr>
        <w:t>Price Determination</w:t>
      </w:r>
      <w:bookmarkEnd w:id="2205"/>
      <w:bookmarkEnd w:id="2206"/>
      <w:bookmarkEnd w:id="2207"/>
      <w:bookmarkEnd w:id="2208"/>
      <w:bookmarkEnd w:id="2209"/>
      <w:bookmarkEnd w:id="2210"/>
      <w:bookmarkEnd w:id="2211"/>
      <w:bookmarkEnd w:id="2212"/>
      <w:bookmarkEnd w:id="2213"/>
      <w:bookmarkEnd w:id="2214"/>
      <w:bookmarkEnd w:id="2215"/>
      <w:bookmarkEnd w:id="2216"/>
    </w:p>
    <w:p w:rsidR="00062EAF" w:rsidRPr="00557698" w:rsidP="00062EAF" w14:paraId="24BF9A45" w14:textId="77777777">
      <w:pPr>
        <w:pStyle w:val="ParaNum"/>
        <w:widowControl/>
      </w:pPr>
      <w:r w:rsidRPr="00557698">
        <w:t xml:space="preserve">We </w:t>
      </w:r>
      <w:r>
        <w:t>ad</w:t>
      </w:r>
      <w:r>
        <w:t>opt</w:t>
      </w:r>
      <w:r w:rsidRPr="00557698">
        <w:t xml:space="preserve"> bid processing procedures </w:t>
      </w:r>
      <w:r>
        <w:t>to</w:t>
      </w:r>
      <w:r w:rsidRPr="00557698">
        <w:t xml:space="preserve"> determine, based on aggregate demand, the posted price for each </w:t>
      </w:r>
      <w:r>
        <w:t>product</w:t>
      </w:r>
      <w:r w:rsidRPr="00557698">
        <w:t xml:space="preserve"> for the round that will serve as the start-of-round price for the next round.  </w:t>
      </w:r>
      <w:r>
        <w:t>T</w:t>
      </w:r>
      <w:r w:rsidRPr="00557698">
        <w:t xml:space="preserve">he uniform price for all of the blocks in a </w:t>
      </w:r>
      <w:r>
        <w:t>product</w:t>
      </w:r>
      <w:r w:rsidRPr="00557698">
        <w:t xml:space="preserve"> w</w:t>
      </w:r>
      <w:r>
        <w:t>ill</w:t>
      </w:r>
      <w:r w:rsidRPr="00557698">
        <w:t xml:space="preserve"> increase from </w:t>
      </w:r>
      <w:r w:rsidRPr="00557698">
        <w:t xml:space="preserve">round to round as long as there is excess demand for blocks in the </w:t>
      </w:r>
      <w:r>
        <w:t>product</w:t>
      </w:r>
      <w:r w:rsidRPr="00557698">
        <w:t xml:space="preserve"> but w</w:t>
      </w:r>
      <w:r>
        <w:t>ill</w:t>
      </w:r>
      <w:r w:rsidRPr="00557698">
        <w:t xml:space="preserve"> not increase if aggregate demand does not exceed the available supply of blocks.  </w:t>
      </w:r>
    </w:p>
    <w:p w:rsidR="00062EAF" w:rsidRPr="00557698" w:rsidP="00062EAF" w14:paraId="658E096E" w14:textId="77777777">
      <w:pPr>
        <w:pStyle w:val="ParaNum"/>
        <w:widowControl/>
        <w:rPr>
          <w:szCs w:val="22"/>
        </w:rPr>
      </w:pPr>
      <w:r>
        <w:t>I</w:t>
      </w:r>
      <w:r w:rsidRPr="00557698">
        <w:t xml:space="preserve">f, at the end of a round, the aggregate demand for blocks in the </w:t>
      </w:r>
      <w:r>
        <w:t>product</w:t>
      </w:r>
      <w:r w:rsidRPr="00557698">
        <w:t xml:space="preserve"> </w:t>
      </w:r>
      <w:r w:rsidRPr="00557698">
        <w:rPr>
          <w:szCs w:val="22"/>
        </w:rPr>
        <w:t>exceeds the sup</w:t>
      </w:r>
      <w:r w:rsidRPr="00557698">
        <w:rPr>
          <w:szCs w:val="22"/>
        </w:rPr>
        <w:t>ply of blocks,</w:t>
      </w:r>
      <w:r>
        <w:rPr>
          <w:szCs w:val="22"/>
        </w:rPr>
        <w:t xml:space="preserve"> then</w:t>
      </w:r>
      <w:r w:rsidRPr="00557698">
        <w:rPr>
          <w:szCs w:val="22"/>
        </w:rPr>
        <w:t xml:space="preserve"> the posted price w</w:t>
      </w:r>
      <w:r>
        <w:rPr>
          <w:szCs w:val="22"/>
        </w:rPr>
        <w:t>ill</w:t>
      </w:r>
      <w:r w:rsidRPr="00557698">
        <w:rPr>
          <w:szCs w:val="22"/>
        </w:rPr>
        <w:t xml:space="preserve"> equal the clock price for the round.  If a reduction in demand was applied during the round and caused demand in the </w:t>
      </w:r>
      <w:r>
        <w:rPr>
          <w:szCs w:val="22"/>
        </w:rPr>
        <w:t>product</w:t>
      </w:r>
      <w:r w:rsidRPr="00557698">
        <w:rPr>
          <w:szCs w:val="22"/>
        </w:rPr>
        <w:t xml:space="preserve"> to equal supply,</w:t>
      </w:r>
      <w:r>
        <w:rPr>
          <w:szCs w:val="22"/>
        </w:rPr>
        <w:t xml:space="preserve"> then</w:t>
      </w:r>
      <w:r w:rsidRPr="00557698">
        <w:rPr>
          <w:szCs w:val="22"/>
        </w:rPr>
        <w:t xml:space="preserve"> the posted price w</w:t>
      </w:r>
      <w:r>
        <w:rPr>
          <w:szCs w:val="22"/>
        </w:rPr>
        <w:t>ill</w:t>
      </w:r>
      <w:r w:rsidRPr="00557698">
        <w:rPr>
          <w:szCs w:val="22"/>
        </w:rPr>
        <w:t xml:space="preserve"> be the price at which the reduction was appli</w:t>
      </w:r>
      <w:r w:rsidRPr="00557698">
        <w:rPr>
          <w:szCs w:val="22"/>
        </w:rPr>
        <w:t xml:space="preserve">ed.  If aggregate demand is less than </w:t>
      </w:r>
      <w:r>
        <w:rPr>
          <w:szCs w:val="22"/>
        </w:rPr>
        <w:t xml:space="preserve">or equal to </w:t>
      </w:r>
      <w:r w:rsidRPr="00557698">
        <w:rPr>
          <w:szCs w:val="22"/>
        </w:rPr>
        <w:t xml:space="preserve">supply and no bid to reduce demand was applied for the </w:t>
      </w:r>
      <w:r>
        <w:rPr>
          <w:szCs w:val="22"/>
        </w:rPr>
        <w:t>product</w:t>
      </w:r>
      <w:r w:rsidRPr="00557698">
        <w:rPr>
          <w:szCs w:val="22"/>
        </w:rPr>
        <w:t>, then the posted price w</w:t>
      </w:r>
      <w:r>
        <w:rPr>
          <w:szCs w:val="22"/>
        </w:rPr>
        <w:t>ill</w:t>
      </w:r>
      <w:r w:rsidRPr="00557698">
        <w:rPr>
          <w:szCs w:val="22"/>
        </w:rPr>
        <w:t xml:space="preserve"> equal the start-of-round price for the round.  The range of acceptable bid amounts for the next round w</w:t>
      </w:r>
      <w:r>
        <w:rPr>
          <w:szCs w:val="22"/>
        </w:rPr>
        <w:t>ill</w:t>
      </w:r>
      <w:r w:rsidRPr="00557698">
        <w:rPr>
          <w:szCs w:val="22"/>
        </w:rPr>
        <w:t xml:space="preserve"> be set b</w:t>
      </w:r>
      <w:r w:rsidRPr="00557698">
        <w:rPr>
          <w:szCs w:val="22"/>
        </w:rPr>
        <w:t>y adding the percentage increment to the posted price.</w:t>
      </w:r>
      <w:r w:rsidRPr="00557698">
        <w:t xml:space="preserve"> </w:t>
      </w:r>
    </w:p>
    <w:p w:rsidR="00062EAF" w:rsidRPr="00557698" w:rsidP="00062EAF" w14:paraId="150C9BED" w14:textId="77777777">
      <w:pPr>
        <w:pStyle w:val="ParaNum"/>
        <w:widowControl/>
      </w:pPr>
      <w:r w:rsidRPr="00557698">
        <w:t>When a bid to reduce demand can be applied only partially, the uniform price for the</w:t>
      </w:r>
      <w:r>
        <w:t xml:space="preserve"> product</w:t>
      </w:r>
      <w:r w:rsidRPr="00557698">
        <w:t xml:space="preserve"> w</w:t>
      </w:r>
      <w:r>
        <w:t>ill</w:t>
      </w:r>
      <w:r w:rsidRPr="00557698">
        <w:t xml:space="preserve"> stop increasing at that point, since the partial application of the bid w</w:t>
      </w:r>
      <w:r>
        <w:t>ill</w:t>
      </w:r>
      <w:r w:rsidRPr="00557698">
        <w:t xml:space="preserve"> result in demand falling to equal supply.  Hence, a bidder that makes a bid to reduce demand that cannot be fully applied w</w:t>
      </w:r>
      <w:r>
        <w:t>ill</w:t>
      </w:r>
      <w:r w:rsidRPr="00557698">
        <w:t xml:space="preserve"> not face a price for the remaining demand that is h</w:t>
      </w:r>
      <w:r w:rsidRPr="00557698">
        <w:t xml:space="preserve">igher than its bid price.  </w:t>
      </w:r>
    </w:p>
    <w:p w:rsidR="00062EAF" w:rsidRPr="00F65210" w:rsidP="00062EAF" w14:paraId="1FC69A35" w14:textId="77777777">
      <w:pPr>
        <w:pStyle w:val="ParaNum"/>
        <w:widowControl/>
      </w:pPr>
      <w:r w:rsidRPr="00557698">
        <w:t xml:space="preserve">After the bids of the round have been processed, </w:t>
      </w:r>
      <w:r>
        <w:t xml:space="preserve">if the stopping rule has not been met, </w:t>
      </w:r>
      <w:r w:rsidRPr="00557698">
        <w:t>the FCC auction bidding system w</w:t>
      </w:r>
      <w:r>
        <w:t>ill</w:t>
      </w:r>
      <w:r w:rsidRPr="00557698">
        <w:t xml:space="preserve"> announce clock prices to indicate a range of acceptable bids for the next round.  Each bidder w</w:t>
      </w:r>
      <w:r>
        <w:t>ill</w:t>
      </w:r>
      <w:r w:rsidRPr="00557698">
        <w:t xml:space="preserve"> be in</w:t>
      </w:r>
      <w:r w:rsidRPr="00557698">
        <w:t xml:space="preserve">formed of its processed demand and the extent of excess demand for blocks in each </w:t>
      </w:r>
      <w:r>
        <w:t>product</w:t>
      </w:r>
      <w:r w:rsidRPr="00557698">
        <w:t>.</w:t>
      </w:r>
    </w:p>
    <w:p w:rsidR="00062EAF" w:rsidRPr="00435180" w:rsidP="00062EAF" w14:paraId="2116A531" w14:textId="77777777">
      <w:pPr>
        <w:pStyle w:val="Heading3"/>
      </w:pPr>
      <w:bookmarkStart w:id="2217" w:name="_Toc25926285"/>
      <w:bookmarkStart w:id="2218" w:name="_Toc25926863"/>
      <w:bookmarkStart w:id="2219" w:name="_Toc25926977"/>
      <w:bookmarkStart w:id="2220" w:name="_Toc27039044"/>
      <w:bookmarkStart w:id="2221" w:name="_Toc29813187"/>
      <w:bookmarkStart w:id="2222" w:name="_Toc29886912"/>
      <w:bookmarkStart w:id="2223" w:name="_Toc29999520"/>
      <w:bookmarkStart w:id="2224" w:name="_Toc30699442"/>
      <w:bookmarkStart w:id="2225" w:name="_Toc30701522"/>
      <w:bookmarkStart w:id="2226" w:name="_Toc31189344"/>
      <w:bookmarkStart w:id="2227" w:name="_Toc31189798"/>
      <w:bookmarkStart w:id="2228" w:name="_Toc31193165"/>
      <w:bookmarkStart w:id="2229" w:name="_Toc31195913"/>
      <w:bookmarkStart w:id="2230" w:name="_Toc31200037"/>
      <w:bookmarkStart w:id="2231" w:name="_Toc31713804"/>
      <w:bookmarkStart w:id="2232" w:name="_Toc31822713"/>
      <w:bookmarkStart w:id="2233" w:name="_Toc33629870"/>
      <w:bookmarkStart w:id="2234" w:name="_Toc33696722"/>
      <w:r>
        <w:t>Winning Bids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t xml:space="preserve"> in the Clock Phase</w:t>
      </w:r>
    </w:p>
    <w:p w:rsidR="00062EAF" w:rsidRPr="00E50A4A" w:rsidP="00062EAF" w14:paraId="7CCC1CA4" w14:textId="56F42D5E">
      <w:pPr>
        <w:pStyle w:val="ParaNum"/>
        <w:widowControl/>
        <w:rPr>
          <w:szCs w:val="22"/>
        </w:rPr>
      </w:pPr>
      <w:r w:rsidRPr="00557698">
        <w:t xml:space="preserve">Under </w:t>
      </w:r>
      <w:r>
        <w:t>the</w:t>
      </w:r>
      <w:r w:rsidRPr="00557698">
        <w:t xml:space="preserve"> clock auction format for Auction 10</w:t>
      </w:r>
      <w:r>
        <w:t>7</w:t>
      </w:r>
      <w:r w:rsidRPr="00557698">
        <w:t xml:space="preserve">, bidders </w:t>
      </w:r>
      <w:r>
        <w:t xml:space="preserve">with processed demand for a product </w:t>
      </w:r>
      <w:r w:rsidRPr="00557698">
        <w:t>at the time the stopping rule is met w</w:t>
      </w:r>
      <w:r>
        <w:t>ill</w:t>
      </w:r>
      <w:r w:rsidRPr="00557698">
        <w:t xml:space="preserve"> become the winning bidders of licenses corresponding to that number of blocks</w:t>
      </w:r>
      <w:r>
        <w:t xml:space="preserve"> and will be assigned specific frequencies in the assignment phase</w:t>
      </w:r>
      <w:r w:rsidRPr="00557698">
        <w:t xml:space="preserve">.  The final </w:t>
      </w:r>
      <w:r>
        <w:t xml:space="preserve">clock phase </w:t>
      </w:r>
      <w:r w:rsidRPr="00557698">
        <w:t xml:space="preserve">price for a generic block in a </w:t>
      </w:r>
      <w:r>
        <w:t>product</w:t>
      </w:r>
      <w:r w:rsidRPr="00557698">
        <w:t xml:space="preserve"> w</w:t>
      </w:r>
      <w:r>
        <w:t>ill</w:t>
      </w:r>
      <w:r w:rsidRPr="00557698">
        <w:t xml:space="preserve"> be the posted price for the final round.</w:t>
      </w:r>
      <w:r>
        <w:rPr>
          <w:szCs w:val="22"/>
          <w:vertAlign w:val="superscript"/>
        </w:rPr>
        <w:footnoteReference w:id="335"/>
      </w:r>
      <w:r w:rsidRPr="00557698">
        <w:t xml:space="preserve"> </w:t>
      </w:r>
      <w:r w:rsidRPr="00557698">
        <w:t xml:space="preserve"> </w:t>
      </w:r>
    </w:p>
    <w:p w:rsidR="00062EAF" w:rsidP="00062EAF" w14:paraId="3D73C999" w14:textId="77777777">
      <w:pPr>
        <w:pStyle w:val="Heading2"/>
        <w:rPr>
          <w:rFonts w:eastAsia="Calibri"/>
          <w:snapToGrid/>
        </w:rPr>
      </w:pPr>
      <w:bookmarkStart w:id="2235" w:name="_Toc8657209"/>
      <w:bookmarkStart w:id="2236" w:name="_Toc9410735"/>
      <w:bookmarkStart w:id="2237" w:name="_Toc9430141"/>
      <w:bookmarkStart w:id="2238" w:name="_Toc10116903"/>
      <w:bookmarkStart w:id="2239" w:name="_Toc10646209"/>
      <w:bookmarkStart w:id="2240" w:name="_Toc11156613"/>
      <w:bookmarkStart w:id="2241" w:name="_Toc11244357"/>
      <w:bookmarkStart w:id="2242" w:name="_Toc11653613"/>
      <w:bookmarkStart w:id="2243" w:name="_Toc11678192"/>
      <w:bookmarkStart w:id="2244" w:name="_Toc13654779"/>
      <w:bookmarkStart w:id="2245" w:name="_Toc27039045"/>
      <w:bookmarkStart w:id="2246" w:name="_Toc29813188"/>
      <w:bookmarkStart w:id="2247" w:name="_Toc29886913"/>
      <w:bookmarkStart w:id="2248" w:name="_Toc29999521"/>
      <w:bookmarkStart w:id="2249" w:name="_Toc30699443"/>
      <w:bookmarkStart w:id="2250" w:name="_Toc30701523"/>
      <w:bookmarkStart w:id="2251" w:name="_Toc31189345"/>
      <w:bookmarkStart w:id="2252" w:name="_Toc31189799"/>
      <w:bookmarkStart w:id="2253" w:name="_Toc31193166"/>
      <w:bookmarkStart w:id="2254" w:name="_Toc31195914"/>
      <w:bookmarkStart w:id="2255" w:name="_Toc31200038"/>
      <w:bookmarkStart w:id="2256" w:name="_Toc31713805"/>
      <w:bookmarkStart w:id="2257" w:name="_Toc31822714"/>
      <w:bookmarkStart w:id="2258" w:name="_Toc33629871"/>
      <w:bookmarkStart w:id="2259" w:name="_Toc33696723"/>
      <w:r>
        <w:rPr>
          <w:rFonts w:eastAsia="Calibri"/>
          <w:snapToGrid/>
        </w:rPr>
        <w:t>Assignment Phase</w:t>
      </w:r>
    </w:p>
    <w:p w:rsidR="00062EAF" w:rsidP="00062EAF" w14:paraId="1E09BC8A" w14:textId="140000B3">
      <w:pPr>
        <w:pStyle w:val="ParaNum"/>
        <w:widowControl/>
        <w:rPr>
          <w:szCs w:val="22"/>
        </w:rPr>
      </w:pPr>
      <w:r w:rsidRPr="00435180">
        <w:rPr>
          <w:szCs w:val="22"/>
        </w:rPr>
        <w:t>The assignment phase will determine which frequency-specific licenses will be won by the winning bidders of generic blocks during the clock phase.</w:t>
      </w:r>
      <w:r>
        <w:rPr>
          <w:szCs w:val="22"/>
        </w:rPr>
        <w:t xml:space="preserve">  </w:t>
      </w:r>
      <w:r w:rsidRPr="00435180">
        <w:rPr>
          <w:szCs w:val="22"/>
        </w:rPr>
        <w:t>In the assignment phase, winning bidders will have the opportunity to bid for preferred c</w:t>
      </w:r>
      <w:r w:rsidRPr="00435180">
        <w:rPr>
          <w:szCs w:val="22"/>
        </w:rPr>
        <w:t>ombinations of frequency-specific licenses.  A bidder can</w:t>
      </w:r>
      <w:r w:rsidR="00E402DF">
        <w:rPr>
          <w:szCs w:val="22"/>
        </w:rPr>
        <w:t xml:space="preserve"> </w:t>
      </w:r>
      <w:r>
        <w:rPr>
          <w:szCs w:val="22"/>
        </w:rPr>
        <w:t xml:space="preserve">indicate </w:t>
      </w:r>
      <w:r w:rsidRPr="00435180">
        <w:rPr>
          <w:szCs w:val="22"/>
        </w:rPr>
        <w:t xml:space="preserve">a price using a sealed bid </w:t>
      </w:r>
      <w:r>
        <w:rPr>
          <w:szCs w:val="22"/>
        </w:rPr>
        <w:t>for</w:t>
      </w:r>
      <w:r w:rsidRPr="00435180">
        <w:rPr>
          <w:szCs w:val="22"/>
        </w:rPr>
        <w:t xml:space="preserve"> one or more possible frequency assignments for which it wishes to express a preference, consistent with its winning bids for generic blocks in the clock phase</w:t>
      </w:r>
      <w:r w:rsidRPr="00435180">
        <w:rPr>
          <w:szCs w:val="22"/>
        </w:rPr>
        <w:t xml:space="preserve">.  The bid prices will represent the maximum payment that the bidder is willing to pay for the frequency-specific license assignment, in addition to the final price established in the clock phase for the generic blocks.  The </w:t>
      </w:r>
      <w:r w:rsidRPr="00435180">
        <w:rPr>
          <w:szCs w:val="22"/>
        </w:rPr>
        <w:t>procedures we adopt will determ</w:t>
      </w:r>
      <w:r w:rsidRPr="00435180">
        <w:rPr>
          <w:szCs w:val="22"/>
        </w:rPr>
        <w:t xml:space="preserve">ine the optimal assignment of licenses within each </w:t>
      </w:r>
      <w:r>
        <w:rPr>
          <w:szCs w:val="22"/>
        </w:rPr>
        <w:t xml:space="preserve">assignment </w:t>
      </w:r>
      <w:r w:rsidRPr="00435180">
        <w:rPr>
          <w:szCs w:val="22"/>
        </w:rPr>
        <w:t>category in each PEA based on bid amounts in the assignment phase.</w:t>
      </w:r>
    </w:p>
    <w:p w:rsidR="00062EAF" w:rsidP="00062EAF" w14:paraId="7692B852" w14:textId="12125BD3">
      <w:pPr>
        <w:pStyle w:val="ParaNum"/>
        <w:widowControl/>
        <w:rPr>
          <w:szCs w:val="22"/>
        </w:rPr>
      </w:pPr>
      <w:r>
        <w:rPr>
          <w:szCs w:val="22"/>
        </w:rPr>
        <w:t>Although we sought comment on an assignment phase approach that would assign licenses separately within each clock phase biddin</w:t>
      </w:r>
      <w:r>
        <w:rPr>
          <w:szCs w:val="22"/>
        </w:rPr>
        <w:t>g category, we are persuaded by commenters to adopt an alternative approach for PEAs with blocks in two clock phase categories that allows for final frequency-specific assignments of contiguous blocks within each PEA.</w:t>
      </w:r>
      <w:r>
        <w:rPr>
          <w:rStyle w:val="FootnoteReference"/>
          <w:szCs w:val="22"/>
        </w:rPr>
        <w:footnoteReference w:id="336"/>
      </w:r>
      <w:r>
        <w:rPr>
          <w:szCs w:val="22"/>
        </w:rPr>
        <w:t xml:space="preserve">  Accordingly, we adopt procedures fo</w:t>
      </w:r>
      <w:r>
        <w:rPr>
          <w:szCs w:val="22"/>
        </w:rPr>
        <w:t>r the 46 PEAs where certain blocks are subject to the Phase I deadline that will make a separate interim assignment of contiguous blocks within Category A, i.e., those blocks subject to the Phase I deadline, and will make a separate final assignment of con</w:t>
      </w:r>
      <w:r>
        <w:rPr>
          <w:szCs w:val="22"/>
        </w:rPr>
        <w:t>tiguous blocks for all of a bidder’s clock phase winnings whether in Category A and/or BC.</w:t>
      </w:r>
      <w:r>
        <w:rPr>
          <w:rStyle w:val="FootnoteReference"/>
          <w:szCs w:val="22"/>
        </w:rPr>
        <w:footnoteReference w:id="337"/>
      </w:r>
      <w:r>
        <w:rPr>
          <w:szCs w:val="22"/>
        </w:rPr>
        <w:t xml:space="preserve">  </w:t>
      </w:r>
      <w:r>
        <w:t>In the 360 PEAs where there are no blocks subject to the Phase I deadline, the assignment phase procedures will make one assignment for all of a bidder’s clock ph</w:t>
      </w:r>
      <w:r>
        <w:t xml:space="preserve">ase winnings in </w:t>
      </w:r>
      <w:r w:rsidR="00410A79">
        <w:t>C</w:t>
      </w:r>
      <w:r>
        <w:t xml:space="preserve">ategory ABC, consisting of all of the 14 20-megahertz blocks between </w:t>
      </w:r>
      <w:r w:rsidRPr="00A077F4">
        <w:t>3.</w:t>
      </w:r>
      <w:r>
        <w:t>7</w:t>
      </w:r>
      <w:r w:rsidRPr="00A077F4">
        <w:t>–3.98 GHz</w:t>
      </w:r>
      <w:r>
        <w:t xml:space="preserve">.  </w:t>
      </w:r>
      <w:r>
        <w:rPr>
          <w:szCs w:val="22"/>
        </w:rPr>
        <w:t xml:space="preserve">Procedures to implement this approach are set forth in more detail below. </w:t>
      </w:r>
    </w:p>
    <w:p w:rsidR="00062EAF" w:rsidRPr="00435180" w:rsidP="00062EAF" w14:paraId="75B618D9" w14:textId="5A78A205">
      <w:pPr>
        <w:pStyle w:val="ParaNum"/>
        <w:widowControl/>
        <w:rPr>
          <w:szCs w:val="22"/>
        </w:rPr>
      </w:pPr>
      <w:r>
        <w:rPr>
          <w:szCs w:val="22"/>
        </w:rPr>
        <w:t xml:space="preserve">Commenters supporting this approach argue that it is critical that the final assignment procedures provide for contiguous frequency blocks for all winners of multiple blocks in order to facilitate wideband </w:t>
      </w:r>
      <w:r w:rsidR="00140DC8">
        <w:rPr>
          <w:szCs w:val="22"/>
        </w:rPr>
        <w:t xml:space="preserve">channels that will allow for the efficient deployment of high-capacity, low-latency </w:t>
      </w:r>
      <w:r w:rsidR="003252D6">
        <w:rPr>
          <w:szCs w:val="22"/>
        </w:rPr>
        <w:t>services</w:t>
      </w:r>
      <w:r w:rsidR="00140DC8">
        <w:rPr>
          <w:szCs w:val="22"/>
        </w:rPr>
        <w:t>.</w:t>
      </w:r>
      <w:r>
        <w:rPr>
          <w:rStyle w:val="FootnoteReference"/>
          <w:szCs w:val="22"/>
        </w:rPr>
        <w:footnoteReference w:id="338"/>
      </w:r>
      <w:r>
        <w:rPr>
          <w:szCs w:val="22"/>
        </w:rPr>
        <w:t xml:space="preserve">  CTIA asserts that contiguous C-band assignments are essential because Auction 107 </w:t>
      </w:r>
      <w:r w:rsidRPr="005C0F01">
        <w:rPr>
          <w:szCs w:val="22"/>
        </w:rPr>
        <w:t>“is the only mid-band spectrum opportunity today that will enable bidders to obtain the wide channel bandwidths that are indisp</w:t>
      </w:r>
      <w:r w:rsidRPr="005C0F01">
        <w:rPr>
          <w:szCs w:val="22"/>
        </w:rPr>
        <w:t>ensable to achieving the faster connections and lower latency that 5G promises</w:t>
      </w:r>
      <w:r>
        <w:rPr>
          <w:szCs w:val="22"/>
        </w:rPr>
        <w:t>.”</w:t>
      </w:r>
      <w:r>
        <w:rPr>
          <w:rStyle w:val="FootnoteReference"/>
          <w:szCs w:val="22"/>
        </w:rPr>
        <w:footnoteReference w:id="339"/>
      </w:r>
      <w:r>
        <w:rPr>
          <w:szCs w:val="22"/>
        </w:rPr>
        <w:t xml:space="preserve">  </w:t>
      </w:r>
      <w:r w:rsidR="00140DC8">
        <w:rPr>
          <w:szCs w:val="22"/>
        </w:rPr>
        <w:t>C</w:t>
      </w:r>
      <w:r>
        <w:rPr>
          <w:szCs w:val="22"/>
        </w:rPr>
        <w:t xml:space="preserve">ommenters argue that the approach we proposed in the </w:t>
      </w:r>
      <w:r w:rsidRPr="00FE5F00">
        <w:rPr>
          <w:i/>
          <w:iCs/>
          <w:szCs w:val="22"/>
        </w:rPr>
        <w:t xml:space="preserve">Auction </w:t>
      </w:r>
      <w:r w:rsidR="00D0746D">
        <w:rPr>
          <w:i/>
          <w:iCs/>
          <w:szCs w:val="22"/>
        </w:rPr>
        <w:t xml:space="preserve">107 </w:t>
      </w:r>
      <w:r w:rsidRPr="00FE5F00">
        <w:rPr>
          <w:i/>
          <w:iCs/>
          <w:szCs w:val="22"/>
        </w:rPr>
        <w:t>Comment P</w:t>
      </w:r>
      <w:r w:rsidR="00D0746D">
        <w:rPr>
          <w:i/>
          <w:iCs/>
          <w:szCs w:val="22"/>
        </w:rPr>
        <w:t xml:space="preserve">ublic </w:t>
      </w:r>
      <w:r w:rsidRPr="00FE5F00">
        <w:rPr>
          <w:i/>
          <w:iCs/>
          <w:szCs w:val="22"/>
        </w:rPr>
        <w:t>N</w:t>
      </w:r>
      <w:r w:rsidR="00D0746D">
        <w:rPr>
          <w:i/>
          <w:iCs/>
          <w:szCs w:val="22"/>
        </w:rPr>
        <w:t>otice</w:t>
      </w:r>
      <w:r>
        <w:rPr>
          <w:szCs w:val="22"/>
        </w:rPr>
        <w:t xml:space="preserve"> in contrast would have other </w:t>
      </w:r>
      <w:r w:rsidR="00140DC8">
        <w:rPr>
          <w:szCs w:val="22"/>
        </w:rPr>
        <w:t xml:space="preserve">unintentional </w:t>
      </w:r>
      <w:r>
        <w:rPr>
          <w:szCs w:val="22"/>
        </w:rPr>
        <w:t xml:space="preserve">negative effects, including </w:t>
      </w:r>
      <w:r w:rsidR="003E2C59">
        <w:rPr>
          <w:szCs w:val="22"/>
        </w:rPr>
        <w:t xml:space="preserve">encouraging bidders to employ bidding strategies in the auction that could have the anti-competitive effect of blocking contiguous assignments for competitors </w:t>
      </w:r>
      <w:r>
        <w:rPr>
          <w:szCs w:val="22"/>
        </w:rPr>
        <w:t>and reducing auction revenues due to uncertainty among bidders over w</w:t>
      </w:r>
      <w:r>
        <w:rPr>
          <w:szCs w:val="22"/>
        </w:rPr>
        <w:t>hether they would be able to assemble contiguous frequency blocks.</w:t>
      </w:r>
      <w:r>
        <w:rPr>
          <w:rStyle w:val="FootnoteReference"/>
          <w:szCs w:val="22"/>
        </w:rPr>
        <w:footnoteReference w:id="340"/>
      </w:r>
      <w:r>
        <w:rPr>
          <w:szCs w:val="22"/>
        </w:rPr>
        <w:t xml:space="preserve">  Moreover, Verizon argues that forcing a winning </w:t>
      </w:r>
      <w:r>
        <w:rPr>
          <w:szCs w:val="22"/>
        </w:rPr>
        <w:t xml:space="preserve">bidder to rely on the secondary market to reconfigure non-contiguous assignments would create significant tax </w:t>
      </w:r>
      <w:r w:rsidR="003E2C59">
        <w:rPr>
          <w:szCs w:val="22"/>
        </w:rPr>
        <w:t>liabilities, further reducing potential auction revenues, and would delay implementation of the spectrum while parties negotiated secondary market agreements</w:t>
      </w:r>
      <w:r w:rsidRPr="006F51BF">
        <w:rPr>
          <w:szCs w:val="22"/>
        </w:rPr>
        <w:t>.</w:t>
      </w:r>
      <w:r>
        <w:rPr>
          <w:rStyle w:val="FootnoteReference"/>
          <w:szCs w:val="22"/>
        </w:rPr>
        <w:footnoteReference w:id="341"/>
      </w:r>
      <w:r>
        <w:rPr>
          <w:szCs w:val="22"/>
        </w:rPr>
        <w:t xml:space="preserve">  In light of the substantial support for ensuring contiguous frequency blocks for final assignment of all licenses in the a</w:t>
      </w:r>
      <w:r>
        <w:rPr>
          <w:szCs w:val="22"/>
        </w:rPr>
        <w:t xml:space="preserve">ssignment </w:t>
      </w:r>
      <w:r w:rsidR="003E2C59">
        <w:rPr>
          <w:szCs w:val="22"/>
        </w:rPr>
        <w:t xml:space="preserve">phase, which would improve the efficiency of the use of the auctioned spectrum and which </w:t>
      </w:r>
      <w:r>
        <w:rPr>
          <w:szCs w:val="22"/>
        </w:rPr>
        <w:t>our proposed approach would not have permitted, and the absence of any opposition to the commenters’ approach, we find it in the public interest to adopt the</w:t>
      </w:r>
      <w:r>
        <w:rPr>
          <w:szCs w:val="22"/>
        </w:rPr>
        <w:t xml:space="preserve"> assignment phase bidding procedures that we set forth here.    </w:t>
      </w:r>
    </w:p>
    <w:p w:rsidR="00062EAF" w:rsidRPr="00B65EA7" w:rsidP="00062EAF" w14:paraId="65E42ECC" w14:textId="60EC70F5">
      <w:pPr>
        <w:pStyle w:val="ParaNum"/>
        <w:rPr>
          <w:rFonts w:eastAsia="Calibri"/>
        </w:rPr>
      </w:pPr>
      <w:r w:rsidRPr="00435180">
        <w:rPr>
          <w:szCs w:val="22"/>
        </w:rPr>
        <w:t xml:space="preserve">Participation in the </w:t>
      </w:r>
      <w:r w:rsidRPr="00435180" w:rsidR="00E402DF">
        <w:rPr>
          <w:szCs w:val="22"/>
        </w:rPr>
        <w:t>assignment phase is voluntary; a winning bidder in the clock phase of Auction 10</w:t>
      </w:r>
      <w:r w:rsidR="00E402DF">
        <w:rPr>
          <w:szCs w:val="22"/>
        </w:rPr>
        <w:t>7</w:t>
      </w:r>
      <w:r w:rsidRPr="00435180" w:rsidR="00E402DF">
        <w:rPr>
          <w:szCs w:val="22"/>
        </w:rPr>
        <w:t xml:space="preserve"> need not bid in order to be assigned </w:t>
      </w:r>
      <w:r w:rsidR="00E402DF">
        <w:rPr>
          <w:szCs w:val="22"/>
        </w:rPr>
        <w:t xml:space="preserve">contiguous </w:t>
      </w:r>
      <w:r w:rsidRPr="00435180" w:rsidR="00E402DF">
        <w:rPr>
          <w:szCs w:val="22"/>
        </w:rPr>
        <w:t xml:space="preserve">licenses corresponding to the outcome of the clock phase.  Moreover, </w:t>
      </w:r>
      <w:r w:rsidR="00E402DF">
        <w:rPr>
          <w:szCs w:val="22"/>
        </w:rPr>
        <w:t xml:space="preserve">under the approach we adopt, </w:t>
      </w:r>
      <w:r w:rsidRPr="00435180" w:rsidR="00E402DF">
        <w:rPr>
          <w:szCs w:val="22"/>
        </w:rPr>
        <w:t xml:space="preserve">a bidder that wins multiple blocks in </w:t>
      </w:r>
      <w:r w:rsidR="00E402DF">
        <w:rPr>
          <w:szCs w:val="22"/>
        </w:rPr>
        <w:t>C</w:t>
      </w:r>
      <w:r w:rsidRPr="00435180" w:rsidR="00E402DF">
        <w:rPr>
          <w:szCs w:val="22"/>
        </w:rPr>
        <w:t xml:space="preserve">ategory </w:t>
      </w:r>
      <w:r w:rsidR="00E402DF">
        <w:rPr>
          <w:szCs w:val="22"/>
        </w:rPr>
        <w:t xml:space="preserve">A </w:t>
      </w:r>
      <w:r w:rsidRPr="00435180" w:rsidR="00E402DF">
        <w:rPr>
          <w:szCs w:val="22"/>
        </w:rPr>
        <w:t xml:space="preserve">in </w:t>
      </w:r>
      <w:r w:rsidR="00CC3416">
        <w:rPr>
          <w:szCs w:val="22"/>
        </w:rPr>
        <w:t xml:space="preserve">one of </w:t>
      </w:r>
      <w:r w:rsidR="003E2C59">
        <w:rPr>
          <w:szCs w:val="22"/>
        </w:rPr>
        <w:t xml:space="preserve">the 46 </w:t>
      </w:r>
      <w:r w:rsidRPr="00435180" w:rsidR="00E402DF">
        <w:rPr>
          <w:szCs w:val="22"/>
        </w:rPr>
        <w:t>PEA</w:t>
      </w:r>
      <w:r w:rsidR="003E2C59">
        <w:rPr>
          <w:szCs w:val="22"/>
        </w:rPr>
        <w:t>s with blocks subject to the Phase I deadline</w:t>
      </w:r>
      <w:r w:rsidRPr="00435180" w:rsidR="00E402DF">
        <w:rPr>
          <w:szCs w:val="22"/>
        </w:rPr>
        <w:t xml:space="preserve"> will </w:t>
      </w:r>
      <w:r w:rsidR="00E402DF">
        <w:rPr>
          <w:szCs w:val="22"/>
        </w:rPr>
        <w:t>receive an interim assignment for</w:t>
      </w:r>
      <w:r w:rsidRPr="00435180" w:rsidR="00E402DF">
        <w:rPr>
          <w:szCs w:val="22"/>
        </w:rPr>
        <w:t xml:space="preserve"> contiguous blocks of licenses</w:t>
      </w:r>
      <w:r w:rsidR="00E402DF">
        <w:rPr>
          <w:szCs w:val="22"/>
        </w:rPr>
        <w:t xml:space="preserve"> in conjunction with a final assignment for contiguous blocks, which could include blocks in any of the 14 available blocks in the PEA</w:t>
      </w:r>
      <w:r w:rsidRPr="00435180" w:rsidR="00E402DF">
        <w:rPr>
          <w:szCs w:val="22"/>
        </w:rPr>
        <w:t>, even without bidding in the assignment phase.</w:t>
      </w:r>
      <w:r w:rsidR="00E402DF">
        <w:rPr>
          <w:szCs w:val="22"/>
        </w:rPr>
        <w:t xml:space="preserve">  More specifically</w:t>
      </w:r>
      <w:r w:rsidRPr="00E402DF" w:rsidR="00E402DF">
        <w:rPr>
          <w:szCs w:val="22"/>
        </w:rPr>
        <w:t xml:space="preserve">, </w:t>
      </w:r>
      <w:r w:rsidR="00E402DF">
        <w:rPr>
          <w:szCs w:val="22"/>
        </w:rPr>
        <w:t xml:space="preserve">to provide each winning bidder with frequency-specific licenses based on its interim and final assignments, the bidding system will match interim and final assignments as follows:  </w:t>
      </w:r>
      <w:r w:rsidRPr="00E402DF" w:rsidR="00E402DF">
        <w:rPr>
          <w:szCs w:val="22"/>
        </w:rPr>
        <w:t>First, any blocks that appear</w:t>
      </w:r>
      <w:r w:rsidR="00E402DF">
        <w:rPr>
          <w:szCs w:val="22"/>
        </w:rPr>
        <w:t xml:space="preserve"> </w:t>
      </w:r>
      <w:r w:rsidRPr="00E402DF" w:rsidR="00E402DF">
        <w:rPr>
          <w:szCs w:val="22"/>
        </w:rPr>
        <w:t xml:space="preserve">both in </w:t>
      </w:r>
      <w:r w:rsidR="00E402DF">
        <w:rPr>
          <w:szCs w:val="22"/>
        </w:rPr>
        <w:t>a bidder’s</w:t>
      </w:r>
      <w:r w:rsidRPr="00E402DF" w:rsidR="00E402DF">
        <w:rPr>
          <w:szCs w:val="22"/>
        </w:rPr>
        <w:t xml:space="preserve"> interim and final assignment </w:t>
      </w:r>
      <w:r w:rsidR="00E402DF">
        <w:rPr>
          <w:szCs w:val="22"/>
        </w:rPr>
        <w:t xml:space="preserve">will be </w:t>
      </w:r>
      <w:r w:rsidRPr="00E402DF" w:rsidR="00E402DF">
        <w:rPr>
          <w:szCs w:val="22"/>
        </w:rPr>
        <w:t>match</w:t>
      </w:r>
      <w:r w:rsidR="00E402DF">
        <w:rPr>
          <w:szCs w:val="22"/>
        </w:rPr>
        <w:t>ed</w:t>
      </w:r>
      <w:r w:rsidRPr="00E402DF" w:rsidR="00E402DF">
        <w:rPr>
          <w:szCs w:val="22"/>
        </w:rPr>
        <w:t xml:space="preserve"> together. </w:t>
      </w:r>
      <w:r w:rsidR="00E402DF">
        <w:rPr>
          <w:szCs w:val="22"/>
        </w:rPr>
        <w:t xml:space="preserve"> </w:t>
      </w:r>
      <w:r w:rsidRPr="00E402DF" w:rsidR="00E402DF">
        <w:rPr>
          <w:szCs w:val="22"/>
        </w:rPr>
        <w:t>Then, consider</w:t>
      </w:r>
      <w:r w:rsidR="00E402DF">
        <w:rPr>
          <w:szCs w:val="22"/>
        </w:rPr>
        <w:t>ing</w:t>
      </w:r>
      <w:r w:rsidRPr="00E402DF" w:rsidR="00E402DF">
        <w:rPr>
          <w:szCs w:val="22"/>
        </w:rPr>
        <w:t xml:space="preserve"> all remaining blocks in the bidder’s interim assignment (from lowest to highest)</w:t>
      </w:r>
      <w:r w:rsidR="00E402DF">
        <w:rPr>
          <w:szCs w:val="22"/>
        </w:rPr>
        <w:t xml:space="preserve">, </w:t>
      </w:r>
      <w:r w:rsidRPr="00E402DF" w:rsidR="00E402DF">
        <w:rPr>
          <w:szCs w:val="22"/>
        </w:rPr>
        <w:t xml:space="preserve">each </w:t>
      </w:r>
      <w:r w:rsidR="00E402DF">
        <w:rPr>
          <w:szCs w:val="22"/>
        </w:rPr>
        <w:t xml:space="preserve">will be matched </w:t>
      </w:r>
      <w:r w:rsidRPr="00E402DF" w:rsidR="00E402DF">
        <w:rPr>
          <w:szCs w:val="22"/>
        </w:rPr>
        <w:t>with the lowest available block in the bidder’s final assignment</w:t>
      </w:r>
      <w:r w:rsidR="00E402DF">
        <w:rPr>
          <w:szCs w:val="22"/>
        </w:rPr>
        <w:t>.</w:t>
      </w:r>
      <w:r>
        <w:rPr>
          <w:rStyle w:val="FootnoteReference"/>
          <w:szCs w:val="22"/>
        </w:rPr>
        <w:footnoteReference w:id="342"/>
      </w:r>
    </w:p>
    <w:p w:rsidR="00062EAF" w:rsidP="00062EAF" w14:paraId="7DE42C96" w14:textId="77777777">
      <w:pPr>
        <w:pStyle w:val="Heading3"/>
        <w:rPr>
          <w:rFonts w:eastAsia="Calibri"/>
        </w:rPr>
      </w:pPr>
      <w:r>
        <w:rPr>
          <w:rFonts w:eastAsia="Calibri"/>
        </w:rPr>
        <w:t>Sequencing and Grouping of PEAs</w:t>
      </w:r>
    </w:p>
    <w:p w:rsidR="00062EAF" w:rsidRPr="00435180" w:rsidP="00062EAF" w14:paraId="358F6696" w14:textId="69B64A5B">
      <w:pPr>
        <w:pStyle w:val="ParaNum"/>
        <w:widowControl/>
        <w:rPr>
          <w:rFonts w:eastAsia="Calibri"/>
          <w:snapToGrid/>
          <w:szCs w:val="22"/>
        </w:rPr>
      </w:pPr>
      <w:r w:rsidRPr="00435180">
        <w:rPr>
          <w:rFonts w:eastAsia="Calibri"/>
          <w:i/>
          <w:snapToGrid/>
          <w:szCs w:val="22"/>
        </w:rPr>
        <w:t xml:space="preserve">Sequencing of rounds.  </w:t>
      </w:r>
      <w:r w:rsidRPr="00435180">
        <w:rPr>
          <w:rFonts w:eastAsia="Calibri"/>
          <w:snapToGrid/>
          <w:szCs w:val="22"/>
        </w:rPr>
        <w:t>We ado</w:t>
      </w:r>
      <w:r w:rsidRPr="00435180">
        <w:rPr>
          <w:rFonts w:eastAsia="Calibri"/>
          <w:snapToGrid/>
          <w:szCs w:val="22"/>
        </w:rPr>
        <w:t>pt the proposal to conduct assignment rounds for the largest markets first.</w:t>
      </w:r>
      <w:r>
        <w:rPr>
          <w:rStyle w:val="FootnoteReference"/>
          <w:rFonts w:eastAsia="Calibri"/>
          <w:szCs w:val="22"/>
        </w:rPr>
        <w:footnoteReference w:id="343"/>
      </w:r>
      <w:r w:rsidRPr="00435180">
        <w:rPr>
          <w:rFonts w:eastAsia="Calibri"/>
          <w:snapToGrid/>
          <w:szCs w:val="22"/>
        </w:rPr>
        <w:t xml:space="preserve">  This sequencing will enable bidders to establish a “footprint,” making it easier for a bidder to incorporate frequency assignments from previously assigned areas into its bid pr</w:t>
      </w:r>
      <w:r w:rsidRPr="00435180">
        <w:rPr>
          <w:rFonts w:eastAsia="Calibri"/>
          <w:snapToGrid/>
          <w:szCs w:val="22"/>
        </w:rPr>
        <w:t xml:space="preserve">eferences for other areas, and recognizes that a bidder winning blocks in multiple PEAs may prefer contiguous blocks across adjacent PEAs.  </w:t>
      </w:r>
    </w:p>
    <w:p w:rsidR="00062EAF" w:rsidRPr="009B30BA" w:rsidP="00062EAF" w14:paraId="595F5824" w14:textId="114F7FB8">
      <w:pPr>
        <w:pStyle w:val="ParaNum"/>
        <w:widowControl/>
        <w:rPr>
          <w:szCs w:val="22"/>
        </w:rPr>
      </w:pPr>
      <w:r w:rsidRPr="00435180">
        <w:rPr>
          <w:szCs w:val="22"/>
        </w:rPr>
        <w:t xml:space="preserve">Specifically, we will conduct a separate assignment round for each of the top 20 PEAs sequentially, beginning with </w:t>
      </w:r>
      <w:r w:rsidRPr="00435180">
        <w:rPr>
          <w:szCs w:val="22"/>
        </w:rPr>
        <w:t>the largest PEAs.  Once the top 20 PEAs have been assigned, we will conduct, for each Regional Economic Area Grouping (REAG), a series of assignment rounds for the remaining PEAs within that region.</w:t>
      </w:r>
      <w:r>
        <w:rPr>
          <w:rStyle w:val="FootnoteReference"/>
          <w:szCs w:val="22"/>
        </w:rPr>
        <w:footnoteReference w:id="344"/>
      </w:r>
      <w:r w:rsidRPr="00435180">
        <w:rPr>
          <w:szCs w:val="22"/>
        </w:rPr>
        <w:t xml:space="preserve">  We will sequence the assignment rounds within a REAG i</w:t>
      </w:r>
      <w:r w:rsidRPr="00435180">
        <w:rPr>
          <w:szCs w:val="22"/>
        </w:rPr>
        <w:t>n descending order of population for a PEA group or individual PEA.</w:t>
      </w:r>
    </w:p>
    <w:p w:rsidR="00062EAF" w:rsidRPr="00435180" w:rsidP="00062EAF" w14:paraId="39C53A24" w14:textId="3B5C375D">
      <w:pPr>
        <w:pStyle w:val="ParaNum"/>
        <w:widowControl/>
        <w:rPr>
          <w:szCs w:val="22"/>
        </w:rPr>
      </w:pPr>
      <w:r w:rsidRPr="00435180">
        <w:rPr>
          <w:i/>
          <w:szCs w:val="22"/>
        </w:rPr>
        <w:t xml:space="preserve">Grouping of PEAs.  </w:t>
      </w:r>
      <w:r w:rsidRPr="00435180">
        <w:rPr>
          <w:szCs w:val="22"/>
        </w:rPr>
        <w:t>To reduce the total amount of time required to complete the assignment phase, we will group for assignment any non-top 20 PEAs within a</w:t>
      </w:r>
      <w:r>
        <w:rPr>
          <w:szCs w:val="22"/>
        </w:rPr>
        <w:t xml:space="preserve"> REAG</w:t>
      </w:r>
      <w:r w:rsidRPr="00435180">
        <w:rPr>
          <w:szCs w:val="22"/>
        </w:rPr>
        <w:t xml:space="preserve"> in which the same bidders </w:t>
      </w:r>
      <w:r>
        <w:rPr>
          <w:szCs w:val="22"/>
        </w:rPr>
        <w:t>wo</w:t>
      </w:r>
      <w:r>
        <w:rPr>
          <w:szCs w:val="22"/>
        </w:rPr>
        <w:t xml:space="preserve">n </w:t>
      </w:r>
      <w:r w:rsidRPr="00435180">
        <w:rPr>
          <w:szCs w:val="22"/>
        </w:rPr>
        <w:t xml:space="preserve"> the same number of blocks</w:t>
      </w:r>
      <w:r>
        <w:rPr>
          <w:szCs w:val="22"/>
        </w:rPr>
        <w:t xml:space="preserve"> in each clock phase category</w:t>
      </w:r>
      <w:r w:rsidRPr="00435180">
        <w:rPr>
          <w:szCs w:val="22"/>
        </w:rPr>
        <w:t>, and all are subject to the small markets bidding cap or all are not subject to the cap</w:t>
      </w:r>
      <w:r>
        <w:rPr>
          <w:szCs w:val="22"/>
        </w:rPr>
        <w:t>.  This approach</w:t>
      </w:r>
      <w:r w:rsidRPr="00435180">
        <w:rPr>
          <w:szCs w:val="22"/>
        </w:rPr>
        <w:t xml:space="preserve"> will also help maximize contiguity across PEAs.  Accordingly, where these criteria are met, a </w:t>
      </w:r>
      <w:r w:rsidRPr="00435180">
        <w:rPr>
          <w:szCs w:val="22"/>
        </w:rPr>
        <w:t xml:space="preserve">bidder will submit a single set of bids for </w:t>
      </w:r>
      <w:r w:rsidRPr="00435180">
        <w:rPr>
          <w:szCs w:val="22"/>
        </w:rPr>
        <w:t>assignment options that will apply to all the PEAs in the group and will be assigned the same frequency-specific licenses in each PEA.</w:t>
      </w:r>
      <w:r>
        <w:rPr>
          <w:szCs w:val="22"/>
        </w:rPr>
        <w:t xml:space="preserve"> </w:t>
      </w:r>
    </w:p>
    <w:p w:rsidR="00062EAF" w:rsidRPr="00B65EA7" w:rsidP="00062EAF" w14:paraId="5E54417B" w14:textId="31E37695">
      <w:pPr>
        <w:pStyle w:val="ParaNum"/>
        <w:rPr>
          <w:rFonts w:eastAsia="Calibri"/>
        </w:rPr>
      </w:pPr>
      <w:r w:rsidRPr="00435180">
        <w:rPr>
          <w:szCs w:val="22"/>
        </w:rPr>
        <w:t xml:space="preserve">In addition, we will conduct the bidding for the different REAGs in </w:t>
      </w:r>
      <w:r w:rsidRPr="00435180">
        <w:rPr>
          <w:szCs w:val="22"/>
        </w:rPr>
        <w:t>parallel.  That is, bidding for assignments in multiple PEAs or PEA groups will take place during the same timed bidding round.  This will also help reduce the length of the assignment phase.</w:t>
      </w:r>
      <w:r>
        <w:rPr>
          <w:rStyle w:val="FootnoteReference"/>
          <w:szCs w:val="22"/>
        </w:rPr>
        <w:footnoteReference w:id="345"/>
      </w:r>
      <w:r>
        <w:rPr>
          <w:szCs w:val="22"/>
        </w:rPr>
        <w:t xml:space="preserve"> </w:t>
      </w:r>
    </w:p>
    <w:p w:rsidR="00062EAF" w:rsidP="00062EAF" w14:paraId="6160F3AF" w14:textId="77777777">
      <w:pPr>
        <w:pStyle w:val="Heading3"/>
        <w:rPr>
          <w:rFonts w:eastAsia="Calibri"/>
        </w:rPr>
      </w:pPr>
      <w:r>
        <w:rPr>
          <w:rFonts w:eastAsia="Calibri"/>
        </w:rPr>
        <w:t>Acceptable Bids and Bid Processing</w:t>
      </w:r>
    </w:p>
    <w:p w:rsidR="00062EAF" w:rsidP="00062EAF" w14:paraId="5F715EE8" w14:textId="7E490991">
      <w:pPr>
        <w:pStyle w:val="ParaNum"/>
        <w:widowControl/>
        <w:rPr>
          <w:szCs w:val="22"/>
        </w:rPr>
      </w:pPr>
      <w:bookmarkStart w:id="2260" w:name="_Toc400556048"/>
      <w:bookmarkStart w:id="2261" w:name="_Toc401221337"/>
      <w:bookmarkStart w:id="2262" w:name="_Toc401229005"/>
      <w:bookmarkStart w:id="2263" w:name="_Toc401229125"/>
      <w:bookmarkStart w:id="2264" w:name="_Toc401242367"/>
      <w:bookmarkStart w:id="2265" w:name="_Toc401245465"/>
      <w:bookmarkStart w:id="2266" w:name="_Toc401251465"/>
      <w:bookmarkStart w:id="2267" w:name="_Toc402286896"/>
      <w:bookmarkStart w:id="2268" w:name="_Toc402287699"/>
      <w:bookmarkStart w:id="2269" w:name="_Toc402454123"/>
      <w:r w:rsidRPr="00435180">
        <w:rPr>
          <w:szCs w:val="22"/>
        </w:rPr>
        <w:t>Under the procedures we ad</w:t>
      </w:r>
      <w:r w:rsidRPr="00435180">
        <w:rPr>
          <w:szCs w:val="22"/>
        </w:rPr>
        <w:t xml:space="preserve">opt, prior to the start of the assignment phase, the bidding system will provide each clock phase winner with bidding options for all possible contiguous frequency assignments for </w:t>
      </w:r>
      <w:r>
        <w:rPr>
          <w:szCs w:val="22"/>
        </w:rPr>
        <w:t>blocks won in the clock phase.  More specifically, in the 46 PEAs with block</w:t>
      </w:r>
      <w:r>
        <w:rPr>
          <w:szCs w:val="22"/>
        </w:rPr>
        <w:t>s subject to the Phase I deadline, a winner of Category A blocks will have options for all possible contiguous interim assignments for the quantity of A blocks it won and all possible contiguous final assignments of all blocks it</w:t>
      </w:r>
      <w:r w:rsidRPr="00435180">
        <w:rPr>
          <w:szCs w:val="22"/>
        </w:rPr>
        <w:t xml:space="preserve"> won in the clock phase</w:t>
      </w:r>
      <w:r>
        <w:rPr>
          <w:szCs w:val="22"/>
        </w:rPr>
        <w:t xml:space="preserve"> reg</w:t>
      </w:r>
      <w:r>
        <w:rPr>
          <w:szCs w:val="22"/>
        </w:rPr>
        <w:t>ardless of the clock phase bidding category.</w:t>
      </w:r>
      <w:r>
        <w:rPr>
          <w:rStyle w:val="FootnoteReference"/>
          <w:szCs w:val="22"/>
        </w:rPr>
        <w:footnoteReference w:id="346"/>
      </w:r>
      <w:r w:rsidRPr="00435180">
        <w:rPr>
          <w:szCs w:val="22"/>
        </w:rPr>
        <w:t xml:space="preserve">  </w:t>
      </w:r>
      <w:r>
        <w:t xml:space="preserve">In the 360 PEAs where there are no blocks subject to the Phase I deadline, </w:t>
      </w:r>
      <w:r w:rsidR="00C31ADE">
        <w:t xml:space="preserve">a </w:t>
      </w:r>
      <w:r>
        <w:t xml:space="preserve">clock phase winner will have one set of options for all possible contiguous assignments for its clock phase winnings in </w:t>
      </w:r>
      <w:r w:rsidR="00C31ADE">
        <w:t>C</w:t>
      </w:r>
      <w:r>
        <w:t>ategory AB</w:t>
      </w:r>
      <w:r>
        <w:t xml:space="preserve">C, consisting of all of the 14 20-megahertz blocks between </w:t>
      </w:r>
      <w:r w:rsidRPr="00A077F4">
        <w:t>3.</w:t>
      </w:r>
      <w:r>
        <w:t>7</w:t>
      </w:r>
      <w:r w:rsidRPr="00A077F4">
        <w:t>–3.98 GHz</w:t>
      </w:r>
      <w:r>
        <w:t>.</w:t>
      </w:r>
      <w:r>
        <w:rPr>
          <w:szCs w:val="22"/>
        </w:rPr>
        <w:t xml:space="preserve">  </w:t>
      </w:r>
    </w:p>
    <w:p w:rsidR="00062EAF" w:rsidP="00062EAF" w14:paraId="1B52DE6C" w14:textId="683FCE3D">
      <w:pPr>
        <w:pStyle w:val="ParaNum"/>
        <w:widowControl/>
        <w:rPr>
          <w:szCs w:val="22"/>
        </w:rPr>
      </w:pPr>
      <w:r>
        <w:rPr>
          <w:szCs w:val="22"/>
        </w:rPr>
        <w:t>As noted, the approach we adopt differs from the assignment phase approach on which we sought comment,</w:t>
      </w:r>
      <w:r>
        <w:rPr>
          <w:rStyle w:val="FootnoteReference"/>
          <w:szCs w:val="22"/>
        </w:rPr>
        <w:footnoteReference w:id="347"/>
      </w:r>
      <w:r>
        <w:rPr>
          <w:szCs w:val="22"/>
        </w:rPr>
        <w:t xml:space="preserve"> but was strongly favored by all commenters that address</w:t>
      </w:r>
      <w:r w:rsidR="00710345">
        <w:rPr>
          <w:szCs w:val="22"/>
        </w:rPr>
        <w:t>ed</w:t>
      </w:r>
      <w:r>
        <w:rPr>
          <w:szCs w:val="22"/>
        </w:rPr>
        <w:t xml:space="preserve"> the issue.</w:t>
      </w:r>
      <w:r>
        <w:rPr>
          <w:rStyle w:val="FootnoteReference"/>
          <w:szCs w:val="22"/>
        </w:rPr>
        <w:footnoteReference w:id="348"/>
      </w:r>
      <w:r w:rsidR="00710345">
        <w:rPr>
          <w:szCs w:val="22"/>
        </w:rPr>
        <w:t xml:space="preserve">  T</w:t>
      </w:r>
      <w:r>
        <w:rPr>
          <w:szCs w:val="22"/>
        </w:rPr>
        <w:t xml:space="preserve">he </w:t>
      </w:r>
      <w:r>
        <w:rPr>
          <w:szCs w:val="22"/>
        </w:rPr>
        <w:t>procedures we now adopt will provide for contiguous final assignments across all categories of blocks in every PEA</w:t>
      </w:r>
      <w:r w:rsidR="00800462">
        <w:rPr>
          <w:szCs w:val="22"/>
        </w:rPr>
        <w:t xml:space="preserve"> for all bidders</w:t>
      </w:r>
      <w:r>
        <w:rPr>
          <w:szCs w:val="22"/>
        </w:rPr>
        <w:t xml:space="preserve">, unlike our proposed approach.  </w:t>
      </w:r>
    </w:p>
    <w:p w:rsidR="00062EAF" w:rsidRPr="000D73CA" w:rsidP="00062EAF" w14:paraId="552B9D8A" w14:textId="72D7F0B2">
      <w:pPr>
        <w:pStyle w:val="ParaNum"/>
        <w:widowControl/>
        <w:rPr>
          <w:szCs w:val="22"/>
        </w:rPr>
      </w:pPr>
      <w:r>
        <w:rPr>
          <w:szCs w:val="22"/>
        </w:rPr>
        <w:t>Under the procedures we adopt, i</w:t>
      </w:r>
      <w:r w:rsidRPr="00435180">
        <w:rPr>
          <w:szCs w:val="22"/>
        </w:rPr>
        <w:t xml:space="preserve">n each assignment round, a bidder will be asked to assign a </w:t>
      </w:r>
      <w:r w:rsidRPr="00435180">
        <w:rPr>
          <w:szCs w:val="22"/>
        </w:rPr>
        <w:t>price to one or more of the bidding options for which it wishes to express a preference, consistent with its winning bid(s) for generic blocks in the clock phase.</w:t>
      </w:r>
      <w:r>
        <w:rPr>
          <w:rStyle w:val="FootnoteReference"/>
          <w:szCs w:val="22"/>
        </w:rPr>
        <w:footnoteReference w:id="349"/>
      </w:r>
      <w:r w:rsidRPr="00435180">
        <w:rPr>
          <w:szCs w:val="22"/>
        </w:rPr>
        <w:t xml:space="preserve">  The price will represent the maximum payment that the bidder is willing to pay, in additio</w:t>
      </w:r>
      <w:r w:rsidRPr="00435180">
        <w:rPr>
          <w:szCs w:val="22"/>
        </w:rPr>
        <w:t xml:space="preserve">n to the base price established in the clock phase for the generic blocks, for the frequency-specific license or licenses in its bid.  </w:t>
      </w:r>
    </w:p>
    <w:bookmarkEnd w:id="2260"/>
    <w:bookmarkEnd w:id="2261"/>
    <w:bookmarkEnd w:id="2262"/>
    <w:bookmarkEnd w:id="2263"/>
    <w:bookmarkEnd w:id="2264"/>
    <w:bookmarkEnd w:id="2265"/>
    <w:bookmarkEnd w:id="2266"/>
    <w:bookmarkEnd w:id="2267"/>
    <w:bookmarkEnd w:id="2268"/>
    <w:bookmarkEnd w:id="2269"/>
    <w:p w:rsidR="00062EAF" w:rsidRPr="00301544" w:rsidP="00062EAF" w14:paraId="05479BD7" w14:textId="6139C423">
      <w:pPr>
        <w:pStyle w:val="ParaNum"/>
        <w:widowControl/>
        <w:rPr>
          <w:szCs w:val="22"/>
        </w:rPr>
      </w:pPr>
      <w:r w:rsidRPr="00301544">
        <w:rPr>
          <w:szCs w:val="22"/>
        </w:rPr>
        <w:t xml:space="preserve">We will use an optimization approach to determine the winning frequency assignment for each </w:t>
      </w:r>
      <w:r>
        <w:rPr>
          <w:szCs w:val="22"/>
        </w:rPr>
        <w:t xml:space="preserve">assignment </w:t>
      </w:r>
      <w:r w:rsidRPr="00301544">
        <w:rPr>
          <w:szCs w:val="22"/>
        </w:rPr>
        <w:t xml:space="preserve">category in each </w:t>
      </w:r>
      <w:r w:rsidRPr="00301544">
        <w:rPr>
          <w:szCs w:val="22"/>
        </w:rPr>
        <w:t xml:space="preserve">PEA or PEA group.  We adopt procedures such that the bidding system will select the assignment that maximizes the sum of bid amounts among all assignments </w:t>
      </w:r>
      <w:r>
        <w:rPr>
          <w:szCs w:val="22"/>
        </w:rPr>
        <w:t>in which each bidder’s assignment is contiguous</w:t>
      </w:r>
      <w:r w:rsidRPr="00301544">
        <w:rPr>
          <w:szCs w:val="22"/>
        </w:rPr>
        <w:t>.</w:t>
      </w:r>
      <w:r>
        <w:rPr>
          <w:rStyle w:val="FootnoteReference"/>
          <w:szCs w:val="22"/>
        </w:rPr>
        <w:footnoteReference w:id="350"/>
      </w:r>
    </w:p>
    <w:p w:rsidR="00062EAF" w:rsidRPr="00751F5F" w:rsidP="00062EAF" w14:paraId="27323F61" w14:textId="5D333D21">
      <w:pPr>
        <w:pStyle w:val="ParaNum"/>
        <w:rPr>
          <w:rFonts w:eastAsia="Calibri"/>
        </w:rPr>
      </w:pPr>
      <w:r w:rsidRPr="00435180">
        <w:rPr>
          <w:szCs w:val="22"/>
        </w:rPr>
        <w:t>Further, the additional price a bidder will pay fo</w:t>
      </w:r>
      <w:r w:rsidRPr="00435180">
        <w:rPr>
          <w:szCs w:val="22"/>
        </w:rPr>
        <w:t>r a specific frequency assignment (above the final clock phase price) will be calculated consistent with a generalized “second price” approach—that is, the winner will pay a price that would be just sufficient to result in the bidder receiving that same wi</w:t>
      </w:r>
      <w:r w:rsidRPr="00435180">
        <w:rPr>
          <w:szCs w:val="22"/>
        </w:rPr>
        <w:t>nning frequency assignment while ensuring that no group of bidders is willing to pay more for an alternative assignment in which every bidder is assigned contiguous spectrum.</w:t>
      </w:r>
      <w:r>
        <w:rPr>
          <w:rStyle w:val="FootnoteReference"/>
          <w:szCs w:val="22"/>
        </w:rPr>
        <w:footnoteReference w:id="351"/>
      </w:r>
      <w:r w:rsidRPr="00435180">
        <w:rPr>
          <w:szCs w:val="22"/>
        </w:rPr>
        <w:t>  This price will be less than or equal to the price the bidder indicated it was</w:t>
      </w:r>
      <w:r w:rsidRPr="00435180">
        <w:rPr>
          <w:szCs w:val="22"/>
        </w:rPr>
        <w:t xml:space="preserve"> willing to pay for the assignment.  Determining prices in this way encourages bidders to bid their full value for the assignment, knowing that if the assignment is selected, they will pay no more than would be necessary to ensure that the outcome is compe</w:t>
      </w:r>
      <w:r w:rsidRPr="00435180">
        <w:rPr>
          <w:szCs w:val="22"/>
        </w:rPr>
        <w:t>titive.</w:t>
      </w:r>
      <w:r>
        <w:rPr>
          <w:rStyle w:val="FootnoteReference"/>
          <w:szCs w:val="22"/>
        </w:rPr>
        <w:footnoteReference w:id="352"/>
      </w:r>
    </w:p>
    <w:p w:rsidR="00062EAF" w:rsidRPr="00907334" w:rsidP="00062EAF" w14:paraId="4DB62F86" w14:textId="77777777">
      <w:pPr>
        <w:pStyle w:val="Heading3"/>
        <w:widowControl/>
        <w:spacing w:line="259" w:lineRule="auto"/>
        <w:rPr>
          <w:rFonts w:eastAsia="Calibri"/>
        </w:rPr>
      </w:pPr>
      <w:r w:rsidRPr="00907334">
        <w:rPr>
          <w:rFonts w:eastAsia="Calibri"/>
        </w:rPr>
        <w:t>Information Available to Bidders During the Assignment Phase</w:t>
      </w:r>
    </w:p>
    <w:p w:rsidR="00062EAF" w:rsidRPr="00907334" w:rsidP="00062EAF" w14:paraId="614A05DD" w14:textId="11BD02EB">
      <w:pPr>
        <w:pStyle w:val="ParaNum"/>
        <w:widowControl/>
        <w:spacing w:line="259" w:lineRule="auto"/>
      </w:pPr>
      <w:r w:rsidRPr="00907334">
        <w:t xml:space="preserve">After the clock phase concludes but before bidding begins in the assignment phase, the bidding system will provide to each assignment phase bidder a menu of bidding options </w:t>
      </w:r>
      <w:r w:rsidRPr="00907334">
        <w:t>consisting of possible configurations of frequency-specific licenses on which it can bid.</w:t>
      </w:r>
      <w:r>
        <w:rPr>
          <w:rStyle w:val="FootnoteReference"/>
        </w:rPr>
        <w:footnoteReference w:id="353"/>
      </w:r>
      <w:r w:rsidRPr="00907334">
        <w:t xml:space="preserve">  These bidding options will be consistent with the bidder’s clock-phase winnings.  The bidding system will also announce the order in which assignment rounds will t</w:t>
      </w:r>
      <w:r w:rsidRPr="00907334">
        <w:t>ake place and indicate which PEAs will be grouped together for bidding.  The bidding system will provide clock phase winning bidders with this information as soon as possible and will announce a schedule of assignment phase rounds that will commence no soo</w:t>
      </w:r>
      <w:r w:rsidRPr="00907334">
        <w:t xml:space="preserve">ner than five business days later.   </w:t>
      </w:r>
    </w:p>
    <w:p w:rsidR="00062EAF" w:rsidRPr="00B65EA7" w:rsidP="00062EAF" w14:paraId="6FCFD57C" w14:textId="47F50F17">
      <w:pPr>
        <w:pStyle w:val="ParaNum"/>
        <w:rPr>
          <w:rFonts w:eastAsia="Calibri"/>
        </w:rPr>
      </w:pPr>
      <w:r w:rsidRPr="00907334">
        <w:t xml:space="preserve">After each assignment round, the bidding system will inform each bidder of its own assignment and assignment payment for each </w:t>
      </w:r>
      <w:r>
        <w:t xml:space="preserve">assignment category </w:t>
      </w:r>
      <w:r w:rsidRPr="00907334">
        <w:t>for each PEA or PEA group assigned in the round.  The bidding system wil</w:t>
      </w:r>
      <w:r w:rsidRPr="00907334">
        <w:t>l also provide each bidder with its current total payment</w:t>
      </w:r>
      <w:r>
        <w:t>, which is calculated as the sum of the bidder’s total clock payment across all PEAs and the bidder’s assignment payments</w:t>
      </w:r>
      <w:r w:rsidRPr="00907334">
        <w:t xml:space="preserve"> for the PEAs for which an assignment round has already completed.  This infor</w:t>
      </w:r>
      <w:r w:rsidRPr="00907334">
        <w:t>mation will provide the bidder a running estimate during the assignment rounds of the dollar amount it will owe at the end of the auction.</w:t>
      </w:r>
      <w:r w:rsidRPr="0080331A">
        <w:t xml:space="preserve"> </w:t>
      </w:r>
      <w:r w:rsidR="00E44413">
        <w:t xml:space="preserve"> </w:t>
      </w:r>
      <w:r>
        <w:t>A bidder that is claiming a bidding credit will also be informed about its current bidding credit discount and wheth</w:t>
      </w:r>
      <w:r>
        <w:t>er the discount has been capped.</w:t>
      </w:r>
    </w:p>
    <w:p w:rsidR="00062EAF" w:rsidP="00062EAF" w14:paraId="133DECF6" w14:textId="086E900B">
      <w:pPr>
        <w:pStyle w:val="Heading3"/>
        <w:rPr>
          <w:rFonts w:eastAsia="Calibri"/>
        </w:rPr>
      </w:pPr>
      <w:r>
        <w:rPr>
          <w:rFonts w:eastAsia="Calibri"/>
        </w:rPr>
        <w:t>Final Payment Calculations</w:t>
      </w:r>
    </w:p>
    <w:p w:rsidR="00062EAF" w:rsidRPr="00435180" w:rsidP="00062EAF" w14:paraId="49B85708" w14:textId="1B25B0C3">
      <w:pPr>
        <w:pStyle w:val="ParaNum"/>
        <w:widowControl/>
        <w:rPr>
          <w:szCs w:val="22"/>
        </w:rPr>
      </w:pPr>
      <w:r w:rsidRPr="00435180">
        <w:rPr>
          <w:szCs w:val="22"/>
        </w:rPr>
        <w:t xml:space="preserve">When all assignment rounds have been completed, a bidder’s final payment takes into account the sum of final clock phase prices across all licenses that it won, </w:t>
      </w:r>
      <w:r>
        <w:rPr>
          <w:szCs w:val="22"/>
        </w:rPr>
        <w:t xml:space="preserve">the sum of all of the bidder’s </w:t>
      </w:r>
      <w:r w:rsidRPr="00435180">
        <w:rPr>
          <w:szCs w:val="22"/>
        </w:rPr>
        <w:t>assi</w:t>
      </w:r>
      <w:r w:rsidRPr="00435180">
        <w:rPr>
          <w:szCs w:val="22"/>
        </w:rPr>
        <w:t>gnment payments, and any claimed bidding credits.</w:t>
      </w:r>
      <w:r>
        <w:rPr>
          <w:rStyle w:val="FootnoteReference"/>
          <w:szCs w:val="22"/>
        </w:rPr>
        <w:footnoteReference w:id="354"/>
      </w:r>
      <w:r w:rsidRPr="00435180">
        <w:rPr>
          <w:szCs w:val="22"/>
        </w:rPr>
        <w:t xml:space="preserve">  Specifically, if a bidder is not claiming a bidding credit, its final payment is determined by summing the final clock phase prices across all licenses that it won and its assignment payments across all </w:t>
      </w:r>
      <w:r>
        <w:rPr>
          <w:szCs w:val="22"/>
        </w:rPr>
        <w:t>PEAs or PEA groups</w:t>
      </w:r>
      <w:r w:rsidRPr="00435180">
        <w:rPr>
          <w:szCs w:val="22"/>
        </w:rPr>
        <w:t>.</w:t>
      </w:r>
    </w:p>
    <w:p w:rsidR="00062EAF" w:rsidRPr="006A1859" w:rsidP="009E7E62" w14:paraId="3FEFBA8D" w14:textId="06775F52">
      <w:pPr>
        <w:pStyle w:val="ParaNum"/>
        <w:rPr>
          <w:rFonts w:eastAsia="Calibri"/>
        </w:rPr>
      </w:pPr>
      <w:r w:rsidRPr="00435180">
        <w:rPr>
          <w:szCs w:val="22"/>
        </w:rPr>
        <w:t xml:space="preserve">If a bidder claims a bidding credit, a bidding credit discount is calculated by applying the bidder’s bidding credit percentage to the </w:t>
      </w:r>
      <w:r>
        <w:rPr>
          <w:szCs w:val="22"/>
        </w:rPr>
        <w:t>sum of the bidder’s clock payments and assignment payments</w:t>
      </w:r>
      <w:r w:rsidRPr="00435180">
        <w:rPr>
          <w:szCs w:val="22"/>
        </w:rPr>
        <w:t xml:space="preserve">, </w:t>
      </w:r>
      <w:r w:rsidRPr="00435180">
        <w:rPr>
          <w:szCs w:val="22"/>
        </w:rPr>
        <w:t>capping the bidding credit discount if it</w:t>
      </w:r>
      <w:r w:rsidRPr="00435180">
        <w:rPr>
          <w:szCs w:val="22"/>
        </w:rPr>
        <w:t xml:space="preserve"> exceeds the applicable caps for </w:t>
      </w:r>
      <w:r>
        <w:rPr>
          <w:szCs w:val="22"/>
        </w:rPr>
        <w:t xml:space="preserve">small businesses, </w:t>
      </w:r>
      <w:r w:rsidRPr="00435180">
        <w:rPr>
          <w:szCs w:val="22"/>
        </w:rPr>
        <w:t>rural service providers</w:t>
      </w:r>
      <w:r>
        <w:rPr>
          <w:szCs w:val="22"/>
        </w:rPr>
        <w:t>,</w:t>
      </w:r>
      <w:r w:rsidRPr="00435180">
        <w:rPr>
          <w:szCs w:val="22"/>
        </w:rPr>
        <w:t xml:space="preserve"> and small markets.  The resulting bidding credit discount is subtracted from the </w:t>
      </w:r>
      <w:r>
        <w:rPr>
          <w:szCs w:val="22"/>
        </w:rPr>
        <w:t>sum of the bidder’s clock payments and assignment payments</w:t>
      </w:r>
      <w:r w:rsidRPr="00435180">
        <w:rPr>
          <w:szCs w:val="22"/>
        </w:rPr>
        <w:t xml:space="preserve"> to determine the final payment for a bid</w:t>
      </w:r>
      <w:r w:rsidRPr="00435180">
        <w:rPr>
          <w:szCs w:val="22"/>
        </w:rPr>
        <w:t>der with a bidding credit.</w:t>
      </w:r>
    </w:p>
    <w:p w:rsidR="00062EAF" w:rsidRPr="009E7E62" w:rsidP="00062EAF" w14:paraId="6AD49B98" w14:textId="4543E3FD">
      <w:pPr>
        <w:pStyle w:val="Heading2"/>
        <w:rPr>
          <w:rFonts w:eastAsia="Calibri"/>
          <w:snapToGrid/>
        </w:rPr>
      </w:pPr>
      <w:r w:rsidRPr="00CF292B">
        <w:rPr>
          <w:rFonts w:eastAsia="Calibri"/>
        </w:rPr>
        <w:t xml:space="preserve">License Authorizations for Interim and Final </w:t>
      </w:r>
      <w:r w:rsidRPr="00AB61D0">
        <w:rPr>
          <w:rFonts w:eastAsia="Calibri"/>
        </w:rPr>
        <w:t>Assignments</w:t>
      </w:r>
    </w:p>
    <w:p w:rsidR="00062EAF" w:rsidRPr="009E7E62" w:rsidP="00062EAF" w14:paraId="79621764" w14:textId="6CE8F687">
      <w:pPr>
        <w:pStyle w:val="ParaNum"/>
      </w:pPr>
      <w:r>
        <w:t>We agree with commenters that the assignment phase procedures we adopt will promote continued U.S. leadership in 5G</w:t>
      </w:r>
      <w:r>
        <w:rPr>
          <w:rStyle w:val="FootnoteReference"/>
        </w:rPr>
        <w:footnoteReference w:id="355"/>
      </w:r>
      <w:r>
        <w:t xml:space="preserve"> by enabling bidders to aggregate licenses for “the wid</w:t>
      </w:r>
      <w:r>
        <w:t xml:space="preserve">e channel </w:t>
      </w:r>
      <w:r w:rsidRPr="008C40B9">
        <w:t>bandwidths that are indispensable to achieving the faster connections and lower latency that 5G promises.</w:t>
      </w:r>
      <w:r>
        <w:t>”</w:t>
      </w:r>
      <w:r>
        <w:rPr>
          <w:rStyle w:val="FootnoteReference"/>
        </w:rPr>
        <w:footnoteReference w:id="356"/>
      </w:r>
      <w:r>
        <w:t xml:space="preserve">  At the same time, our approach provides for interim assignments of contiguous spectrum licenses for A block frequencies in the PEAs subj</w:t>
      </w:r>
      <w:r>
        <w:t xml:space="preserve">ect to the Phase I deadline to authorize operations at the earliest time possible under the transition adopted in the </w:t>
      </w:r>
      <w:r>
        <w:rPr>
          <w:i/>
          <w:szCs w:val="22"/>
        </w:rPr>
        <w:t>3.7 GHz Report and</w:t>
      </w:r>
      <w:r w:rsidRPr="00435180">
        <w:rPr>
          <w:i/>
          <w:szCs w:val="22"/>
        </w:rPr>
        <w:t xml:space="preserve"> Order</w:t>
      </w:r>
      <w:r>
        <w:rPr>
          <w:iCs/>
          <w:szCs w:val="22"/>
        </w:rPr>
        <w:t>.</w:t>
      </w:r>
      <w:r>
        <w:rPr>
          <w:rStyle w:val="FootnoteReference"/>
          <w:iCs/>
          <w:szCs w:val="22"/>
        </w:rPr>
        <w:footnoteReference w:id="357"/>
      </w:r>
      <w:r>
        <w:rPr>
          <w:iCs/>
          <w:szCs w:val="22"/>
        </w:rPr>
        <w:t xml:space="preserve"> </w:t>
      </w:r>
      <w:r w:rsidR="00E44413">
        <w:rPr>
          <w:iCs/>
          <w:szCs w:val="22"/>
        </w:rPr>
        <w:t xml:space="preserve"> </w:t>
      </w:r>
      <w:r>
        <w:rPr>
          <w:iCs/>
          <w:szCs w:val="22"/>
        </w:rPr>
        <w:t xml:space="preserve">This approach, however, presents some logistical challenges for </w:t>
      </w:r>
      <w:r w:rsidR="007F6CCF">
        <w:rPr>
          <w:iCs/>
          <w:szCs w:val="22"/>
        </w:rPr>
        <w:t xml:space="preserve">the </w:t>
      </w:r>
      <w:r>
        <w:rPr>
          <w:iCs/>
          <w:szCs w:val="22"/>
        </w:rPr>
        <w:t>Commission</w:t>
      </w:r>
      <w:r w:rsidR="007F6CCF">
        <w:rPr>
          <w:iCs/>
          <w:szCs w:val="22"/>
        </w:rPr>
        <w:t>’s Universal</w:t>
      </w:r>
      <w:r>
        <w:rPr>
          <w:iCs/>
          <w:szCs w:val="22"/>
        </w:rPr>
        <w:t xml:space="preserve"> </w:t>
      </w:r>
      <w:r w:rsidR="007F6CCF">
        <w:rPr>
          <w:iCs/>
          <w:szCs w:val="22"/>
        </w:rPr>
        <w:t>L</w:t>
      </w:r>
      <w:r>
        <w:rPr>
          <w:iCs/>
          <w:szCs w:val="22"/>
        </w:rPr>
        <w:t xml:space="preserve">icensing </w:t>
      </w:r>
      <w:r w:rsidR="007F6CCF">
        <w:rPr>
          <w:iCs/>
          <w:szCs w:val="22"/>
        </w:rPr>
        <w:t>S</w:t>
      </w:r>
      <w:r>
        <w:rPr>
          <w:iCs/>
          <w:szCs w:val="22"/>
        </w:rPr>
        <w:t>ystem, given that the notion of interim and final license assignments departs from the typical post-auction licensing process in which each license assign</w:t>
      </w:r>
      <w:r>
        <w:rPr>
          <w:iCs/>
          <w:szCs w:val="22"/>
        </w:rPr>
        <w:t xml:space="preserve">ed by auction is represented, after long-form review, by the award of one license authorizing operations on specified frequencies for a term consistent with the Commission’s rules, which in the case of the 3.7 GHz </w:t>
      </w:r>
      <w:r w:rsidR="00921039">
        <w:rPr>
          <w:iCs/>
          <w:szCs w:val="22"/>
        </w:rPr>
        <w:t>S</w:t>
      </w:r>
      <w:r>
        <w:rPr>
          <w:iCs/>
          <w:szCs w:val="22"/>
        </w:rPr>
        <w:t>ervice</w:t>
      </w:r>
      <w:r w:rsidR="00921039">
        <w:rPr>
          <w:iCs/>
          <w:szCs w:val="22"/>
        </w:rPr>
        <w:t>,</w:t>
      </w:r>
      <w:r>
        <w:rPr>
          <w:iCs/>
          <w:szCs w:val="22"/>
        </w:rPr>
        <w:t xml:space="preserve"> is 15 years from the date of issu</w:t>
      </w:r>
      <w:r>
        <w:rPr>
          <w:iCs/>
          <w:szCs w:val="22"/>
        </w:rPr>
        <w:t>ance</w:t>
      </w:r>
      <w:r w:rsidRPr="001A5FC1">
        <w:rPr>
          <w:color w:val="000000"/>
        </w:rPr>
        <w:t>.</w:t>
      </w:r>
      <w:r>
        <w:rPr>
          <w:color w:val="000000"/>
        </w:rPr>
        <w:t xml:space="preserve">  In order to achieve the significant public interest benefits of authorizing operations in the 46 PEAs subject to the Phase I </w:t>
      </w:r>
      <w:r w:rsidR="00152716">
        <w:rPr>
          <w:color w:val="000000"/>
        </w:rPr>
        <w:t xml:space="preserve">deadline </w:t>
      </w:r>
      <w:r>
        <w:rPr>
          <w:color w:val="000000"/>
        </w:rPr>
        <w:t>on interim frequency assignments for a limited period while also authorizing operations to follow the interim perio</w:t>
      </w:r>
      <w:r>
        <w:rPr>
          <w:color w:val="000000"/>
        </w:rPr>
        <w:t xml:space="preserve">d on final frequency assignments that allow for wide-channel aggregation across all blocks available in the 3.7 GHz </w:t>
      </w:r>
      <w:r w:rsidR="00152716">
        <w:rPr>
          <w:color w:val="000000"/>
        </w:rPr>
        <w:t>S</w:t>
      </w:r>
      <w:r>
        <w:rPr>
          <w:color w:val="000000"/>
        </w:rPr>
        <w:t>ervice, we conclude that we will condition the 3.7 GHz licenses awarded post-auction for the interim and final frequency assignments deadli</w:t>
      </w:r>
      <w:r>
        <w:rPr>
          <w:color w:val="000000"/>
        </w:rPr>
        <w:t>ne to permit this result.</w:t>
      </w:r>
      <w:r>
        <w:rPr>
          <w:rStyle w:val="FootnoteReference"/>
        </w:rPr>
        <w:footnoteReference w:id="358"/>
      </w:r>
      <w:r>
        <w:rPr>
          <w:color w:val="000000"/>
        </w:rPr>
        <w:t xml:space="preserve">   </w:t>
      </w:r>
      <w:r w:rsidRPr="00A53617">
        <w:rPr>
          <w:color w:val="000000"/>
        </w:rPr>
        <w:t xml:space="preserve">  </w:t>
      </w:r>
    </w:p>
    <w:p w:rsidR="00062EAF" w:rsidRPr="00FE5F00" w:rsidP="00062EAF" w14:paraId="43285D3A" w14:textId="6B10CA11">
      <w:pPr>
        <w:pStyle w:val="ParaNum"/>
      </w:pPr>
      <w:r w:rsidRPr="00FE5F00">
        <w:t>For a given frequency block in the 46 PEAs</w:t>
      </w:r>
      <w:r>
        <w:t xml:space="preserve"> with blocks subject to the Phase I deadline</w:t>
      </w:r>
      <w:r w:rsidRPr="001364B6">
        <w:rPr>
          <w:szCs w:val="22"/>
        </w:rPr>
        <w:t>, t</w:t>
      </w:r>
      <w:r w:rsidRPr="00FE5F00">
        <w:rPr>
          <w:szCs w:val="22"/>
        </w:rPr>
        <w:t xml:space="preserve">he interim and final </w:t>
      </w:r>
      <w:r w:rsidR="00D20183">
        <w:rPr>
          <w:szCs w:val="22"/>
        </w:rPr>
        <w:t>authorizations</w:t>
      </w:r>
      <w:r w:rsidRPr="001364B6" w:rsidR="00D20183">
        <w:rPr>
          <w:szCs w:val="22"/>
        </w:rPr>
        <w:t xml:space="preserve"> </w:t>
      </w:r>
      <w:r w:rsidRPr="001364B6">
        <w:rPr>
          <w:szCs w:val="22"/>
        </w:rPr>
        <w:t>may be awarded via either a single standard</w:t>
      </w:r>
      <w:r w:rsidR="002F28A9">
        <w:rPr>
          <w:szCs w:val="22"/>
        </w:rPr>
        <w:t xml:space="preserve"> </w:t>
      </w:r>
      <w:r>
        <w:rPr>
          <w:szCs w:val="22"/>
        </w:rPr>
        <w:t xml:space="preserve">license </w:t>
      </w:r>
      <w:r w:rsidRPr="001364B6" w:rsidR="007F6CCF">
        <w:rPr>
          <w:szCs w:val="22"/>
        </w:rPr>
        <w:t xml:space="preserve">authorization </w:t>
      </w:r>
      <w:r w:rsidR="007F6CCF">
        <w:rPr>
          <w:szCs w:val="22"/>
        </w:rPr>
        <w:t>(where both the interim and final assignments are for the same frequency block</w:t>
      </w:r>
      <w:r w:rsidR="00800462">
        <w:rPr>
          <w:szCs w:val="22"/>
        </w:rPr>
        <w:t>(s)</w:t>
      </w:r>
      <w:r w:rsidR="007F6CCF">
        <w:rPr>
          <w:szCs w:val="22"/>
        </w:rPr>
        <w:t xml:space="preserve">) </w:t>
      </w:r>
      <w:r w:rsidRPr="001364B6" w:rsidR="007F6CCF">
        <w:rPr>
          <w:szCs w:val="22"/>
        </w:rPr>
        <w:t xml:space="preserve">or </w:t>
      </w:r>
      <w:r w:rsidR="007F6CCF">
        <w:rPr>
          <w:szCs w:val="22"/>
        </w:rPr>
        <w:t xml:space="preserve">through a </w:t>
      </w:r>
      <w:r w:rsidRPr="001364B6">
        <w:rPr>
          <w:szCs w:val="22"/>
        </w:rPr>
        <w:t xml:space="preserve">two-license paired authorization </w:t>
      </w:r>
      <w:r>
        <w:rPr>
          <w:szCs w:val="22"/>
        </w:rPr>
        <w:t xml:space="preserve">(including an interim assignment and a final assignment of different specific frequency blocks) </w:t>
      </w:r>
      <w:r w:rsidRPr="001364B6">
        <w:rPr>
          <w:szCs w:val="22"/>
        </w:rPr>
        <w:t xml:space="preserve">that collectively provides authority for the full </w:t>
      </w:r>
      <w:r w:rsidRPr="001364B6" w:rsidR="007F6CCF">
        <w:rPr>
          <w:szCs w:val="22"/>
        </w:rPr>
        <w:t xml:space="preserve">15-year license term.  </w:t>
      </w:r>
      <w:r w:rsidRPr="001364B6" w:rsidR="007F6CCF">
        <w:t xml:space="preserve">In the paired authorization approach, the interim </w:t>
      </w:r>
      <w:bookmarkStart w:id="2270" w:name="_Hlk44515667"/>
      <w:r w:rsidR="007F6CCF">
        <w:t xml:space="preserve">assignment </w:t>
      </w:r>
      <w:r w:rsidRPr="001364B6" w:rsidR="007F6CCF">
        <w:t xml:space="preserve">of the pair would expire on the earlier of </w:t>
      </w:r>
      <w:r w:rsidR="007F6CCF">
        <w:t xml:space="preserve">December 5, </w:t>
      </w:r>
      <w:r w:rsidRPr="001364B6" w:rsidR="007F6CCF">
        <w:t>2025</w:t>
      </w:r>
      <w:r w:rsidR="007F6CCF">
        <w:t>,</w:t>
      </w:r>
      <w:r w:rsidRPr="001364B6" w:rsidR="007F6CCF">
        <w:t xml:space="preserve"> or the date the relevant PEA is confirmed cleared, with no option for renewal, and the resulting final license would provide for operation after the </w:t>
      </w:r>
      <w:r w:rsidR="007F6CCF">
        <w:t>interim</w:t>
      </w:r>
      <w:r w:rsidRPr="001364B6" w:rsidR="007F6CCF">
        <w:t xml:space="preserve"> </w:t>
      </w:r>
      <w:r w:rsidR="007F6CCF">
        <w:t>authorization</w:t>
      </w:r>
      <w:r w:rsidRPr="001364B6" w:rsidR="007F6CCF">
        <w:t xml:space="preserve"> expires until the remainder of the 15-year </w:t>
      </w:r>
      <w:bookmarkEnd w:id="2270"/>
      <w:r w:rsidRPr="001364B6" w:rsidR="00E402DF">
        <w:t>term.</w:t>
      </w:r>
      <w:r>
        <w:rPr>
          <w:rStyle w:val="FootnoteReference"/>
        </w:rPr>
        <w:footnoteReference w:id="359"/>
      </w:r>
      <w:r w:rsidRPr="001364B6" w:rsidR="00E402DF">
        <w:t xml:space="preserve">  </w:t>
      </w:r>
      <w:r w:rsidR="00E402DF">
        <w:t>T</w:t>
      </w:r>
      <w:r w:rsidRPr="001364B6" w:rsidR="00E402DF">
        <w:t xml:space="preserve">hese paired authorizations together provide the full range of interim and final rights </w:t>
      </w:r>
      <w:r w:rsidRPr="001364B6" w:rsidR="00E402DF">
        <w:t xml:space="preserve">over the license term.  </w:t>
      </w:r>
      <w:r w:rsidR="00E402DF">
        <w:t>T</w:t>
      </w:r>
      <w:r w:rsidRPr="001364B6" w:rsidR="00E402DF">
        <w:t>o ensure consistent treatment of licenses</w:t>
      </w:r>
      <w:r w:rsidR="00E402DF">
        <w:t xml:space="preserve"> for frequencies in the A block</w:t>
      </w:r>
      <w:r w:rsidRPr="001364B6" w:rsidR="00E402DF">
        <w:t xml:space="preserve">, paired interim and final licenses </w:t>
      </w:r>
      <w:r w:rsidR="00800462">
        <w:t xml:space="preserve">will be conditioned to clarify that if they </w:t>
      </w:r>
      <w:r w:rsidRPr="001364B6" w:rsidR="00E402DF">
        <w:t xml:space="preserve">are transferred/assigned, </w:t>
      </w:r>
      <w:r w:rsidRPr="001364B6">
        <w:t>they must be transferred/assigned together, in the same manner.</w:t>
      </w:r>
      <w:r>
        <w:rPr>
          <w:rStyle w:val="FootnoteReference"/>
        </w:rPr>
        <w:footnoteReference w:id="360"/>
      </w:r>
      <w:r w:rsidRPr="001364B6">
        <w:t xml:space="preserve"> </w:t>
      </w:r>
    </w:p>
    <w:p w:rsidR="00062EAF" w:rsidRPr="00FE5F00" w:rsidP="00062EAF" w14:paraId="7E8D4452" w14:textId="6A38ACA4">
      <w:pPr>
        <w:pStyle w:val="ParaNum"/>
      </w:pPr>
      <w:r w:rsidRPr="00FE5F00">
        <w:t xml:space="preserve">The </w:t>
      </w:r>
      <w:r w:rsidR="00D20183">
        <w:t>assignment phase</w:t>
      </w:r>
      <w:r>
        <w:t xml:space="preserve"> results will dictate whether a particular winning bidder may be awarded a</w:t>
      </w:r>
      <w:r w:rsidRPr="00FE5F00">
        <w:t xml:space="preserve"> single or paired license authorizations.  For example, if</w:t>
      </w:r>
      <w:r w:rsidRPr="00FE5F00">
        <w:t xml:space="preserve"> </w:t>
      </w:r>
      <w:r>
        <w:t xml:space="preserve">a winner of clock phase Category A blocks (in the 46 PEAs subject to the Phase I deadline) is assigned to the same frequencies for both </w:t>
      </w:r>
      <w:r w:rsidRPr="00FE5F00">
        <w:t>interim and final assignments, a single authorization will be issued providing both interim and final rights</w:t>
      </w:r>
      <w:r>
        <w:t xml:space="preserve"> for those </w:t>
      </w:r>
      <w:r>
        <w:t>A block frequencies</w:t>
      </w:r>
      <w:r w:rsidRPr="00FE5F00">
        <w:t xml:space="preserve">.  If the winner of the interim assignment for </w:t>
      </w:r>
      <w:r>
        <w:t xml:space="preserve">specific frequencies in the A </w:t>
      </w:r>
      <w:r w:rsidRPr="00FE5F00">
        <w:t>block does not also win the final assignment for</w:t>
      </w:r>
      <w:r w:rsidR="007E4DCA">
        <w:t xml:space="preserve"> the same</w:t>
      </w:r>
      <w:r w:rsidRPr="00FE5F00">
        <w:t xml:space="preserve"> </w:t>
      </w:r>
      <w:r>
        <w:t xml:space="preserve">frequencies in </w:t>
      </w:r>
      <w:r w:rsidRPr="00FE5F00">
        <w:t>that block, a paired authorization will be issued to the bidder for an interim assignme</w:t>
      </w:r>
      <w:r w:rsidRPr="00FE5F00">
        <w:t xml:space="preserve">nt in </w:t>
      </w:r>
      <w:r>
        <w:t>blocks A1–A5</w:t>
      </w:r>
      <w:r w:rsidRPr="00FE5F00">
        <w:t xml:space="preserve"> and final assignment in </w:t>
      </w:r>
      <w:r>
        <w:t xml:space="preserve">blocks A1–C4 </w:t>
      </w:r>
      <w:r w:rsidRPr="00FE5F00">
        <w:t xml:space="preserve">that together provide interim and final rights.  In all other cases where </w:t>
      </w:r>
      <w:r>
        <w:t xml:space="preserve">one or more clock phase Category A blocks are not </w:t>
      </w:r>
      <w:r w:rsidRPr="00FE5F00">
        <w:t xml:space="preserve">won </w:t>
      </w:r>
      <w:r>
        <w:t>and therefore no interim assignment is made</w:t>
      </w:r>
      <w:r w:rsidRPr="00FE5F00">
        <w:t>,</w:t>
      </w:r>
      <w:r>
        <w:rPr>
          <w:rStyle w:val="FootnoteReference"/>
        </w:rPr>
        <w:footnoteReference w:id="361"/>
      </w:r>
      <w:r w:rsidRPr="00FE5F00">
        <w:t xml:space="preserve"> the winner of a final ass</w:t>
      </w:r>
      <w:r w:rsidRPr="00FE5F00">
        <w:t>ignment will be issued a single authorization conveying final rights.</w:t>
      </w:r>
      <w:r>
        <w:rPr>
          <w:rStyle w:val="FootnoteReference"/>
          <w:szCs w:val="22"/>
        </w:rPr>
        <w:footnoteReference w:id="362"/>
      </w:r>
      <w:r w:rsidRPr="00FE5F00">
        <w:t xml:space="preserve">  </w:t>
      </w:r>
      <w:r w:rsidR="00800462">
        <w:t>That is, i</w:t>
      </w:r>
      <w:r w:rsidRPr="00FE5F00" w:rsidR="00800462">
        <w:t xml:space="preserve">n the event </w:t>
      </w:r>
      <w:r w:rsidR="00800462">
        <w:t>a Category A generic block is unsold and therefore</w:t>
      </w:r>
      <w:r w:rsidRPr="00FE5F00" w:rsidR="00800462">
        <w:t xml:space="preserve"> interim rights are not </w:t>
      </w:r>
      <w:r w:rsidR="00800462">
        <w:t xml:space="preserve">assigned to </w:t>
      </w:r>
      <w:r w:rsidRPr="00FE5F00" w:rsidR="00800462">
        <w:t xml:space="preserve">a </w:t>
      </w:r>
      <w:r w:rsidR="00800462">
        <w:t>bidder</w:t>
      </w:r>
      <w:r w:rsidRPr="00FE5F00" w:rsidR="00800462">
        <w:t xml:space="preserve">, </w:t>
      </w:r>
      <w:r w:rsidR="00800462">
        <w:t>interim rights</w:t>
      </w:r>
      <w:r w:rsidRPr="00FE5F00" w:rsidR="00800462">
        <w:t xml:space="preserve"> revert to the licensee </w:t>
      </w:r>
      <w:r w:rsidR="00800462">
        <w:t xml:space="preserve">holding the final authorization </w:t>
      </w:r>
      <w:r w:rsidRPr="00FE5F00" w:rsidR="00800462">
        <w:t xml:space="preserve">for that </w:t>
      </w:r>
      <w:r w:rsidR="00800462">
        <w:t xml:space="preserve">frequency </w:t>
      </w:r>
      <w:r w:rsidRPr="00FE5F00" w:rsidR="00800462">
        <w:t>block.</w:t>
      </w:r>
    </w:p>
    <w:p w:rsidR="007F77B5" w:rsidRPr="009E7E62" w:rsidP="007F77B5" w14:paraId="0D2CE61B" w14:textId="317975D8">
      <w:pPr>
        <w:pStyle w:val="ParaNum"/>
      </w:pPr>
      <w:r w:rsidRPr="001364B6">
        <w:rPr>
          <w:szCs w:val="22"/>
        </w:rPr>
        <w:t xml:space="preserve">The diagram below illustrates our </w:t>
      </w:r>
      <w:r>
        <w:rPr>
          <w:szCs w:val="22"/>
        </w:rPr>
        <w:t xml:space="preserve">approach to awarding licenses based on </w:t>
      </w:r>
      <w:r w:rsidRPr="001364B6">
        <w:rPr>
          <w:szCs w:val="22"/>
        </w:rPr>
        <w:t>interim and final assignment</w:t>
      </w:r>
      <w:r>
        <w:rPr>
          <w:szCs w:val="22"/>
        </w:rPr>
        <w:t>s</w:t>
      </w:r>
      <w:r w:rsidRPr="00970D30">
        <w:rPr>
          <w:szCs w:val="22"/>
        </w:rPr>
        <w:t>.</w:t>
      </w:r>
      <w:r w:rsidRPr="001364B6">
        <w:rPr>
          <w:szCs w:val="22"/>
        </w:rPr>
        <w:t xml:space="preserve">  </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sidRPr="001364B6">
        <w:t>In this example</w:t>
      </w:r>
      <w:r>
        <w:t>,</w:t>
      </w:r>
      <w:r w:rsidRPr="00BB51F8">
        <w:t xml:space="preserve"> </w:t>
      </w:r>
      <w:r>
        <w:t>where Phase I rights are available in a PEA</w:t>
      </w:r>
      <w:r w:rsidRPr="00BB51F8">
        <w:t>, bidder 1</w:t>
      </w:r>
      <w:r>
        <w:t xml:space="preserve">’s </w:t>
      </w:r>
      <w:r w:rsidRPr="00BB51F8">
        <w:t xml:space="preserve">interim </w:t>
      </w:r>
      <w:r>
        <w:t>frequency as</w:t>
      </w:r>
      <w:r>
        <w:t>signment is</w:t>
      </w:r>
      <w:r w:rsidRPr="00BB51F8">
        <w:t xml:space="preserve"> for blocks A1</w:t>
      </w:r>
      <w:r>
        <w:t>–</w:t>
      </w:r>
      <w:r w:rsidRPr="00BB51F8">
        <w:t>A</w:t>
      </w:r>
      <w:r>
        <w:t>3 and its</w:t>
      </w:r>
      <w:r w:rsidRPr="00BB51F8">
        <w:t xml:space="preserve"> final </w:t>
      </w:r>
      <w:r>
        <w:t>frequency assignment is</w:t>
      </w:r>
      <w:r w:rsidRPr="00BB51F8">
        <w:t xml:space="preserve"> for blocks A1</w:t>
      </w:r>
      <w:r>
        <w:t>–</w:t>
      </w:r>
      <w:r w:rsidRPr="00BB51F8">
        <w:t>A5</w:t>
      </w:r>
      <w:r>
        <w:t xml:space="preserve">.  For blocks A1, A2, and A3, a single authorization will be issued to bidder 1 for each block conveying both interim and final rights.  </w:t>
      </w:r>
      <w:r w:rsidRPr="00BB51F8">
        <w:t>Bidder 2</w:t>
      </w:r>
      <w:r>
        <w:t>’s</w:t>
      </w:r>
      <w:r w:rsidRPr="00BB51F8">
        <w:t xml:space="preserve"> interim </w:t>
      </w:r>
      <w:r>
        <w:t>frequency assignm</w:t>
      </w:r>
      <w:r>
        <w:t>ent is</w:t>
      </w:r>
      <w:r w:rsidRPr="00BB51F8">
        <w:t xml:space="preserve"> for blocks A</w:t>
      </w:r>
      <w:r>
        <w:t>4–</w:t>
      </w:r>
      <w:r w:rsidRPr="00BB51F8">
        <w:t>A</w:t>
      </w:r>
      <w:r>
        <w:t xml:space="preserve">5, its </w:t>
      </w:r>
      <w:r w:rsidRPr="00BB51F8">
        <w:t xml:space="preserve">final </w:t>
      </w:r>
      <w:r>
        <w:t>frequency assignment is</w:t>
      </w:r>
      <w:r w:rsidRPr="00BB51F8">
        <w:t xml:space="preserve"> for blocks B1</w:t>
      </w:r>
      <w:r>
        <w:t>–</w:t>
      </w:r>
      <w:r w:rsidRPr="00BB51F8">
        <w:t>B5</w:t>
      </w:r>
      <w:r>
        <w:t xml:space="preserve">, and </w:t>
      </w:r>
      <w:r w:rsidRPr="00BB51F8">
        <w:t>A</w:t>
      </w:r>
      <w:r>
        <w:t>4</w:t>
      </w:r>
      <w:r w:rsidRPr="00BB51F8">
        <w:t xml:space="preserve"> (interim rights)</w:t>
      </w:r>
      <w:r>
        <w:t xml:space="preserve"> is paired</w:t>
      </w:r>
      <w:r w:rsidRPr="00BB51F8">
        <w:t xml:space="preserve"> with B1 (final rights) </w:t>
      </w:r>
      <w:r>
        <w:t>whereas</w:t>
      </w:r>
      <w:r w:rsidRPr="00BB51F8">
        <w:t xml:space="preserve"> A</w:t>
      </w:r>
      <w:r>
        <w:t>5</w:t>
      </w:r>
      <w:r w:rsidRPr="00BB51F8">
        <w:t xml:space="preserve"> (interim rights) </w:t>
      </w:r>
      <w:r>
        <w:t xml:space="preserve">is paired </w:t>
      </w:r>
      <w:r w:rsidRPr="00BB51F8">
        <w:t>with B</w:t>
      </w:r>
      <w:r>
        <w:t>2</w:t>
      </w:r>
      <w:r w:rsidRPr="00BB51F8">
        <w:t xml:space="preserve"> (final rights).</w:t>
      </w:r>
      <w:r>
        <w:t xml:space="preserve">  Bidder 2 receives a pair of authorizations conveying interi</w:t>
      </w:r>
      <w:r>
        <w:t xml:space="preserve">m rights for A4 and final rights for B1, another pair of authorizations </w:t>
      </w:r>
      <w:r w:rsidRPr="00477D6D">
        <w:t>conveying interim rights</w:t>
      </w:r>
      <w:r>
        <w:t xml:space="preserve"> for A5 and final rights for B2, and then single authorizations for each block conveying only final rights for B3–B5.  Bidder 3 receives </w:t>
      </w:r>
      <w:r w:rsidRPr="00477D6D">
        <w:t>single authorization</w:t>
      </w:r>
      <w:r>
        <w:t>s</w:t>
      </w:r>
      <w:r w:rsidRPr="00477D6D">
        <w:t xml:space="preserve"> f</w:t>
      </w:r>
      <w:r w:rsidRPr="00477D6D">
        <w:t>or each block conveying only final rights for</w:t>
      </w:r>
      <w:r>
        <w:t xml:space="preserve"> C1–C4.</w:t>
      </w:r>
      <w:r w:rsidRPr="00BB51F8">
        <w:t xml:space="preserve"> </w:t>
      </w:r>
    </w:p>
    <w:tbl>
      <w:tblPr>
        <w:tblW w:w="9360" w:type="dxa"/>
        <w:jc w:val="center"/>
        <w:tblCellMar>
          <w:left w:w="0" w:type="dxa"/>
          <w:right w:w="0" w:type="dxa"/>
        </w:tblCellMar>
        <w:tblLook w:val="04A0"/>
      </w:tblPr>
      <w:tblGrid>
        <w:gridCol w:w="1380"/>
        <w:gridCol w:w="603"/>
        <w:gridCol w:w="485"/>
        <w:gridCol w:w="485"/>
        <w:gridCol w:w="546"/>
        <w:gridCol w:w="1271"/>
        <w:gridCol w:w="473"/>
        <w:gridCol w:w="546"/>
        <w:gridCol w:w="656"/>
        <w:gridCol w:w="480"/>
        <w:gridCol w:w="546"/>
        <w:gridCol w:w="480"/>
        <w:gridCol w:w="480"/>
        <w:gridCol w:w="480"/>
        <w:gridCol w:w="480"/>
      </w:tblGrid>
      <w:tr w14:paraId="229CD57E" w14:textId="77777777" w:rsidTr="007F77B5">
        <w:tblPrEx>
          <w:tblW w:w="9360" w:type="dxa"/>
          <w:jc w:val="center"/>
          <w:tblCellMar>
            <w:left w:w="0" w:type="dxa"/>
            <w:right w:w="0" w:type="dxa"/>
          </w:tblCellMar>
          <w:tblLook w:val="04A0"/>
        </w:tblPrEx>
        <w:trPr>
          <w:trHeight w:val="300"/>
          <w:jc w:val="center"/>
        </w:trPr>
        <w:tc>
          <w:tcPr>
            <w:tcW w:w="1380" w:type="dxa"/>
            <w:shd w:val="clear" w:color="auto" w:fill="FFFFFF"/>
            <w:noWrap/>
            <w:tcMar>
              <w:top w:w="0" w:type="dxa"/>
              <w:left w:w="108" w:type="dxa"/>
              <w:bottom w:w="0" w:type="dxa"/>
              <w:right w:w="108" w:type="dxa"/>
            </w:tcMar>
            <w:vAlign w:val="bottom"/>
          </w:tcPr>
          <w:p w:rsidR="007F77B5" w:rsidP="00FE4F2B" w14:paraId="0E8464BD" w14:textId="77777777">
            <w:pPr>
              <w:rPr>
                <w:color w:val="000000"/>
              </w:rPr>
            </w:pPr>
          </w:p>
        </w:tc>
        <w:tc>
          <w:tcPr>
            <w:tcW w:w="3390" w:type="dxa"/>
            <w:gridSpan w:val="5"/>
            <w:tcBorders>
              <w:top w:val="single" w:sz="8" w:space="0" w:color="000000"/>
              <w:left w:val="single" w:sz="8" w:space="0" w:color="000000"/>
              <w:bottom w:val="nil"/>
              <w:right w:val="single" w:sz="8" w:space="0" w:color="000000"/>
            </w:tcBorders>
            <w:shd w:val="clear" w:color="auto" w:fill="FFFFFF"/>
            <w:noWrap/>
            <w:tcMar>
              <w:top w:w="0" w:type="dxa"/>
              <w:left w:w="108" w:type="dxa"/>
              <w:bottom w:w="0" w:type="dxa"/>
              <w:right w:w="108" w:type="dxa"/>
            </w:tcMar>
            <w:vAlign w:val="bottom"/>
          </w:tcPr>
          <w:p w:rsidR="007F77B5" w:rsidP="00FE4F2B" w14:paraId="081972B7" w14:textId="77777777">
            <w:pPr>
              <w:jc w:val="center"/>
              <w:rPr>
                <w:color w:val="000000"/>
              </w:rPr>
            </w:pPr>
            <w:r>
              <w:rPr>
                <w:color w:val="000000"/>
              </w:rPr>
              <w:t>Phase I - Category A</w:t>
            </w:r>
          </w:p>
        </w:tc>
        <w:tc>
          <w:tcPr>
            <w:tcW w:w="4590" w:type="dxa"/>
            <w:gridSpan w:val="9"/>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tcPr>
          <w:p w:rsidR="007F77B5" w:rsidP="00FE4F2B" w14:paraId="535297F8" w14:textId="77777777">
            <w:pPr>
              <w:jc w:val="center"/>
              <w:rPr>
                <w:color w:val="000000"/>
              </w:rPr>
            </w:pPr>
            <w:r>
              <w:rPr>
                <w:color w:val="000000"/>
              </w:rPr>
              <w:t>Phase II – Category BC</w:t>
            </w:r>
          </w:p>
        </w:tc>
      </w:tr>
      <w:tr w14:paraId="4ABE980E" w14:textId="77777777" w:rsidTr="00FE4F2B">
        <w:tblPrEx>
          <w:tblW w:w="9360" w:type="dxa"/>
          <w:jc w:val="center"/>
          <w:tblCellMar>
            <w:left w:w="0" w:type="dxa"/>
            <w:right w:w="0" w:type="dxa"/>
          </w:tblCellMar>
          <w:tblLook w:val="04A0"/>
        </w:tblPrEx>
        <w:trPr>
          <w:trHeight w:val="300"/>
          <w:jc w:val="center"/>
        </w:trPr>
        <w:tc>
          <w:tcPr>
            <w:tcW w:w="1380" w:type="dxa"/>
            <w:shd w:val="clear" w:color="auto" w:fill="FFFFFF"/>
            <w:noWrap/>
            <w:tcMar>
              <w:top w:w="0" w:type="dxa"/>
              <w:left w:w="108" w:type="dxa"/>
              <w:bottom w:w="0" w:type="dxa"/>
              <w:right w:w="108" w:type="dxa"/>
            </w:tcMar>
            <w:vAlign w:val="bottom"/>
            <w:hideMark/>
          </w:tcPr>
          <w:p w:rsidR="007F77B5" w:rsidP="00FE4F2B" w14:paraId="75B718CA" w14:textId="77777777">
            <w:pPr>
              <w:rPr>
                <w:snapToGrid/>
                <w:color w:val="000000"/>
                <w:kern w:val="0"/>
              </w:rPr>
            </w:pPr>
            <w:r>
              <w:rPr>
                <w:color w:val="000000"/>
              </w:rPr>
              <w:t> </w:t>
            </w:r>
          </w:p>
        </w:tc>
        <w:tc>
          <w:tcPr>
            <w:tcW w:w="603" w:type="dxa"/>
            <w:tcBorders>
              <w:top w:val="single" w:sz="8" w:space="0" w:color="000000"/>
              <w:left w:val="single" w:sz="8" w:space="0" w:color="000000"/>
              <w:bottom w:val="nil"/>
              <w:right w:val="single" w:sz="8" w:space="0" w:color="000000"/>
            </w:tcBorders>
            <w:shd w:val="clear" w:color="auto" w:fill="FFFFFF"/>
            <w:noWrap/>
            <w:tcMar>
              <w:top w:w="0" w:type="dxa"/>
              <w:left w:w="108" w:type="dxa"/>
              <w:bottom w:w="0" w:type="dxa"/>
              <w:right w:w="108" w:type="dxa"/>
            </w:tcMar>
            <w:vAlign w:val="bottom"/>
            <w:hideMark/>
          </w:tcPr>
          <w:p w:rsidR="007F77B5" w:rsidP="00FE4F2B" w14:paraId="0C3EEB4E" w14:textId="77777777">
            <w:pPr>
              <w:rPr>
                <w:color w:val="000000"/>
              </w:rPr>
            </w:pPr>
            <w:r>
              <w:rPr>
                <w:color w:val="000000"/>
              </w:rPr>
              <w:t>A1</w:t>
            </w:r>
          </w:p>
        </w:tc>
        <w:tc>
          <w:tcPr>
            <w:tcW w:w="485" w:type="dxa"/>
            <w:tcBorders>
              <w:top w:val="single" w:sz="8" w:space="0" w:color="000000"/>
              <w:left w:val="nil"/>
              <w:bottom w:val="nil"/>
              <w:right w:val="single" w:sz="8" w:space="0" w:color="000000"/>
            </w:tcBorders>
            <w:shd w:val="clear" w:color="auto" w:fill="FFFFFF"/>
            <w:noWrap/>
            <w:tcMar>
              <w:top w:w="0" w:type="dxa"/>
              <w:left w:w="108" w:type="dxa"/>
              <w:bottom w:w="0" w:type="dxa"/>
              <w:right w:w="108" w:type="dxa"/>
            </w:tcMar>
            <w:vAlign w:val="bottom"/>
            <w:hideMark/>
          </w:tcPr>
          <w:p w:rsidR="007F77B5" w:rsidP="00FE4F2B" w14:paraId="64D5D4CB" w14:textId="77777777">
            <w:pPr>
              <w:rPr>
                <w:color w:val="000000"/>
              </w:rPr>
            </w:pPr>
            <w:r>
              <w:rPr>
                <w:color w:val="000000"/>
              </w:rPr>
              <w:t>A2</w:t>
            </w:r>
          </w:p>
        </w:tc>
        <w:tc>
          <w:tcPr>
            <w:tcW w:w="485"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7A515831" w14:textId="77777777">
            <w:pPr>
              <w:rPr>
                <w:color w:val="000000"/>
              </w:rPr>
            </w:pPr>
            <w:r>
              <w:rPr>
                <w:color w:val="000000"/>
              </w:rPr>
              <w:t>A3</w:t>
            </w:r>
          </w:p>
        </w:tc>
        <w:tc>
          <w:tcPr>
            <w:tcW w:w="546"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1DB157F3" w14:textId="77777777">
            <w:pPr>
              <w:rPr>
                <w:color w:val="000000"/>
              </w:rPr>
            </w:pPr>
            <w:r>
              <w:rPr>
                <w:color w:val="000000"/>
              </w:rPr>
              <w:t>A4</w:t>
            </w:r>
          </w:p>
        </w:tc>
        <w:tc>
          <w:tcPr>
            <w:tcW w:w="1271"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3787BA67" w14:textId="77777777">
            <w:pPr>
              <w:rPr>
                <w:color w:val="000000"/>
              </w:rPr>
            </w:pPr>
            <w:r>
              <w:rPr>
                <w:color w:val="000000"/>
              </w:rPr>
              <w:t>A5</w:t>
            </w:r>
          </w:p>
        </w:tc>
        <w:tc>
          <w:tcPr>
            <w:tcW w:w="442"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6D06D2F0" w14:textId="77777777">
            <w:pPr>
              <w:rPr>
                <w:color w:val="000000"/>
              </w:rPr>
            </w:pPr>
            <w:r>
              <w:rPr>
                <w:color w:val="000000"/>
              </w:rPr>
              <w:t>B1</w:t>
            </w:r>
          </w:p>
        </w:tc>
        <w:tc>
          <w:tcPr>
            <w:tcW w:w="546"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39D73301" w14:textId="77777777">
            <w:pPr>
              <w:rPr>
                <w:color w:val="000000"/>
              </w:rPr>
            </w:pPr>
            <w:r>
              <w:rPr>
                <w:color w:val="000000"/>
              </w:rPr>
              <w:t>B2</w:t>
            </w:r>
          </w:p>
        </w:tc>
        <w:tc>
          <w:tcPr>
            <w:tcW w:w="656"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0FCC83E9" w14:textId="77777777">
            <w:pPr>
              <w:rPr>
                <w:color w:val="000000"/>
              </w:rPr>
            </w:pPr>
            <w:r>
              <w:rPr>
                <w:color w:val="000000"/>
              </w:rPr>
              <w:t>B3</w:t>
            </w:r>
          </w:p>
        </w:tc>
        <w:tc>
          <w:tcPr>
            <w:tcW w:w="480"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33ED2D41" w14:textId="77777777">
            <w:pPr>
              <w:rPr>
                <w:color w:val="000000"/>
              </w:rPr>
            </w:pPr>
            <w:r>
              <w:rPr>
                <w:color w:val="000000"/>
              </w:rPr>
              <w:t>B4</w:t>
            </w:r>
          </w:p>
        </w:tc>
        <w:tc>
          <w:tcPr>
            <w:tcW w:w="546"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2CEDE584" w14:textId="77777777">
            <w:pPr>
              <w:rPr>
                <w:color w:val="000000"/>
              </w:rPr>
            </w:pPr>
            <w:r>
              <w:rPr>
                <w:color w:val="000000"/>
              </w:rPr>
              <w:t>B5</w:t>
            </w:r>
          </w:p>
        </w:tc>
        <w:tc>
          <w:tcPr>
            <w:tcW w:w="480"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3D8AB6B2" w14:textId="77777777">
            <w:pPr>
              <w:rPr>
                <w:color w:val="000000"/>
              </w:rPr>
            </w:pPr>
            <w:r>
              <w:rPr>
                <w:color w:val="000000"/>
              </w:rPr>
              <w:t>C1</w:t>
            </w:r>
          </w:p>
        </w:tc>
        <w:tc>
          <w:tcPr>
            <w:tcW w:w="480"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0D8F97EB" w14:textId="77777777">
            <w:pPr>
              <w:rPr>
                <w:color w:val="000000"/>
              </w:rPr>
            </w:pPr>
            <w:r>
              <w:rPr>
                <w:color w:val="000000"/>
              </w:rPr>
              <w:t>C2</w:t>
            </w:r>
          </w:p>
        </w:tc>
        <w:tc>
          <w:tcPr>
            <w:tcW w:w="480"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58C3D043" w14:textId="77777777">
            <w:pPr>
              <w:rPr>
                <w:color w:val="000000"/>
              </w:rPr>
            </w:pPr>
            <w:r>
              <w:rPr>
                <w:color w:val="000000"/>
              </w:rPr>
              <w:t>C3</w:t>
            </w:r>
          </w:p>
        </w:tc>
        <w:tc>
          <w:tcPr>
            <w:tcW w:w="480"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bottom"/>
            <w:hideMark/>
          </w:tcPr>
          <w:p w:rsidR="007F77B5" w:rsidP="00FE4F2B" w14:paraId="6B197586" w14:textId="77777777">
            <w:pPr>
              <w:rPr>
                <w:color w:val="000000"/>
              </w:rPr>
            </w:pPr>
            <w:r>
              <w:rPr>
                <w:color w:val="000000"/>
              </w:rPr>
              <w:t>C4</w:t>
            </w:r>
          </w:p>
        </w:tc>
      </w:tr>
      <w:tr w14:paraId="7C71D88C" w14:textId="77777777" w:rsidTr="00FE4F2B">
        <w:tblPrEx>
          <w:tblW w:w="9360" w:type="dxa"/>
          <w:jc w:val="center"/>
          <w:tblCellMar>
            <w:left w:w="0" w:type="dxa"/>
            <w:right w:w="0" w:type="dxa"/>
          </w:tblCellMar>
          <w:tblLook w:val="04A0"/>
        </w:tblPrEx>
        <w:trPr>
          <w:trHeight w:val="300"/>
          <w:jc w:val="center"/>
        </w:trPr>
        <w:tc>
          <w:tcPr>
            <w:tcW w:w="1380" w:type="dxa"/>
            <w:tcBorders>
              <w:top w:val="single" w:sz="8" w:space="0" w:color="000000"/>
              <w:left w:val="single" w:sz="8" w:space="0" w:color="000000"/>
              <w:bottom w:val="single" w:sz="8" w:space="0" w:color="000000"/>
              <w:right w:val="nil"/>
            </w:tcBorders>
            <w:shd w:val="clear" w:color="auto" w:fill="FFFFFF"/>
            <w:noWrap/>
            <w:tcMar>
              <w:top w:w="0" w:type="dxa"/>
              <w:left w:w="108" w:type="dxa"/>
              <w:bottom w:w="0" w:type="dxa"/>
              <w:right w:w="108" w:type="dxa"/>
            </w:tcMar>
            <w:vAlign w:val="bottom"/>
            <w:hideMark/>
          </w:tcPr>
          <w:p w:rsidR="007F77B5" w:rsidP="00FE4F2B" w14:paraId="0CDC2D07" w14:textId="77777777">
            <w:pPr>
              <w:rPr>
                <w:color w:val="000000"/>
              </w:rPr>
            </w:pPr>
            <w:r>
              <w:rPr>
                <w:color w:val="000000"/>
              </w:rPr>
              <w:t>In</w:t>
            </w:r>
            <w:r>
              <w:rPr>
                <w:color w:val="000000"/>
              </w:rPr>
              <w:t>terim</w:t>
            </w:r>
          </w:p>
        </w:tc>
        <w:tc>
          <w:tcPr>
            <w:tcW w:w="603" w:type="dxa"/>
            <w:vMerge w:val="restart"/>
            <w:tcBorders>
              <w:top w:val="single" w:sz="8" w:space="0" w:color="auto"/>
              <w:left w:val="single" w:sz="8" w:space="0" w:color="auto"/>
              <w:right w:val="single" w:sz="8" w:space="0" w:color="auto"/>
            </w:tcBorders>
            <w:shd w:val="clear" w:color="auto" w:fill="FEF2CC" w:themeFill="accent4" w:themeFillTint="33"/>
            <w:noWrap/>
            <w:tcMar>
              <w:top w:w="0" w:type="dxa"/>
              <w:left w:w="108" w:type="dxa"/>
              <w:bottom w:w="0" w:type="dxa"/>
              <w:right w:w="108" w:type="dxa"/>
            </w:tcMar>
            <w:vAlign w:val="bottom"/>
            <w:hideMark/>
          </w:tcPr>
          <w:p w:rsidR="007F77B5" w:rsidP="00FE4F2B" w14:paraId="75B81425" w14:textId="77777777">
            <w:pPr>
              <w:rPr>
                <w:color w:val="000000"/>
              </w:rPr>
            </w:pPr>
            <w:r>
              <w:rPr>
                <w:color w:val="000000"/>
              </w:rPr>
              <w:t>1</w:t>
            </w:r>
          </w:p>
        </w:tc>
        <w:tc>
          <w:tcPr>
            <w:tcW w:w="485" w:type="dxa"/>
            <w:vMerge w:val="restart"/>
            <w:tcBorders>
              <w:top w:val="single" w:sz="8" w:space="0" w:color="auto"/>
              <w:left w:val="nil"/>
              <w:right w:val="single" w:sz="8" w:space="0" w:color="auto"/>
            </w:tcBorders>
            <w:shd w:val="clear" w:color="auto" w:fill="FEF2CC" w:themeFill="accent4" w:themeFillTint="33"/>
            <w:noWrap/>
            <w:tcMar>
              <w:top w:w="0" w:type="dxa"/>
              <w:left w:w="108" w:type="dxa"/>
              <w:bottom w:w="0" w:type="dxa"/>
              <w:right w:w="108" w:type="dxa"/>
            </w:tcMar>
            <w:vAlign w:val="bottom"/>
            <w:hideMark/>
          </w:tcPr>
          <w:p w:rsidR="007F77B5" w:rsidP="00FE4F2B" w14:paraId="31E9CEE5" w14:textId="77777777">
            <w:pPr>
              <w:rPr>
                <w:color w:val="000000"/>
              </w:rPr>
            </w:pPr>
          </w:p>
          <w:p w:rsidR="007F77B5" w:rsidP="00FE4F2B" w14:paraId="71B2FFFB" w14:textId="77777777">
            <w:pPr>
              <w:rPr>
                <w:color w:val="000000"/>
              </w:rPr>
            </w:pPr>
            <w:r>
              <w:rPr>
                <w:color w:val="000000"/>
              </w:rPr>
              <w:t>1</w:t>
            </w:r>
          </w:p>
        </w:tc>
        <w:tc>
          <w:tcPr>
            <w:tcW w:w="485" w:type="dxa"/>
            <w:tcBorders>
              <w:top w:val="single" w:sz="8" w:space="0" w:color="000000"/>
              <w:left w:val="nil"/>
              <w:right w:val="single" w:sz="8" w:space="0" w:color="000000"/>
            </w:tcBorders>
            <w:shd w:val="clear" w:color="auto" w:fill="FEF2CC" w:themeFill="accent4" w:themeFillTint="33"/>
            <w:noWrap/>
            <w:tcMar>
              <w:top w:w="0" w:type="dxa"/>
              <w:left w:w="108" w:type="dxa"/>
              <w:bottom w:w="0" w:type="dxa"/>
              <w:right w:w="108" w:type="dxa"/>
            </w:tcMar>
            <w:vAlign w:val="bottom"/>
            <w:hideMark/>
          </w:tcPr>
          <w:p w:rsidR="007F77B5" w:rsidP="00FE4F2B" w14:paraId="7B132363" w14:textId="1BAABB09">
            <w:pPr>
              <w:jc w:val="right"/>
              <w:rPr>
                <w:color w:val="000000"/>
              </w:rPr>
            </w:pPr>
          </w:p>
        </w:tc>
        <w:tc>
          <w:tcPr>
            <w:tcW w:w="546" w:type="dxa"/>
            <w:tcBorders>
              <w:top w:val="nil"/>
              <w:left w:val="nil"/>
              <w:bottom w:val="single" w:sz="8" w:space="0" w:color="000000"/>
              <w:right w:val="single" w:sz="8" w:space="0" w:color="000000"/>
            </w:tcBorders>
            <w:shd w:val="clear" w:color="auto" w:fill="DEEBF6" w:themeFill="accent5" w:themeFillTint="33"/>
            <w:noWrap/>
            <w:tcMar>
              <w:top w:w="0" w:type="dxa"/>
              <w:left w:w="108" w:type="dxa"/>
              <w:bottom w:w="0" w:type="dxa"/>
              <w:right w:w="108" w:type="dxa"/>
            </w:tcMar>
            <w:vAlign w:val="bottom"/>
            <w:hideMark/>
          </w:tcPr>
          <w:p w:rsidR="007F77B5" w:rsidP="00FE4F2B" w14:paraId="284179B0" w14:textId="7FD5FA65">
            <w:pPr>
              <w:jc w:val="right"/>
              <w:rPr>
                <w:color w:val="000000"/>
              </w:rPr>
            </w:pPr>
            <w:r>
              <w:rPr>
                <w:color w:val="000000"/>
              </w:rPr>
              <w:t>2*</w:t>
            </w:r>
          </w:p>
        </w:tc>
        <w:tc>
          <w:tcPr>
            <w:tcW w:w="1271" w:type="dxa"/>
            <w:tcBorders>
              <w:top w:val="nil"/>
              <w:left w:val="nil"/>
              <w:bottom w:val="single" w:sz="8" w:space="0" w:color="000000"/>
              <w:right w:val="single" w:sz="8" w:space="0" w:color="000000"/>
            </w:tcBorders>
            <w:shd w:val="clear" w:color="auto" w:fill="DEEBF6" w:themeFill="accent5" w:themeFillTint="33"/>
            <w:noWrap/>
            <w:tcMar>
              <w:top w:w="0" w:type="dxa"/>
              <w:left w:w="108" w:type="dxa"/>
              <w:bottom w:w="0" w:type="dxa"/>
              <w:right w:w="108" w:type="dxa"/>
            </w:tcMar>
            <w:vAlign w:val="bottom"/>
            <w:hideMark/>
          </w:tcPr>
          <w:p w:rsidR="007F77B5" w:rsidP="00FE4F2B" w14:paraId="72E61DFD" w14:textId="068A4C63">
            <w:pPr>
              <w:jc w:val="right"/>
              <w:rPr>
                <w:color w:val="000000"/>
              </w:rPr>
            </w:pPr>
            <w:r>
              <w:rPr>
                <w:color w:val="000000"/>
              </w:rPr>
              <w:t>2**</w:t>
            </w:r>
          </w:p>
        </w:tc>
        <w:tc>
          <w:tcPr>
            <w:tcW w:w="442" w:type="dxa"/>
            <w:tcBorders>
              <w:top w:val="nil"/>
              <w:left w:val="nil"/>
              <w:bottom w:val="single" w:sz="8" w:space="0" w:color="000000"/>
              <w:right w:val="single" w:sz="8" w:space="0" w:color="000000"/>
            </w:tcBorders>
            <w:shd w:val="clear" w:color="auto" w:fill="F2F2F2" w:themeFill="background1" w:themeFillShade="F2"/>
            <w:noWrap/>
            <w:tcMar>
              <w:top w:w="0" w:type="dxa"/>
              <w:left w:w="108" w:type="dxa"/>
              <w:bottom w:w="0" w:type="dxa"/>
              <w:right w:w="108" w:type="dxa"/>
            </w:tcMar>
            <w:vAlign w:val="bottom"/>
            <w:hideMark/>
          </w:tcPr>
          <w:p w:rsidR="007F77B5" w:rsidP="00FE4F2B" w14:paraId="011976F0" w14:textId="77777777">
            <w:pPr>
              <w:rPr>
                <w:color w:val="000000"/>
              </w:rPr>
            </w:pPr>
            <w:r>
              <w:rPr>
                <w:color w:val="000000"/>
              </w:rPr>
              <w:t> x</w:t>
            </w:r>
          </w:p>
        </w:tc>
        <w:tc>
          <w:tcPr>
            <w:tcW w:w="546" w:type="dxa"/>
            <w:tcBorders>
              <w:top w:val="nil"/>
              <w:left w:val="nil"/>
              <w:bottom w:val="single" w:sz="8" w:space="0" w:color="000000"/>
              <w:right w:val="single" w:sz="8" w:space="0" w:color="000000"/>
            </w:tcBorders>
            <w:shd w:val="clear" w:color="auto" w:fill="F2F2F2" w:themeFill="background1" w:themeFillShade="F2"/>
            <w:noWrap/>
            <w:tcMar>
              <w:top w:w="0" w:type="dxa"/>
              <w:left w:w="108" w:type="dxa"/>
              <w:bottom w:w="0" w:type="dxa"/>
              <w:right w:w="108" w:type="dxa"/>
            </w:tcMar>
            <w:vAlign w:val="bottom"/>
            <w:hideMark/>
          </w:tcPr>
          <w:p w:rsidR="007F77B5" w:rsidP="00FE4F2B" w14:paraId="48F48AC3" w14:textId="77777777">
            <w:pPr>
              <w:rPr>
                <w:color w:val="000000"/>
              </w:rPr>
            </w:pPr>
            <w:r>
              <w:rPr>
                <w:color w:val="000000"/>
              </w:rPr>
              <w:t> x</w:t>
            </w:r>
          </w:p>
        </w:tc>
        <w:tc>
          <w:tcPr>
            <w:tcW w:w="656" w:type="dxa"/>
            <w:tcBorders>
              <w:top w:val="nil"/>
              <w:left w:val="nil"/>
              <w:bottom w:val="single" w:sz="8" w:space="0" w:color="000000"/>
              <w:right w:val="single" w:sz="8" w:space="0" w:color="000000"/>
            </w:tcBorders>
            <w:shd w:val="clear" w:color="auto" w:fill="F2F2F2" w:themeFill="background1" w:themeFillShade="F2"/>
            <w:noWrap/>
            <w:tcMar>
              <w:top w:w="0" w:type="dxa"/>
              <w:left w:w="108" w:type="dxa"/>
              <w:bottom w:w="0" w:type="dxa"/>
              <w:right w:w="108" w:type="dxa"/>
            </w:tcMar>
            <w:vAlign w:val="bottom"/>
            <w:hideMark/>
          </w:tcPr>
          <w:p w:rsidR="007F77B5" w:rsidP="00FE4F2B" w14:paraId="687C2FCF" w14:textId="77777777">
            <w:pPr>
              <w:rPr>
                <w:color w:val="000000"/>
              </w:rPr>
            </w:pPr>
            <w:r>
              <w:rPr>
                <w:color w:val="000000"/>
              </w:rPr>
              <w:t> x</w:t>
            </w:r>
          </w:p>
        </w:tc>
        <w:tc>
          <w:tcPr>
            <w:tcW w:w="480" w:type="dxa"/>
            <w:tcBorders>
              <w:top w:val="nil"/>
              <w:left w:val="nil"/>
              <w:bottom w:val="single" w:sz="8" w:space="0" w:color="000000"/>
              <w:right w:val="single" w:sz="8" w:space="0" w:color="000000"/>
            </w:tcBorders>
            <w:shd w:val="clear" w:color="auto" w:fill="F2F2F2" w:themeFill="background1" w:themeFillShade="F2"/>
            <w:noWrap/>
            <w:tcMar>
              <w:top w:w="0" w:type="dxa"/>
              <w:left w:w="108" w:type="dxa"/>
              <w:bottom w:w="0" w:type="dxa"/>
              <w:right w:w="108" w:type="dxa"/>
            </w:tcMar>
            <w:vAlign w:val="bottom"/>
            <w:hideMark/>
          </w:tcPr>
          <w:p w:rsidR="007F77B5" w:rsidP="00FE4F2B" w14:paraId="7F42FCC0" w14:textId="77777777">
            <w:pPr>
              <w:rPr>
                <w:color w:val="000000"/>
              </w:rPr>
            </w:pPr>
            <w:r>
              <w:rPr>
                <w:color w:val="000000"/>
              </w:rPr>
              <w:t>x </w:t>
            </w:r>
          </w:p>
        </w:tc>
        <w:tc>
          <w:tcPr>
            <w:tcW w:w="546" w:type="dxa"/>
            <w:tcBorders>
              <w:top w:val="nil"/>
              <w:left w:val="nil"/>
              <w:bottom w:val="single" w:sz="8" w:space="0" w:color="000000"/>
              <w:right w:val="single" w:sz="8" w:space="0" w:color="000000"/>
            </w:tcBorders>
            <w:shd w:val="clear" w:color="auto" w:fill="F2F2F2" w:themeFill="background1" w:themeFillShade="F2"/>
            <w:noWrap/>
            <w:tcMar>
              <w:top w:w="0" w:type="dxa"/>
              <w:left w:w="108" w:type="dxa"/>
              <w:bottom w:w="0" w:type="dxa"/>
              <w:right w:w="108" w:type="dxa"/>
            </w:tcMar>
            <w:vAlign w:val="bottom"/>
            <w:hideMark/>
          </w:tcPr>
          <w:p w:rsidR="007F77B5" w:rsidP="00FE4F2B" w14:paraId="47E748D0" w14:textId="77777777">
            <w:pPr>
              <w:rPr>
                <w:color w:val="000000"/>
              </w:rPr>
            </w:pPr>
            <w:r>
              <w:rPr>
                <w:color w:val="000000"/>
              </w:rPr>
              <w:t> x</w:t>
            </w:r>
          </w:p>
        </w:tc>
        <w:tc>
          <w:tcPr>
            <w:tcW w:w="480" w:type="dxa"/>
            <w:tcBorders>
              <w:top w:val="nil"/>
              <w:left w:val="nil"/>
              <w:bottom w:val="single" w:sz="8" w:space="0" w:color="000000"/>
              <w:right w:val="single" w:sz="8" w:space="0" w:color="000000"/>
            </w:tcBorders>
            <w:shd w:val="clear" w:color="auto" w:fill="F2F2F2" w:themeFill="background1" w:themeFillShade="F2"/>
            <w:noWrap/>
            <w:tcMar>
              <w:top w:w="0" w:type="dxa"/>
              <w:left w:w="108" w:type="dxa"/>
              <w:bottom w:w="0" w:type="dxa"/>
              <w:right w:w="108" w:type="dxa"/>
            </w:tcMar>
            <w:vAlign w:val="bottom"/>
            <w:hideMark/>
          </w:tcPr>
          <w:p w:rsidR="007F77B5" w:rsidP="00FE4F2B" w14:paraId="0EE11F2B" w14:textId="77777777">
            <w:pPr>
              <w:rPr>
                <w:color w:val="000000"/>
              </w:rPr>
            </w:pPr>
            <w:r>
              <w:rPr>
                <w:color w:val="000000"/>
              </w:rPr>
              <w:t>x </w:t>
            </w:r>
          </w:p>
        </w:tc>
        <w:tc>
          <w:tcPr>
            <w:tcW w:w="480" w:type="dxa"/>
            <w:tcBorders>
              <w:top w:val="nil"/>
              <w:left w:val="nil"/>
              <w:bottom w:val="single" w:sz="8" w:space="0" w:color="000000"/>
              <w:right w:val="single" w:sz="8" w:space="0" w:color="000000"/>
            </w:tcBorders>
            <w:shd w:val="clear" w:color="auto" w:fill="F2F2F2" w:themeFill="background1" w:themeFillShade="F2"/>
            <w:noWrap/>
            <w:tcMar>
              <w:top w:w="0" w:type="dxa"/>
              <w:left w:w="108" w:type="dxa"/>
              <w:bottom w:w="0" w:type="dxa"/>
              <w:right w:w="108" w:type="dxa"/>
            </w:tcMar>
            <w:vAlign w:val="bottom"/>
            <w:hideMark/>
          </w:tcPr>
          <w:p w:rsidR="007F77B5" w:rsidP="00FE4F2B" w14:paraId="6D7572A9" w14:textId="77777777">
            <w:pPr>
              <w:rPr>
                <w:color w:val="000000"/>
              </w:rPr>
            </w:pPr>
            <w:r>
              <w:rPr>
                <w:color w:val="000000"/>
              </w:rPr>
              <w:t> x</w:t>
            </w:r>
          </w:p>
        </w:tc>
        <w:tc>
          <w:tcPr>
            <w:tcW w:w="480" w:type="dxa"/>
            <w:tcBorders>
              <w:top w:val="nil"/>
              <w:left w:val="nil"/>
              <w:bottom w:val="single" w:sz="8" w:space="0" w:color="000000"/>
              <w:right w:val="single" w:sz="8" w:space="0" w:color="000000"/>
            </w:tcBorders>
            <w:shd w:val="clear" w:color="auto" w:fill="F2F2F2" w:themeFill="background1" w:themeFillShade="F2"/>
            <w:noWrap/>
            <w:tcMar>
              <w:top w:w="0" w:type="dxa"/>
              <w:left w:w="108" w:type="dxa"/>
              <w:bottom w:w="0" w:type="dxa"/>
              <w:right w:w="108" w:type="dxa"/>
            </w:tcMar>
            <w:vAlign w:val="bottom"/>
            <w:hideMark/>
          </w:tcPr>
          <w:p w:rsidR="007F77B5" w:rsidP="00FE4F2B" w14:paraId="4DBCA685" w14:textId="77777777">
            <w:pPr>
              <w:rPr>
                <w:color w:val="000000"/>
              </w:rPr>
            </w:pPr>
            <w:r>
              <w:rPr>
                <w:color w:val="000000"/>
              </w:rPr>
              <w:t> x</w:t>
            </w:r>
          </w:p>
        </w:tc>
        <w:tc>
          <w:tcPr>
            <w:tcW w:w="480" w:type="dxa"/>
            <w:tcBorders>
              <w:top w:val="nil"/>
              <w:left w:val="nil"/>
              <w:bottom w:val="single" w:sz="8" w:space="0" w:color="000000"/>
              <w:right w:val="single" w:sz="8" w:space="0" w:color="000000"/>
            </w:tcBorders>
            <w:shd w:val="clear" w:color="auto" w:fill="F2F2F2" w:themeFill="background1" w:themeFillShade="F2"/>
            <w:noWrap/>
            <w:tcMar>
              <w:top w:w="0" w:type="dxa"/>
              <w:left w:w="108" w:type="dxa"/>
              <w:bottom w:w="0" w:type="dxa"/>
              <w:right w:w="108" w:type="dxa"/>
            </w:tcMar>
            <w:vAlign w:val="bottom"/>
            <w:hideMark/>
          </w:tcPr>
          <w:p w:rsidR="007F77B5" w:rsidP="00FE4F2B" w14:paraId="594D1029" w14:textId="77777777">
            <w:pPr>
              <w:rPr>
                <w:color w:val="000000"/>
              </w:rPr>
            </w:pPr>
            <w:r>
              <w:rPr>
                <w:color w:val="000000"/>
              </w:rPr>
              <w:t> x</w:t>
            </w:r>
          </w:p>
        </w:tc>
      </w:tr>
      <w:tr w14:paraId="26A5FBE3" w14:textId="77777777" w:rsidTr="00FE4F2B">
        <w:tblPrEx>
          <w:tblW w:w="9360" w:type="dxa"/>
          <w:jc w:val="center"/>
          <w:tblCellMar>
            <w:left w:w="0" w:type="dxa"/>
            <w:right w:w="0" w:type="dxa"/>
          </w:tblCellMar>
          <w:tblLook w:val="04A0"/>
        </w:tblPrEx>
        <w:trPr>
          <w:trHeight w:val="300"/>
          <w:jc w:val="center"/>
        </w:trPr>
        <w:tc>
          <w:tcPr>
            <w:tcW w:w="1380" w:type="dxa"/>
            <w:tcBorders>
              <w:top w:val="nil"/>
              <w:left w:val="single" w:sz="8" w:space="0" w:color="000000"/>
              <w:bottom w:val="single" w:sz="8" w:space="0" w:color="000000"/>
              <w:right w:val="nil"/>
            </w:tcBorders>
            <w:shd w:val="clear" w:color="auto" w:fill="FFFFFF"/>
            <w:noWrap/>
            <w:tcMar>
              <w:top w:w="0" w:type="dxa"/>
              <w:left w:w="108" w:type="dxa"/>
              <w:bottom w:w="0" w:type="dxa"/>
              <w:right w:w="108" w:type="dxa"/>
            </w:tcMar>
            <w:vAlign w:val="bottom"/>
            <w:hideMark/>
          </w:tcPr>
          <w:p w:rsidR="007F77B5" w:rsidP="00FE4F2B" w14:paraId="368D6307" w14:textId="77777777">
            <w:pPr>
              <w:rPr>
                <w:color w:val="000000"/>
              </w:rPr>
            </w:pPr>
            <w:r>
              <w:rPr>
                <w:color w:val="000000"/>
              </w:rPr>
              <w:t>Final</w:t>
            </w:r>
          </w:p>
        </w:tc>
        <w:tc>
          <w:tcPr>
            <w:tcW w:w="603" w:type="dxa"/>
            <w:vMerge/>
            <w:tcBorders>
              <w:left w:val="single" w:sz="8" w:space="0" w:color="auto"/>
              <w:bottom w:val="single" w:sz="8" w:space="0" w:color="auto"/>
              <w:right w:val="single" w:sz="8" w:space="0" w:color="auto"/>
            </w:tcBorders>
            <w:shd w:val="clear" w:color="auto" w:fill="FEF2CC" w:themeFill="accent4" w:themeFillTint="33"/>
            <w:noWrap/>
            <w:tcMar>
              <w:top w:w="0" w:type="dxa"/>
              <w:left w:w="108" w:type="dxa"/>
              <w:bottom w:w="0" w:type="dxa"/>
              <w:right w:w="108" w:type="dxa"/>
            </w:tcMar>
            <w:vAlign w:val="bottom"/>
            <w:hideMark/>
          </w:tcPr>
          <w:p w:rsidR="007F77B5" w:rsidP="00FE4F2B" w14:paraId="691CDA3C" w14:textId="77777777">
            <w:pPr>
              <w:jc w:val="right"/>
              <w:rPr>
                <w:color w:val="000000"/>
              </w:rPr>
            </w:pPr>
          </w:p>
        </w:tc>
        <w:tc>
          <w:tcPr>
            <w:tcW w:w="485" w:type="dxa"/>
            <w:vMerge/>
            <w:tcBorders>
              <w:left w:val="nil"/>
              <w:bottom w:val="single" w:sz="8" w:space="0" w:color="auto"/>
              <w:right w:val="single" w:sz="8" w:space="0" w:color="auto"/>
            </w:tcBorders>
            <w:shd w:val="clear" w:color="auto" w:fill="FEF2CC" w:themeFill="accent4" w:themeFillTint="33"/>
            <w:noWrap/>
            <w:tcMar>
              <w:top w:w="0" w:type="dxa"/>
              <w:left w:w="108" w:type="dxa"/>
              <w:bottom w:w="0" w:type="dxa"/>
              <w:right w:w="108" w:type="dxa"/>
            </w:tcMar>
            <w:vAlign w:val="bottom"/>
            <w:hideMark/>
          </w:tcPr>
          <w:p w:rsidR="007F77B5" w:rsidP="00FE4F2B" w14:paraId="12ED0FB5" w14:textId="77777777">
            <w:pPr>
              <w:jc w:val="right"/>
              <w:rPr>
                <w:color w:val="000000"/>
              </w:rPr>
            </w:pPr>
          </w:p>
        </w:tc>
        <w:tc>
          <w:tcPr>
            <w:tcW w:w="485" w:type="dxa"/>
            <w:tcBorders>
              <w:left w:val="nil"/>
              <w:bottom w:val="single" w:sz="8" w:space="0" w:color="000000"/>
              <w:right w:val="single" w:sz="8" w:space="0" w:color="000000"/>
            </w:tcBorders>
            <w:shd w:val="clear" w:color="auto" w:fill="FEF2CC" w:themeFill="accent4" w:themeFillTint="33"/>
            <w:noWrap/>
            <w:tcMar>
              <w:top w:w="0" w:type="dxa"/>
              <w:left w:w="108" w:type="dxa"/>
              <w:bottom w:w="0" w:type="dxa"/>
              <w:right w:w="108" w:type="dxa"/>
            </w:tcMar>
            <w:vAlign w:val="bottom"/>
            <w:hideMark/>
          </w:tcPr>
          <w:p w:rsidR="007F77B5" w:rsidP="00FE4F2B" w14:paraId="2B80596A" w14:textId="77777777">
            <w:pPr>
              <w:jc w:val="right"/>
              <w:rPr>
                <w:color w:val="000000"/>
              </w:rPr>
            </w:pPr>
            <w:r>
              <w:rPr>
                <w:color w:val="000000"/>
              </w:rPr>
              <w:t>1</w:t>
            </w:r>
          </w:p>
        </w:tc>
        <w:tc>
          <w:tcPr>
            <w:tcW w:w="546" w:type="dxa"/>
            <w:tcBorders>
              <w:top w:val="nil"/>
              <w:left w:val="nil"/>
              <w:bottom w:val="single" w:sz="8" w:space="0" w:color="000000"/>
              <w:right w:val="single" w:sz="8" w:space="0" w:color="000000"/>
            </w:tcBorders>
            <w:shd w:val="clear" w:color="auto" w:fill="FEF2CC" w:themeFill="accent4" w:themeFillTint="33"/>
            <w:noWrap/>
            <w:tcMar>
              <w:top w:w="0" w:type="dxa"/>
              <w:left w:w="108" w:type="dxa"/>
              <w:bottom w:w="0" w:type="dxa"/>
              <w:right w:w="108" w:type="dxa"/>
            </w:tcMar>
            <w:vAlign w:val="bottom"/>
            <w:hideMark/>
          </w:tcPr>
          <w:p w:rsidR="007F77B5" w:rsidP="00FE4F2B" w14:paraId="75F2F5FF" w14:textId="77777777">
            <w:pPr>
              <w:jc w:val="right"/>
              <w:rPr>
                <w:color w:val="000000"/>
              </w:rPr>
            </w:pPr>
            <w:r>
              <w:rPr>
                <w:color w:val="000000"/>
              </w:rPr>
              <w:t>1</w:t>
            </w:r>
          </w:p>
        </w:tc>
        <w:tc>
          <w:tcPr>
            <w:tcW w:w="1271" w:type="dxa"/>
            <w:tcBorders>
              <w:top w:val="nil"/>
              <w:left w:val="nil"/>
              <w:bottom w:val="single" w:sz="8" w:space="0" w:color="000000"/>
              <w:right w:val="single" w:sz="8" w:space="0" w:color="000000"/>
            </w:tcBorders>
            <w:shd w:val="clear" w:color="auto" w:fill="FEF2CC" w:themeFill="accent4" w:themeFillTint="33"/>
            <w:noWrap/>
            <w:tcMar>
              <w:top w:w="0" w:type="dxa"/>
              <w:left w:w="108" w:type="dxa"/>
              <w:bottom w:w="0" w:type="dxa"/>
              <w:right w:w="108" w:type="dxa"/>
            </w:tcMar>
            <w:vAlign w:val="bottom"/>
            <w:hideMark/>
          </w:tcPr>
          <w:p w:rsidR="007F77B5" w:rsidP="00FE4F2B" w14:paraId="04D42436" w14:textId="77777777">
            <w:pPr>
              <w:jc w:val="right"/>
              <w:rPr>
                <w:color w:val="000000"/>
              </w:rPr>
            </w:pPr>
            <w:r>
              <w:rPr>
                <w:color w:val="000000"/>
              </w:rPr>
              <w:t>1</w:t>
            </w:r>
          </w:p>
        </w:tc>
        <w:tc>
          <w:tcPr>
            <w:tcW w:w="442" w:type="dxa"/>
            <w:tcBorders>
              <w:top w:val="nil"/>
              <w:left w:val="nil"/>
              <w:bottom w:val="single" w:sz="8" w:space="0" w:color="000000"/>
              <w:right w:val="single" w:sz="8" w:space="0" w:color="000000"/>
            </w:tcBorders>
            <w:shd w:val="clear" w:color="auto" w:fill="DEEBF6" w:themeFill="accent5" w:themeFillTint="33"/>
            <w:noWrap/>
            <w:tcMar>
              <w:top w:w="0" w:type="dxa"/>
              <w:left w:w="108" w:type="dxa"/>
              <w:bottom w:w="0" w:type="dxa"/>
              <w:right w:w="108" w:type="dxa"/>
            </w:tcMar>
            <w:vAlign w:val="bottom"/>
            <w:hideMark/>
          </w:tcPr>
          <w:p w:rsidR="007F77B5" w:rsidP="00FE4F2B" w14:paraId="597DE6BC" w14:textId="77777777">
            <w:pPr>
              <w:jc w:val="right"/>
              <w:rPr>
                <w:color w:val="000000"/>
              </w:rPr>
            </w:pPr>
            <w:r>
              <w:rPr>
                <w:color w:val="000000"/>
              </w:rPr>
              <w:t>2*</w:t>
            </w:r>
          </w:p>
        </w:tc>
        <w:tc>
          <w:tcPr>
            <w:tcW w:w="546" w:type="dxa"/>
            <w:tcBorders>
              <w:top w:val="nil"/>
              <w:left w:val="nil"/>
              <w:bottom w:val="single" w:sz="8" w:space="0" w:color="000000"/>
              <w:right w:val="single" w:sz="8" w:space="0" w:color="000000"/>
            </w:tcBorders>
            <w:shd w:val="clear" w:color="auto" w:fill="DEEBF6" w:themeFill="accent5" w:themeFillTint="33"/>
            <w:noWrap/>
            <w:tcMar>
              <w:top w:w="0" w:type="dxa"/>
              <w:left w:w="108" w:type="dxa"/>
              <w:bottom w:w="0" w:type="dxa"/>
              <w:right w:w="108" w:type="dxa"/>
            </w:tcMar>
            <w:vAlign w:val="bottom"/>
            <w:hideMark/>
          </w:tcPr>
          <w:p w:rsidR="007F77B5" w:rsidP="00FE4F2B" w14:paraId="4E09A033" w14:textId="77777777">
            <w:pPr>
              <w:jc w:val="right"/>
              <w:rPr>
                <w:color w:val="000000"/>
              </w:rPr>
            </w:pPr>
            <w:r>
              <w:rPr>
                <w:color w:val="000000"/>
              </w:rPr>
              <w:t>2**</w:t>
            </w:r>
          </w:p>
        </w:tc>
        <w:tc>
          <w:tcPr>
            <w:tcW w:w="656" w:type="dxa"/>
            <w:tcBorders>
              <w:top w:val="nil"/>
              <w:left w:val="nil"/>
              <w:bottom w:val="single" w:sz="8" w:space="0" w:color="000000"/>
              <w:right w:val="single" w:sz="8" w:space="0" w:color="000000"/>
            </w:tcBorders>
            <w:shd w:val="clear" w:color="auto" w:fill="DEEBF6" w:themeFill="accent5" w:themeFillTint="33"/>
            <w:noWrap/>
            <w:tcMar>
              <w:top w:w="0" w:type="dxa"/>
              <w:left w:w="108" w:type="dxa"/>
              <w:bottom w:w="0" w:type="dxa"/>
              <w:right w:w="108" w:type="dxa"/>
            </w:tcMar>
            <w:vAlign w:val="bottom"/>
            <w:hideMark/>
          </w:tcPr>
          <w:p w:rsidR="007F77B5" w:rsidP="00FE4F2B" w14:paraId="62539F90" w14:textId="73C40A90">
            <w:pPr>
              <w:jc w:val="right"/>
              <w:rPr>
                <w:color w:val="000000"/>
              </w:rPr>
            </w:pPr>
            <w:r>
              <w:rPr>
                <w:color w:val="000000"/>
              </w:rPr>
              <w:t>2</w:t>
            </w:r>
          </w:p>
        </w:tc>
        <w:tc>
          <w:tcPr>
            <w:tcW w:w="480" w:type="dxa"/>
            <w:tcBorders>
              <w:top w:val="nil"/>
              <w:left w:val="nil"/>
              <w:bottom w:val="single" w:sz="8" w:space="0" w:color="000000"/>
              <w:right w:val="single" w:sz="8" w:space="0" w:color="000000"/>
            </w:tcBorders>
            <w:shd w:val="clear" w:color="auto" w:fill="DEEBF6" w:themeFill="accent5" w:themeFillTint="33"/>
            <w:noWrap/>
            <w:tcMar>
              <w:top w:w="0" w:type="dxa"/>
              <w:left w:w="108" w:type="dxa"/>
              <w:bottom w:w="0" w:type="dxa"/>
              <w:right w:w="108" w:type="dxa"/>
            </w:tcMar>
            <w:vAlign w:val="bottom"/>
            <w:hideMark/>
          </w:tcPr>
          <w:p w:rsidR="007F77B5" w:rsidP="00FE4F2B" w14:paraId="3D1D4BC0" w14:textId="77777777">
            <w:pPr>
              <w:jc w:val="right"/>
              <w:rPr>
                <w:color w:val="000000"/>
              </w:rPr>
            </w:pPr>
            <w:r>
              <w:rPr>
                <w:color w:val="000000"/>
              </w:rPr>
              <w:t>2</w:t>
            </w:r>
          </w:p>
        </w:tc>
        <w:tc>
          <w:tcPr>
            <w:tcW w:w="546" w:type="dxa"/>
            <w:tcBorders>
              <w:top w:val="nil"/>
              <w:left w:val="nil"/>
              <w:bottom w:val="single" w:sz="8" w:space="0" w:color="000000"/>
              <w:right w:val="single" w:sz="8" w:space="0" w:color="000000"/>
            </w:tcBorders>
            <w:shd w:val="clear" w:color="auto" w:fill="DEEBF6" w:themeFill="accent5" w:themeFillTint="33"/>
            <w:noWrap/>
            <w:tcMar>
              <w:top w:w="0" w:type="dxa"/>
              <w:left w:w="108" w:type="dxa"/>
              <w:bottom w:w="0" w:type="dxa"/>
              <w:right w:w="108" w:type="dxa"/>
            </w:tcMar>
            <w:vAlign w:val="bottom"/>
            <w:hideMark/>
          </w:tcPr>
          <w:p w:rsidR="007F77B5" w:rsidP="00FE4F2B" w14:paraId="27EFE8EE" w14:textId="77777777">
            <w:pPr>
              <w:jc w:val="right"/>
              <w:rPr>
                <w:color w:val="000000"/>
              </w:rPr>
            </w:pPr>
            <w:r>
              <w:rPr>
                <w:color w:val="000000"/>
              </w:rPr>
              <w:t>2</w:t>
            </w:r>
          </w:p>
        </w:tc>
        <w:tc>
          <w:tcPr>
            <w:tcW w:w="480" w:type="dxa"/>
            <w:tcBorders>
              <w:top w:val="nil"/>
              <w:left w:val="nil"/>
              <w:bottom w:val="single" w:sz="8" w:space="0" w:color="000000"/>
              <w:right w:val="single" w:sz="8" w:space="0" w:color="000000"/>
            </w:tcBorders>
            <w:shd w:val="clear" w:color="auto" w:fill="E2EFD9" w:themeFill="accent6" w:themeFillTint="33"/>
            <w:noWrap/>
            <w:tcMar>
              <w:top w:w="0" w:type="dxa"/>
              <w:left w:w="108" w:type="dxa"/>
              <w:bottom w:w="0" w:type="dxa"/>
              <w:right w:w="108" w:type="dxa"/>
            </w:tcMar>
            <w:vAlign w:val="bottom"/>
            <w:hideMark/>
          </w:tcPr>
          <w:p w:rsidR="007F77B5" w:rsidP="00FE4F2B" w14:paraId="39C7C6AE" w14:textId="77777777">
            <w:pPr>
              <w:jc w:val="right"/>
              <w:rPr>
                <w:color w:val="000000"/>
              </w:rPr>
            </w:pPr>
            <w:r>
              <w:rPr>
                <w:color w:val="000000"/>
              </w:rPr>
              <w:t>3</w:t>
            </w:r>
          </w:p>
        </w:tc>
        <w:tc>
          <w:tcPr>
            <w:tcW w:w="480" w:type="dxa"/>
            <w:tcBorders>
              <w:top w:val="nil"/>
              <w:left w:val="nil"/>
              <w:bottom w:val="single" w:sz="8" w:space="0" w:color="000000"/>
              <w:right w:val="single" w:sz="8" w:space="0" w:color="000000"/>
            </w:tcBorders>
            <w:shd w:val="clear" w:color="auto" w:fill="E2EFD9" w:themeFill="accent6" w:themeFillTint="33"/>
            <w:noWrap/>
            <w:tcMar>
              <w:top w:w="0" w:type="dxa"/>
              <w:left w:w="108" w:type="dxa"/>
              <w:bottom w:w="0" w:type="dxa"/>
              <w:right w:w="108" w:type="dxa"/>
            </w:tcMar>
            <w:vAlign w:val="bottom"/>
            <w:hideMark/>
          </w:tcPr>
          <w:p w:rsidR="007F77B5" w:rsidP="00FE4F2B" w14:paraId="401DE158" w14:textId="77777777">
            <w:pPr>
              <w:jc w:val="right"/>
              <w:rPr>
                <w:color w:val="000000"/>
              </w:rPr>
            </w:pPr>
            <w:r>
              <w:rPr>
                <w:color w:val="000000"/>
              </w:rPr>
              <w:t>3</w:t>
            </w:r>
          </w:p>
        </w:tc>
        <w:tc>
          <w:tcPr>
            <w:tcW w:w="480" w:type="dxa"/>
            <w:tcBorders>
              <w:top w:val="nil"/>
              <w:left w:val="nil"/>
              <w:bottom w:val="single" w:sz="8" w:space="0" w:color="000000"/>
              <w:right w:val="single" w:sz="8" w:space="0" w:color="000000"/>
            </w:tcBorders>
            <w:shd w:val="clear" w:color="auto" w:fill="E2EFD9" w:themeFill="accent6" w:themeFillTint="33"/>
            <w:noWrap/>
            <w:tcMar>
              <w:top w:w="0" w:type="dxa"/>
              <w:left w:w="108" w:type="dxa"/>
              <w:bottom w:w="0" w:type="dxa"/>
              <w:right w:w="108" w:type="dxa"/>
            </w:tcMar>
            <w:vAlign w:val="bottom"/>
            <w:hideMark/>
          </w:tcPr>
          <w:p w:rsidR="007F77B5" w:rsidP="00FE4F2B" w14:paraId="555AC888" w14:textId="77777777">
            <w:pPr>
              <w:jc w:val="right"/>
              <w:rPr>
                <w:color w:val="000000"/>
              </w:rPr>
            </w:pPr>
            <w:r>
              <w:rPr>
                <w:color w:val="000000"/>
              </w:rPr>
              <w:t>3</w:t>
            </w:r>
          </w:p>
        </w:tc>
        <w:tc>
          <w:tcPr>
            <w:tcW w:w="480" w:type="dxa"/>
            <w:tcBorders>
              <w:top w:val="nil"/>
              <w:left w:val="nil"/>
              <w:bottom w:val="single" w:sz="8" w:space="0" w:color="000000"/>
              <w:right w:val="single" w:sz="8" w:space="0" w:color="000000"/>
            </w:tcBorders>
            <w:shd w:val="clear" w:color="auto" w:fill="E2EFD9" w:themeFill="accent6" w:themeFillTint="33"/>
            <w:noWrap/>
            <w:tcMar>
              <w:top w:w="0" w:type="dxa"/>
              <w:left w:w="108" w:type="dxa"/>
              <w:bottom w:w="0" w:type="dxa"/>
              <w:right w:w="108" w:type="dxa"/>
            </w:tcMar>
            <w:vAlign w:val="bottom"/>
            <w:hideMark/>
          </w:tcPr>
          <w:p w:rsidR="007F77B5" w:rsidP="00FE4F2B" w14:paraId="16CBE1E6" w14:textId="77777777">
            <w:pPr>
              <w:jc w:val="right"/>
              <w:rPr>
                <w:color w:val="000000"/>
              </w:rPr>
            </w:pPr>
            <w:r>
              <w:rPr>
                <w:color w:val="000000"/>
              </w:rPr>
              <w:t>3</w:t>
            </w:r>
          </w:p>
        </w:tc>
      </w:tr>
    </w:tbl>
    <w:p w:rsidR="007F77B5" w:rsidP="007F77B5" w14:paraId="48BD0A4E" w14:textId="77777777"/>
    <w:p w:rsidR="00E402DF" w:rsidRPr="00435180" w:rsidP="008126F1" w14:paraId="4F8917EA" w14:textId="5A47BD10">
      <w:pPr>
        <w:pStyle w:val="Heading2"/>
        <w:rPr>
          <w:rFonts w:eastAsia="Calibri"/>
          <w:snapToGrid/>
        </w:rPr>
      </w:pPr>
      <w:r w:rsidRPr="00435180">
        <w:rPr>
          <w:rFonts w:eastAsia="Calibri"/>
          <w:snapToGrid/>
        </w:rPr>
        <w:t xml:space="preserve">Calculating Individual </w:t>
      </w:r>
      <w:r>
        <w:rPr>
          <w:rFonts w:eastAsia="Calibri"/>
          <w:snapToGrid/>
        </w:rPr>
        <w:t>“Per-</w:t>
      </w:r>
      <w:r w:rsidRPr="00435180">
        <w:rPr>
          <w:rFonts w:eastAsia="Calibri"/>
          <w:snapToGrid/>
        </w:rPr>
        <w:t>License</w:t>
      </w:r>
      <w:r>
        <w:rPr>
          <w:rFonts w:eastAsia="Calibri"/>
          <w:snapToGrid/>
        </w:rPr>
        <w:t>”</w:t>
      </w:r>
      <w:r w:rsidRPr="00435180">
        <w:rPr>
          <w:rFonts w:eastAsia="Calibri"/>
          <w:snapToGrid/>
        </w:rPr>
        <w:t xml:space="preserve"> Prices</w:t>
      </w:r>
    </w:p>
    <w:p w:rsidR="00E402DF" w:rsidRPr="007D7FC1" w:rsidP="00E402DF" w14:paraId="596752E2" w14:textId="1B43FA81">
      <w:pPr>
        <w:pStyle w:val="ParaNum"/>
        <w:keepNext/>
        <w:widowControl/>
        <w:rPr>
          <w:szCs w:val="22"/>
        </w:rPr>
      </w:pPr>
      <w:r w:rsidRPr="00435180">
        <w:rPr>
          <w:szCs w:val="22"/>
        </w:rPr>
        <w:t xml:space="preserve">While final auction payments for winning bidders will be calculated with bidding credit caps </w:t>
      </w:r>
      <w:r w:rsidRPr="005712E5">
        <w:rPr>
          <w:szCs w:val="22"/>
        </w:rPr>
        <w:t>and assignment payments</w:t>
      </w:r>
      <w:r w:rsidRPr="00435180">
        <w:rPr>
          <w:szCs w:val="22"/>
        </w:rPr>
        <w:t xml:space="preserve"> applied on an aggregate basis, rather than to individual</w:t>
      </w:r>
      <w:r>
        <w:rPr>
          <w:szCs w:val="22"/>
        </w:rPr>
        <w:t xml:space="preserve"> </w:t>
      </w:r>
      <w:r w:rsidRPr="00435180">
        <w:rPr>
          <w:szCs w:val="22"/>
        </w:rPr>
        <w:t>license</w:t>
      </w:r>
      <w:r>
        <w:rPr>
          <w:szCs w:val="22"/>
        </w:rPr>
        <w:t xml:space="preserve"> authorizations (single or paired)</w:t>
      </w:r>
      <w:r w:rsidRPr="00435180">
        <w:rPr>
          <w:szCs w:val="22"/>
        </w:rPr>
        <w:t xml:space="preserve">, the bidding system will also calculate a </w:t>
      </w:r>
      <w:r>
        <w:rPr>
          <w:szCs w:val="22"/>
        </w:rPr>
        <w:t>“</w:t>
      </w:r>
      <w:r w:rsidRPr="00435180">
        <w:rPr>
          <w:szCs w:val="22"/>
        </w:rPr>
        <w:t>per-license</w:t>
      </w:r>
      <w:r>
        <w:rPr>
          <w:szCs w:val="22"/>
        </w:rPr>
        <w:t>”</w:t>
      </w:r>
      <w:r w:rsidRPr="00435180">
        <w:rPr>
          <w:szCs w:val="22"/>
        </w:rPr>
        <w:t xml:space="preserve"> price for each </w:t>
      </w:r>
      <w:r>
        <w:rPr>
          <w:szCs w:val="22"/>
        </w:rPr>
        <w:t>license authorization.</w:t>
      </w:r>
      <w:r>
        <w:rPr>
          <w:rStyle w:val="FootnoteReference"/>
          <w:szCs w:val="22"/>
        </w:rPr>
        <w:footnoteReference w:id="363"/>
      </w:r>
      <w:r w:rsidRPr="007D7FC1">
        <w:rPr>
          <w:szCs w:val="22"/>
        </w:rPr>
        <w:t xml:space="preserve">  Such individual prices may be needed if a licensee later in</w:t>
      </w:r>
      <w:r w:rsidRPr="007D7FC1">
        <w:rPr>
          <w:szCs w:val="22"/>
        </w:rPr>
        <w:t xml:space="preserve">curs license-specific obligations, such as unjust enrichment payments. </w:t>
      </w:r>
    </w:p>
    <w:p w:rsidR="00062EAF" w:rsidRPr="00084A23" w:rsidP="00EF495F" w14:paraId="2C662F92" w14:textId="1A73368C">
      <w:pPr>
        <w:pStyle w:val="ParaNum"/>
        <w:widowControl/>
        <w:rPr>
          <w:szCs w:val="22"/>
        </w:rPr>
      </w:pPr>
      <w:r w:rsidRPr="005712E5">
        <w:rPr>
          <w:szCs w:val="22"/>
        </w:rPr>
        <w:t xml:space="preserve">After the assignment phase, the auction bidding system will determine a net and gross post-auction price for each license </w:t>
      </w:r>
      <w:r>
        <w:rPr>
          <w:szCs w:val="22"/>
        </w:rPr>
        <w:t>authorization (or paired authorization, if the authorization c</w:t>
      </w:r>
      <w:r>
        <w:rPr>
          <w:szCs w:val="22"/>
        </w:rPr>
        <w:t>omprises both an interim and final frequency assignment)</w:t>
      </w:r>
      <w:r w:rsidRPr="005712E5">
        <w:rPr>
          <w:szCs w:val="22"/>
        </w:rPr>
        <w:t xml:space="preserve"> that was won by a bidder by apportioning assignment payments and bidding credit discounts (only applicable for the net price) across all the license</w:t>
      </w:r>
      <w:r>
        <w:rPr>
          <w:szCs w:val="22"/>
        </w:rPr>
        <w:t xml:space="preserve"> authorizations or paired authorization</w:t>
      </w:r>
      <w:r w:rsidRPr="005712E5">
        <w:rPr>
          <w:szCs w:val="22"/>
        </w:rPr>
        <w:t>s that the b</w:t>
      </w:r>
      <w:r w:rsidRPr="005712E5">
        <w:rPr>
          <w:szCs w:val="22"/>
        </w:rPr>
        <w:t xml:space="preserve">idder won.  To calculate the gross per-license price, the auction bidding system will apportion the assignment payment to </w:t>
      </w:r>
      <w:r>
        <w:rPr>
          <w:szCs w:val="22"/>
        </w:rPr>
        <w:t>authorizations</w:t>
      </w:r>
      <w:r w:rsidRPr="005712E5">
        <w:rPr>
          <w:szCs w:val="22"/>
        </w:rPr>
        <w:t xml:space="preserve"> in proportion to the final clock phase price of the </w:t>
      </w:r>
      <w:r>
        <w:rPr>
          <w:szCs w:val="22"/>
        </w:rPr>
        <w:t>blocks</w:t>
      </w:r>
      <w:r w:rsidRPr="005712E5">
        <w:rPr>
          <w:szCs w:val="22"/>
        </w:rPr>
        <w:t xml:space="preserve"> that the bidder is assigned in that </w:t>
      </w:r>
      <w:r>
        <w:rPr>
          <w:szCs w:val="22"/>
        </w:rPr>
        <w:t xml:space="preserve">assignment </w:t>
      </w:r>
      <w:r w:rsidRPr="005712E5">
        <w:rPr>
          <w:szCs w:val="22"/>
        </w:rPr>
        <w:t xml:space="preserve">category and </w:t>
      </w:r>
      <w:r>
        <w:rPr>
          <w:szCs w:val="22"/>
        </w:rPr>
        <w:t>PEA (or PEA group)</w:t>
      </w:r>
      <w:r w:rsidRPr="005712E5">
        <w:rPr>
          <w:szCs w:val="22"/>
        </w:rPr>
        <w:t xml:space="preserve">.  To calculate the net price, the auction bidding system will first apportion any applicable bidding credit discounts to each </w:t>
      </w:r>
      <w:r>
        <w:rPr>
          <w:szCs w:val="22"/>
        </w:rPr>
        <w:t>PEA or PEA group</w:t>
      </w:r>
      <w:r w:rsidRPr="005712E5">
        <w:rPr>
          <w:szCs w:val="22"/>
        </w:rPr>
        <w:t xml:space="preserve"> in proportion to the gross payment for that market.  Then, for each </w:t>
      </w:r>
      <w:r>
        <w:rPr>
          <w:szCs w:val="22"/>
        </w:rPr>
        <w:t>PEA or PEA group</w:t>
      </w:r>
      <w:r w:rsidRPr="005712E5">
        <w:rPr>
          <w:szCs w:val="22"/>
        </w:rPr>
        <w:t>, the auct</w:t>
      </w:r>
      <w:r w:rsidRPr="005712E5">
        <w:rPr>
          <w:szCs w:val="22"/>
        </w:rPr>
        <w:t xml:space="preserve">ion bidding system will apportion the assignment payment and the discount to licenses in proportion to the final clock phase price of the </w:t>
      </w:r>
      <w:r>
        <w:rPr>
          <w:szCs w:val="22"/>
        </w:rPr>
        <w:t>blocks</w:t>
      </w:r>
      <w:r w:rsidRPr="005712E5">
        <w:rPr>
          <w:szCs w:val="22"/>
        </w:rPr>
        <w:t xml:space="preserve"> that the bidder is assigned in that </w:t>
      </w:r>
      <w:r>
        <w:rPr>
          <w:szCs w:val="22"/>
        </w:rPr>
        <w:t xml:space="preserve">assignment </w:t>
      </w:r>
      <w:r w:rsidRPr="005712E5">
        <w:rPr>
          <w:szCs w:val="22"/>
        </w:rPr>
        <w:t xml:space="preserve">category for that </w:t>
      </w:r>
      <w:r>
        <w:rPr>
          <w:szCs w:val="22"/>
        </w:rPr>
        <w:t>PEA (or PEA group)</w:t>
      </w:r>
      <w:r w:rsidRPr="005712E5">
        <w:rPr>
          <w:szCs w:val="22"/>
        </w:rPr>
        <w:t>.</w:t>
      </w:r>
      <w:r w:rsidRPr="00084A23">
        <w:rPr>
          <w:szCs w:val="22"/>
        </w:rPr>
        <w:t xml:space="preserve">  </w:t>
      </w:r>
    </w:p>
    <w:p w:rsidR="00062EAF" w:rsidRPr="00BE1012" w:rsidP="00062EAF" w14:paraId="673BD0A6" w14:textId="77777777">
      <w:pPr>
        <w:pStyle w:val="Heading2"/>
        <w:rPr>
          <w:rFonts w:eastAsia="Calibri"/>
        </w:rPr>
      </w:pPr>
      <w:bookmarkStart w:id="2271" w:name="_Toc8657210"/>
      <w:bookmarkStart w:id="2272" w:name="_Toc9410736"/>
      <w:bookmarkStart w:id="2273" w:name="_Toc9430142"/>
      <w:bookmarkStart w:id="2274" w:name="_Toc10116904"/>
      <w:bookmarkStart w:id="2275" w:name="_Toc10646210"/>
      <w:bookmarkStart w:id="2276" w:name="_Toc11156614"/>
      <w:bookmarkStart w:id="2277" w:name="_Toc11244358"/>
      <w:bookmarkStart w:id="2278" w:name="_Toc11653614"/>
      <w:bookmarkStart w:id="2279" w:name="_Toc11678193"/>
      <w:bookmarkStart w:id="2280" w:name="_Toc13654780"/>
      <w:bookmarkStart w:id="2281" w:name="_Toc24459499"/>
      <w:bookmarkStart w:id="2282" w:name="_Toc24459596"/>
      <w:bookmarkStart w:id="2283" w:name="_Toc25926286"/>
      <w:bookmarkStart w:id="2284" w:name="_Toc25926864"/>
      <w:bookmarkStart w:id="2285" w:name="_Toc25926978"/>
      <w:bookmarkStart w:id="2286" w:name="_Toc27039046"/>
      <w:bookmarkStart w:id="2287" w:name="_Toc29813189"/>
      <w:bookmarkStart w:id="2288" w:name="_Toc29886914"/>
      <w:bookmarkStart w:id="2289" w:name="_Toc29999522"/>
      <w:bookmarkStart w:id="2290" w:name="_Toc30699444"/>
      <w:bookmarkStart w:id="2291" w:name="_Toc30701524"/>
      <w:bookmarkStart w:id="2292" w:name="_Toc31189346"/>
      <w:bookmarkStart w:id="2293" w:name="_Toc31189800"/>
      <w:bookmarkStart w:id="2294" w:name="_Toc31193167"/>
      <w:bookmarkStart w:id="2295" w:name="_Toc31195915"/>
      <w:bookmarkStart w:id="2296" w:name="_Toc31200039"/>
      <w:bookmarkStart w:id="2297" w:name="_Toc31713806"/>
      <w:bookmarkStart w:id="2298" w:name="_Toc31822715"/>
      <w:bookmarkStart w:id="2299" w:name="_Toc33629872"/>
      <w:bookmarkStart w:id="2300" w:name="_Toc33696724"/>
      <w:r w:rsidRPr="00435180">
        <w:rPr>
          <w:rFonts w:eastAsia="Calibri"/>
        </w:rPr>
        <w:t>Auction Results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rsidR="00062EAF" w:rsidRPr="00435180" w:rsidP="00062EAF" w14:paraId="7CC05D9F" w14:textId="766081F2">
      <w:pPr>
        <w:pStyle w:val="ParaNum"/>
        <w:widowControl/>
        <w:rPr>
          <w:szCs w:val="22"/>
        </w:rPr>
      </w:pPr>
      <w:r w:rsidRPr="00435180">
        <w:rPr>
          <w:szCs w:val="22"/>
        </w:rPr>
        <w:t xml:space="preserve">The bidding system will determine winning bidders as described in </w:t>
      </w:r>
      <w:r>
        <w:rPr>
          <w:szCs w:val="22"/>
        </w:rPr>
        <w:t>section IV.A.9</w:t>
      </w:r>
      <w:r w:rsidRPr="00435180">
        <w:rPr>
          <w:szCs w:val="22"/>
        </w:rPr>
        <w:t xml:space="preserve"> (Winning Bids</w:t>
      </w:r>
      <w:r>
        <w:rPr>
          <w:szCs w:val="22"/>
        </w:rPr>
        <w:t xml:space="preserve"> in the Clock Phase</w:t>
      </w:r>
      <w:r w:rsidRPr="00435180">
        <w:rPr>
          <w:szCs w:val="22"/>
        </w:rPr>
        <w:t xml:space="preserve">), above.  </w:t>
      </w:r>
      <w:bookmarkStart w:id="2301" w:name="_Hlk34234854"/>
      <w:r w:rsidRPr="00435180">
        <w:rPr>
          <w:szCs w:val="22"/>
        </w:rPr>
        <w:t xml:space="preserve">After </w:t>
      </w:r>
      <w:r>
        <w:rPr>
          <w:szCs w:val="22"/>
        </w:rPr>
        <w:t xml:space="preserve">release of the public notice announcing </w:t>
      </w:r>
      <w:r w:rsidRPr="00435180">
        <w:rPr>
          <w:szCs w:val="22"/>
        </w:rPr>
        <w:t xml:space="preserve">auction results, the public </w:t>
      </w:r>
      <w:r>
        <w:rPr>
          <w:szCs w:val="22"/>
        </w:rPr>
        <w:t xml:space="preserve">will be able </w:t>
      </w:r>
      <w:r w:rsidRPr="00435180">
        <w:rPr>
          <w:szCs w:val="22"/>
        </w:rPr>
        <w:t>to view and download bidding and results data</w:t>
      </w:r>
      <w:r>
        <w:rPr>
          <w:szCs w:val="22"/>
        </w:rPr>
        <w:t xml:space="preserve"> through the FCC Public Reporting System (PRS</w:t>
      </w:r>
      <w:bookmarkEnd w:id="2301"/>
      <w:r>
        <w:rPr>
          <w:szCs w:val="22"/>
        </w:rPr>
        <w:t>)</w:t>
      </w:r>
      <w:r w:rsidRPr="00435180">
        <w:rPr>
          <w:szCs w:val="22"/>
        </w:rPr>
        <w:t>.</w:t>
      </w:r>
    </w:p>
    <w:p w:rsidR="00062EAF" w:rsidRPr="00BE1012" w:rsidP="00062EAF" w14:paraId="7AD49D7C" w14:textId="77777777">
      <w:pPr>
        <w:pStyle w:val="Heading2"/>
        <w:rPr>
          <w:rFonts w:eastAsia="Calibri"/>
        </w:rPr>
      </w:pPr>
      <w:bookmarkStart w:id="2302" w:name="_Toc8657211"/>
      <w:bookmarkStart w:id="2303" w:name="_Toc9410737"/>
      <w:bookmarkStart w:id="2304" w:name="_Toc9430143"/>
      <w:bookmarkStart w:id="2305" w:name="_Toc10116905"/>
      <w:bookmarkStart w:id="2306" w:name="_Toc10646211"/>
      <w:bookmarkStart w:id="2307" w:name="_Toc11156615"/>
      <w:bookmarkStart w:id="2308" w:name="_Toc11244359"/>
      <w:bookmarkStart w:id="2309" w:name="_Toc11653615"/>
      <w:bookmarkStart w:id="2310" w:name="_Toc11678194"/>
      <w:bookmarkStart w:id="2311" w:name="_Toc13654781"/>
      <w:bookmarkStart w:id="2312" w:name="_Toc24459500"/>
      <w:bookmarkStart w:id="2313" w:name="_Toc24459597"/>
      <w:bookmarkStart w:id="2314" w:name="_Toc25926287"/>
      <w:bookmarkStart w:id="2315" w:name="_Toc25926865"/>
      <w:bookmarkStart w:id="2316" w:name="_Toc25926979"/>
      <w:bookmarkStart w:id="2317" w:name="_Toc27039047"/>
      <w:bookmarkStart w:id="2318" w:name="_Toc29813190"/>
      <w:bookmarkStart w:id="2319" w:name="_Toc29886915"/>
      <w:bookmarkStart w:id="2320" w:name="_Toc29999523"/>
      <w:bookmarkStart w:id="2321" w:name="_Toc30699445"/>
      <w:bookmarkStart w:id="2322" w:name="_Toc30701525"/>
      <w:bookmarkStart w:id="2323" w:name="_Toc31189347"/>
      <w:bookmarkStart w:id="2324" w:name="_Toc31189801"/>
      <w:bookmarkStart w:id="2325" w:name="_Toc31193168"/>
      <w:bookmarkStart w:id="2326" w:name="_Toc31195916"/>
      <w:bookmarkStart w:id="2327" w:name="_Toc31200040"/>
      <w:bookmarkStart w:id="2328" w:name="_Toc31713807"/>
      <w:bookmarkStart w:id="2329" w:name="_Toc31822716"/>
      <w:bookmarkStart w:id="2330" w:name="_Toc33629873"/>
      <w:bookmarkStart w:id="2331" w:name="_Toc33696725"/>
      <w:r w:rsidRPr="00435180">
        <w:rPr>
          <w:rFonts w:eastAsia="Calibri"/>
        </w:rPr>
        <w:t>Auction Announcements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rsidR="00D6515C" w:rsidRPr="00435180" w:rsidP="00062EAF" w14:paraId="2FCB799F" w14:textId="49AAA0A6">
      <w:pPr>
        <w:pStyle w:val="ParaNum"/>
        <w:widowControl/>
        <w:rPr>
          <w:szCs w:val="22"/>
        </w:rPr>
      </w:pPr>
      <w:r w:rsidRPr="00435180">
        <w:rPr>
          <w:szCs w:val="22"/>
        </w:rPr>
        <w:t xml:space="preserve">Commission </w:t>
      </w:r>
      <w:r>
        <w:rPr>
          <w:szCs w:val="22"/>
        </w:rPr>
        <w:t xml:space="preserve">staff </w:t>
      </w:r>
      <w:r w:rsidRPr="00435180">
        <w:rPr>
          <w:szCs w:val="22"/>
        </w:rPr>
        <w:t>will use auction announcements to report necessary information, such as schedule changes</w:t>
      </w:r>
      <w:r>
        <w:rPr>
          <w:szCs w:val="22"/>
        </w:rPr>
        <w:t>,</w:t>
      </w:r>
      <w:r w:rsidRPr="00435180">
        <w:rPr>
          <w:szCs w:val="22"/>
        </w:rPr>
        <w:t xml:space="preserve"> to bidders.  All auction </w:t>
      </w:r>
      <w:r w:rsidRPr="00435180">
        <w:rPr>
          <w:color w:val="000000"/>
          <w:szCs w:val="22"/>
        </w:rPr>
        <w:t>announcements</w:t>
      </w:r>
      <w:r w:rsidRPr="00435180">
        <w:rPr>
          <w:szCs w:val="22"/>
        </w:rPr>
        <w:t xml:space="preserve"> will be available by clicking a link in the bidding system</w:t>
      </w:r>
      <w:r w:rsidRPr="00435180" w:rsidR="00D54B79">
        <w:rPr>
          <w:szCs w:val="22"/>
        </w:rPr>
        <w:t>.</w:t>
      </w:r>
    </w:p>
    <w:p w:rsidR="00D6515C" w:rsidRPr="00435180" w:rsidP="00D6515C" w14:paraId="2C0589CD" w14:textId="7030DB85">
      <w:pPr>
        <w:pStyle w:val="Heading1"/>
        <w:rPr>
          <w:rFonts w:ascii="Times New Roman" w:hAnsi="Times New Roman"/>
          <w:szCs w:val="22"/>
        </w:rPr>
      </w:pPr>
      <w:bookmarkStart w:id="2332" w:name="_Toc6383504"/>
      <w:bookmarkStart w:id="2333" w:name="_Toc7525830"/>
      <w:bookmarkStart w:id="2334" w:name="_Toc8657212"/>
      <w:bookmarkStart w:id="2335" w:name="_Toc9410738"/>
      <w:bookmarkStart w:id="2336" w:name="_Toc9430144"/>
      <w:bookmarkStart w:id="2337" w:name="_Toc10116906"/>
      <w:bookmarkStart w:id="2338" w:name="_Toc10646212"/>
      <w:bookmarkStart w:id="2339" w:name="_Toc11156616"/>
      <w:bookmarkStart w:id="2340" w:name="_Toc11244360"/>
      <w:bookmarkStart w:id="2341" w:name="_Toc11653616"/>
      <w:bookmarkStart w:id="2342" w:name="_Toc11678195"/>
      <w:bookmarkStart w:id="2343" w:name="_Toc13654782"/>
      <w:bookmarkStart w:id="2344" w:name="_Toc25926866"/>
      <w:bookmarkStart w:id="2345" w:name="_Toc25926980"/>
      <w:bookmarkStart w:id="2346" w:name="_Toc27039048"/>
      <w:bookmarkStart w:id="2347" w:name="_Toc29813191"/>
      <w:bookmarkStart w:id="2348" w:name="_Toc29886916"/>
      <w:bookmarkStart w:id="2349" w:name="_Toc29999524"/>
      <w:bookmarkStart w:id="2350" w:name="_Toc30699446"/>
      <w:bookmarkStart w:id="2351" w:name="_Toc30701526"/>
      <w:bookmarkStart w:id="2352" w:name="_Toc31189348"/>
      <w:bookmarkStart w:id="2353" w:name="_Toc31189802"/>
      <w:bookmarkStart w:id="2354" w:name="_Toc31193169"/>
      <w:bookmarkStart w:id="2355" w:name="_Toc31195917"/>
      <w:bookmarkStart w:id="2356" w:name="_Toc31200041"/>
      <w:bookmarkStart w:id="2357" w:name="_Toc31713808"/>
      <w:bookmarkStart w:id="2358" w:name="_Toc31822717"/>
      <w:bookmarkStart w:id="2359" w:name="_Toc33629874"/>
      <w:bookmarkStart w:id="2360" w:name="_Toc33696726"/>
      <w:bookmarkStart w:id="2361" w:name="_Toc24459501"/>
      <w:bookmarkStart w:id="2362" w:name="_Toc24459598"/>
      <w:bookmarkStart w:id="2363" w:name="_Toc25926288"/>
      <w:r w:rsidRPr="00435180">
        <w:rPr>
          <w:rFonts w:ascii="Times New Roman" w:hAnsi="Times New Roman"/>
          <w:szCs w:val="22"/>
        </w:rPr>
        <w:t>Post-Auction Procedures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sidR="009B560D">
        <w:rPr>
          <w:rFonts w:ascii="Times New Roman" w:hAnsi="Times New Roman"/>
          <w:szCs w:val="22"/>
        </w:rPr>
        <w:t xml:space="preserve"> </w:t>
      </w:r>
      <w:bookmarkEnd w:id="2361"/>
      <w:bookmarkEnd w:id="2362"/>
      <w:bookmarkEnd w:id="2363"/>
    </w:p>
    <w:p w:rsidR="00D6515C" w:rsidRPr="00435180" w:rsidP="00D6515C" w14:paraId="6B844A6C" w14:textId="4556A64F">
      <w:pPr>
        <w:pStyle w:val="ParaNum"/>
        <w:keepNext/>
        <w:widowControl/>
        <w:rPr>
          <w:szCs w:val="22"/>
        </w:rPr>
      </w:pPr>
      <w:r>
        <w:rPr>
          <w:szCs w:val="22"/>
        </w:rPr>
        <w:t>The public notice</w:t>
      </w:r>
      <w:r w:rsidR="00F648C8">
        <w:rPr>
          <w:szCs w:val="22"/>
        </w:rPr>
        <w:t xml:space="preserve"> announcing the close of the </w:t>
      </w:r>
      <w:r w:rsidR="00843F8F">
        <w:rPr>
          <w:szCs w:val="22"/>
        </w:rPr>
        <w:t xml:space="preserve">bidding and </w:t>
      </w:r>
      <w:r w:rsidR="00F648C8">
        <w:rPr>
          <w:szCs w:val="22"/>
        </w:rPr>
        <w:t xml:space="preserve">auction </w:t>
      </w:r>
      <w:r w:rsidR="00843F8F">
        <w:rPr>
          <w:szCs w:val="22"/>
        </w:rPr>
        <w:t>results will be released</w:t>
      </w:r>
      <w:r w:rsidR="00F648C8">
        <w:rPr>
          <w:szCs w:val="22"/>
        </w:rPr>
        <w:t xml:space="preserve"> </w:t>
      </w:r>
      <w:r w:rsidR="00843F8F">
        <w:rPr>
          <w:szCs w:val="22"/>
        </w:rPr>
        <w:t>s</w:t>
      </w:r>
      <w:r w:rsidRPr="00435180" w:rsidR="00777B66">
        <w:rPr>
          <w:szCs w:val="22"/>
        </w:rPr>
        <w:t>hortly after bidding has ended in Auction 10</w:t>
      </w:r>
      <w:r w:rsidR="00384C12">
        <w:rPr>
          <w:szCs w:val="22"/>
        </w:rPr>
        <w:t>7</w:t>
      </w:r>
      <w:r w:rsidR="0000674A">
        <w:rPr>
          <w:szCs w:val="22"/>
        </w:rPr>
        <w:t>.  This public notice will also establish</w:t>
      </w:r>
      <w:r w:rsidRPr="00435180" w:rsidR="00777B66">
        <w:rPr>
          <w:szCs w:val="22"/>
        </w:rPr>
        <w:t xml:space="preserve"> the deadlines for submitting down payments, final payments, and the long-form applications (FCC Form 601) for the auction.</w:t>
      </w:r>
    </w:p>
    <w:p w:rsidR="00D6515C" w:rsidRPr="00435180" w:rsidP="000C230C" w14:paraId="4D27FFFA" w14:textId="77777777">
      <w:pPr>
        <w:pStyle w:val="Heading2"/>
      </w:pPr>
      <w:bookmarkStart w:id="2364" w:name="_Toc6383505"/>
      <w:bookmarkStart w:id="2365" w:name="_Toc7525831"/>
      <w:bookmarkStart w:id="2366" w:name="_Toc8657213"/>
      <w:bookmarkStart w:id="2367" w:name="_Toc9410739"/>
      <w:bookmarkStart w:id="2368" w:name="_Toc9430145"/>
      <w:bookmarkStart w:id="2369" w:name="_Toc10116907"/>
      <w:bookmarkStart w:id="2370" w:name="_Toc10646213"/>
      <w:bookmarkStart w:id="2371" w:name="_Toc11156617"/>
      <w:bookmarkStart w:id="2372" w:name="_Toc11244361"/>
      <w:bookmarkStart w:id="2373" w:name="_Toc11653617"/>
      <w:bookmarkStart w:id="2374" w:name="_Toc11678196"/>
      <w:bookmarkStart w:id="2375" w:name="_Toc13654783"/>
      <w:bookmarkStart w:id="2376" w:name="_Toc24459502"/>
      <w:bookmarkStart w:id="2377" w:name="_Toc24459599"/>
      <w:bookmarkStart w:id="2378" w:name="_Toc25926289"/>
      <w:bookmarkStart w:id="2379" w:name="_Toc25926867"/>
      <w:bookmarkStart w:id="2380" w:name="_Toc25926981"/>
      <w:bookmarkStart w:id="2381" w:name="_Toc27039049"/>
      <w:bookmarkStart w:id="2382" w:name="_Toc29813192"/>
      <w:bookmarkStart w:id="2383" w:name="_Toc29886917"/>
      <w:bookmarkStart w:id="2384" w:name="_Toc29999525"/>
      <w:bookmarkStart w:id="2385" w:name="_Toc30699447"/>
      <w:bookmarkStart w:id="2386" w:name="_Toc30701527"/>
      <w:bookmarkStart w:id="2387" w:name="_Toc31189349"/>
      <w:bookmarkStart w:id="2388" w:name="_Toc31189803"/>
      <w:bookmarkStart w:id="2389" w:name="_Toc31193170"/>
      <w:bookmarkStart w:id="2390" w:name="_Toc31195918"/>
      <w:bookmarkStart w:id="2391" w:name="_Toc31200042"/>
      <w:bookmarkStart w:id="2392" w:name="_Toc31713809"/>
      <w:bookmarkStart w:id="2393" w:name="_Toc31822718"/>
      <w:bookmarkStart w:id="2394" w:name="_Toc33629875"/>
      <w:bookmarkStart w:id="2395" w:name="_Toc33696727"/>
      <w:r w:rsidRPr="00435180">
        <w:t>Down Payments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rsidR="00D6515C" w:rsidRPr="00435180" w:rsidP="00D6515C" w14:paraId="129405A5" w14:textId="19EDE20F">
      <w:pPr>
        <w:pStyle w:val="ParaNum"/>
        <w:widowControl/>
        <w:rPr>
          <w:szCs w:val="22"/>
        </w:rPr>
      </w:pPr>
      <w:r w:rsidRPr="00435180">
        <w:rPr>
          <w:szCs w:val="22"/>
        </w:rPr>
        <w:t xml:space="preserve">Within 10 </w:t>
      </w:r>
      <w:r w:rsidRPr="00435180">
        <w:rPr>
          <w:color w:val="000000"/>
          <w:szCs w:val="22"/>
        </w:rPr>
        <w:t>business</w:t>
      </w:r>
      <w:r w:rsidRPr="00435180">
        <w:rPr>
          <w:szCs w:val="22"/>
        </w:rPr>
        <w:t xml:space="preserve"> days after release of the auction closing public notice for Auction 10</w:t>
      </w:r>
      <w:r w:rsidR="009F66E1">
        <w:rPr>
          <w:szCs w:val="22"/>
        </w:rPr>
        <w:t>7</w:t>
      </w:r>
      <w:r w:rsidRPr="00435180">
        <w:rPr>
          <w:szCs w:val="22"/>
        </w:rPr>
        <w:t>, each winning bidde</w:t>
      </w:r>
      <w:r w:rsidRPr="00435180">
        <w:rPr>
          <w:szCs w:val="22"/>
        </w:rPr>
        <w:t>r must submit sufficient funds (in addition to its upfront payment) to bring its total amount of money on deposit with the Commission to 20% of the net amount of its winning</w:t>
      </w:r>
      <w:r w:rsidR="007A10A7">
        <w:rPr>
          <w:szCs w:val="22"/>
        </w:rPr>
        <w:t xml:space="preserve"> bids</w:t>
      </w:r>
      <w:r w:rsidRPr="00435180">
        <w:rPr>
          <w:szCs w:val="22"/>
        </w:rPr>
        <w:t xml:space="preserve"> (less any bidding credits, if applicable).</w:t>
      </w:r>
      <w:r>
        <w:rPr>
          <w:rStyle w:val="FootnoteReference"/>
          <w:szCs w:val="22"/>
        </w:rPr>
        <w:footnoteReference w:id="364"/>
      </w:r>
      <w:r w:rsidRPr="00435180">
        <w:rPr>
          <w:szCs w:val="22"/>
        </w:rPr>
        <w:t xml:space="preserve"> </w:t>
      </w:r>
    </w:p>
    <w:p w:rsidR="00D6515C" w:rsidRPr="00435180" w:rsidP="000C230C" w14:paraId="53A94D07" w14:textId="77777777">
      <w:pPr>
        <w:pStyle w:val="Heading2"/>
      </w:pPr>
      <w:bookmarkStart w:id="2396" w:name="_Toc6383506"/>
      <w:bookmarkStart w:id="2397" w:name="_Toc7525832"/>
      <w:bookmarkStart w:id="2398" w:name="_Toc8657214"/>
      <w:bookmarkStart w:id="2399" w:name="_Toc9410740"/>
      <w:bookmarkStart w:id="2400" w:name="_Toc9430146"/>
      <w:bookmarkStart w:id="2401" w:name="_Toc10116908"/>
      <w:bookmarkStart w:id="2402" w:name="_Toc10646214"/>
      <w:bookmarkStart w:id="2403" w:name="_Toc11156618"/>
      <w:bookmarkStart w:id="2404" w:name="_Toc11244362"/>
      <w:bookmarkStart w:id="2405" w:name="_Toc11653618"/>
      <w:bookmarkStart w:id="2406" w:name="_Toc11678197"/>
      <w:bookmarkStart w:id="2407" w:name="_Toc13654784"/>
      <w:bookmarkStart w:id="2408" w:name="_Toc24459503"/>
      <w:bookmarkStart w:id="2409" w:name="_Toc24459600"/>
      <w:bookmarkStart w:id="2410" w:name="_Toc25926290"/>
      <w:bookmarkStart w:id="2411" w:name="_Toc25926868"/>
      <w:bookmarkStart w:id="2412" w:name="_Toc25926982"/>
      <w:bookmarkStart w:id="2413" w:name="_Toc27039050"/>
      <w:bookmarkStart w:id="2414" w:name="_Toc29813193"/>
      <w:bookmarkStart w:id="2415" w:name="_Toc29886918"/>
      <w:bookmarkStart w:id="2416" w:name="_Toc29999526"/>
      <w:bookmarkStart w:id="2417" w:name="_Toc30699448"/>
      <w:bookmarkStart w:id="2418" w:name="_Toc30701528"/>
      <w:bookmarkStart w:id="2419" w:name="_Toc31189350"/>
      <w:bookmarkStart w:id="2420" w:name="_Toc31189804"/>
      <w:bookmarkStart w:id="2421" w:name="_Toc31193171"/>
      <w:bookmarkStart w:id="2422" w:name="_Toc31195919"/>
      <w:bookmarkStart w:id="2423" w:name="_Toc31200043"/>
      <w:bookmarkStart w:id="2424" w:name="_Toc31713810"/>
      <w:bookmarkStart w:id="2425" w:name="_Toc31822719"/>
      <w:bookmarkStart w:id="2426" w:name="_Toc33629876"/>
      <w:bookmarkStart w:id="2427" w:name="_Toc33696728"/>
      <w:r w:rsidRPr="00435180">
        <w:t>Final Payments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rsidR="00D6515C" w:rsidRPr="00435180" w:rsidP="00D6515C" w14:paraId="20FCE754" w14:textId="56061FF5">
      <w:pPr>
        <w:pStyle w:val="ParaNum"/>
        <w:widowControl/>
        <w:rPr>
          <w:szCs w:val="22"/>
        </w:rPr>
      </w:pPr>
      <w:r w:rsidRPr="00435180">
        <w:rPr>
          <w:szCs w:val="22"/>
        </w:rPr>
        <w:t xml:space="preserve">Each winning </w:t>
      </w:r>
      <w:r w:rsidRPr="00435180">
        <w:rPr>
          <w:color w:val="000000"/>
          <w:szCs w:val="22"/>
        </w:rPr>
        <w:t>bid</w:t>
      </w:r>
      <w:r w:rsidRPr="00435180">
        <w:rPr>
          <w:color w:val="000000"/>
          <w:szCs w:val="22"/>
        </w:rPr>
        <w:t>der</w:t>
      </w:r>
      <w:r w:rsidRPr="00435180">
        <w:rPr>
          <w:szCs w:val="22"/>
        </w:rPr>
        <w:t xml:space="preserve"> will be required to submit the balance of the net amount for each of its winning bids within 10 business days after the deadline for submitting down payments.</w:t>
      </w:r>
      <w:r>
        <w:rPr>
          <w:rStyle w:val="FootnoteReference"/>
          <w:szCs w:val="22"/>
        </w:rPr>
        <w:footnoteReference w:id="365"/>
      </w:r>
    </w:p>
    <w:p w:rsidR="00D6515C" w:rsidRPr="00435180" w:rsidP="000C230C" w14:paraId="21433691" w14:textId="77777777">
      <w:pPr>
        <w:pStyle w:val="Heading2"/>
      </w:pPr>
      <w:bookmarkStart w:id="2428" w:name="_Toc6383507"/>
      <w:bookmarkStart w:id="2429" w:name="_Toc7525833"/>
      <w:bookmarkStart w:id="2430" w:name="_Toc8657215"/>
      <w:bookmarkStart w:id="2431" w:name="_Toc9410741"/>
      <w:bookmarkStart w:id="2432" w:name="_Toc9430147"/>
      <w:bookmarkStart w:id="2433" w:name="_Toc10116909"/>
      <w:bookmarkStart w:id="2434" w:name="_Toc10646215"/>
      <w:bookmarkStart w:id="2435" w:name="_Toc11156619"/>
      <w:bookmarkStart w:id="2436" w:name="_Toc11244363"/>
      <w:bookmarkStart w:id="2437" w:name="_Toc11653619"/>
      <w:bookmarkStart w:id="2438" w:name="_Toc11678198"/>
      <w:bookmarkStart w:id="2439" w:name="_Toc13654785"/>
      <w:bookmarkStart w:id="2440" w:name="_Toc24459504"/>
      <w:bookmarkStart w:id="2441" w:name="_Toc24459601"/>
      <w:bookmarkStart w:id="2442" w:name="_Toc25926291"/>
      <w:bookmarkStart w:id="2443" w:name="_Toc25926869"/>
      <w:bookmarkStart w:id="2444" w:name="_Toc25926983"/>
      <w:bookmarkStart w:id="2445" w:name="_Toc27039051"/>
      <w:bookmarkStart w:id="2446" w:name="_Toc29813194"/>
      <w:bookmarkStart w:id="2447" w:name="_Toc29886919"/>
      <w:bookmarkStart w:id="2448" w:name="_Toc29999527"/>
      <w:bookmarkStart w:id="2449" w:name="_Toc30699449"/>
      <w:bookmarkStart w:id="2450" w:name="_Toc30701529"/>
      <w:bookmarkStart w:id="2451" w:name="_Toc31189351"/>
      <w:bookmarkStart w:id="2452" w:name="_Toc31189805"/>
      <w:bookmarkStart w:id="2453" w:name="_Toc31193172"/>
      <w:bookmarkStart w:id="2454" w:name="_Toc31195920"/>
      <w:bookmarkStart w:id="2455" w:name="_Toc31200044"/>
      <w:bookmarkStart w:id="2456" w:name="_Toc31713811"/>
      <w:bookmarkStart w:id="2457" w:name="_Toc31822720"/>
      <w:bookmarkStart w:id="2458" w:name="_Toc33629877"/>
      <w:bookmarkStart w:id="2459" w:name="_Toc33696729"/>
      <w:r w:rsidRPr="00435180">
        <w:t>Long-Form Application (FCC Form 601)</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rsidR="00D6515C" w:rsidRPr="00435180" w:rsidP="00D6515C" w14:paraId="2A91233B" w14:textId="4404D0EC">
      <w:pPr>
        <w:pStyle w:val="ParaNum"/>
        <w:widowControl/>
        <w:rPr>
          <w:szCs w:val="22"/>
        </w:rPr>
      </w:pPr>
      <w:r w:rsidRPr="00435180">
        <w:rPr>
          <w:szCs w:val="22"/>
        </w:rPr>
        <w:t xml:space="preserve">The Commission’s rules provide that, within 10 </w:t>
      </w:r>
      <w:r w:rsidRPr="00435180">
        <w:rPr>
          <w:szCs w:val="22"/>
        </w:rPr>
        <w:t>business days after release of the auction closing public notice, winning bidders must electronically submit a properly completed post-auction application (FCC Form 601) for the license(s) they won through the auction.</w:t>
      </w:r>
      <w:r>
        <w:rPr>
          <w:rStyle w:val="FootnoteReference"/>
          <w:szCs w:val="22"/>
        </w:rPr>
        <w:footnoteReference w:id="366"/>
      </w:r>
      <w:r w:rsidRPr="00435180">
        <w:rPr>
          <w:rStyle w:val="FootnoteReference"/>
          <w:szCs w:val="22"/>
        </w:rPr>
        <w:t xml:space="preserve"> </w:t>
      </w:r>
      <w:r w:rsidRPr="00435180">
        <w:rPr>
          <w:szCs w:val="22"/>
        </w:rPr>
        <w:t xml:space="preserve">   </w:t>
      </w:r>
    </w:p>
    <w:p w:rsidR="00D6515C" w:rsidRPr="00435180" w:rsidP="00D6515C" w14:paraId="1D015E03" w14:textId="07CFBC30">
      <w:pPr>
        <w:pStyle w:val="ParaNum"/>
        <w:widowControl/>
        <w:rPr>
          <w:szCs w:val="22"/>
        </w:rPr>
      </w:pPr>
      <w:r w:rsidRPr="00435180">
        <w:rPr>
          <w:szCs w:val="22"/>
        </w:rPr>
        <w:t>A winning bidder claiming eligi</w:t>
      </w:r>
      <w:r w:rsidRPr="00435180">
        <w:rPr>
          <w:szCs w:val="22"/>
        </w:rPr>
        <w:t>bility for a small business bidding credit or a rural service provider bidding credit must demonstrate its eligibility</w:t>
      </w:r>
      <w:r w:rsidRPr="00737BBA" w:rsidR="00737BBA">
        <w:rPr>
          <w:szCs w:val="22"/>
        </w:rPr>
        <w:t xml:space="preserve"> </w:t>
      </w:r>
      <w:r w:rsidRPr="00435180" w:rsidR="00737BBA">
        <w:rPr>
          <w:szCs w:val="22"/>
        </w:rPr>
        <w:t>for the bidding credit sought</w:t>
      </w:r>
      <w:r w:rsidRPr="00435180">
        <w:rPr>
          <w:szCs w:val="22"/>
        </w:rPr>
        <w:t xml:space="preserve"> in its FCC Form 601 post-auction application.</w:t>
      </w:r>
      <w:r>
        <w:rPr>
          <w:rStyle w:val="FootnoteReference"/>
          <w:szCs w:val="22"/>
        </w:rPr>
        <w:footnoteReference w:id="367"/>
      </w:r>
      <w:r w:rsidRPr="00435180">
        <w:rPr>
          <w:szCs w:val="22"/>
        </w:rPr>
        <w:t xml:space="preserve">  Further instructions on these and other filing requirement</w:t>
      </w:r>
      <w:r w:rsidRPr="00435180">
        <w:rPr>
          <w:szCs w:val="22"/>
        </w:rPr>
        <w:t>s will be provided to winning bidders in the auction closing public notice for Auction 10</w:t>
      </w:r>
      <w:r w:rsidR="00B62965">
        <w:rPr>
          <w:szCs w:val="22"/>
        </w:rPr>
        <w:t>7</w:t>
      </w:r>
      <w:r w:rsidRPr="00435180">
        <w:rPr>
          <w:szCs w:val="22"/>
        </w:rPr>
        <w:t>.</w:t>
      </w:r>
    </w:p>
    <w:p w:rsidR="00D6515C" w:rsidRPr="00435180" w:rsidP="006F4FD0" w14:paraId="588048D1" w14:textId="2A2DE6EA">
      <w:pPr>
        <w:pStyle w:val="ParaNum"/>
        <w:widowControl/>
        <w:rPr>
          <w:szCs w:val="22"/>
        </w:rPr>
      </w:pPr>
      <w:r w:rsidRPr="00435180">
        <w:rPr>
          <w:szCs w:val="22"/>
        </w:rPr>
        <w:t>Winning bidders organized as bidding consortia must comply with the FCC Form 601 post-auction application procedures set forth in section 1.2107(g) of the Commissio</w:t>
      </w:r>
      <w:r w:rsidRPr="00435180">
        <w:rPr>
          <w:szCs w:val="22"/>
        </w:rPr>
        <w:t>n’s rules.</w:t>
      </w:r>
      <w:r>
        <w:rPr>
          <w:rStyle w:val="FootnoteReference"/>
          <w:szCs w:val="22"/>
        </w:rPr>
        <w:footnoteReference w:id="368"/>
      </w:r>
      <w:r w:rsidRPr="00435180">
        <w:rPr>
          <w:rStyle w:val="FootnoteReference"/>
          <w:szCs w:val="22"/>
        </w:rPr>
        <w:t xml:space="preserve"> </w:t>
      </w:r>
      <w:r w:rsidRPr="00435180">
        <w:rPr>
          <w:szCs w:val="22"/>
        </w:rPr>
        <w:t xml:space="preserve"> Specifically, license(s) won by a consortium must be applied for as follows:  (a) an individual member of the consortium or a new legal entity comprising two or more individual consortium members must file for licenses covered by the winning </w:t>
      </w:r>
      <w:r w:rsidRPr="00435180">
        <w:rPr>
          <w:szCs w:val="22"/>
        </w:rPr>
        <w:t>bids; (b) each member or group of members of a winning consortium seeking separate licenses will be required to file a separate FCC Form 601 for its/their respective license(s) in their legal business name; (c) in the case of a license to be partitioned or</w:t>
      </w:r>
      <w:r w:rsidRPr="00435180">
        <w:rPr>
          <w:szCs w:val="22"/>
        </w:rPr>
        <w:t xml:space="preserve"> disaggregated, the member or group filing the applicable FCC Form 601 shall include the parties’ partitioning or disaggregation agreement with the FCC Form 601; and (d) if a DE credit is sought (either small business or rural service provider), the applic</w:t>
      </w:r>
      <w:r w:rsidRPr="00435180">
        <w:rPr>
          <w:szCs w:val="22"/>
        </w:rPr>
        <w:t>ant must meet the applicable eligibility requirements in the Commission’s rules for the credit.</w:t>
      </w:r>
      <w:r>
        <w:rPr>
          <w:rStyle w:val="FootnoteReference"/>
          <w:szCs w:val="22"/>
        </w:rPr>
        <w:footnoteReference w:id="369"/>
      </w:r>
      <w:r w:rsidRPr="00435180">
        <w:rPr>
          <w:szCs w:val="22"/>
        </w:rPr>
        <w:t xml:space="preserve">  </w:t>
      </w:r>
    </w:p>
    <w:p w:rsidR="00D6515C" w:rsidRPr="00435180" w:rsidP="000C230C" w14:paraId="4C766ED0" w14:textId="77777777">
      <w:pPr>
        <w:pStyle w:val="Heading2"/>
      </w:pPr>
      <w:bookmarkStart w:id="2460" w:name="_Toc6383508"/>
      <w:bookmarkStart w:id="2461" w:name="_Toc7525834"/>
      <w:bookmarkStart w:id="2462" w:name="_Toc8657216"/>
      <w:bookmarkStart w:id="2463" w:name="_Toc9410742"/>
      <w:bookmarkStart w:id="2464" w:name="_Toc9430148"/>
      <w:bookmarkStart w:id="2465" w:name="_Toc10116910"/>
      <w:bookmarkStart w:id="2466" w:name="_Toc10646216"/>
      <w:bookmarkStart w:id="2467" w:name="_Toc11156620"/>
      <w:bookmarkStart w:id="2468" w:name="_Toc11244364"/>
      <w:bookmarkStart w:id="2469" w:name="_Toc11653620"/>
      <w:bookmarkStart w:id="2470" w:name="_Toc11678199"/>
      <w:bookmarkStart w:id="2471" w:name="_Toc13654786"/>
      <w:bookmarkStart w:id="2472" w:name="_Toc24459505"/>
      <w:bookmarkStart w:id="2473" w:name="_Toc24459602"/>
      <w:bookmarkStart w:id="2474" w:name="_Toc25926292"/>
      <w:bookmarkStart w:id="2475" w:name="_Toc25926870"/>
      <w:bookmarkStart w:id="2476" w:name="_Toc25926984"/>
      <w:bookmarkStart w:id="2477" w:name="_Toc27039052"/>
      <w:bookmarkStart w:id="2478" w:name="_Toc29813195"/>
      <w:bookmarkStart w:id="2479" w:name="_Toc29886920"/>
      <w:bookmarkStart w:id="2480" w:name="_Toc29999528"/>
      <w:bookmarkStart w:id="2481" w:name="_Toc30699450"/>
      <w:bookmarkStart w:id="2482" w:name="_Toc30701530"/>
      <w:bookmarkStart w:id="2483" w:name="_Toc31189352"/>
      <w:bookmarkStart w:id="2484" w:name="_Toc31189806"/>
      <w:bookmarkStart w:id="2485" w:name="_Toc31193173"/>
      <w:bookmarkStart w:id="2486" w:name="_Toc31195921"/>
      <w:bookmarkStart w:id="2487" w:name="_Toc31200045"/>
      <w:bookmarkStart w:id="2488" w:name="_Toc31713812"/>
      <w:bookmarkStart w:id="2489" w:name="_Toc31822721"/>
      <w:bookmarkStart w:id="2490" w:name="_Toc33629878"/>
      <w:bookmarkStart w:id="2491" w:name="_Toc33696730"/>
      <w:r w:rsidRPr="00435180">
        <w:t>Ownership Disclosure Information Report (FCC Form 602)</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rsidR="00D6515C" w:rsidRPr="00435180" w:rsidP="00D6515C" w14:paraId="7686092F" w14:textId="3E005AA7">
      <w:pPr>
        <w:pStyle w:val="ParaNum"/>
        <w:widowControl/>
        <w:rPr>
          <w:szCs w:val="22"/>
        </w:rPr>
      </w:pPr>
      <w:r w:rsidRPr="00435180">
        <w:rPr>
          <w:szCs w:val="22"/>
        </w:rPr>
        <w:t>Within 10 business days after release of the auction closing public notice for Auction 10</w:t>
      </w:r>
      <w:r w:rsidR="00E63A16">
        <w:rPr>
          <w:szCs w:val="22"/>
        </w:rPr>
        <w:t>7</w:t>
      </w:r>
      <w:r w:rsidRPr="00435180">
        <w:rPr>
          <w:szCs w:val="22"/>
        </w:rPr>
        <w:t>, each winn</w:t>
      </w:r>
      <w:r w:rsidRPr="00435180">
        <w:rPr>
          <w:szCs w:val="22"/>
        </w:rPr>
        <w:t>ing bidder must also comply with the ownership reporting requirements in sections 1.913, 1.919, and 1.2112 of the Commission’s rules by submitting an ownership disclosure information report for wireless telecommunications services (FCC Form 602) with its F</w:t>
      </w:r>
      <w:r w:rsidRPr="00435180">
        <w:rPr>
          <w:szCs w:val="22"/>
        </w:rPr>
        <w:t>CC Form 601 post-auction application.</w:t>
      </w:r>
      <w:r>
        <w:rPr>
          <w:rStyle w:val="FootnoteReference"/>
          <w:szCs w:val="22"/>
        </w:rPr>
        <w:footnoteReference w:id="370"/>
      </w:r>
    </w:p>
    <w:p w:rsidR="00D6515C" w:rsidRPr="00435180" w:rsidP="00D6515C" w14:paraId="0F1B584C" w14:textId="7286C86E">
      <w:pPr>
        <w:pStyle w:val="ParaNum"/>
        <w:widowControl/>
        <w:rPr>
          <w:szCs w:val="22"/>
        </w:rPr>
      </w:pPr>
      <w:r w:rsidRPr="00435180">
        <w:rPr>
          <w:szCs w:val="22"/>
        </w:rPr>
        <w:t>If a winning bidder already has a complete and accurate FCC Form 602 on file in the FCC’s Universal Licensing System (ULS),</w:t>
      </w:r>
      <w:r w:rsidR="00A86888">
        <w:rPr>
          <w:szCs w:val="22"/>
        </w:rPr>
        <w:t xml:space="preserve"> then</w:t>
      </w:r>
      <w:r w:rsidRPr="00435180">
        <w:rPr>
          <w:szCs w:val="22"/>
        </w:rPr>
        <w:t xml:space="preserve"> it is not necessary to file a new report, but the winning bidder must certify in its FC</w:t>
      </w:r>
      <w:r w:rsidRPr="00435180">
        <w:rPr>
          <w:szCs w:val="22"/>
        </w:rPr>
        <w:t xml:space="preserve">C Form 601 application that the information on file with the Commission is complete and accurate.  If the winning bidder does not have an FCC Form 602 on file, or if </w:t>
      </w:r>
      <w:r w:rsidR="005364F8">
        <w:rPr>
          <w:szCs w:val="22"/>
        </w:rPr>
        <w:t xml:space="preserve">the form </w:t>
      </w:r>
      <w:r w:rsidR="00CF4310">
        <w:rPr>
          <w:szCs w:val="22"/>
        </w:rPr>
        <w:t>on file</w:t>
      </w:r>
      <w:r w:rsidRPr="00435180">
        <w:rPr>
          <w:szCs w:val="22"/>
        </w:rPr>
        <w:t xml:space="preserve"> is not complete and accurate, </w:t>
      </w:r>
      <w:r w:rsidR="00783095">
        <w:rPr>
          <w:szCs w:val="22"/>
        </w:rPr>
        <w:t xml:space="preserve">then </w:t>
      </w:r>
      <w:r w:rsidR="00475319">
        <w:rPr>
          <w:szCs w:val="22"/>
        </w:rPr>
        <w:t xml:space="preserve">the winning bidder </w:t>
      </w:r>
      <w:r w:rsidRPr="00435180">
        <w:rPr>
          <w:szCs w:val="22"/>
        </w:rPr>
        <w:t xml:space="preserve">must submit </w:t>
      </w:r>
      <w:r w:rsidR="00CF4310">
        <w:rPr>
          <w:szCs w:val="22"/>
        </w:rPr>
        <w:t>a new one</w:t>
      </w:r>
      <w:r w:rsidRPr="00435180">
        <w:rPr>
          <w:szCs w:val="22"/>
        </w:rPr>
        <w:t>.</w:t>
      </w:r>
    </w:p>
    <w:p w:rsidR="00D6515C" w:rsidRPr="00435180" w:rsidP="00D6515C" w14:paraId="271717C7" w14:textId="77777777">
      <w:pPr>
        <w:pStyle w:val="ParaNum"/>
        <w:widowControl/>
        <w:rPr>
          <w:szCs w:val="22"/>
        </w:rPr>
      </w:pPr>
      <w:r w:rsidRPr="00435180">
        <w:rPr>
          <w:szCs w:val="22"/>
        </w:rPr>
        <w:t xml:space="preserve">When a winning bidder submits an FCC Form 175, ULS automatically creates an ownership record.  </w:t>
      </w:r>
      <w:r w:rsidRPr="00435180">
        <w:rPr>
          <w:b/>
          <w:szCs w:val="22"/>
        </w:rPr>
        <w:t xml:space="preserve">This record is not an FCC Form 602, but it may be used to pre-fill the FCC Form 602 with the ownership information submitted on the winning bidder’s FCC </w:t>
      </w:r>
      <w:r w:rsidRPr="00435180">
        <w:rPr>
          <w:b/>
          <w:szCs w:val="22"/>
        </w:rPr>
        <w:t>Form 175 application.</w:t>
      </w:r>
      <w:r w:rsidRPr="00435180">
        <w:rPr>
          <w:szCs w:val="22"/>
        </w:rPr>
        <w:t xml:space="preserve">  A winning bidder must review the pre-filled information and confirm that it is complete and accurate as of the filing date of the FCC Form 601 post-auction application before certifying and submitting the FCC Form 602.  Further instr</w:t>
      </w:r>
      <w:r w:rsidRPr="00435180">
        <w:rPr>
          <w:szCs w:val="22"/>
        </w:rPr>
        <w:t>uctions will be provided to winning bidders in the auction closing public notice.</w:t>
      </w:r>
    </w:p>
    <w:p w:rsidR="00D6515C" w:rsidRPr="00435180" w:rsidP="000C230C" w14:paraId="4FDB1076" w14:textId="77777777">
      <w:pPr>
        <w:pStyle w:val="Heading2"/>
      </w:pPr>
      <w:bookmarkStart w:id="2492" w:name="_Toc6383510"/>
      <w:bookmarkStart w:id="2493" w:name="_Toc7525836"/>
      <w:bookmarkStart w:id="2494" w:name="_Toc8657218"/>
      <w:bookmarkStart w:id="2495" w:name="_Toc9410744"/>
      <w:bookmarkStart w:id="2496" w:name="_Toc9430150"/>
      <w:bookmarkStart w:id="2497" w:name="_Toc10116912"/>
      <w:bookmarkStart w:id="2498" w:name="_Toc10646218"/>
      <w:bookmarkStart w:id="2499" w:name="_Toc11156622"/>
      <w:bookmarkStart w:id="2500" w:name="_Toc11244366"/>
      <w:bookmarkStart w:id="2501" w:name="_Toc11653622"/>
      <w:bookmarkStart w:id="2502" w:name="_Toc11678201"/>
      <w:bookmarkStart w:id="2503" w:name="_Toc13654788"/>
      <w:bookmarkStart w:id="2504" w:name="_Toc24459507"/>
      <w:bookmarkStart w:id="2505" w:name="_Toc24459604"/>
      <w:bookmarkStart w:id="2506" w:name="_Toc25926293"/>
      <w:bookmarkStart w:id="2507" w:name="_Toc25926871"/>
      <w:bookmarkStart w:id="2508" w:name="_Toc25926985"/>
      <w:bookmarkStart w:id="2509" w:name="_Toc27039053"/>
      <w:bookmarkStart w:id="2510" w:name="_Toc29813196"/>
      <w:bookmarkStart w:id="2511" w:name="_Toc29886921"/>
      <w:bookmarkStart w:id="2512" w:name="_Toc29999529"/>
      <w:bookmarkStart w:id="2513" w:name="_Toc30699451"/>
      <w:bookmarkStart w:id="2514" w:name="_Toc30701531"/>
      <w:bookmarkStart w:id="2515" w:name="_Toc31189354"/>
      <w:bookmarkStart w:id="2516" w:name="_Toc31189808"/>
      <w:bookmarkStart w:id="2517" w:name="_Toc31193175"/>
      <w:bookmarkStart w:id="2518" w:name="_Toc31195923"/>
      <w:bookmarkStart w:id="2519" w:name="_Toc31200047"/>
      <w:bookmarkStart w:id="2520" w:name="_Toc31713814"/>
      <w:bookmarkStart w:id="2521" w:name="_Toc31822723"/>
      <w:bookmarkStart w:id="2522" w:name="_Toc33629880"/>
      <w:bookmarkStart w:id="2523" w:name="_Toc33696732"/>
      <w:r w:rsidRPr="00435180">
        <w:t>Default and Disqualification</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rsidR="00D6515C" w:rsidRPr="00435180" w:rsidP="00D6515C" w14:paraId="22136585" w14:textId="2EA282A0">
      <w:pPr>
        <w:pStyle w:val="ParaNum"/>
        <w:widowControl/>
        <w:tabs>
          <w:tab w:val="left" w:pos="1440"/>
        </w:tabs>
        <w:rPr>
          <w:szCs w:val="22"/>
        </w:rPr>
      </w:pPr>
      <w:r w:rsidRPr="00435180">
        <w:rPr>
          <w:szCs w:val="22"/>
        </w:rPr>
        <w:t>Any winning bidder that defaults or is disqualified after the close of an auction (i.e., fails to remit the required down payment by the specifie</w:t>
      </w:r>
      <w:r w:rsidRPr="00435180">
        <w:rPr>
          <w:szCs w:val="22"/>
        </w:rPr>
        <w:t>d deadline, fails to submit a timely long-form application, fails to make a full and timely final payment, or is otherwise disqualified) is liable for default payments as described in section 1.2104(g)(2).</w:t>
      </w:r>
      <w:r>
        <w:rPr>
          <w:rStyle w:val="FootnoteReference"/>
          <w:szCs w:val="22"/>
        </w:rPr>
        <w:footnoteReference w:id="371"/>
      </w:r>
      <w:r w:rsidRPr="00435180">
        <w:rPr>
          <w:szCs w:val="22"/>
        </w:rPr>
        <w:t xml:space="preserve">  </w:t>
      </w:r>
      <w:r w:rsidR="004F556F">
        <w:rPr>
          <w:szCs w:val="22"/>
        </w:rPr>
        <w:t xml:space="preserve">A default </w:t>
      </w:r>
      <w:r w:rsidRPr="00435180">
        <w:rPr>
          <w:szCs w:val="22"/>
        </w:rPr>
        <w:t xml:space="preserve">payment consists of a </w:t>
      </w:r>
      <w:r w:rsidRPr="00435180">
        <w:rPr>
          <w:szCs w:val="22"/>
        </w:rPr>
        <w:t>deficiency payment, equal to the difference between the amount of the bidder’s winning bid and the amount of the winning bid the next time a license covering the same spectrum is won in an auction, plus an additional payment equal to a percentage of the de</w:t>
      </w:r>
      <w:r w:rsidRPr="00435180">
        <w:rPr>
          <w:szCs w:val="22"/>
        </w:rPr>
        <w:t>faulter’s bid or of the subsequent winning bid, whichever is less</w:t>
      </w:r>
      <w:r w:rsidR="006348EE">
        <w:rPr>
          <w:szCs w:val="22"/>
        </w:rPr>
        <w:t>.</w:t>
      </w:r>
    </w:p>
    <w:p w:rsidR="00D6515C" w:rsidRPr="00635D80" w:rsidP="008C214D" w14:paraId="40968F4A" w14:textId="0051DE21">
      <w:pPr>
        <w:pStyle w:val="ParaNum"/>
        <w:widowControl/>
        <w:rPr>
          <w:szCs w:val="22"/>
        </w:rPr>
      </w:pPr>
      <w:r w:rsidRPr="00635D80">
        <w:rPr>
          <w:szCs w:val="22"/>
        </w:rPr>
        <w:t>The percentage of the applicable bid to be assessed as an additional payment for defaults in a particular auction is established in advance of the auction.  We adopt our proposal to set the</w:t>
      </w:r>
      <w:r w:rsidRPr="00635D80">
        <w:rPr>
          <w:szCs w:val="22"/>
        </w:rPr>
        <w:t xml:space="preserve"> additional default payment for Auction 10</w:t>
      </w:r>
      <w:r w:rsidR="008E11EB">
        <w:rPr>
          <w:szCs w:val="22"/>
        </w:rPr>
        <w:t>7</w:t>
      </w:r>
      <w:r w:rsidRPr="00635D80">
        <w:rPr>
          <w:szCs w:val="22"/>
        </w:rPr>
        <w:t xml:space="preserve"> at </w:t>
      </w:r>
      <w:r w:rsidR="005668F3">
        <w:rPr>
          <w:szCs w:val="22"/>
        </w:rPr>
        <w:t>15</w:t>
      </w:r>
      <w:r w:rsidRPr="00635D80">
        <w:rPr>
          <w:szCs w:val="22"/>
        </w:rPr>
        <w:t>% of the applicable bid</w:t>
      </w:r>
      <w:r w:rsidRPr="00635D80" w:rsidR="00BE1012">
        <w:rPr>
          <w:szCs w:val="22"/>
        </w:rPr>
        <w:t xml:space="preserve"> for winning bids</w:t>
      </w:r>
      <w:r w:rsidRPr="00635D80" w:rsidR="00422F05">
        <w:rPr>
          <w:szCs w:val="22"/>
        </w:rPr>
        <w:t>.</w:t>
      </w:r>
      <w:r>
        <w:rPr>
          <w:rStyle w:val="FootnoteReference"/>
          <w:szCs w:val="22"/>
        </w:rPr>
        <w:footnoteReference w:id="372"/>
      </w:r>
      <w:r w:rsidR="00635D80">
        <w:rPr>
          <w:szCs w:val="22"/>
        </w:rPr>
        <w:t xml:space="preserve">  </w:t>
      </w:r>
      <w:r w:rsidRPr="00635D80" w:rsidR="005C70F3">
        <w:rPr>
          <w:szCs w:val="22"/>
        </w:rPr>
        <w:t>T</w:t>
      </w:r>
      <w:r w:rsidRPr="00635D80">
        <w:rPr>
          <w:szCs w:val="22"/>
        </w:rPr>
        <w:t xml:space="preserve">he </w:t>
      </w:r>
      <w:r w:rsidRPr="00635D80">
        <w:rPr>
          <w:rFonts w:eastAsia="Calibri"/>
          <w:snapToGrid/>
          <w:szCs w:val="22"/>
        </w:rPr>
        <w:t xml:space="preserve">bidding system </w:t>
      </w:r>
      <w:r w:rsidRPr="00635D80">
        <w:rPr>
          <w:szCs w:val="22"/>
        </w:rPr>
        <w:t>will calculate individual per-license prices that are separate from final auction payments, which are calculated on an aggregate basis.</w:t>
      </w:r>
      <w:r>
        <w:rPr>
          <w:rStyle w:val="FootnoteReference"/>
          <w:szCs w:val="22"/>
        </w:rPr>
        <w:footnoteReference w:id="373"/>
      </w:r>
      <w:r w:rsidRPr="00635D80" w:rsidR="0088175D">
        <w:rPr>
          <w:szCs w:val="22"/>
        </w:rPr>
        <w:t xml:space="preserve"> </w:t>
      </w:r>
      <w:r w:rsidRPr="00635D80">
        <w:rPr>
          <w:szCs w:val="22"/>
        </w:rPr>
        <w:t xml:space="preserve"> </w:t>
      </w:r>
    </w:p>
    <w:p w:rsidR="00D6515C" w:rsidRPr="00435180" w:rsidP="00D6515C" w14:paraId="6B03F1CE" w14:textId="600DDE9A">
      <w:pPr>
        <w:pStyle w:val="ParaNum"/>
        <w:widowControl/>
        <w:rPr>
          <w:szCs w:val="22"/>
        </w:rPr>
      </w:pPr>
      <w:r w:rsidRPr="00435180">
        <w:rPr>
          <w:szCs w:val="22"/>
        </w:rPr>
        <w:t>Fin</w:t>
      </w:r>
      <w:r w:rsidRPr="00435180">
        <w:rPr>
          <w:szCs w:val="22"/>
        </w:rPr>
        <w:t>ally, in the event of a default, the Commission has the discretion to re-auction the license or offer it to the next highest bidder (in descending order) at its final bid amount.</w:t>
      </w:r>
      <w:r>
        <w:rPr>
          <w:rStyle w:val="FootnoteReference"/>
          <w:szCs w:val="22"/>
        </w:rPr>
        <w:footnoteReference w:id="374"/>
      </w:r>
      <w:r w:rsidRPr="00435180">
        <w:rPr>
          <w:szCs w:val="22"/>
        </w:rPr>
        <w:t xml:space="preserve">  In addition, if a default or disqualification involves gross misconduct, m</w:t>
      </w:r>
      <w:r w:rsidRPr="00435180">
        <w:rPr>
          <w:szCs w:val="22"/>
        </w:rPr>
        <w:t xml:space="preserve">isrepresentation, or bad faith by an applicant, </w:t>
      </w:r>
      <w:r w:rsidR="00ED4F59">
        <w:rPr>
          <w:szCs w:val="22"/>
        </w:rPr>
        <w:t xml:space="preserve">then </w:t>
      </w:r>
      <w:r w:rsidRPr="00435180">
        <w:rPr>
          <w:szCs w:val="22"/>
        </w:rPr>
        <w:t xml:space="preserve">the Commission may declare the applicant and its principals ineligible to bid in future auctions and may take any other action that it deems necessary, including institution of proceedings to revoke any </w:t>
      </w:r>
      <w:r w:rsidRPr="00435180">
        <w:rPr>
          <w:szCs w:val="22"/>
        </w:rPr>
        <w:t>existing authorizations held by the applicant.</w:t>
      </w:r>
      <w:r>
        <w:rPr>
          <w:rStyle w:val="FootnoteReference"/>
          <w:szCs w:val="22"/>
        </w:rPr>
        <w:footnoteReference w:id="375"/>
      </w:r>
    </w:p>
    <w:p w:rsidR="00D6515C" w:rsidRPr="00435180" w:rsidP="000C230C" w14:paraId="11606992" w14:textId="77777777">
      <w:pPr>
        <w:pStyle w:val="Heading2"/>
      </w:pPr>
      <w:bookmarkStart w:id="2524" w:name="_Toc6383511"/>
      <w:bookmarkStart w:id="2525" w:name="_Toc7525837"/>
      <w:bookmarkStart w:id="2526" w:name="_Toc8657219"/>
      <w:bookmarkStart w:id="2527" w:name="_Toc9410745"/>
      <w:bookmarkStart w:id="2528" w:name="_Toc9430151"/>
      <w:bookmarkStart w:id="2529" w:name="_Toc10116913"/>
      <w:bookmarkStart w:id="2530" w:name="_Toc10646219"/>
      <w:bookmarkStart w:id="2531" w:name="_Toc11156623"/>
      <w:bookmarkStart w:id="2532" w:name="_Toc11244367"/>
      <w:bookmarkStart w:id="2533" w:name="_Toc11653623"/>
      <w:bookmarkStart w:id="2534" w:name="_Toc11678202"/>
      <w:bookmarkStart w:id="2535" w:name="_Toc13654789"/>
      <w:bookmarkStart w:id="2536" w:name="_Toc24459508"/>
      <w:bookmarkStart w:id="2537" w:name="_Toc24459605"/>
      <w:bookmarkStart w:id="2538" w:name="_Toc25926294"/>
      <w:bookmarkStart w:id="2539" w:name="_Toc25926872"/>
      <w:bookmarkStart w:id="2540" w:name="_Toc25926986"/>
      <w:bookmarkStart w:id="2541" w:name="_Toc27039054"/>
      <w:bookmarkStart w:id="2542" w:name="_Toc29813197"/>
      <w:bookmarkStart w:id="2543" w:name="_Toc29886922"/>
      <w:bookmarkStart w:id="2544" w:name="_Toc29999530"/>
      <w:bookmarkStart w:id="2545" w:name="_Toc30699452"/>
      <w:bookmarkStart w:id="2546" w:name="_Toc30701532"/>
      <w:bookmarkStart w:id="2547" w:name="_Toc31189355"/>
      <w:bookmarkStart w:id="2548" w:name="_Toc31189809"/>
      <w:bookmarkStart w:id="2549" w:name="_Toc31193176"/>
      <w:bookmarkStart w:id="2550" w:name="_Toc31195924"/>
      <w:bookmarkStart w:id="2551" w:name="_Toc31200048"/>
      <w:bookmarkStart w:id="2552" w:name="_Toc31713815"/>
      <w:bookmarkStart w:id="2553" w:name="_Toc31822724"/>
      <w:bookmarkStart w:id="2554" w:name="_Toc33629881"/>
      <w:bookmarkStart w:id="2555" w:name="_Toc33696733"/>
      <w:r w:rsidRPr="00435180">
        <w:t>Refund of Remaining Upfront Payment Balance</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rsidR="00D6515C" w:rsidRPr="00435180" w:rsidP="00D6515C" w14:paraId="3ABEB1B9" w14:textId="77777777">
      <w:pPr>
        <w:pStyle w:val="ParaNum"/>
        <w:widowControl/>
        <w:tabs>
          <w:tab w:val="left" w:pos="1440"/>
        </w:tabs>
        <w:rPr>
          <w:szCs w:val="22"/>
        </w:rPr>
      </w:pPr>
      <w:r w:rsidRPr="00435180">
        <w:rPr>
          <w:szCs w:val="22"/>
        </w:rPr>
        <w:t>All refunds of upfront payment balances will be returned to the payer of record as identified on the FCC Form 159 unless the payer submits written authorization in</w:t>
      </w:r>
      <w:r w:rsidRPr="00435180">
        <w:rPr>
          <w:szCs w:val="22"/>
        </w:rPr>
        <w:t xml:space="preserve">structing otherwise.  Bidders are encouraged to use the </w:t>
      </w:r>
      <w:r w:rsidRPr="00435180">
        <w:rPr>
          <w:b/>
          <w:szCs w:val="22"/>
        </w:rPr>
        <w:t>Refund Information</w:t>
      </w:r>
      <w:r w:rsidRPr="00435180">
        <w:rPr>
          <w:szCs w:val="22"/>
        </w:rPr>
        <w:t xml:space="preserve"> icon found on the </w:t>
      </w:r>
      <w:r w:rsidRPr="00435180">
        <w:rPr>
          <w:i/>
          <w:szCs w:val="22"/>
        </w:rPr>
        <w:t>Auction Application Manager</w:t>
      </w:r>
      <w:r w:rsidRPr="00435180">
        <w:rPr>
          <w:szCs w:val="22"/>
        </w:rPr>
        <w:t xml:space="preserve"> page or the </w:t>
      </w:r>
      <w:r w:rsidRPr="00435180">
        <w:rPr>
          <w:b/>
          <w:szCs w:val="22"/>
        </w:rPr>
        <w:t>Refund Form</w:t>
      </w:r>
      <w:r w:rsidRPr="00435180">
        <w:rPr>
          <w:szCs w:val="22"/>
        </w:rPr>
        <w:t xml:space="preserve"> link available on the </w:t>
      </w:r>
      <w:r w:rsidRPr="00435180">
        <w:rPr>
          <w:i/>
          <w:szCs w:val="22"/>
        </w:rPr>
        <w:t>Auction Application Submit Confirmation</w:t>
      </w:r>
      <w:r w:rsidRPr="00435180">
        <w:rPr>
          <w:szCs w:val="22"/>
        </w:rPr>
        <w:t xml:space="preserve"> page in the FCC Auction Application System to acc</w:t>
      </w:r>
      <w:r w:rsidRPr="00435180">
        <w:rPr>
          <w:szCs w:val="22"/>
        </w:rPr>
        <w:t>ess the form.</w:t>
      </w:r>
      <w:r w:rsidRPr="00C71BF7">
        <w:rPr>
          <w:bCs/>
          <w:color w:val="FF0000"/>
          <w:szCs w:val="22"/>
        </w:rPr>
        <w:t xml:space="preserve">  </w:t>
      </w:r>
      <w:r w:rsidRPr="00435180">
        <w:rPr>
          <w:szCs w:val="22"/>
        </w:rPr>
        <w:t xml:space="preserve">After the required information is completed on the blank form, the form should be printed, signed, and submitted to the Commission by mail, fax, or email as instructed below.  </w:t>
      </w:r>
    </w:p>
    <w:p w:rsidR="00D6515C" w:rsidRPr="00435180" w:rsidP="00D6515C" w14:paraId="40B4DC13" w14:textId="77777777">
      <w:pPr>
        <w:pStyle w:val="ParaNum"/>
        <w:widowControl/>
        <w:tabs>
          <w:tab w:val="left" w:pos="1440"/>
        </w:tabs>
        <w:rPr>
          <w:szCs w:val="22"/>
        </w:rPr>
      </w:pPr>
      <w:r w:rsidRPr="00435180">
        <w:rPr>
          <w:szCs w:val="22"/>
        </w:rPr>
        <w:t xml:space="preserve">If you have elected not to access the Refund Form through the </w:t>
      </w:r>
      <w:r w:rsidRPr="00D2081B">
        <w:rPr>
          <w:i/>
          <w:szCs w:val="22"/>
        </w:rPr>
        <w:t>Auction Application Manager</w:t>
      </w:r>
      <w:r w:rsidRPr="00435180">
        <w:rPr>
          <w:szCs w:val="22"/>
        </w:rPr>
        <w:t xml:space="preserve"> page, the Commission is requesting that all information listed below be supplied in writing.</w:t>
      </w:r>
    </w:p>
    <w:p w:rsidR="00D6515C" w:rsidRPr="00435180" w:rsidP="00D6515C" w14:paraId="756BA4E2" w14:textId="77777777">
      <w:pPr>
        <w:pStyle w:val="ParaNum"/>
        <w:widowControl/>
        <w:numPr>
          <w:ilvl w:val="0"/>
          <w:numId w:val="0"/>
        </w:numPr>
        <w:spacing w:after="0"/>
        <w:ind w:left="2520"/>
        <w:rPr>
          <w:szCs w:val="22"/>
        </w:rPr>
      </w:pPr>
      <w:r w:rsidRPr="00435180">
        <w:rPr>
          <w:szCs w:val="22"/>
        </w:rPr>
        <w:t>Name, address, contact and phone number of Bank</w:t>
      </w:r>
    </w:p>
    <w:p w:rsidR="00D6515C" w:rsidRPr="00435180" w:rsidP="00D6515C" w14:paraId="3DA16617" w14:textId="1EE70FE1">
      <w:pPr>
        <w:pStyle w:val="ParaNum"/>
        <w:widowControl/>
        <w:numPr>
          <w:ilvl w:val="0"/>
          <w:numId w:val="0"/>
        </w:numPr>
        <w:spacing w:after="0"/>
        <w:ind w:left="2520"/>
        <w:rPr>
          <w:szCs w:val="22"/>
        </w:rPr>
      </w:pPr>
      <w:r w:rsidRPr="00435180">
        <w:rPr>
          <w:szCs w:val="22"/>
        </w:rPr>
        <w:t>ABA Number</w:t>
      </w:r>
      <w:r w:rsidR="00BD60B5">
        <w:rPr>
          <w:szCs w:val="22"/>
        </w:rPr>
        <w:t xml:space="preserve"> (capable to accept ACH payments) </w:t>
      </w:r>
    </w:p>
    <w:p w:rsidR="00D6515C" w:rsidRPr="00435180" w:rsidP="00D6515C" w14:paraId="73D66116" w14:textId="77777777">
      <w:pPr>
        <w:pStyle w:val="ParaNum"/>
        <w:widowControl/>
        <w:numPr>
          <w:ilvl w:val="0"/>
          <w:numId w:val="0"/>
        </w:numPr>
        <w:spacing w:after="0"/>
        <w:ind w:left="2520"/>
        <w:rPr>
          <w:szCs w:val="22"/>
        </w:rPr>
      </w:pPr>
      <w:r w:rsidRPr="00435180">
        <w:rPr>
          <w:szCs w:val="22"/>
        </w:rPr>
        <w:t>Account Number to Credit</w:t>
      </w:r>
    </w:p>
    <w:p w:rsidR="00D6515C" w:rsidRPr="00435180" w:rsidP="00D6515C" w14:paraId="025775F1" w14:textId="77777777">
      <w:pPr>
        <w:pStyle w:val="ParaNum"/>
        <w:widowControl/>
        <w:numPr>
          <w:ilvl w:val="0"/>
          <w:numId w:val="0"/>
        </w:numPr>
        <w:spacing w:after="0"/>
        <w:ind w:left="2520"/>
        <w:rPr>
          <w:szCs w:val="22"/>
        </w:rPr>
      </w:pPr>
      <w:r w:rsidRPr="00435180">
        <w:rPr>
          <w:szCs w:val="22"/>
        </w:rPr>
        <w:t>Name of Account Holder</w:t>
      </w:r>
    </w:p>
    <w:p w:rsidR="00D6515C" w:rsidRPr="00435180" w:rsidP="00D6515C" w14:paraId="70545638" w14:textId="77777777">
      <w:pPr>
        <w:pStyle w:val="ParaNum"/>
        <w:widowControl/>
        <w:numPr>
          <w:ilvl w:val="0"/>
          <w:numId w:val="0"/>
        </w:numPr>
        <w:ind w:left="2520"/>
        <w:rPr>
          <w:szCs w:val="22"/>
        </w:rPr>
      </w:pPr>
      <w:r w:rsidRPr="00435180">
        <w:rPr>
          <w:szCs w:val="22"/>
        </w:rPr>
        <w:t>FCC Registration Number (FRN)</w:t>
      </w:r>
    </w:p>
    <w:p w:rsidR="00D6515C" w:rsidRPr="00435180" w:rsidP="00D6515C" w14:paraId="6E7CA0F9" w14:textId="77777777">
      <w:pPr>
        <w:pStyle w:val="ParaNum"/>
        <w:widowControl/>
        <w:numPr>
          <w:ilvl w:val="0"/>
          <w:numId w:val="0"/>
        </w:numPr>
        <w:spacing w:after="0"/>
        <w:rPr>
          <w:szCs w:val="22"/>
        </w:rPr>
      </w:pPr>
      <w:r w:rsidRPr="00435180">
        <w:rPr>
          <w:szCs w:val="22"/>
        </w:rPr>
        <w:t xml:space="preserve">The refund request must be submitted by fax to the Revenue &amp; Receivables Operations Group/Auctions at (202) 418-2843, by email to </w:t>
      </w:r>
      <w:hyperlink r:id="rId9" w:history="1">
        <w:r w:rsidRPr="00435180">
          <w:rPr>
            <w:rStyle w:val="Hyperlink"/>
            <w:szCs w:val="22"/>
          </w:rPr>
          <w:t>RROGWIREFAXES@fcc.gov</w:t>
        </w:r>
      </w:hyperlink>
      <w:r w:rsidRPr="00435180">
        <w:rPr>
          <w:szCs w:val="22"/>
        </w:rPr>
        <w:t>, or by mail to:</w:t>
      </w:r>
    </w:p>
    <w:p w:rsidR="00D6515C" w:rsidRPr="00435180" w:rsidP="00D6515C" w14:paraId="3E386053" w14:textId="77777777">
      <w:pPr>
        <w:pStyle w:val="ParaNum"/>
        <w:widowControl/>
        <w:numPr>
          <w:ilvl w:val="0"/>
          <w:numId w:val="0"/>
        </w:numPr>
        <w:spacing w:after="0"/>
        <w:rPr>
          <w:szCs w:val="22"/>
        </w:rPr>
      </w:pPr>
    </w:p>
    <w:p w:rsidR="00D6515C" w:rsidRPr="00435180" w:rsidP="008D45FC" w14:paraId="13D43156" w14:textId="77777777">
      <w:pPr>
        <w:keepNext/>
        <w:keepLines/>
        <w:widowControl/>
        <w:ind w:left="2520"/>
        <w:rPr>
          <w:szCs w:val="22"/>
        </w:rPr>
      </w:pPr>
      <w:r w:rsidRPr="00435180">
        <w:rPr>
          <w:szCs w:val="22"/>
        </w:rPr>
        <w:t>Federal Communications Commission</w:t>
      </w:r>
    </w:p>
    <w:p w:rsidR="00D6515C" w:rsidRPr="00435180" w:rsidP="008D45FC" w14:paraId="4E757A45" w14:textId="77777777">
      <w:pPr>
        <w:keepNext/>
        <w:widowControl/>
        <w:ind w:left="2520"/>
        <w:rPr>
          <w:szCs w:val="22"/>
        </w:rPr>
      </w:pPr>
      <w:r w:rsidRPr="00435180">
        <w:rPr>
          <w:szCs w:val="22"/>
        </w:rPr>
        <w:t xml:space="preserve">Financial Operations </w:t>
      </w:r>
    </w:p>
    <w:p w:rsidR="00D6515C" w:rsidRPr="00435180" w:rsidP="008D45FC" w14:paraId="0BE09498" w14:textId="77777777">
      <w:pPr>
        <w:keepNext/>
        <w:widowControl/>
        <w:ind w:left="2520"/>
        <w:rPr>
          <w:szCs w:val="22"/>
        </w:rPr>
      </w:pPr>
      <w:r w:rsidRPr="00435180">
        <w:rPr>
          <w:szCs w:val="22"/>
        </w:rPr>
        <w:t xml:space="preserve">Revenue &amp; Receivables Operations Group/Auctions </w:t>
      </w:r>
    </w:p>
    <w:p w:rsidR="00D6515C" w:rsidRPr="00435180" w:rsidP="008D45FC" w14:paraId="41B1316F" w14:textId="77777777">
      <w:pPr>
        <w:keepNext/>
        <w:widowControl/>
        <w:ind w:left="2520"/>
        <w:rPr>
          <w:szCs w:val="22"/>
        </w:rPr>
      </w:pPr>
      <w:r w:rsidRPr="00435180">
        <w:rPr>
          <w:szCs w:val="22"/>
        </w:rPr>
        <w:t>Scott Radcliffe</w:t>
      </w:r>
    </w:p>
    <w:p w:rsidR="00D6515C" w:rsidRPr="00435180" w:rsidP="008D45FC" w14:paraId="45C23B3A" w14:textId="5F3DC8C9">
      <w:pPr>
        <w:keepNext/>
        <w:keepLines/>
        <w:widowControl/>
        <w:ind w:left="2520"/>
        <w:rPr>
          <w:szCs w:val="22"/>
        </w:rPr>
      </w:pPr>
      <w:r>
        <w:rPr>
          <w:szCs w:val="22"/>
        </w:rPr>
        <w:t>45</w:t>
      </w:r>
      <w:r w:rsidRPr="00435180">
        <w:rPr>
          <w:szCs w:val="22"/>
        </w:rPr>
        <w:t xml:space="preserve"> </w:t>
      </w:r>
      <w:r>
        <w:rPr>
          <w:szCs w:val="22"/>
        </w:rPr>
        <w:t>L</w:t>
      </w:r>
      <w:r w:rsidRPr="00435180" w:rsidR="00777B66">
        <w:rPr>
          <w:szCs w:val="22"/>
        </w:rPr>
        <w:t xml:space="preserve"> Street, </w:t>
      </w:r>
      <w:r w:rsidR="002869DC">
        <w:rPr>
          <w:szCs w:val="22"/>
        </w:rPr>
        <w:t>N</w:t>
      </w:r>
      <w:r>
        <w:rPr>
          <w:szCs w:val="22"/>
        </w:rPr>
        <w:t>E</w:t>
      </w:r>
      <w:r w:rsidRPr="00435180" w:rsidR="00777B66">
        <w:rPr>
          <w:szCs w:val="22"/>
        </w:rPr>
        <w:t xml:space="preserve">, </w:t>
      </w:r>
      <w:r w:rsidR="002869DC">
        <w:rPr>
          <w:szCs w:val="22"/>
        </w:rPr>
        <w:t>3</w:t>
      </w:r>
      <w:r w:rsidRPr="00B87B80" w:rsidR="002869DC">
        <w:rPr>
          <w:szCs w:val="22"/>
          <w:vertAlign w:val="superscript"/>
        </w:rPr>
        <w:t>rd</w:t>
      </w:r>
      <w:r w:rsidR="002869DC">
        <w:rPr>
          <w:szCs w:val="22"/>
        </w:rPr>
        <w:t xml:space="preserve"> Floor</w:t>
      </w:r>
    </w:p>
    <w:p w:rsidR="00D6515C" w:rsidRPr="00435180" w:rsidP="008D45FC" w14:paraId="4766F9FC" w14:textId="6F66059D">
      <w:pPr>
        <w:keepNext/>
        <w:widowControl/>
        <w:ind w:left="2520"/>
        <w:rPr>
          <w:szCs w:val="22"/>
        </w:rPr>
      </w:pPr>
      <w:r w:rsidRPr="00435180">
        <w:rPr>
          <w:szCs w:val="22"/>
        </w:rPr>
        <w:t xml:space="preserve">Washington, DC </w:t>
      </w:r>
      <w:r w:rsidRPr="00435180" w:rsidR="00BD60B5">
        <w:rPr>
          <w:szCs w:val="22"/>
        </w:rPr>
        <w:t>20</w:t>
      </w:r>
      <w:r w:rsidR="00BD60B5">
        <w:rPr>
          <w:szCs w:val="22"/>
        </w:rPr>
        <w:t>001</w:t>
      </w:r>
    </w:p>
    <w:p w:rsidR="00D6515C" w:rsidRPr="00435180" w:rsidP="00D6515C" w14:paraId="54911130" w14:textId="77777777">
      <w:pPr>
        <w:widowControl/>
        <w:rPr>
          <w:szCs w:val="22"/>
        </w:rPr>
      </w:pPr>
    </w:p>
    <w:p w:rsidR="00D6515C" w:rsidRPr="00435180" w:rsidP="00D6515C" w14:paraId="5C4D33B4" w14:textId="5497CC37">
      <w:pPr>
        <w:widowControl/>
        <w:spacing w:after="120"/>
        <w:rPr>
          <w:szCs w:val="22"/>
        </w:rPr>
      </w:pPr>
      <w:r w:rsidRPr="00435180">
        <w:rPr>
          <w:szCs w:val="22"/>
        </w:rPr>
        <w:t xml:space="preserve">NOTE:  Refund </w:t>
      </w:r>
      <w:r w:rsidRPr="00435180">
        <w:rPr>
          <w:szCs w:val="22"/>
        </w:rPr>
        <w:t>processing generally takes up to two weeks to complete.  Bidders with questions about refunds should contact Scott Radcliffe at (202) 418-7518</w:t>
      </w:r>
      <w:r w:rsidR="00340E88">
        <w:rPr>
          <w:szCs w:val="22"/>
        </w:rPr>
        <w:t xml:space="preserve"> or</w:t>
      </w:r>
      <w:r w:rsidRPr="00435180">
        <w:rPr>
          <w:szCs w:val="22"/>
        </w:rPr>
        <w:t xml:space="preserve"> Theresa Meeks at (202) 418-2945.</w:t>
      </w:r>
    </w:p>
    <w:p w:rsidR="00D6515C" w:rsidRPr="00435180" w:rsidP="00D6515C" w14:paraId="18C5755B" w14:textId="7F87D165">
      <w:pPr>
        <w:pStyle w:val="Heading1"/>
        <w:rPr>
          <w:rFonts w:ascii="Times New Roman" w:hAnsi="Times New Roman"/>
          <w:szCs w:val="22"/>
        </w:rPr>
      </w:pPr>
      <w:bookmarkStart w:id="2556" w:name="_Toc7525838"/>
      <w:bookmarkStart w:id="2557" w:name="_Toc8657220"/>
      <w:bookmarkStart w:id="2558" w:name="_Toc9410746"/>
      <w:bookmarkStart w:id="2559" w:name="_Toc9430152"/>
      <w:bookmarkStart w:id="2560" w:name="_Toc10116914"/>
      <w:bookmarkStart w:id="2561" w:name="_Toc10646220"/>
      <w:bookmarkStart w:id="2562" w:name="_Toc11156624"/>
      <w:bookmarkStart w:id="2563" w:name="_Toc11244368"/>
      <w:bookmarkStart w:id="2564" w:name="_Toc11653624"/>
      <w:bookmarkStart w:id="2565" w:name="_Toc11678203"/>
      <w:bookmarkStart w:id="2566" w:name="_Toc13654790"/>
      <w:bookmarkStart w:id="2567" w:name="_Toc6383512"/>
      <w:bookmarkStart w:id="2568" w:name="_Toc24459509"/>
      <w:bookmarkStart w:id="2569" w:name="_Toc24459606"/>
      <w:bookmarkStart w:id="2570" w:name="_Toc25926295"/>
      <w:bookmarkStart w:id="2571" w:name="_Toc25926873"/>
      <w:bookmarkStart w:id="2572" w:name="_Toc25926987"/>
      <w:bookmarkStart w:id="2573" w:name="_Toc27039055"/>
      <w:bookmarkStart w:id="2574" w:name="_Toc29813198"/>
      <w:bookmarkStart w:id="2575" w:name="_Toc29886923"/>
      <w:bookmarkStart w:id="2576" w:name="_Toc29999531"/>
      <w:bookmarkStart w:id="2577" w:name="_Toc30699453"/>
      <w:bookmarkStart w:id="2578" w:name="_Toc30701533"/>
      <w:bookmarkStart w:id="2579" w:name="_Toc31189356"/>
      <w:bookmarkStart w:id="2580" w:name="_Toc31189810"/>
      <w:bookmarkStart w:id="2581" w:name="_Toc31193177"/>
      <w:bookmarkStart w:id="2582" w:name="_Toc31195925"/>
      <w:bookmarkStart w:id="2583" w:name="_Toc31200049"/>
      <w:bookmarkStart w:id="2584" w:name="_Toc31713816"/>
      <w:bookmarkStart w:id="2585" w:name="_Toc31822725"/>
      <w:bookmarkStart w:id="2586" w:name="_Toc33629882"/>
      <w:bookmarkStart w:id="2587" w:name="_Toc33696734"/>
      <w:r w:rsidRPr="00435180">
        <w:rPr>
          <w:rFonts w:ascii="Times New Roman" w:hAnsi="Times New Roman"/>
          <w:szCs w:val="22"/>
        </w:rPr>
        <w:t>Procedural Matters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rsidR="00D6515C" w:rsidRPr="00435180" w:rsidP="00D6515C" w14:paraId="6A33EC4A" w14:textId="77508760">
      <w:pPr>
        <w:pStyle w:val="ParaNum"/>
        <w:keepNext/>
        <w:widowControl/>
        <w:rPr>
          <w:szCs w:val="22"/>
        </w:rPr>
      </w:pPr>
      <w:r w:rsidRPr="00435180">
        <w:rPr>
          <w:i/>
          <w:szCs w:val="22"/>
        </w:rPr>
        <w:t>Supplemental Final Regulatory Flexibility Analysis.</w:t>
      </w:r>
      <w:r w:rsidRPr="00435180">
        <w:rPr>
          <w:szCs w:val="22"/>
        </w:rPr>
        <w:t xml:space="preserve">  As required by the Regulatory Flexibility Act of 1980, as amended (RFA),</w:t>
      </w:r>
      <w:r>
        <w:rPr>
          <w:szCs w:val="22"/>
          <w:vertAlign w:val="superscript"/>
        </w:rPr>
        <w:footnoteReference w:id="376"/>
      </w:r>
      <w:r w:rsidRPr="00435180">
        <w:rPr>
          <w:szCs w:val="22"/>
        </w:rPr>
        <w:t xml:space="preserve"> a Supplemental Initial Regulatory Flexibility Analysis (Supplemental IRFA) was incorporated in the </w:t>
      </w:r>
      <w:r w:rsidRPr="00435180">
        <w:rPr>
          <w:i/>
          <w:szCs w:val="22"/>
        </w:rPr>
        <w:t>Auction 10</w:t>
      </w:r>
      <w:r w:rsidR="00F16514">
        <w:rPr>
          <w:i/>
          <w:szCs w:val="22"/>
        </w:rPr>
        <w:t>7</w:t>
      </w:r>
      <w:r w:rsidRPr="00435180">
        <w:rPr>
          <w:i/>
          <w:szCs w:val="22"/>
        </w:rPr>
        <w:t xml:space="preserve"> Comment Public Notice</w:t>
      </w:r>
      <w:r w:rsidRPr="00435180">
        <w:rPr>
          <w:szCs w:val="22"/>
        </w:rPr>
        <w:t xml:space="preserve"> released in </w:t>
      </w:r>
      <w:r w:rsidR="00C90614">
        <w:rPr>
          <w:szCs w:val="22"/>
        </w:rPr>
        <w:t>March 2020</w:t>
      </w:r>
      <w:r w:rsidRPr="00435180">
        <w:rPr>
          <w:szCs w:val="22"/>
        </w:rPr>
        <w:t>.  The Commission sought</w:t>
      </w:r>
      <w:r w:rsidRPr="00435180">
        <w:rPr>
          <w:szCs w:val="22"/>
        </w:rPr>
        <w:t xml:space="preserve"> public comment on the proposals in the </w:t>
      </w:r>
      <w:r w:rsidRPr="00435180">
        <w:rPr>
          <w:i/>
          <w:szCs w:val="22"/>
        </w:rPr>
        <w:t>Auction 10</w:t>
      </w:r>
      <w:r w:rsidR="00CA5F74">
        <w:rPr>
          <w:i/>
          <w:szCs w:val="22"/>
        </w:rPr>
        <w:t>7</w:t>
      </w:r>
      <w:r w:rsidRPr="00435180">
        <w:rPr>
          <w:i/>
          <w:szCs w:val="22"/>
        </w:rPr>
        <w:t xml:space="preserve"> Comment Public Notice</w:t>
      </w:r>
      <w:r w:rsidRPr="00435180">
        <w:rPr>
          <w:szCs w:val="22"/>
        </w:rPr>
        <w:t>, including comments on the Supplemental IRFA.  No comments were filed addressing the Supplemental IRFA.  This Public Notice establishes the procedures to be used for Auction 10</w:t>
      </w:r>
      <w:r w:rsidR="00E85D9A">
        <w:rPr>
          <w:szCs w:val="22"/>
        </w:rPr>
        <w:t>7</w:t>
      </w:r>
      <w:r w:rsidRPr="00435180">
        <w:rPr>
          <w:szCs w:val="22"/>
        </w:rPr>
        <w:t xml:space="preserve"> and </w:t>
      </w:r>
      <w:r w:rsidRPr="00435180">
        <w:rPr>
          <w:szCs w:val="22"/>
        </w:rPr>
        <w:t>supplements the Initial and Final Regulatory Flexibility Analyses completed by the Commission in the</w:t>
      </w:r>
      <w:r w:rsidR="00D9323E">
        <w:rPr>
          <w:szCs w:val="22"/>
        </w:rPr>
        <w:t xml:space="preserve"> </w:t>
      </w:r>
      <w:r w:rsidR="002E4807">
        <w:rPr>
          <w:i/>
          <w:iCs/>
          <w:szCs w:val="22"/>
        </w:rPr>
        <w:t xml:space="preserve">3.7 GHz </w:t>
      </w:r>
      <w:r w:rsidR="00E77341">
        <w:rPr>
          <w:i/>
          <w:szCs w:val="22"/>
        </w:rPr>
        <w:t>NPRM</w:t>
      </w:r>
      <w:r w:rsidRPr="002E4807" w:rsidR="002E4807">
        <w:rPr>
          <w:iCs/>
          <w:szCs w:val="22"/>
        </w:rPr>
        <w:t xml:space="preserve">, </w:t>
      </w:r>
      <w:r w:rsidR="00E810B0">
        <w:rPr>
          <w:i/>
          <w:szCs w:val="22"/>
        </w:rPr>
        <w:t>3.</w:t>
      </w:r>
      <w:r w:rsidR="00225A79">
        <w:rPr>
          <w:i/>
          <w:szCs w:val="22"/>
        </w:rPr>
        <w:t>7</w:t>
      </w:r>
      <w:r w:rsidR="00E810B0">
        <w:rPr>
          <w:i/>
          <w:szCs w:val="22"/>
        </w:rPr>
        <w:t xml:space="preserve"> GHz </w:t>
      </w:r>
      <w:r w:rsidR="00500851">
        <w:rPr>
          <w:i/>
          <w:szCs w:val="22"/>
        </w:rPr>
        <w:t xml:space="preserve">Report and </w:t>
      </w:r>
      <w:r w:rsidR="00E810B0">
        <w:rPr>
          <w:i/>
          <w:szCs w:val="22"/>
        </w:rPr>
        <w:t>Order</w:t>
      </w:r>
      <w:r w:rsidRPr="00435180">
        <w:rPr>
          <w:szCs w:val="22"/>
        </w:rPr>
        <w:t>, and other Commission orders pursuant to which Auction 10</w:t>
      </w:r>
      <w:r w:rsidR="00AA29D8">
        <w:rPr>
          <w:szCs w:val="22"/>
        </w:rPr>
        <w:t>7</w:t>
      </w:r>
      <w:r w:rsidRPr="00435180">
        <w:rPr>
          <w:szCs w:val="22"/>
        </w:rPr>
        <w:t xml:space="preserve"> will be conducted.</w:t>
      </w:r>
      <w:bookmarkStart w:id="2588" w:name="_Hlk507054146"/>
      <w:r>
        <w:rPr>
          <w:rStyle w:val="FootnoteReference"/>
          <w:szCs w:val="22"/>
        </w:rPr>
        <w:footnoteReference w:id="377"/>
      </w:r>
      <w:bookmarkEnd w:id="2588"/>
      <w:r w:rsidRPr="00435180">
        <w:rPr>
          <w:szCs w:val="22"/>
        </w:rPr>
        <w:t xml:space="preserve">  This present Supplemental Final Reg</w:t>
      </w:r>
      <w:r w:rsidRPr="00435180">
        <w:rPr>
          <w:szCs w:val="22"/>
        </w:rPr>
        <w:t>ulatory Flexibility Analysis (Supplemental FRFA) conforms to the RFA.</w:t>
      </w:r>
      <w:r>
        <w:rPr>
          <w:rStyle w:val="FootnoteReference"/>
          <w:szCs w:val="22"/>
        </w:rPr>
        <w:footnoteReference w:id="378"/>
      </w:r>
      <w:r w:rsidRPr="00435180">
        <w:rPr>
          <w:szCs w:val="22"/>
        </w:rPr>
        <w:t xml:space="preserve">  </w:t>
      </w:r>
    </w:p>
    <w:p w:rsidR="00D6515C" w:rsidRPr="00435180" w:rsidP="006F4FD0" w14:paraId="64FCB09E" w14:textId="2C4EFF79">
      <w:pPr>
        <w:pStyle w:val="ParaNum"/>
        <w:widowControl/>
        <w:rPr>
          <w:szCs w:val="22"/>
        </w:rPr>
      </w:pPr>
      <w:r w:rsidRPr="00435180">
        <w:rPr>
          <w:i/>
          <w:szCs w:val="22"/>
        </w:rPr>
        <w:t>Need for, and Objectives of, the Rules.</w:t>
      </w:r>
      <w:r w:rsidRPr="00435180">
        <w:rPr>
          <w:szCs w:val="22"/>
        </w:rPr>
        <w:t xml:space="preserve">  This Public Notice implements auction procedures for those entities that seek to bid to acquire licenses in Auction 10</w:t>
      </w:r>
      <w:r w:rsidR="00A4192C">
        <w:rPr>
          <w:szCs w:val="22"/>
        </w:rPr>
        <w:t>7</w:t>
      </w:r>
      <w:r w:rsidRPr="00435180">
        <w:rPr>
          <w:szCs w:val="22"/>
        </w:rPr>
        <w:t>.  Auction 10</w:t>
      </w:r>
      <w:r w:rsidR="00A4192C">
        <w:rPr>
          <w:szCs w:val="22"/>
        </w:rPr>
        <w:t>7</w:t>
      </w:r>
      <w:r w:rsidRPr="00435180">
        <w:rPr>
          <w:szCs w:val="22"/>
        </w:rPr>
        <w:t xml:space="preserve"> will be</w:t>
      </w:r>
      <w:r w:rsidRPr="00435180">
        <w:rPr>
          <w:szCs w:val="22"/>
        </w:rPr>
        <w:t xml:space="preserve"> our </w:t>
      </w:r>
      <w:r w:rsidR="00A4192C">
        <w:rPr>
          <w:szCs w:val="22"/>
        </w:rPr>
        <w:t>second</w:t>
      </w:r>
      <w:r w:rsidRPr="00435180">
        <w:rPr>
          <w:szCs w:val="22"/>
        </w:rPr>
        <w:t xml:space="preserve"> auction of </w:t>
      </w:r>
      <w:r w:rsidR="00884110">
        <w:rPr>
          <w:szCs w:val="22"/>
        </w:rPr>
        <w:t>mid</w:t>
      </w:r>
      <w:r w:rsidRPr="00435180">
        <w:rPr>
          <w:szCs w:val="22"/>
        </w:rPr>
        <w:t>-band spectrum in furtherance of the deployment of fifth-generation (5G) wireless, the Internet of things (IoT), and other advanced spectrum-based services.  The Public Notice adopts procedural rules and terms and conditions gover</w:t>
      </w:r>
      <w:r w:rsidRPr="00435180">
        <w:rPr>
          <w:szCs w:val="22"/>
        </w:rPr>
        <w:t>ning Auction 10</w:t>
      </w:r>
      <w:r w:rsidR="00102328">
        <w:rPr>
          <w:szCs w:val="22"/>
        </w:rPr>
        <w:t>7</w:t>
      </w:r>
      <w:r w:rsidRPr="00435180">
        <w:rPr>
          <w:szCs w:val="22"/>
        </w:rPr>
        <w:t xml:space="preserve">, </w:t>
      </w:r>
      <w:r w:rsidR="00BF61A0">
        <w:rPr>
          <w:szCs w:val="22"/>
        </w:rPr>
        <w:t xml:space="preserve">and </w:t>
      </w:r>
      <w:r w:rsidRPr="00435180">
        <w:rPr>
          <w:szCs w:val="22"/>
        </w:rPr>
        <w:t>the post-auction application and payment processes, as well as set</w:t>
      </w:r>
      <w:r w:rsidR="002E4807">
        <w:rPr>
          <w:szCs w:val="22"/>
        </w:rPr>
        <w:t>s</w:t>
      </w:r>
      <w:r w:rsidRPr="00435180">
        <w:rPr>
          <w:szCs w:val="22"/>
        </w:rPr>
        <w:t xml:space="preserve"> the minimum opening bid amount</w:t>
      </w:r>
      <w:r>
        <w:rPr>
          <w:szCs w:val="22"/>
        </w:rPr>
        <w:t>s</w:t>
      </w:r>
      <w:r w:rsidRPr="00435180">
        <w:rPr>
          <w:szCs w:val="22"/>
        </w:rPr>
        <w:t xml:space="preserve"> for</w:t>
      </w:r>
      <w:r w:rsidR="00522497">
        <w:rPr>
          <w:szCs w:val="22"/>
        </w:rPr>
        <w:t xml:space="preserve"> </w:t>
      </w:r>
      <w:r w:rsidR="009C7478">
        <w:rPr>
          <w:szCs w:val="22"/>
        </w:rPr>
        <w:t>flexible-use overlay licenses</w:t>
      </w:r>
      <w:r w:rsidR="00522497">
        <w:rPr>
          <w:szCs w:val="22"/>
        </w:rPr>
        <w:t xml:space="preserve"> </w:t>
      </w:r>
      <w:r w:rsidR="00D70AD3">
        <w:rPr>
          <w:szCs w:val="22"/>
        </w:rPr>
        <w:t>in the 3.</w:t>
      </w:r>
      <w:r w:rsidR="009C7478">
        <w:rPr>
          <w:szCs w:val="22"/>
        </w:rPr>
        <w:t>7</w:t>
      </w:r>
      <w:r w:rsidR="00D771CA">
        <w:rPr>
          <w:szCs w:val="22"/>
        </w:rPr>
        <w:t>–3.98</w:t>
      </w:r>
      <w:r w:rsidR="00D70AD3">
        <w:rPr>
          <w:szCs w:val="22"/>
        </w:rPr>
        <w:t xml:space="preserve"> GHz</w:t>
      </w:r>
      <w:r w:rsidR="000A62AF">
        <w:rPr>
          <w:szCs w:val="22"/>
        </w:rPr>
        <w:t xml:space="preserve"> </w:t>
      </w:r>
      <w:r w:rsidR="00175169">
        <w:rPr>
          <w:szCs w:val="22"/>
        </w:rPr>
        <w:t>band</w:t>
      </w:r>
      <w:r w:rsidRPr="00435180">
        <w:rPr>
          <w:szCs w:val="22"/>
        </w:rPr>
        <w:t xml:space="preserve"> </w:t>
      </w:r>
      <w:r w:rsidR="00A25AFC">
        <w:rPr>
          <w:szCs w:val="22"/>
        </w:rPr>
        <w:t xml:space="preserve">(3.7 GHz Service) </w:t>
      </w:r>
      <w:r w:rsidRPr="00435180">
        <w:rPr>
          <w:snapToGrid/>
          <w:kern w:val="0"/>
          <w:szCs w:val="22"/>
        </w:rPr>
        <w:t>that will be offered in Auction 10</w:t>
      </w:r>
      <w:r w:rsidR="00676AC6">
        <w:rPr>
          <w:snapToGrid/>
          <w:kern w:val="0"/>
          <w:szCs w:val="22"/>
        </w:rPr>
        <w:t>7</w:t>
      </w:r>
      <w:r w:rsidRPr="00435180">
        <w:rPr>
          <w:szCs w:val="22"/>
        </w:rPr>
        <w:t xml:space="preserve">.  </w:t>
      </w:r>
    </w:p>
    <w:p w:rsidR="00D6515C" w:rsidRPr="00435180" w:rsidP="006F4FD0" w14:paraId="4D108027" w14:textId="052E4B77">
      <w:pPr>
        <w:pStyle w:val="ParaNum"/>
        <w:widowControl/>
        <w:rPr>
          <w:szCs w:val="22"/>
        </w:rPr>
      </w:pPr>
      <w:r w:rsidRPr="00435180">
        <w:rPr>
          <w:szCs w:val="22"/>
        </w:rPr>
        <w:t xml:space="preserve">To promote the </w:t>
      </w:r>
      <w:r w:rsidRPr="00435180">
        <w:rPr>
          <w:szCs w:val="22"/>
        </w:rPr>
        <w:t>efficient and fair administration of the competitive bidding process for all Auction 10</w:t>
      </w:r>
      <w:r w:rsidR="00FC7FA7">
        <w:rPr>
          <w:szCs w:val="22"/>
        </w:rPr>
        <w:t>7</w:t>
      </w:r>
      <w:r w:rsidRPr="00435180">
        <w:rPr>
          <w:szCs w:val="22"/>
        </w:rPr>
        <w:t xml:space="preserve"> participants, we adopt the following procedures proposed in the </w:t>
      </w:r>
      <w:r w:rsidRPr="00435180">
        <w:rPr>
          <w:i/>
          <w:szCs w:val="22"/>
        </w:rPr>
        <w:t>Auction 10</w:t>
      </w:r>
      <w:r w:rsidR="00FC7FA7">
        <w:rPr>
          <w:i/>
          <w:szCs w:val="22"/>
        </w:rPr>
        <w:t>7</w:t>
      </w:r>
      <w:r w:rsidRPr="00435180">
        <w:rPr>
          <w:i/>
          <w:szCs w:val="22"/>
        </w:rPr>
        <w:t xml:space="preserve"> Comment Public Notice</w:t>
      </w:r>
      <w:r w:rsidRPr="00435180">
        <w:rPr>
          <w:szCs w:val="22"/>
        </w:rPr>
        <w:t xml:space="preserve">: </w:t>
      </w:r>
    </w:p>
    <w:p w:rsidR="00DB59B0" w:rsidRPr="00496E09" w:rsidP="002314BA" w14:paraId="47D8E755" w14:textId="79AB7FBC">
      <w:pPr>
        <w:widowControl/>
        <w:numPr>
          <w:ilvl w:val="0"/>
          <w:numId w:val="6"/>
        </w:numPr>
        <w:spacing w:after="120"/>
      </w:pPr>
      <w:bookmarkStart w:id="2589" w:name="_Hlk20145793"/>
      <w:r>
        <w:t xml:space="preserve">use of anonymous bidding/limited information procedures which will </w:t>
      </w:r>
      <w:r>
        <w:t>not make public:</w:t>
      </w:r>
      <w:r w:rsidRPr="00557698">
        <w:t xml:space="preserve"> </w:t>
      </w:r>
      <w:r>
        <w:t xml:space="preserve"> </w:t>
      </w:r>
      <w:r w:rsidRPr="00557698">
        <w:t>(1) the license areas that an applicant selects for bidding in its auction application (FCC Form 175); (2) the amount of any upfront payment made by or on behalf of an applicant for Auction 10</w:t>
      </w:r>
      <w:r w:rsidR="00295901">
        <w:t>7</w:t>
      </w:r>
      <w:r w:rsidRPr="00557698">
        <w:t>; (3) an applicant’s bidding eligibility; and</w:t>
      </w:r>
      <w:r w:rsidRPr="00557698">
        <w:t xml:space="preserve"> (4) any other bidding-related information that might reveal the identity of the bidder placing a bid</w:t>
      </w:r>
      <w:r>
        <w:t>, until after bidding has closed</w:t>
      </w:r>
      <w:bookmarkEnd w:id="2589"/>
      <w:r>
        <w:t>;</w:t>
      </w:r>
    </w:p>
    <w:p w:rsidR="00D6515C" w:rsidP="002314BA" w14:paraId="0D114172" w14:textId="07186134">
      <w:pPr>
        <w:widowControl/>
        <w:numPr>
          <w:ilvl w:val="0"/>
          <w:numId w:val="6"/>
        </w:numPr>
        <w:spacing w:after="120"/>
        <w:rPr>
          <w:szCs w:val="22"/>
        </w:rPr>
      </w:pPr>
      <w:r w:rsidRPr="00435180">
        <w:rPr>
          <w:szCs w:val="22"/>
        </w:rPr>
        <w:t>establishment of bidding credit caps for eligible small businesses and rural service providers in Auction 10</w:t>
      </w:r>
      <w:r w:rsidR="00C42C24">
        <w:rPr>
          <w:szCs w:val="22"/>
        </w:rPr>
        <w:t>7</w:t>
      </w:r>
      <w:r w:rsidRPr="00435180">
        <w:rPr>
          <w:szCs w:val="22"/>
        </w:rPr>
        <w:t>;</w:t>
      </w:r>
    </w:p>
    <w:p w:rsidR="003E2315" w:rsidP="002314BA" w14:paraId="69F8A994" w14:textId="2710A849">
      <w:pPr>
        <w:pStyle w:val="ParaNum"/>
        <w:widowControl/>
        <w:numPr>
          <w:ilvl w:val="0"/>
          <w:numId w:val="6"/>
        </w:numPr>
      </w:pPr>
      <w:bookmarkStart w:id="2590" w:name="_Hlk20145839"/>
      <w:r>
        <w:t>adjustment</w:t>
      </w:r>
      <w:r>
        <w:t xml:space="preserve"> of the bidding schedule as necessary in order to manage the pace of Auction 107</w:t>
      </w:r>
      <w:r w:rsidR="00036101">
        <w:t>;</w:t>
      </w:r>
      <w:bookmarkEnd w:id="2590"/>
    </w:p>
    <w:p w:rsidR="00B15CE5" w:rsidP="002314BA" w14:paraId="6B33785E" w14:textId="180EFA97">
      <w:pPr>
        <w:pStyle w:val="ParaNum"/>
        <w:widowControl/>
        <w:numPr>
          <w:ilvl w:val="0"/>
          <w:numId w:val="6"/>
        </w:numPr>
      </w:pPr>
      <w:bookmarkStart w:id="2591" w:name="_Hlk20145862"/>
      <w:r>
        <w:t xml:space="preserve">use of a simultaneous stopping rule </w:t>
      </w:r>
      <w:r w:rsidR="00363101">
        <w:t>in Auction 107,</w:t>
      </w:r>
      <w:r w:rsidR="00BD6FF7">
        <w:t xml:space="preserve"> under which</w:t>
      </w:r>
      <w:r>
        <w:t xml:space="preserve"> all blocks in </w:t>
      </w:r>
      <w:r w:rsidR="00531074">
        <w:t>both categories</w:t>
      </w:r>
      <w:r>
        <w:t xml:space="preserve"> in all </w:t>
      </w:r>
      <w:r w:rsidR="00036101">
        <w:t>PEAs</w:t>
      </w:r>
      <w:r>
        <w:t xml:space="preserve"> will remain </w:t>
      </w:r>
      <w:r w:rsidR="00EA5EC7">
        <w:t>available</w:t>
      </w:r>
      <w:r>
        <w:t xml:space="preserve"> for bidding until </w:t>
      </w:r>
      <w:r w:rsidR="00AF6E68">
        <w:t xml:space="preserve">the </w:t>
      </w:r>
      <w:r>
        <w:t>bidding stop</w:t>
      </w:r>
      <w:r w:rsidR="00AF6E68">
        <w:t>s</w:t>
      </w:r>
      <w:r>
        <w:t xml:space="preserve"> in every </w:t>
      </w:r>
      <w:r w:rsidR="00CB1FC1">
        <w:t>PEA</w:t>
      </w:r>
      <w:bookmarkEnd w:id="2591"/>
      <w:r>
        <w:t xml:space="preserve">;   </w:t>
      </w:r>
    </w:p>
    <w:p w:rsidR="00B15CE5" w:rsidRPr="003E2315" w:rsidP="002314BA" w14:paraId="4136B7BC" w14:textId="2D8A7EC0">
      <w:pPr>
        <w:pStyle w:val="ParaNum"/>
        <w:widowControl/>
        <w:numPr>
          <w:ilvl w:val="0"/>
          <w:numId w:val="6"/>
        </w:numPr>
      </w:pPr>
      <w:bookmarkStart w:id="2592" w:name="_Hlk20145873"/>
      <w:r>
        <w:t xml:space="preserve">provision of discretionary authority to OEA, in conjunction with </w:t>
      </w:r>
      <w:r w:rsidR="00E24242">
        <w:t>WTB</w:t>
      </w:r>
      <w:r>
        <w:t>, to delay, suspend, or cancel bidding in Auction 10</w:t>
      </w:r>
      <w:r w:rsidR="00D647FD">
        <w:t>7</w:t>
      </w:r>
      <w:r>
        <w:t xml:space="preserve"> for any reason that affects the ability of the competitive bidding process to be conducted fairly and efficiently</w:t>
      </w:r>
      <w:bookmarkEnd w:id="2592"/>
      <w:r>
        <w:t xml:space="preserve">;  </w:t>
      </w:r>
    </w:p>
    <w:p w:rsidR="00890946" w:rsidP="002314BA" w14:paraId="5ABBB934" w14:textId="46C3740A">
      <w:pPr>
        <w:pStyle w:val="ParaNum"/>
        <w:widowControl/>
        <w:numPr>
          <w:ilvl w:val="0"/>
          <w:numId w:val="6"/>
        </w:numPr>
      </w:pPr>
      <w:r w:rsidRPr="00557698">
        <w:t xml:space="preserve">use of a </w:t>
      </w:r>
      <w:r w:rsidRPr="00557698">
        <w:t>clock auction format for Auction 10</w:t>
      </w:r>
      <w:r w:rsidR="009B144A">
        <w:t>7</w:t>
      </w:r>
      <w:r w:rsidRPr="00557698">
        <w:t xml:space="preserve"> under which each qualified bidder will indicate in successive clock bidding rounds its demands for </w:t>
      </w:r>
      <w:r w:rsidR="00361DB0">
        <w:t>categories of</w:t>
      </w:r>
      <w:r w:rsidRPr="00557698">
        <w:t xml:space="preserve"> generic blocks in specific </w:t>
      </w:r>
      <w:r w:rsidR="00AB2ADA">
        <w:t>PEA</w:t>
      </w:r>
      <w:r w:rsidR="00821480">
        <w:t>s</w:t>
      </w:r>
      <w:r w:rsidR="00AB2ADA">
        <w:t xml:space="preserve">, </w:t>
      </w:r>
      <w:r w:rsidR="00BC3097">
        <w:t>and associated bidding and bid processing procedures to implement the clock auction format</w:t>
      </w:r>
      <w:r w:rsidR="00496B6E">
        <w:t>;</w:t>
      </w:r>
    </w:p>
    <w:p w:rsidR="008D7E22" w:rsidP="002314BA" w14:paraId="6659459B" w14:textId="73BA0DE3">
      <w:pPr>
        <w:pStyle w:val="ParaNum"/>
        <w:widowControl/>
        <w:numPr>
          <w:ilvl w:val="0"/>
          <w:numId w:val="6"/>
        </w:numPr>
      </w:pPr>
      <w:r>
        <w:t>use of an activity rule, which requires a bidder to bid actively during the auction on a high percentage of its bidding eligibility, including a modification that would allow a bidder to submit bids, but not to be assigned bids, that exc</w:t>
      </w:r>
      <w:r>
        <w:t>eed its bidding eligibility;</w:t>
      </w:r>
    </w:p>
    <w:p w:rsidR="00CA3DB0" w:rsidP="002314BA" w14:paraId="20E46D2D" w14:textId="78675DAA">
      <w:pPr>
        <w:pStyle w:val="ParaNum"/>
        <w:widowControl/>
        <w:numPr>
          <w:ilvl w:val="0"/>
          <w:numId w:val="6"/>
        </w:numPr>
      </w:pPr>
      <w:bookmarkStart w:id="2593" w:name="_Hlk20145962"/>
      <w:r>
        <w:t xml:space="preserve">use </w:t>
      </w:r>
      <w:r w:rsidRPr="00A46248">
        <w:rPr>
          <w:szCs w:val="22"/>
        </w:rPr>
        <w:t>of an activity rul</w:t>
      </w:r>
      <w:r>
        <w:rPr>
          <w:szCs w:val="22"/>
        </w:rPr>
        <w:t>e that does not include a waiver of the rule to preserve a bidder’s eligibility</w:t>
      </w:r>
      <w:bookmarkEnd w:id="2593"/>
      <w:r>
        <w:rPr>
          <w:szCs w:val="22"/>
        </w:rPr>
        <w:t>;</w:t>
      </w:r>
    </w:p>
    <w:p w:rsidR="00ED050A" w:rsidP="002314BA" w14:paraId="7F643891" w14:textId="7F197B68">
      <w:pPr>
        <w:pStyle w:val="ParaNum"/>
        <w:widowControl/>
        <w:numPr>
          <w:ilvl w:val="0"/>
          <w:numId w:val="6"/>
        </w:numPr>
      </w:pPr>
      <w:r>
        <w:rPr>
          <w:szCs w:val="22"/>
        </w:rPr>
        <w:t xml:space="preserve">a requirement that bidders </w:t>
      </w:r>
      <w:r>
        <w:rPr>
          <w:rFonts w:eastAsia="Calibri"/>
          <w:snapToGrid/>
          <w:szCs w:val="22"/>
        </w:rPr>
        <w:t xml:space="preserve">be active on </w:t>
      </w:r>
      <w:r w:rsidRPr="008168F4">
        <w:rPr>
          <w:rFonts w:eastAsia="Calibri"/>
          <w:snapToGrid/>
          <w:szCs w:val="22"/>
        </w:rPr>
        <w:t>between 90% and 100% of a bidder’s bidding eligibility in all clock rounds</w:t>
      </w:r>
      <w:r>
        <w:rPr>
          <w:rFonts w:eastAsia="Calibri"/>
          <w:snapToGrid/>
          <w:szCs w:val="22"/>
        </w:rPr>
        <w:t>;</w:t>
      </w:r>
    </w:p>
    <w:p w:rsidR="00D6515C" w:rsidP="002314BA" w14:paraId="60677FEB" w14:textId="1283494C">
      <w:pPr>
        <w:widowControl/>
        <w:numPr>
          <w:ilvl w:val="0"/>
          <w:numId w:val="6"/>
        </w:numPr>
        <w:spacing w:after="120"/>
        <w:rPr>
          <w:szCs w:val="22"/>
        </w:rPr>
      </w:pPr>
      <w:r w:rsidRPr="00435180">
        <w:rPr>
          <w:szCs w:val="22"/>
        </w:rPr>
        <w:t>a specif</w:t>
      </w:r>
      <w:r w:rsidRPr="00435180">
        <w:rPr>
          <w:szCs w:val="22"/>
        </w:rPr>
        <w:t xml:space="preserve">ic minimum opening bid amount for </w:t>
      </w:r>
      <w:r w:rsidR="009A6CCE">
        <w:rPr>
          <w:szCs w:val="22"/>
        </w:rPr>
        <w:t xml:space="preserve">generic blocks in each </w:t>
      </w:r>
      <w:r w:rsidR="0054324D">
        <w:rPr>
          <w:szCs w:val="22"/>
        </w:rPr>
        <w:t xml:space="preserve">product </w:t>
      </w:r>
      <w:r w:rsidRPr="00435180">
        <w:rPr>
          <w:szCs w:val="22"/>
        </w:rPr>
        <w:t>available in Auction 10</w:t>
      </w:r>
      <w:r w:rsidR="003C14BA">
        <w:rPr>
          <w:szCs w:val="22"/>
        </w:rPr>
        <w:t>7</w:t>
      </w:r>
      <w:r w:rsidRPr="00435180">
        <w:rPr>
          <w:szCs w:val="22"/>
        </w:rPr>
        <w:t>;</w:t>
      </w:r>
    </w:p>
    <w:p w:rsidR="00D6515C" w:rsidRPr="00435180" w:rsidP="002314BA" w14:paraId="7DA34F68" w14:textId="1EBA54A3">
      <w:pPr>
        <w:widowControl/>
        <w:numPr>
          <w:ilvl w:val="0"/>
          <w:numId w:val="6"/>
        </w:numPr>
        <w:spacing w:after="120"/>
        <w:rPr>
          <w:szCs w:val="22"/>
        </w:rPr>
      </w:pPr>
      <w:r w:rsidRPr="00435180">
        <w:rPr>
          <w:szCs w:val="22"/>
        </w:rPr>
        <w:t xml:space="preserve">a specific upfront payment amount for </w:t>
      </w:r>
      <w:r w:rsidR="000661A0">
        <w:rPr>
          <w:szCs w:val="22"/>
        </w:rPr>
        <w:t xml:space="preserve">generic blocks in each </w:t>
      </w:r>
      <w:r w:rsidR="00E77F63">
        <w:rPr>
          <w:szCs w:val="22"/>
        </w:rPr>
        <w:t>product</w:t>
      </w:r>
      <w:r w:rsidRPr="00435180" w:rsidR="00F6764A">
        <w:rPr>
          <w:szCs w:val="22"/>
        </w:rPr>
        <w:t xml:space="preserve"> </w:t>
      </w:r>
      <w:r w:rsidRPr="00435180">
        <w:rPr>
          <w:szCs w:val="22"/>
        </w:rPr>
        <w:t>available in Auction 10</w:t>
      </w:r>
      <w:r w:rsidR="00E77F63">
        <w:rPr>
          <w:szCs w:val="22"/>
        </w:rPr>
        <w:t>7</w:t>
      </w:r>
      <w:r w:rsidRPr="00435180">
        <w:rPr>
          <w:szCs w:val="22"/>
        </w:rPr>
        <w:t>;</w:t>
      </w:r>
    </w:p>
    <w:p w:rsidR="009E2E5F" w:rsidP="002314BA" w14:paraId="275B92AE" w14:textId="77777777">
      <w:pPr>
        <w:pStyle w:val="ParaNum"/>
        <w:widowControl/>
        <w:numPr>
          <w:ilvl w:val="0"/>
          <w:numId w:val="6"/>
        </w:numPr>
      </w:pPr>
      <w:r w:rsidRPr="00557698">
        <w:t xml:space="preserve">establishment of a bidder’s initial bidding eligibility in </w:t>
      </w:r>
      <w:r w:rsidRPr="00557698">
        <w:t>bidding units based on that bidder’s upfront payment through assignment of a specific number of bidding units for each generic block;</w:t>
      </w:r>
    </w:p>
    <w:p w:rsidR="00D6515C" w:rsidRPr="00435180" w:rsidP="002314BA" w14:paraId="62AE557D" w14:textId="47F5FA2D">
      <w:pPr>
        <w:widowControl/>
        <w:numPr>
          <w:ilvl w:val="0"/>
          <w:numId w:val="6"/>
        </w:numPr>
        <w:spacing w:after="120"/>
        <w:rPr>
          <w:szCs w:val="22"/>
        </w:rPr>
      </w:pPr>
      <w:r w:rsidRPr="00435180">
        <w:rPr>
          <w:szCs w:val="22"/>
        </w:rPr>
        <w:t>establishment of acceptable bid amounts, including clock price increments and intra-round bids, along with a methodology f</w:t>
      </w:r>
      <w:r w:rsidRPr="00435180">
        <w:rPr>
          <w:szCs w:val="22"/>
        </w:rPr>
        <w:t>or calculating such amounts;</w:t>
      </w:r>
    </w:p>
    <w:p w:rsidR="00F90F9D" w:rsidP="002314BA" w14:paraId="55128C21" w14:textId="46BC3393">
      <w:pPr>
        <w:widowControl/>
        <w:numPr>
          <w:ilvl w:val="0"/>
          <w:numId w:val="6"/>
        </w:numPr>
        <w:spacing w:after="120"/>
        <w:rPr>
          <w:szCs w:val="22"/>
        </w:rPr>
      </w:pPr>
      <w:r w:rsidRPr="00435180">
        <w:rPr>
          <w:szCs w:val="22"/>
        </w:rPr>
        <w:t xml:space="preserve">a methodology for processing bids and requests to reduce </w:t>
      </w:r>
      <w:r w:rsidR="009D5FAA">
        <w:rPr>
          <w:szCs w:val="22"/>
        </w:rPr>
        <w:t>and increase</w:t>
      </w:r>
      <w:r w:rsidRPr="00435180">
        <w:rPr>
          <w:szCs w:val="22"/>
        </w:rPr>
        <w:t xml:space="preserve"> </w:t>
      </w:r>
      <w:r w:rsidR="00741CF8">
        <w:rPr>
          <w:szCs w:val="22"/>
        </w:rPr>
        <w:t>demand</w:t>
      </w:r>
      <w:r w:rsidR="003309E4">
        <w:rPr>
          <w:szCs w:val="22"/>
        </w:rPr>
        <w:t xml:space="preserve"> </w:t>
      </w:r>
      <w:r w:rsidR="002C2B07">
        <w:rPr>
          <w:szCs w:val="22"/>
        </w:rPr>
        <w:t>subject to the no excess supply rule for bids to reduce demand and the eligibility rule for bids to increase demand</w:t>
      </w:r>
      <w:r w:rsidRPr="00435180">
        <w:rPr>
          <w:szCs w:val="22"/>
        </w:rPr>
        <w:t>;</w:t>
      </w:r>
    </w:p>
    <w:p w:rsidR="00E44E16" w:rsidRPr="00F90F9D" w:rsidP="002314BA" w14:paraId="5436A131" w14:textId="6DAFDE7B">
      <w:pPr>
        <w:widowControl/>
        <w:numPr>
          <w:ilvl w:val="0"/>
          <w:numId w:val="6"/>
        </w:numPr>
        <w:spacing w:after="120"/>
        <w:rPr>
          <w:szCs w:val="22"/>
        </w:rPr>
      </w:pPr>
      <w:r>
        <w:rPr>
          <w:szCs w:val="22"/>
        </w:rPr>
        <w:t xml:space="preserve">use of bid processing procedures </w:t>
      </w:r>
      <w:r w:rsidR="00B51ACD">
        <w:rPr>
          <w:szCs w:val="22"/>
        </w:rPr>
        <w:t xml:space="preserve">that the auction bidding system will use, after each bidding round, to process bids to determine the processed demand of each bidder and a posted price for each product </w:t>
      </w:r>
      <w:r w:rsidR="00843FB7">
        <w:rPr>
          <w:szCs w:val="22"/>
        </w:rPr>
        <w:t>that would serve as the start</w:t>
      </w:r>
      <w:r w:rsidR="004026A7">
        <w:rPr>
          <w:szCs w:val="22"/>
        </w:rPr>
        <w:t>-</w:t>
      </w:r>
      <w:r w:rsidR="00843FB7">
        <w:rPr>
          <w:szCs w:val="22"/>
        </w:rPr>
        <w:t>of</w:t>
      </w:r>
      <w:r w:rsidR="004026A7">
        <w:rPr>
          <w:szCs w:val="22"/>
        </w:rPr>
        <w:t>-</w:t>
      </w:r>
      <w:r w:rsidR="00843FB7">
        <w:rPr>
          <w:szCs w:val="22"/>
        </w:rPr>
        <w:t>round price for the next round;</w:t>
      </w:r>
    </w:p>
    <w:p w:rsidR="001A6DB0" w:rsidRPr="00435180" w:rsidP="002314BA" w14:paraId="50717BDC" w14:textId="38017E16">
      <w:pPr>
        <w:widowControl/>
        <w:numPr>
          <w:ilvl w:val="0"/>
          <w:numId w:val="6"/>
        </w:numPr>
        <w:spacing w:after="120"/>
        <w:rPr>
          <w:szCs w:val="22"/>
        </w:rPr>
      </w:pPr>
      <w:r>
        <w:t>establishment of an as</w:t>
      </w:r>
      <w:r>
        <w:t>signment phase that will determine which frequency-specific licenses will be won by the winning bidders of generic blocks during the clock phase</w:t>
      </w:r>
      <w:r w:rsidR="00DB148B">
        <w:t>;</w:t>
      </w:r>
      <w:r w:rsidR="00D05A1E">
        <w:t xml:space="preserve"> and</w:t>
      </w:r>
    </w:p>
    <w:p w:rsidR="00316C70" w:rsidRPr="00557698" w:rsidP="002314BA" w14:paraId="552869DA" w14:textId="5D2467A1">
      <w:pPr>
        <w:pStyle w:val="ParaNum"/>
        <w:widowControl/>
        <w:numPr>
          <w:ilvl w:val="0"/>
          <w:numId w:val="6"/>
        </w:numPr>
      </w:pPr>
      <w:r w:rsidRPr="00557698">
        <w:t xml:space="preserve">establishment of additional default payments of </w:t>
      </w:r>
      <w:r w:rsidR="001A23F2">
        <w:t>15</w:t>
      </w:r>
      <w:r w:rsidRPr="00557698">
        <w:t xml:space="preserve">% for bids pursuant </w:t>
      </w:r>
      <w:r>
        <w:t>to s</w:t>
      </w:r>
      <w:r w:rsidRPr="00557698">
        <w:t xml:space="preserve">ection 1.2104(g)(2) of the rules in the event that a winning bidder defaults or is disqualified after </w:t>
      </w:r>
      <w:r>
        <w:t>the</w:t>
      </w:r>
      <w:r w:rsidRPr="00557698">
        <w:t xml:space="preserve"> auction.</w:t>
      </w:r>
    </w:p>
    <w:p w:rsidR="00D6515C" w:rsidRPr="00435180" w:rsidP="00D6515C" w14:paraId="797040B1" w14:textId="676671F9">
      <w:pPr>
        <w:pStyle w:val="ParaNum"/>
        <w:widowControl/>
        <w:rPr>
          <w:szCs w:val="22"/>
        </w:rPr>
      </w:pPr>
      <w:r w:rsidRPr="00435180">
        <w:rPr>
          <w:szCs w:val="22"/>
        </w:rPr>
        <w:t>The procedures for the conduct of Auction 10</w:t>
      </w:r>
      <w:r w:rsidR="00D05A1E">
        <w:rPr>
          <w:szCs w:val="22"/>
        </w:rPr>
        <w:t>7</w:t>
      </w:r>
      <w:r w:rsidRPr="00435180">
        <w:rPr>
          <w:szCs w:val="22"/>
        </w:rPr>
        <w:t xml:space="preserve"> constitute the more specific implementation of the competitive bidding rules contemplated by Pa</w:t>
      </w:r>
      <w:r w:rsidRPr="00435180">
        <w:rPr>
          <w:szCs w:val="22"/>
        </w:rPr>
        <w:t xml:space="preserve">rts 1 and </w:t>
      </w:r>
      <w:r w:rsidR="009278F1">
        <w:rPr>
          <w:szCs w:val="22"/>
        </w:rPr>
        <w:t>96</w:t>
      </w:r>
      <w:r w:rsidRPr="00435180" w:rsidR="009278F1">
        <w:rPr>
          <w:szCs w:val="22"/>
        </w:rPr>
        <w:t xml:space="preserve"> </w:t>
      </w:r>
      <w:r w:rsidRPr="00435180">
        <w:rPr>
          <w:szCs w:val="22"/>
        </w:rPr>
        <w:t>of the Commission’s rules and the underlying rulemaking orders, including the</w:t>
      </w:r>
      <w:r w:rsidRPr="0073057C" w:rsidR="005C2BF9">
        <w:rPr>
          <w:i/>
          <w:szCs w:val="22"/>
        </w:rPr>
        <w:t xml:space="preserve"> </w:t>
      </w:r>
      <w:r w:rsidR="006674D2">
        <w:rPr>
          <w:i/>
          <w:szCs w:val="22"/>
        </w:rPr>
        <w:t>3.</w:t>
      </w:r>
      <w:r w:rsidR="004C3740">
        <w:rPr>
          <w:i/>
          <w:szCs w:val="22"/>
        </w:rPr>
        <w:t>7</w:t>
      </w:r>
      <w:r w:rsidR="006674D2">
        <w:rPr>
          <w:i/>
          <w:szCs w:val="22"/>
        </w:rPr>
        <w:t xml:space="preserve"> GHz</w:t>
      </w:r>
      <w:r w:rsidRPr="0073057C" w:rsidR="005C2BF9">
        <w:rPr>
          <w:i/>
          <w:szCs w:val="22"/>
        </w:rPr>
        <w:t xml:space="preserve"> </w:t>
      </w:r>
      <w:r w:rsidR="000407AC">
        <w:rPr>
          <w:i/>
          <w:szCs w:val="22"/>
        </w:rPr>
        <w:t xml:space="preserve">Report and </w:t>
      </w:r>
      <w:r w:rsidRPr="0073057C" w:rsidR="005C2BF9">
        <w:rPr>
          <w:i/>
          <w:szCs w:val="22"/>
        </w:rPr>
        <w:t>Order</w:t>
      </w:r>
      <w:r w:rsidRPr="00435180">
        <w:rPr>
          <w:szCs w:val="22"/>
        </w:rPr>
        <w:t>, and relevant competitive bidding orders, and are fully consistent therewith.</w:t>
      </w:r>
      <w:r>
        <w:rPr>
          <w:szCs w:val="22"/>
          <w:vertAlign w:val="superscript"/>
        </w:rPr>
        <w:footnoteReference w:id="379"/>
      </w:r>
    </w:p>
    <w:p w:rsidR="00D6515C" w:rsidRPr="00435180" w:rsidP="00D6515C" w14:paraId="626EBEEF" w14:textId="3FB7E1CF">
      <w:pPr>
        <w:pStyle w:val="ParaNum"/>
        <w:widowControl/>
        <w:rPr>
          <w:szCs w:val="22"/>
        </w:rPr>
      </w:pPr>
      <w:r w:rsidRPr="00435180">
        <w:rPr>
          <w:i/>
          <w:szCs w:val="22"/>
        </w:rPr>
        <w:t>Summary of Significant Issues Raised by Public Comments in R</w:t>
      </w:r>
      <w:r w:rsidRPr="00435180">
        <w:rPr>
          <w:i/>
          <w:szCs w:val="22"/>
        </w:rPr>
        <w:t>esponse to the IRFA</w:t>
      </w:r>
      <w:r w:rsidRPr="00435180">
        <w:rPr>
          <w:szCs w:val="22"/>
        </w:rPr>
        <w:t>.</w:t>
      </w:r>
      <w:r>
        <w:rPr>
          <w:szCs w:val="22"/>
        </w:rPr>
        <w:t xml:space="preserve"> </w:t>
      </w:r>
      <w:r w:rsidRPr="00435180">
        <w:rPr>
          <w:szCs w:val="22"/>
        </w:rPr>
        <w:t xml:space="preserve"> There were no comments filed that specifically address the procedures and policies proposed in the Supplemental IR</w:t>
      </w:r>
      <w:r w:rsidR="00ED25D4">
        <w:rPr>
          <w:szCs w:val="22"/>
        </w:rPr>
        <w:t>F</w:t>
      </w:r>
      <w:r w:rsidRPr="00435180">
        <w:rPr>
          <w:szCs w:val="22"/>
        </w:rPr>
        <w:t>A.</w:t>
      </w:r>
    </w:p>
    <w:p w:rsidR="00D6515C" w:rsidRPr="00435180" w:rsidP="00D6515C" w14:paraId="4D9FC1BF" w14:textId="602F4049">
      <w:pPr>
        <w:pStyle w:val="ParaNum"/>
        <w:widowControl/>
        <w:rPr>
          <w:szCs w:val="22"/>
        </w:rPr>
      </w:pPr>
      <w:r w:rsidRPr="00435180">
        <w:rPr>
          <w:i/>
          <w:szCs w:val="22"/>
        </w:rPr>
        <w:t>Response to Comments by the Chief Counsel for Advocacy of the Small Business Administration.</w:t>
      </w:r>
      <w:r w:rsidRPr="00435180">
        <w:rPr>
          <w:szCs w:val="22"/>
        </w:rPr>
        <w:t xml:space="preserve">  Pursuant to the Small </w:t>
      </w:r>
      <w:r w:rsidRPr="00435180">
        <w:rPr>
          <w:szCs w:val="22"/>
        </w:rPr>
        <w:t>Business Jobs Act of 2010, which amended the RFA, the Commission is required to respond to any comment</w:t>
      </w:r>
      <w:r w:rsidR="002E4807">
        <w:rPr>
          <w:szCs w:val="22"/>
        </w:rPr>
        <w:t>s</w:t>
      </w:r>
      <w:r w:rsidRPr="00435180">
        <w:rPr>
          <w:szCs w:val="22"/>
        </w:rPr>
        <w:t xml:space="preserve"> filed by the </w:t>
      </w:r>
      <w:bookmarkStart w:id="2594" w:name="_Hlk8779228"/>
      <w:r w:rsidRPr="00435180">
        <w:rPr>
          <w:szCs w:val="22"/>
        </w:rPr>
        <w:t xml:space="preserve">Chief Counsel for Advocacy of the SBA </w:t>
      </w:r>
      <w:bookmarkEnd w:id="2594"/>
      <w:r w:rsidRPr="00435180">
        <w:rPr>
          <w:szCs w:val="22"/>
        </w:rPr>
        <w:t>and to provide a detailed statement of any change</w:t>
      </w:r>
      <w:r w:rsidR="002E4807">
        <w:rPr>
          <w:szCs w:val="22"/>
        </w:rPr>
        <w:t>s</w:t>
      </w:r>
      <w:r w:rsidRPr="00435180">
        <w:rPr>
          <w:szCs w:val="22"/>
        </w:rPr>
        <w:t xml:space="preserve"> made to the proposed procedures as a result of tho</w:t>
      </w:r>
      <w:r w:rsidRPr="00435180">
        <w:rPr>
          <w:szCs w:val="22"/>
        </w:rPr>
        <w:t xml:space="preserve">se </w:t>
      </w:r>
      <w:r w:rsidRPr="00435180">
        <w:rPr>
          <w:szCs w:val="22"/>
        </w:rPr>
        <w:t>comments.</w:t>
      </w:r>
      <w:r>
        <w:rPr>
          <w:szCs w:val="22"/>
          <w:vertAlign w:val="superscript"/>
        </w:rPr>
        <w:footnoteReference w:id="380"/>
      </w:r>
      <w:r w:rsidRPr="00435180">
        <w:rPr>
          <w:szCs w:val="22"/>
        </w:rPr>
        <w:t xml:space="preserve">  The Chief Counsel did not file any comments in response to the procedures that were proposed in the </w:t>
      </w:r>
      <w:r w:rsidRPr="00435180">
        <w:rPr>
          <w:i/>
          <w:szCs w:val="22"/>
        </w:rPr>
        <w:t>Auction 10</w:t>
      </w:r>
      <w:r w:rsidR="008F26A4">
        <w:rPr>
          <w:i/>
          <w:szCs w:val="22"/>
        </w:rPr>
        <w:t>7</w:t>
      </w:r>
      <w:r w:rsidRPr="00435180">
        <w:rPr>
          <w:i/>
          <w:szCs w:val="22"/>
        </w:rPr>
        <w:t xml:space="preserve"> Comment Public Notice.</w:t>
      </w:r>
    </w:p>
    <w:p w:rsidR="00D6515C" w:rsidRPr="00435180" w:rsidP="006F4FD0" w14:paraId="04D89DF3" w14:textId="7104FC06">
      <w:pPr>
        <w:pStyle w:val="ParaNum"/>
        <w:widowControl/>
        <w:rPr>
          <w:szCs w:val="22"/>
        </w:rPr>
      </w:pPr>
      <w:r w:rsidRPr="00435180">
        <w:rPr>
          <w:i/>
          <w:szCs w:val="22"/>
        </w:rPr>
        <w:t>Description and Estimate of the Number of Small Entities to Which the Rules Will Apply.</w:t>
      </w:r>
      <w:r w:rsidRPr="00435180">
        <w:rPr>
          <w:szCs w:val="22"/>
        </w:rPr>
        <w:t xml:space="preserve">  The RFA directs </w:t>
      </w:r>
      <w:r w:rsidRPr="00435180">
        <w:rPr>
          <w:szCs w:val="22"/>
        </w:rPr>
        <w:t>agencies to provide a description of, and, where feasible, an estimate of the number of small entities that may be affected by the rules and policies adopted herein.</w:t>
      </w:r>
      <w:r>
        <w:rPr>
          <w:szCs w:val="22"/>
          <w:vertAlign w:val="superscript"/>
        </w:rPr>
        <w:footnoteReference w:id="381"/>
      </w:r>
      <w:r w:rsidRPr="00435180">
        <w:rPr>
          <w:szCs w:val="22"/>
        </w:rPr>
        <w:t xml:space="preserve">  The RFA generally defines the term “small entity” as having the same meaning as the ter</w:t>
      </w:r>
      <w:r w:rsidRPr="00435180">
        <w:rPr>
          <w:szCs w:val="22"/>
        </w:rPr>
        <w:t>ms “small business,” “small organization,” and “small governmental jurisdiction.”</w:t>
      </w:r>
      <w:r>
        <w:rPr>
          <w:szCs w:val="22"/>
          <w:vertAlign w:val="superscript"/>
        </w:rPr>
        <w:footnoteReference w:id="382"/>
      </w:r>
      <w:r w:rsidRPr="00435180">
        <w:rPr>
          <w:szCs w:val="22"/>
        </w:rPr>
        <w:t xml:space="preserve">  In addition, the term “small business” has the same meaning as the term “small business concern” under the Small Business Act.</w:t>
      </w:r>
      <w:r>
        <w:rPr>
          <w:szCs w:val="22"/>
          <w:vertAlign w:val="superscript"/>
        </w:rPr>
        <w:footnoteReference w:id="383"/>
      </w:r>
      <w:r w:rsidRPr="00435180">
        <w:rPr>
          <w:szCs w:val="22"/>
        </w:rPr>
        <w:t xml:space="preserve">  A “small business concern” is one which: </w:t>
      </w:r>
      <w:r w:rsidRPr="00435180">
        <w:rPr>
          <w:szCs w:val="22"/>
        </w:rPr>
        <w:t xml:space="preserve"> (1) is independently owned and operated</w:t>
      </w:r>
      <w:r w:rsidR="006D3E95">
        <w:rPr>
          <w:szCs w:val="22"/>
        </w:rPr>
        <w:t>,</w:t>
      </w:r>
      <w:r w:rsidRPr="00435180">
        <w:rPr>
          <w:szCs w:val="22"/>
        </w:rPr>
        <w:t xml:space="preserve"> (2) is not dominant in its field of operation</w:t>
      </w:r>
      <w:r w:rsidR="006D3E95">
        <w:rPr>
          <w:szCs w:val="22"/>
        </w:rPr>
        <w:t>,</w:t>
      </w:r>
      <w:r w:rsidRPr="00435180">
        <w:rPr>
          <w:szCs w:val="22"/>
        </w:rPr>
        <w:t xml:space="preserve"> and (3) satisfies any additional criteria established by the SBA.</w:t>
      </w:r>
      <w:r>
        <w:rPr>
          <w:szCs w:val="22"/>
          <w:vertAlign w:val="superscript"/>
        </w:rPr>
        <w:footnoteReference w:id="384"/>
      </w:r>
      <w:r w:rsidRPr="00435180">
        <w:rPr>
          <w:szCs w:val="22"/>
        </w:rPr>
        <w:t xml:space="preserve">  </w:t>
      </w:r>
    </w:p>
    <w:p w:rsidR="00D6515C" w:rsidRPr="00435180" w:rsidP="006F4FD0" w14:paraId="0530136D" w14:textId="67455323">
      <w:pPr>
        <w:pStyle w:val="ParaNum"/>
        <w:widowControl/>
        <w:rPr>
          <w:szCs w:val="22"/>
        </w:rPr>
      </w:pPr>
      <w:bookmarkStart w:id="2595" w:name="_Toc505959893"/>
      <w:bookmarkStart w:id="2596" w:name="_Toc507070762"/>
      <w:bookmarkStart w:id="2597" w:name="_Toc507071338"/>
      <w:bookmarkStart w:id="2598" w:name="_Toc507072529"/>
      <w:bookmarkStart w:id="2599" w:name="_Toc507072962"/>
      <w:bookmarkStart w:id="2600" w:name="_Toc507680924"/>
      <w:bookmarkStart w:id="2601" w:name="_Toc508007072"/>
      <w:bookmarkStart w:id="2602" w:name="_Toc508190350"/>
      <w:bookmarkStart w:id="2603" w:name="_Toc508274935"/>
      <w:bookmarkStart w:id="2604" w:name="_Toc508609610"/>
      <w:r w:rsidRPr="00435180">
        <w:rPr>
          <w:szCs w:val="22"/>
        </w:rPr>
        <w:t xml:space="preserve">As noted above, Regulatory Flexibility Analyses were incorporated into the </w:t>
      </w:r>
      <w:r w:rsidRPr="002E4807" w:rsidR="002E4807">
        <w:rPr>
          <w:i/>
          <w:iCs/>
          <w:szCs w:val="22"/>
        </w:rPr>
        <w:t xml:space="preserve">3.7 GHz </w:t>
      </w:r>
      <w:r w:rsidRPr="002E4807" w:rsidR="004F6E42">
        <w:rPr>
          <w:i/>
          <w:iCs/>
          <w:szCs w:val="22"/>
        </w:rPr>
        <w:t>N</w:t>
      </w:r>
      <w:r w:rsidR="004F6E42">
        <w:rPr>
          <w:i/>
          <w:szCs w:val="22"/>
        </w:rPr>
        <w:t xml:space="preserve">PRM </w:t>
      </w:r>
      <w:r w:rsidRPr="00064C7C" w:rsidR="004F6E42">
        <w:rPr>
          <w:szCs w:val="22"/>
        </w:rPr>
        <w:t>and</w:t>
      </w:r>
      <w:r w:rsidR="004F6E42">
        <w:rPr>
          <w:i/>
          <w:szCs w:val="22"/>
        </w:rPr>
        <w:t xml:space="preserve"> 3.</w:t>
      </w:r>
      <w:r w:rsidR="00801FC2">
        <w:rPr>
          <w:i/>
          <w:szCs w:val="22"/>
        </w:rPr>
        <w:t>7</w:t>
      </w:r>
      <w:r w:rsidR="004F6E42">
        <w:rPr>
          <w:i/>
          <w:szCs w:val="22"/>
        </w:rPr>
        <w:t xml:space="preserve"> GHz </w:t>
      </w:r>
      <w:r w:rsidR="00500851">
        <w:rPr>
          <w:i/>
          <w:szCs w:val="22"/>
        </w:rPr>
        <w:t xml:space="preserve">Report and </w:t>
      </w:r>
      <w:r w:rsidR="004F6E42">
        <w:rPr>
          <w:i/>
          <w:szCs w:val="22"/>
        </w:rPr>
        <w:t>Order</w:t>
      </w:r>
      <w:r w:rsidRPr="00435180">
        <w:rPr>
          <w:szCs w:val="22"/>
        </w:rPr>
        <w:t xml:space="preserve">.  </w:t>
      </w:r>
      <w:r w:rsidR="005F50F5">
        <w:rPr>
          <w:szCs w:val="22"/>
        </w:rPr>
        <w:t>Th</w:t>
      </w:r>
      <w:r w:rsidR="00024DA2">
        <w:rPr>
          <w:szCs w:val="22"/>
        </w:rPr>
        <w:t>e</w:t>
      </w:r>
      <w:r w:rsidR="005F50F5">
        <w:rPr>
          <w:szCs w:val="22"/>
        </w:rPr>
        <w:t xml:space="preserve">se </w:t>
      </w:r>
      <w:r w:rsidRPr="00B74F2D" w:rsidR="00024DA2">
        <w:rPr>
          <w:iCs/>
          <w:szCs w:val="22"/>
        </w:rPr>
        <w:t>orders</w:t>
      </w:r>
      <w:r w:rsidRPr="00435180" w:rsidR="00931323">
        <w:rPr>
          <w:i/>
          <w:szCs w:val="22"/>
        </w:rPr>
        <w:t xml:space="preserve"> </w:t>
      </w:r>
      <w:r w:rsidRPr="00435180">
        <w:rPr>
          <w:szCs w:val="22"/>
        </w:rPr>
        <w:t xml:space="preserve">provide the underlying authority for the procedures proposed in the </w:t>
      </w:r>
      <w:r w:rsidRPr="00435180">
        <w:rPr>
          <w:i/>
          <w:szCs w:val="22"/>
        </w:rPr>
        <w:t>Auction 10</w:t>
      </w:r>
      <w:r w:rsidR="00EA2A2A">
        <w:rPr>
          <w:i/>
          <w:szCs w:val="22"/>
        </w:rPr>
        <w:t>7</w:t>
      </w:r>
      <w:r w:rsidRPr="00435180">
        <w:rPr>
          <w:i/>
          <w:szCs w:val="22"/>
        </w:rPr>
        <w:t xml:space="preserve"> Comment Public Notice</w:t>
      </w:r>
      <w:r w:rsidRPr="00435180">
        <w:rPr>
          <w:szCs w:val="22"/>
        </w:rPr>
        <w:t xml:space="preserve"> and</w:t>
      </w:r>
      <w:r w:rsidR="00593C81">
        <w:rPr>
          <w:szCs w:val="22"/>
        </w:rPr>
        <w:t xml:space="preserve"> are</w:t>
      </w:r>
      <w:r w:rsidRPr="00435180">
        <w:rPr>
          <w:szCs w:val="22"/>
        </w:rPr>
        <w:t xml:space="preserve"> adopted herein</w:t>
      </w:r>
      <w:r w:rsidRPr="00435180">
        <w:rPr>
          <w:szCs w:val="22"/>
        </w:rPr>
        <w:t xml:space="preserve"> for Auction 10</w:t>
      </w:r>
      <w:r w:rsidR="0003485E">
        <w:rPr>
          <w:szCs w:val="22"/>
        </w:rPr>
        <w:t>7</w:t>
      </w:r>
      <w:r w:rsidRPr="00435180">
        <w:rPr>
          <w:szCs w:val="22"/>
        </w:rPr>
        <w:t xml:space="preserve">.  In those </w:t>
      </w:r>
      <w:r w:rsidR="0001440F">
        <w:rPr>
          <w:szCs w:val="22"/>
        </w:rPr>
        <w:t>regulatory flexibility</w:t>
      </w:r>
      <w:r w:rsidRPr="00435180">
        <w:rPr>
          <w:szCs w:val="22"/>
        </w:rPr>
        <w:t xml:space="preserve"> analyses, we described in detail the small entities that might be significantly affected.  In this Public Notice, we hereby incorporate by reference the descriptions and estimates of the number of small en</w:t>
      </w:r>
      <w:r w:rsidRPr="00435180">
        <w:rPr>
          <w:szCs w:val="22"/>
        </w:rPr>
        <w:t xml:space="preserve">tities from the previous Regulatory Flexibility Analyses in the </w:t>
      </w:r>
      <w:r w:rsidRPr="002E4807" w:rsidR="002E4807">
        <w:rPr>
          <w:i/>
          <w:iCs/>
          <w:szCs w:val="22"/>
        </w:rPr>
        <w:t xml:space="preserve">3.7 GHz </w:t>
      </w:r>
      <w:r w:rsidRPr="002E4807" w:rsidR="00931323">
        <w:rPr>
          <w:i/>
          <w:iCs/>
          <w:szCs w:val="22"/>
        </w:rPr>
        <w:t>NPRM</w:t>
      </w:r>
      <w:r w:rsidR="00931323">
        <w:rPr>
          <w:i/>
          <w:szCs w:val="22"/>
        </w:rPr>
        <w:t xml:space="preserve"> </w:t>
      </w:r>
      <w:r w:rsidRPr="00064C7C" w:rsidR="00931323">
        <w:rPr>
          <w:szCs w:val="22"/>
        </w:rPr>
        <w:t>and</w:t>
      </w:r>
      <w:r w:rsidR="00931323">
        <w:rPr>
          <w:i/>
          <w:szCs w:val="22"/>
        </w:rPr>
        <w:t xml:space="preserve"> 3.</w:t>
      </w:r>
      <w:r w:rsidR="00133EB3">
        <w:rPr>
          <w:i/>
          <w:szCs w:val="22"/>
        </w:rPr>
        <w:t>7</w:t>
      </w:r>
      <w:r w:rsidR="00931323">
        <w:rPr>
          <w:i/>
          <w:szCs w:val="22"/>
        </w:rPr>
        <w:t xml:space="preserve"> GHz </w:t>
      </w:r>
      <w:r w:rsidR="00500851">
        <w:rPr>
          <w:i/>
          <w:szCs w:val="22"/>
        </w:rPr>
        <w:t xml:space="preserve">Report and </w:t>
      </w:r>
      <w:r w:rsidR="00931323">
        <w:rPr>
          <w:i/>
          <w:szCs w:val="22"/>
        </w:rPr>
        <w:t>Order</w:t>
      </w:r>
      <w:r w:rsidRPr="00435180">
        <w:rPr>
          <w:szCs w:val="22"/>
        </w:rPr>
        <w:t>.</w:t>
      </w:r>
      <w:r>
        <w:rPr>
          <w:rStyle w:val="FootnoteReference"/>
          <w:szCs w:val="22"/>
        </w:rPr>
        <w:footnoteReference w:id="385"/>
      </w:r>
    </w:p>
    <w:bookmarkEnd w:id="2595"/>
    <w:bookmarkEnd w:id="2596"/>
    <w:bookmarkEnd w:id="2597"/>
    <w:bookmarkEnd w:id="2598"/>
    <w:bookmarkEnd w:id="2599"/>
    <w:bookmarkEnd w:id="2600"/>
    <w:bookmarkEnd w:id="2601"/>
    <w:bookmarkEnd w:id="2602"/>
    <w:bookmarkEnd w:id="2603"/>
    <w:bookmarkEnd w:id="2604"/>
    <w:p w:rsidR="00D6515C" w:rsidRPr="00435180" w:rsidP="00D6515C" w14:paraId="0147BF9F" w14:textId="6993415A">
      <w:pPr>
        <w:pStyle w:val="ParaNum"/>
        <w:widowControl/>
        <w:rPr>
          <w:szCs w:val="22"/>
        </w:rPr>
      </w:pPr>
      <w:r w:rsidRPr="00435180">
        <w:rPr>
          <w:i/>
          <w:szCs w:val="22"/>
        </w:rPr>
        <w:t>Description of Projected Reporting, Recordkeeping, and Other Compliance Requirements for Small Entities.</w:t>
      </w:r>
      <w:r w:rsidRPr="00435180">
        <w:rPr>
          <w:szCs w:val="22"/>
        </w:rPr>
        <w:t xml:space="preserve">  The Commission designed the auction application process itself to minimize reporting and compliance requirements for applicants, including small business applicants.  In the first part of the Commission’s two-phased auction application process, parties d</w:t>
      </w:r>
      <w:r w:rsidRPr="00435180">
        <w:rPr>
          <w:szCs w:val="22"/>
        </w:rPr>
        <w:t>esiring to participate in an auction file streamlined, short-form applications in which they certify under penalty of perjury as to their qualifications.</w:t>
      </w:r>
      <w:r>
        <w:rPr>
          <w:szCs w:val="22"/>
          <w:vertAlign w:val="superscript"/>
        </w:rPr>
        <w:footnoteReference w:id="386"/>
      </w:r>
      <w:r w:rsidRPr="00435180">
        <w:rPr>
          <w:szCs w:val="22"/>
        </w:rPr>
        <w:t xml:space="preserve">  Eligibility to participate in bidding is based on an applicant’s short-form application and certifications, as well as its upfront payment.  In the second phase of the process, winning bidders file a more comprehensive long-form application.  Thus, an ap</w:t>
      </w:r>
      <w:r w:rsidRPr="00435180">
        <w:rPr>
          <w:szCs w:val="22"/>
        </w:rPr>
        <w:t xml:space="preserve">plicant </w:t>
      </w:r>
      <w:r w:rsidR="00165068">
        <w:rPr>
          <w:szCs w:val="22"/>
        </w:rPr>
        <w:t>that</w:t>
      </w:r>
      <w:r w:rsidRPr="00435180" w:rsidR="00165068">
        <w:rPr>
          <w:szCs w:val="22"/>
        </w:rPr>
        <w:t xml:space="preserve"> </w:t>
      </w:r>
      <w:r w:rsidRPr="00435180">
        <w:rPr>
          <w:szCs w:val="22"/>
        </w:rPr>
        <w:t xml:space="preserve">fails to become a winning bidder does not need to file a long-form application </w:t>
      </w:r>
      <w:r w:rsidR="00165068">
        <w:rPr>
          <w:szCs w:val="22"/>
        </w:rPr>
        <w:t>or</w:t>
      </w:r>
      <w:r w:rsidRPr="00435180" w:rsidR="00165068">
        <w:rPr>
          <w:szCs w:val="22"/>
        </w:rPr>
        <w:t xml:space="preserve"> </w:t>
      </w:r>
      <w:r w:rsidRPr="00435180">
        <w:rPr>
          <w:szCs w:val="22"/>
        </w:rPr>
        <w:t>provide the additional showings and more detailed demonstrations required of a winning bidder.</w:t>
      </w:r>
    </w:p>
    <w:p w:rsidR="00D6515C" w:rsidRPr="00435180" w:rsidP="00D6515C" w14:paraId="388EF10F" w14:textId="03563EDA">
      <w:pPr>
        <w:pStyle w:val="ParaNum"/>
        <w:widowControl/>
        <w:rPr>
          <w:szCs w:val="22"/>
        </w:rPr>
      </w:pPr>
      <w:r w:rsidRPr="00435180">
        <w:rPr>
          <w:szCs w:val="22"/>
        </w:rPr>
        <w:t>We do not expect</w:t>
      </w:r>
      <w:r w:rsidR="00043412">
        <w:rPr>
          <w:szCs w:val="22"/>
        </w:rPr>
        <w:t xml:space="preserve"> that</w:t>
      </w:r>
      <w:r w:rsidRPr="00435180">
        <w:rPr>
          <w:szCs w:val="22"/>
        </w:rPr>
        <w:t xml:space="preserve"> the processes and procedures adopted in this</w:t>
      </w:r>
      <w:r w:rsidRPr="00435180">
        <w:rPr>
          <w:szCs w:val="22"/>
        </w:rPr>
        <w:t xml:space="preserve"> Public Notice will require small entities to hire attorneys, engineers, consultants, or other professionals to participate in Auction 10</w:t>
      </w:r>
      <w:r w:rsidR="004F058C">
        <w:rPr>
          <w:szCs w:val="22"/>
        </w:rPr>
        <w:t>7</w:t>
      </w:r>
      <w:r w:rsidRPr="00435180">
        <w:rPr>
          <w:szCs w:val="22"/>
        </w:rPr>
        <w:t xml:space="preserve"> and comply with the procedures we adopt because of the information, resources, and guidance we make available to pote</w:t>
      </w:r>
      <w:r w:rsidRPr="00435180">
        <w:rPr>
          <w:szCs w:val="22"/>
        </w:rPr>
        <w:t xml:space="preserve">ntial and actual participants.  </w:t>
      </w:r>
      <w:r w:rsidR="00A5721C">
        <w:rPr>
          <w:szCs w:val="22"/>
        </w:rPr>
        <w:t>Th</w:t>
      </w:r>
      <w:r w:rsidRPr="00435180">
        <w:rPr>
          <w:szCs w:val="22"/>
        </w:rPr>
        <w:t xml:space="preserve">e </w:t>
      </w:r>
      <w:r w:rsidR="00A5721C">
        <w:rPr>
          <w:szCs w:val="22"/>
        </w:rPr>
        <w:t>Commission</w:t>
      </w:r>
      <w:r w:rsidRPr="00435180">
        <w:rPr>
          <w:szCs w:val="22"/>
        </w:rPr>
        <w:t xml:space="preserve"> cannot quantify the cost of compliance with the procedures</w:t>
      </w:r>
      <w:r w:rsidR="002E4807">
        <w:rPr>
          <w:szCs w:val="22"/>
        </w:rPr>
        <w:t>,</w:t>
      </w:r>
      <w:r w:rsidRPr="00435180">
        <w:rPr>
          <w:szCs w:val="22"/>
        </w:rPr>
        <w:t xml:space="preserve"> however, we do not believe that the cost of compliance will unduly burden small entities that choose to participate in the auction.  We note </w:t>
      </w:r>
      <w:r w:rsidR="00CE3F7A">
        <w:rPr>
          <w:szCs w:val="22"/>
        </w:rPr>
        <w:t>that</w:t>
      </w:r>
      <w:r w:rsidRPr="00435180">
        <w:rPr>
          <w:szCs w:val="22"/>
        </w:rPr>
        <w:t xml:space="preserve"> the</w:t>
      </w:r>
      <w:r w:rsidRPr="00435180">
        <w:rPr>
          <w:szCs w:val="22"/>
        </w:rPr>
        <w:t xml:space="preserve"> processes and procedures are consistent with existing Commission policies and procedures used in prior auctions.  Thus, some small entities may already be familiar with such procedures and have the processes and procedures </w:t>
      </w:r>
      <w:r w:rsidRPr="00435180">
        <w:rPr>
          <w:szCs w:val="22"/>
        </w:rPr>
        <w:t>in place to facilitate complianc</w:t>
      </w:r>
      <w:r w:rsidRPr="00435180">
        <w:rPr>
          <w:szCs w:val="22"/>
        </w:rPr>
        <w:t>e resulting in minimal incremental costs to comply.  For those small entities that may be new to the Commission’s auction process, the various resources that will be made available, including, but not limited to, the mock auction, remote electronic bidding</w:t>
      </w:r>
      <w:r w:rsidRPr="00435180">
        <w:rPr>
          <w:szCs w:val="22"/>
        </w:rPr>
        <w:t>, and access to hotlines for both technical and auction assistance, should help facilitate participation without the need to hire professionals.  For example, we intend to release an online tutorial that will help applicants understand the procedures for f</w:t>
      </w:r>
      <w:r w:rsidRPr="00435180">
        <w:rPr>
          <w:szCs w:val="22"/>
        </w:rPr>
        <w:t>iling the auction short-form applications (FCC Form 175).  We also intend to offer other educational opportunities for applicants in Auction 10</w:t>
      </w:r>
      <w:r w:rsidR="006C3A5E">
        <w:rPr>
          <w:szCs w:val="22"/>
        </w:rPr>
        <w:t>7</w:t>
      </w:r>
      <w:r w:rsidRPr="00435180">
        <w:rPr>
          <w:szCs w:val="22"/>
        </w:rPr>
        <w:t xml:space="preserve"> to familiarize themselves with the FCC </w:t>
      </w:r>
      <w:r w:rsidR="00535BBF">
        <w:rPr>
          <w:szCs w:val="22"/>
        </w:rPr>
        <w:t>A</w:t>
      </w:r>
      <w:r w:rsidRPr="00435180">
        <w:rPr>
          <w:szCs w:val="22"/>
        </w:rPr>
        <w:t xml:space="preserve">uction </w:t>
      </w:r>
      <w:r w:rsidR="00535BBF">
        <w:rPr>
          <w:szCs w:val="22"/>
        </w:rPr>
        <w:t>A</w:t>
      </w:r>
      <w:r w:rsidRPr="00435180">
        <w:rPr>
          <w:szCs w:val="22"/>
        </w:rPr>
        <w:t xml:space="preserve">pplication </w:t>
      </w:r>
      <w:r w:rsidR="00535BBF">
        <w:rPr>
          <w:szCs w:val="22"/>
        </w:rPr>
        <w:t>S</w:t>
      </w:r>
      <w:r w:rsidRPr="00435180">
        <w:rPr>
          <w:szCs w:val="22"/>
        </w:rPr>
        <w:t xml:space="preserve">ystem and the </w:t>
      </w:r>
      <w:r w:rsidRPr="00435180">
        <w:rPr>
          <w:rFonts w:eastAsia="Calibri"/>
          <w:snapToGrid/>
          <w:szCs w:val="22"/>
        </w:rPr>
        <w:t>bidding system</w:t>
      </w:r>
      <w:r w:rsidRPr="00435180">
        <w:rPr>
          <w:szCs w:val="22"/>
        </w:rPr>
        <w:t>.  By providing these r</w:t>
      </w:r>
      <w:r w:rsidRPr="00435180">
        <w:rPr>
          <w:szCs w:val="22"/>
        </w:rPr>
        <w:t xml:space="preserve">esources as well as the resources discussed below, we expect small entities that </w:t>
      </w:r>
      <w:r w:rsidR="002245AE">
        <w:rPr>
          <w:szCs w:val="22"/>
        </w:rPr>
        <w:t>use</w:t>
      </w:r>
      <w:r w:rsidRPr="00435180">
        <w:rPr>
          <w:szCs w:val="22"/>
        </w:rPr>
        <w:t xml:space="preserve"> the available resources to experience lower participation and compliance costs.</w:t>
      </w:r>
    </w:p>
    <w:p w:rsidR="00D6515C" w:rsidRPr="00435180" w:rsidP="00D6515C" w14:paraId="5EC28C10" w14:textId="513EF927">
      <w:pPr>
        <w:pStyle w:val="ParaNum"/>
        <w:widowControl/>
        <w:rPr>
          <w:szCs w:val="22"/>
        </w:rPr>
      </w:pPr>
      <w:r w:rsidRPr="00435180">
        <w:rPr>
          <w:i/>
          <w:szCs w:val="22"/>
        </w:rPr>
        <w:t xml:space="preserve">Steps Taken to Minimize the Significant Economic Impact on Small Entities, and </w:t>
      </w:r>
      <w:r w:rsidRPr="00435180">
        <w:rPr>
          <w:i/>
          <w:szCs w:val="22"/>
        </w:rPr>
        <w:t>Significant Alternatives Considered.</w:t>
      </w:r>
      <w:r w:rsidRPr="00435180">
        <w:rPr>
          <w:szCs w:val="22"/>
        </w:rPr>
        <w:t xml:space="preserve">  The RFA requires an agency to describe any significant, specifically small business, alternatives that it has considered in reaching its approach, which may include the following four alternatives (among others):  “(1)</w:t>
      </w:r>
      <w:r w:rsidRPr="00435180">
        <w:rPr>
          <w:szCs w:val="22"/>
        </w:rPr>
        <w:t xml:space="preserve"> the establishment of differing compliance or reporting requirements or timetables that take into account the resources available to small entities; (2) the clarification, consolidation, or simplification of compliance and reporting requirements under the </w:t>
      </w:r>
      <w:r w:rsidRPr="00435180">
        <w:rPr>
          <w:szCs w:val="22"/>
        </w:rPr>
        <w:t>rule for such small entities; (3) the use of performance rather than design standards; and (4) an exemption from coverage of the rule, or any part thereof, for such small entities.”</w:t>
      </w:r>
      <w:r>
        <w:rPr>
          <w:rStyle w:val="FootnoteReference"/>
          <w:szCs w:val="22"/>
        </w:rPr>
        <w:footnoteReference w:id="387"/>
      </w:r>
      <w:r w:rsidRPr="00435180">
        <w:rPr>
          <w:szCs w:val="22"/>
        </w:rPr>
        <w:t xml:space="preserve"> </w:t>
      </w:r>
    </w:p>
    <w:p w:rsidR="00D6515C" w:rsidRPr="00435180" w:rsidP="00D6515C" w14:paraId="68842F48" w14:textId="3CBCBFA6">
      <w:pPr>
        <w:pStyle w:val="ParaNum"/>
        <w:widowControl/>
        <w:rPr>
          <w:szCs w:val="22"/>
        </w:rPr>
      </w:pPr>
      <w:r w:rsidRPr="00435180">
        <w:rPr>
          <w:szCs w:val="22"/>
        </w:rPr>
        <w:t>We have taken steps to minimize any economic impact of our auction proc</w:t>
      </w:r>
      <w:r w:rsidRPr="00435180">
        <w:rPr>
          <w:szCs w:val="22"/>
        </w:rPr>
        <w:t xml:space="preserve">edures on small </w:t>
      </w:r>
      <w:r w:rsidR="00767A55">
        <w:rPr>
          <w:szCs w:val="22"/>
        </w:rPr>
        <w:t>entities</w:t>
      </w:r>
      <w:r w:rsidRPr="00435180">
        <w:rPr>
          <w:szCs w:val="22"/>
        </w:rPr>
        <w:t xml:space="preserve"> through</w:t>
      </w:r>
      <w:r w:rsidR="00D3396E">
        <w:rPr>
          <w:szCs w:val="22"/>
        </w:rPr>
        <w:t>,</w:t>
      </w:r>
      <w:r w:rsidRPr="00435180">
        <w:rPr>
          <w:szCs w:val="22"/>
        </w:rPr>
        <w:t xml:space="preserve"> among other things, the many free resources we provide </w:t>
      </w:r>
      <w:r w:rsidR="00D3396E">
        <w:rPr>
          <w:szCs w:val="22"/>
        </w:rPr>
        <w:t>to</w:t>
      </w:r>
      <w:r w:rsidRPr="00435180">
        <w:rPr>
          <w:szCs w:val="22"/>
        </w:rPr>
        <w:t xml:space="preserve"> potential auction participants.  Consistent with the past practices in prior auctions, small entities that are potential participants will have access to detailed e</w:t>
      </w:r>
      <w:r w:rsidRPr="00435180">
        <w:rPr>
          <w:szCs w:val="22"/>
        </w:rPr>
        <w:t>ducational information and Commission personnel to help guide their participation in Auction 10</w:t>
      </w:r>
      <w:r w:rsidR="0020218D">
        <w:rPr>
          <w:szCs w:val="22"/>
        </w:rPr>
        <w:t>7</w:t>
      </w:r>
      <w:r w:rsidRPr="00435180">
        <w:rPr>
          <w:szCs w:val="22"/>
        </w:rPr>
        <w:t>, which should alleviate any need to hire profe</w:t>
      </w:r>
      <w:r w:rsidR="00294329">
        <w:rPr>
          <w:szCs w:val="22"/>
        </w:rPr>
        <w:t>s</w:t>
      </w:r>
      <w:r w:rsidRPr="00435180">
        <w:rPr>
          <w:szCs w:val="22"/>
        </w:rPr>
        <w:t>sionals.  More specifically, small entities and other auction participants may seek clarification of</w:t>
      </w:r>
      <w:r w:rsidR="002E4807">
        <w:rPr>
          <w:szCs w:val="22"/>
        </w:rPr>
        <w:t>,</w:t>
      </w:r>
      <w:r w:rsidRPr="00435180">
        <w:rPr>
          <w:szCs w:val="22"/>
        </w:rPr>
        <w:t xml:space="preserve"> or guidanc</w:t>
      </w:r>
      <w:r w:rsidRPr="00435180">
        <w:rPr>
          <w:szCs w:val="22"/>
        </w:rPr>
        <w:t>e on</w:t>
      </w:r>
      <w:r w:rsidR="002E4807">
        <w:rPr>
          <w:szCs w:val="22"/>
        </w:rPr>
        <w:t>,</w:t>
      </w:r>
      <w:r w:rsidRPr="00435180">
        <w:rPr>
          <w:szCs w:val="22"/>
        </w:rPr>
        <w:t xml:space="preserve"> complying with competitive bidding rules and procedures, reporting requirements, and using the </w:t>
      </w:r>
      <w:r w:rsidRPr="00435180">
        <w:rPr>
          <w:rFonts w:eastAsia="Calibri"/>
          <w:snapToGrid/>
          <w:szCs w:val="22"/>
        </w:rPr>
        <w:t>bidding system</w:t>
      </w:r>
      <w:r w:rsidRPr="00435180">
        <w:rPr>
          <w:szCs w:val="22"/>
        </w:rPr>
        <w:t xml:space="preserve">.  Additionally, an FCC Auctions Hotline will provide small entities one-on-one access to Commission staff for information about the auction </w:t>
      </w:r>
      <w:r w:rsidRPr="00435180">
        <w:rPr>
          <w:szCs w:val="22"/>
        </w:rPr>
        <w:t xml:space="preserve">process and procedures.  Further, the FCC Auctions Technical Support Hotline is another resource </w:t>
      </w:r>
      <w:r w:rsidR="002A594C">
        <w:rPr>
          <w:szCs w:val="22"/>
        </w:rPr>
        <w:t>that</w:t>
      </w:r>
      <w:r w:rsidRPr="00435180" w:rsidR="002A594C">
        <w:rPr>
          <w:szCs w:val="22"/>
        </w:rPr>
        <w:t xml:space="preserve"> </w:t>
      </w:r>
      <w:r w:rsidRPr="00435180">
        <w:rPr>
          <w:szCs w:val="22"/>
        </w:rPr>
        <w:t>provides technical assistance to applicants, including small entities, on issues such as access to or navigation within the electronic FCC Form 175 and us</w:t>
      </w:r>
      <w:r w:rsidRPr="00435180">
        <w:rPr>
          <w:szCs w:val="22"/>
        </w:rPr>
        <w:t xml:space="preserve">e of the </w:t>
      </w:r>
      <w:r w:rsidRPr="00435180">
        <w:rPr>
          <w:rFonts w:eastAsia="Calibri"/>
          <w:snapToGrid/>
          <w:szCs w:val="22"/>
        </w:rPr>
        <w:t>bidding system</w:t>
      </w:r>
      <w:r w:rsidRPr="00435180">
        <w:rPr>
          <w:szCs w:val="22"/>
        </w:rPr>
        <w:t xml:space="preserve">.  Small entities and other would-be participants will also be provided </w:t>
      </w:r>
      <w:r w:rsidR="002A594C">
        <w:rPr>
          <w:szCs w:val="22"/>
        </w:rPr>
        <w:t xml:space="preserve">with </w:t>
      </w:r>
      <w:r w:rsidRPr="00435180">
        <w:rPr>
          <w:szCs w:val="22"/>
        </w:rPr>
        <w:t>various materials on the pre-bidding process in advance of the short-form application filing window, which includes step-by-step instructions on how to comp</w:t>
      </w:r>
      <w:r w:rsidRPr="00435180">
        <w:rPr>
          <w:szCs w:val="22"/>
        </w:rPr>
        <w:t>lete FCC Form 175.  In addition, small entities will have access to the web-based, interactive online tutorial</w:t>
      </w:r>
      <w:r w:rsidR="009C45C3">
        <w:rPr>
          <w:szCs w:val="22"/>
        </w:rPr>
        <w:t>s</w:t>
      </w:r>
      <w:r w:rsidRPr="00435180">
        <w:rPr>
          <w:szCs w:val="22"/>
        </w:rPr>
        <w:t xml:space="preserve"> produced by Commission staff to familiarize themselves with auction procedures, filing requirements, bidding procedures, and other matters relat</w:t>
      </w:r>
      <w:r w:rsidRPr="00435180">
        <w:rPr>
          <w:szCs w:val="22"/>
        </w:rPr>
        <w:t xml:space="preserve">ed to an auction.  </w:t>
      </w:r>
    </w:p>
    <w:p w:rsidR="00D6515C" w:rsidRPr="00435180" w:rsidP="006F4FD0" w14:paraId="3216C575" w14:textId="64FAEF5B">
      <w:pPr>
        <w:pStyle w:val="ParaNum"/>
        <w:widowControl/>
        <w:rPr>
          <w:szCs w:val="22"/>
        </w:rPr>
      </w:pPr>
      <w:r w:rsidRPr="00435180">
        <w:rPr>
          <w:szCs w:val="22"/>
        </w:rPr>
        <w:t xml:space="preserve">We also make various databases and other sources of information, including the Auctions program websites and copies of Commission decisions, available to the public without charge, providing a low-cost mechanism for small </w:t>
      </w:r>
      <w:r w:rsidR="002E4807">
        <w:rPr>
          <w:szCs w:val="22"/>
        </w:rPr>
        <w:t xml:space="preserve">entities </w:t>
      </w:r>
      <w:r w:rsidRPr="00435180">
        <w:rPr>
          <w:szCs w:val="22"/>
        </w:rPr>
        <w:t>to co</w:t>
      </w:r>
      <w:r w:rsidRPr="00435180">
        <w:rPr>
          <w:szCs w:val="22"/>
        </w:rPr>
        <w:t>nduct research prior to and throughout the auction.  Prior to and at the close of Auction 10</w:t>
      </w:r>
      <w:r w:rsidR="006403E8">
        <w:rPr>
          <w:szCs w:val="22"/>
        </w:rPr>
        <w:t>7</w:t>
      </w:r>
      <w:r w:rsidRPr="00435180">
        <w:rPr>
          <w:szCs w:val="22"/>
        </w:rPr>
        <w:t>, we will post public notices on the Auctions website, which articulate the procedures and deadlines for the auction.  We make this information easily accessible a</w:t>
      </w:r>
      <w:r w:rsidRPr="00435180">
        <w:rPr>
          <w:szCs w:val="22"/>
        </w:rPr>
        <w:t>nd without charge to benefit all Auction 10</w:t>
      </w:r>
      <w:r w:rsidR="00424C9F">
        <w:rPr>
          <w:szCs w:val="22"/>
        </w:rPr>
        <w:t>7</w:t>
      </w:r>
      <w:r w:rsidRPr="00435180">
        <w:rPr>
          <w:szCs w:val="22"/>
        </w:rPr>
        <w:t xml:space="preserve"> applicants, including small </w:t>
      </w:r>
      <w:r w:rsidR="00D93FAD">
        <w:rPr>
          <w:szCs w:val="22"/>
        </w:rPr>
        <w:t>entities</w:t>
      </w:r>
      <w:r w:rsidRPr="00435180">
        <w:rPr>
          <w:szCs w:val="22"/>
        </w:rPr>
        <w:t>, thereby lowering their administrative costs to comply with the Commission’s competitive bidding rules.</w:t>
      </w:r>
    </w:p>
    <w:p w:rsidR="00D6515C" w:rsidRPr="00435180" w:rsidP="006F4FD0" w14:paraId="2EA1ED5A" w14:textId="0B52E344">
      <w:pPr>
        <w:pStyle w:val="ParaNum"/>
        <w:widowControl/>
        <w:rPr>
          <w:szCs w:val="22"/>
        </w:rPr>
      </w:pPr>
      <w:r w:rsidRPr="00435180">
        <w:rPr>
          <w:szCs w:val="22"/>
        </w:rPr>
        <w:t>Prior to the start of bidding, eligible bidders will be given an oppor</w:t>
      </w:r>
      <w:r w:rsidRPr="00435180">
        <w:rPr>
          <w:szCs w:val="22"/>
        </w:rPr>
        <w:t xml:space="preserve">tunity to become familiar with auction procedures and the </w:t>
      </w:r>
      <w:r w:rsidRPr="00435180">
        <w:rPr>
          <w:rFonts w:eastAsia="Calibri"/>
          <w:snapToGrid/>
          <w:szCs w:val="22"/>
        </w:rPr>
        <w:t xml:space="preserve">bidding system </w:t>
      </w:r>
      <w:r w:rsidRPr="00435180">
        <w:rPr>
          <w:szCs w:val="22"/>
        </w:rPr>
        <w:t>by participating in a mock auction.  Eligible bidders will have access to a user guide for the bidding system, bidding file formats, and an online bidding procedures tutorial in advan</w:t>
      </w:r>
      <w:r w:rsidRPr="00435180">
        <w:rPr>
          <w:szCs w:val="22"/>
        </w:rPr>
        <w:t>ce of the mock auction.  Further, we intend to conduct Auction 10</w:t>
      </w:r>
      <w:r w:rsidR="001D640E">
        <w:rPr>
          <w:szCs w:val="22"/>
        </w:rPr>
        <w:t>7</w:t>
      </w:r>
      <w:r w:rsidRPr="00435180">
        <w:rPr>
          <w:szCs w:val="22"/>
        </w:rPr>
        <w:t xml:space="preserve"> electronically over the Internet using a web-based auction system that eliminates the need for small </w:t>
      </w:r>
      <w:r w:rsidRPr="00435180">
        <w:rPr>
          <w:szCs w:val="22"/>
        </w:rPr>
        <w:t>entities and other bidders to be physically present in a specific location</w:t>
      </w:r>
      <w:r w:rsidR="00E10028">
        <w:rPr>
          <w:szCs w:val="22"/>
        </w:rPr>
        <w:t xml:space="preserve">.  </w:t>
      </w:r>
      <w:r w:rsidRPr="00435180">
        <w:rPr>
          <w:szCs w:val="22"/>
        </w:rPr>
        <w:t>These mecha</w:t>
      </w:r>
      <w:r w:rsidRPr="00435180">
        <w:rPr>
          <w:szCs w:val="22"/>
        </w:rPr>
        <w:t>nisms are made available to facilitate participation in Auction 10</w:t>
      </w:r>
      <w:r w:rsidR="00213411">
        <w:rPr>
          <w:szCs w:val="22"/>
        </w:rPr>
        <w:t>7</w:t>
      </w:r>
      <w:r w:rsidRPr="00435180">
        <w:rPr>
          <w:szCs w:val="22"/>
        </w:rPr>
        <w:t xml:space="preserve"> by all eligible bidders and may result in significant cost savings for small entities that use </w:t>
      </w:r>
      <w:r w:rsidR="007A3040">
        <w:rPr>
          <w:szCs w:val="22"/>
        </w:rPr>
        <w:t>them</w:t>
      </w:r>
      <w:r w:rsidRPr="00435180">
        <w:rPr>
          <w:szCs w:val="22"/>
        </w:rPr>
        <w:t xml:space="preserve">.  Moreover, the adoption of bidding procedures in advance of the auction, </w:t>
      </w:r>
      <w:r w:rsidRPr="00435180">
        <w:rPr>
          <w:szCs w:val="22"/>
        </w:rPr>
        <w:t>consistent with statutory directive, is designed to ensure that the auction will be administered predictably and fairly for all participants, including small businesses.</w:t>
      </w:r>
    </w:p>
    <w:p w:rsidR="00D6515C" w:rsidRPr="00435180" w:rsidP="00D6515C" w14:paraId="151B52FD" w14:textId="1617D23C">
      <w:pPr>
        <w:pStyle w:val="ParaNum"/>
        <w:widowControl/>
        <w:rPr>
          <w:szCs w:val="22"/>
        </w:rPr>
      </w:pPr>
      <w:r w:rsidRPr="00435180">
        <w:rPr>
          <w:szCs w:val="22"/>
        </w:rPr>
        <w:t>Another step taken to minimize the economic impact for small entities participating in</w:t>
      </w:r>
      <w:r w:rsidRPr="00435180">
        <w:rPr>
          <w:szCs w:val="22"/>
        </w:rPr>
        <w:t xml:space="preserve"> Auction 10</w:t>
      </w:r>
      <w:r w:rsidR="00F21647">
        <w:rPr>
          <w:szCs w:val="22"/>
        </w:rPr>
        <w:t>7</w:t>
      </w:r>
      <w:r w:rsidRPr="00435180">
        <w:rPr>
          <w:szCs w:val="22"/>
        </w:rPr>
        <w:t xml:space="preserve"> is the Commission’s adoption of bidding credits for small businesses.  In accordance with the service rules applicable to the </w:t>
      </w:r>
      <w:r w:rsidR="00E54B1D">
        <w:rPr>
          <w:szCs w:val="22"/>
        </w:rPr>
        <w:t>3.7 GHz Service</w:t>
      </w:r>
      <w:r w:rsidR="005004AF">
        <w:rPr>
          <w:szCs w:val="22"/>
        </w:rPr>
        <w:t xml:space="preserve"> licenses</w:t>
      </w:r>
      <w:r w:rsidRPr="00435180" w:rsidR="002A4D12">
        <w:rPr>
          <w:szCs w:val="22"/>
        </w:rPr>
        <w:t xml:space="preserve"> </w:t>
      </w:r>
      <w:r w:rsidRPr="00435180">
        <w:rPr>
          <w:szCs w:val="22"/>
        </w:rPr>
        <w:t>to be offered in Auction 10</w:t>
      </w:r>
      <w:r w:rsidR="001D13B0">
        <w:rPr>
          <w:szCs w:val="22"/>
        </w:rPr>
        <w:t>7</w:t>
      </w:r>
      <w:r w:rsidRPr="00435180">
        <w:rPr>
          <w:szCs w:val="22"/>
        </w:rPr>
        <w:t>, bidding credit discounts will be available to eligible small b</w:t>
      </w:r>
      <w:r w:rsidRPr="00435180">
        <w:rPr>
          <w:szCs w:val="22"/>
        </w:rPr>
        <w:t xml:space="preserve">usinesses and small business consortiums on the following basis: </w:t>
      </w:r>
      <w:r>
        <w:rPr>
          <w:szCs w:val="22"/>
        </w:rPr>
        <w:t xml:space="preserve"> </w:t>
      </w:r>
      <w:r w:rsidRPr="00435180">
        <w:rPr>
          <w:szCs w:val="22"/>
        </w:rPr>
        <w:t xml:space="preserve">(1) </w:t>
      </w:r>
      <w:r w:rsidR="002A594C">
        <w:rPr>
          <w:szCs w:val="22"/>
        </w:rPr>
        <w:t>a</w:t>
      </w:r>
      <w:r w:rsidRPr="00435180">
        <w:rPr>
          <w:szCs w:val="22"/>
        </w:rPr>
        <w:t xml:space="preserve"> bidder with attributed average annual gross revenues that do not exceed $55 million for the preceding </w:t>
      </w:r>
      <w:r w:rsidR="006E6845">
        <w:rPr>
          <w:szCs w:val="22"/>
        </w:rPr>
        <w:t>five</w:t>
      </w:r>
      <w:r w:rsidRPr="00435180">
        <w:rPr>
          <w:szCs w:val="22"/>
        </w:rPr>
        <w:t xml:space="preserve"> years is eligible to receive a 15% discount on its winning bid or (2) a bidde</w:t>
      </w:r>
      <w:r w:rsidRPr="00435180">
        <w:rPr>
          <w:szCs w:val="22"/>
        </w:rPr>
        <w:t xml:space="preserve">r with attributed average annual gross revenues that do not exceed $20 million for the preceding </w:t>
      </w:r>
      <w:r w:rsidR="001C1BBC">
        <w:rPr>
          <w:szCs w:val="22"/>
        </w:rPr>
        <w:t>five</w:t>
      </w:r>
      <w:r w:rsidRPr="00435180">
        <w:rPr>
          <w:szCs w:val="22"/>
        </w:rPr>
        <w:t xml:space="preserve"> years is eligible to receive a 25% discount on its winning bid.  Eligible applicants can receive only one of the available bidding credits—not both.  </w:t>
      </w:r>
    </w:p>
    <w:p w:rsidR="00D6515C" w:rsidRPr="00435180" w:rsidP="00D6515C" w14:paraId="544B7DB7" w14:textId="0FB4027A">
      <w:pPr>
        <w:pStyle w:val="ParaNum"/>
        <w:widowControl/>
        <w:rPr>
          <w:szCs w:val="22"/>
        </w:rPr>
      </w:pPr>
      <w:r w:rsidRPr="00435180">
        <w:rPr>
          <w:szCs w:val="22"/>
        </w:rPr>
        <w:t>The</w:t>
      </w:r>
      <w:r w:rsidRPr="00435180">
        <w:rPr>
          <w:szCs w:val="22"/>
        </w:rPr>
        <w:t xml:space="preserve"> total amount of bidding credit discounts that may be awarded to an eligible small business is capped at $25 million.  In addition, we adopt a $10 million cap on the overall amount of bidding credits that any winning small business bidder may apply to winn</w:t>
      </w:r>
      <w:r w:rsidRPr="00435180">
        <w:rPr>
          <w:szCs w:val="22"/>
        </w:rPr>
        <w:t xml:space="preserve">ing licenses in </w:t>
      </w:r>
      <w:r w:rsidR="00DF33E9">
        <w:rPr>
          <w:szCs w:val="22"/>
        </w:rPr>
        <w:t xml:space="preserve">markets </w:t>
      </w:r>
      <w:r w:rsidRPr="00435180">
        <w:rPr>
          <w:szCs w:val="22"/>
        </w:rPr>
        <w:t xml:space="preserve">with a population of 500,000 or less.  Based on the technical characteristics of the </w:t>
      </w:r>
      <w:r w:rsidR="00D851BA">
        <w:rPr>
          <w:szCs w:val="22"/>
        </w:rPr>
        <w:t>3</w:t>
      </w:r>
      <w:r w:rsidR="002141D1">
        <w:rPr>
          <w:szCs w:val="22"/>
        </w:rPr>
        <w:t>.</w:t>
      </w:r>
      <w:r w:rsidR="008B217B">
        <w:rPr>
          <w:szCs w:val="22"/>
        </w:rPr>
        <w:t>7</w:t>
      </w:r>
      <w:r w:rsidR="00DD26DF">
        <w:rPr>
          <w:szCs w:val="22"/>
        </w:rPr>
        <w:t>–</w:t>
      </w:r>
      <w:r w:rsidR="00D851BA">
        <w:rPr>
          <w:szCs w:val="22"/>
        </w:rPr>
        <w:t>3</w:t>
      </w:r>
      <w:r w:rsidR="004B2421">
        <w:rPr>
          <w:szCs w:val="22"/>
        </w:rPr>
        <w:t>.</w:t>
      </w:r>
      <w:r w:rsidR="008B217B">
        <w:rPr>
          <w:szCs w:val="22"/>
        </w:rPr>
        <w:t>98</w:t>
      </w:r>
      <w:r w:rsidR="00EB2ED1">
        <w:rPr>
          <w:szCs w:val="22"/>
        </w:rPr>
        <w:t xml:space="preserve"> </w:t>
      </w:r>
      <w:r w:rsidR="004B2421">
        <w:rPr>
          <w:szCs w:val="22"/>
        </w:rPr>
        <w:t>GHz</w:t>
      </w:r>
      <w:r w:rsidR="00EB2ED1">
        <w:rPr>
          <w:szCs w:val="22"/>
        </w:rPr>
        <w:t xml:space="preserve"> </w:t>
      </w:r>
      <w:r w:rsidRPr="00435180">
        <w:rPr>
          <w:szCs w:val="22"/>
        </w:rPr>
        <w:t>band and our analysis of past auction data, we anticipate that our caps will allow the majority of small businesses to take full advan</w:t>
      </w:r>
      <w:r w:rsidRPr="00435180">
        <w:rPr>
          <w:szCs w:val="22"/>
        </w:rPr>
        <w:t xml:space="preserve">tage of the bidding credit program, thereby lowering the relative costs of participation for small businesses.  </w:t>
      </w:r>
      <w:r w:rsidR="002E4807">
        <w:rPr>
          <w:szCs w:val="22"/>
        </w:rPr>
        <w:t>The</w:t>
      </w:r>
      <w:r w:rsidRPr="002E4807" w:rsidR="002E4807">
        <w:rPr>
          <w:szCs w:val="22"/>
        </w:rPr>
        <w:t xml:space="preserve"> </w:t>
      </w:r>
      <w:r w:rsidR="002E4807">
        <w:rPr>
          <w:szCs w:val="22"/>
        </w:rPr>
        <w:t xml:space="preserve">Commission declined to adopt a </w:t>
      </w:r>
      <w:r w:rsidRPr="002E4807" w:rsidR="002E4807">
        <w:rPr>
          <w:szCs w:val="22"/>
        </w:rPr>
        <w:t xml:space="preserve">small business bidding </w:t>
      </w:r>
      <w:r w:rsidR="002E4807">
        <w:rPr>
          <w:szCs w:val="22"/>
        </w:rPr>
        <w:t xml:space="preserve">credit </w:t>
      </w:r>
      <w:r w:rsidRPr="002E4807" w:rsidR="002E4807">
        <w:rPr>
          <w:szCs w:val="22"/>
        </w:rPr>
        <w:t>cap of at least $200 million</w:t>
      </w:r>
      <w:r w:rsidR="002E4807">
        <w:rPr>
          <w:szCs w:val="22"/>
        </w:rPr>
        <w:t xml:space="preserve"> requested by </w:t>
      </w:r>
      <w:r w:rsidR="007B6E41">
        <w:rPr>
          <w:szCs w:val="22"/>
        </w:rPr>
        <w:t xml:space="preserve">one </w:t>
      </w:r>
      <w:r w:rsidR="002E4807">
        <w:rPr>
          <w:szCs w:val="22"/>
        </w:rPr>
        <w:t>commenter, Moise Advisory,</w:t>
      </w:r>
      <w:r w:rsidR="007B6E41">
        <w:rPr>
          <w:szCs w:val="22"/>
        </w:rPr>
        <w:t xml:space="preserve"> because, as the Commission previously explained</w:t>
      </w:r>
      <w:r w:rsidR="007B6E41">
        <w:t>, the proposed $25 million cap</w:t>
      </w:r>
      <w:r w:rsidR="007B6E41">
        <w:rPr>
          <w:i/>
          <w:iCs/>
        </w:rPr>
        <w:t xml:space="preserve"> </w:t>
      </w:r>
      <w:r w:rsidR="007B6E41">
        <w:t>in past auctions would have allowed the vast majority of eligible small businesses to realize the full value of their bidding credits</w:t>
      </w:r>
      <w:r w:rsidRPr="002E4807" w:rsidR="002E4807">
        <w:rPr>
          <w:szCs w:val="22"/>
        </w:rPr>
        <w:t>.</w:t>
      </w:r>
      <w:r w:rsidR="002E4807">
        <w:rPr>
          <w:szCs w:val="22"/>
        </w:rPr>
        <w:t xml:space="preserve">  </w:t>
      </w:r>
    </w:p>
    <w:p w:rsidR="00D6515C" w:rsidRPr="00435180" w:rsidP="00D6515C" w14:paraId="6F22AC18" w14:textId="77E936BD">
      <w:pPr>
        <w:pStyle w:val="ParaNum"/>
        <w:widowControl/>
        <w:rPr>
          <w:szCs w:val="22"/>
        </w:rPr>
      </w:pPr>
      <w:r w:rsidRPr="00435180">
        <w:rPr>
          <w:szCs w:val="22"/>
        </w:rPr>
        <w:t xml:space="preserve"> These procedures for the conduct of Auction 10</w:t>
      </w:r>
      <w:r w:rsidR="000A3496">
        <w:rPr>
          <w:szCs w:val="22"/>
        </w:rPr>
        <w:t>7</w:t>
      </w:r>
      <w:r w:rsidRPr="00435180">
        <w:rPr>
          <w:szCs w:val="22"/>
        </w:rPr>
        <w:t xml:space="preserve"> constitute the more specific implementation of the competitive bidding rules contemplated by Parts 1 and </w:t>
      </w:r>
      <w:r w:rsidR="00107AE4">
        <w:rPr>
          <w:szCs w:val="22"/>
        </w:rPr>
        <w:t>96</w:t>
      </w:r>
      <w:r w:rsidRPr="00435180">
        <w:rPr>
          <w:szCs w:val="22"/>
        </w:rPr>
        <w:t xml:space="preserve"> of the Commission’s rules and the underlying rulemaking orders, including the </w:t>
      </w:r>
      <w:r w:rsidR="00771736">
        <w:rPr>
          <w:i/>
          <w:szCs w:val="22"/>
        </w:rPr>
        <w:t>3.</w:t>
      </w:r>
      <w:r w:rsidR="00C503CA">
        <w:rPr>
          <w:i/>
          <w:szCs w:val="22"/>
        </w:rPr>
        <w:t>7</w:t>
      </w:r>
      <w:r w:rsidR="00771736">
        <w:rPr>
          <w:i/>
          <w:szCs w:val="22"/>
        </w:rPr>
        <w:t xml:space="preserve"> GHz </w:t>
      </w:r>
      <w:r w:rsidR="00500851">
        <w:rPr>
          <w:i/>
          <w:szCs w:val="22"/>
        </w:rPr>
        <w:t xml:space="preserve">Report and </w:t>
      </w:r>
      <w:r w:rsidRPr="00435180">
        <w:rPr>
          <w:i/>
          <w:szCs w:val="22"/>
        </w:rPr>
        <w:t>Or</w:t>
      </w:r>
      <w:r w:rsidRPr="00435180">
        <w:rPr>
          <w:i/>
          <w:szCs w:val="22"/>
        </w:rPr>
        <w:t>der</w:t>
      </w:r>
      <w:r w:rsidRPr="00435180">
        <w:rPr>
          <w:szCs w:val="22"/>
        </w:rPr>
        <w:t xml:space="preserve"> and relevant competitive bidding orders, and are fully consistent therewith.</w:t>
      </w:r>
      <w:r>
        <w:rPr>
          <w:szCs w:val="22"/>
          <w:vertAlign w:val="superscript"/>
        </w:rPr>
        <w:footnoteReference w:id="388"/>
      </w:r>
    </w:p>
    <w:p w:rsidR="00D6515C" w:rsidRPr="00435180" w:rsidP="006F4FD0" w14:paraId="20311406" w14:textId="37F1847C">
      <w:pPr>
        <w:pStyle w:val="ParaNum"/>
        <w:widowControl/>
        <w:rPr>
          <w:szCs w:val="22"/>
        </w:rPr>
      </w:pPr>
      <w:r w:rsidRPr="00435180">
        <w:rPr>
          <w:i/>
          <w:szCs w:val="22"/>
        </w:rPr>
        <w:t xml:space="preserve">Report to Congress.  </w:t>
      </w:r>
      <w:r w:rsidRPr="00435180">
        <w:rPr>
          <w:szCs w:val="22"/>
        </w:rPr>
        <w:t xml:space="preserve">The Commission will send a copy of the </w:t>
      </w:r>
      <w:r w:rsidRPr="00435180">
        <w:rPr>
          <w:i/>
          <w:szCs w:val="22"/>
        </w:rPr>
        <w:t>Auction 10</w:t>
      </w:r>
      <w:r w:rsidR="00C503CA">
        <w:rPr>
          <w:i/>
          <w:szCs w:val="22"/>
        </w:rPr>
        <w:t>7</w:t>
      </w:r>
      <w:r w:rsidRPr="00435180">
        <w:rPr>
          <w:i/>
          <w:szCs w:val="22"/>
        </w:rPr>
        <w:t xml:space="preserve"> Procedures Public Notice</w:t>
      </w:r>
      <w:r w:rsidRPr="00435180">
        <w:rPr>
          <w:szCs w:val="22"/>
        </w:rPr>
        <w:t xml:space="preserve">, including the Supplemental FRFA, </w:t>
      </w:r>
      <w:bookmarkStart w:id="2605" w:name="_Hlk9495338"/>
      <w:r w:rsidRPr="00435180">
        <w:rPr>
          <w:szCs w:val="22"/>
        </w:rPr>
        <w:t>in a report to Congress pursuant to the Co</w:t>
      </w:r>
      <w:r w:rsidRPr="00435180">
        <w:rPr>
          <w:szCs w:val="22"/>
        </w:rPr>
        <w:t>ngressional Review Act.</w:t>
      </w:r>
      <w:r>
        <w:rPr>
          <w:rStyle w:val="FootnoteReference"/>
          <w:szCs w:val="22"/>
        </w:rPr>
        <w:footnoteReference w:id="389"/>
      </w:r>
      <w:r w:rsidRPr="00435180">
        <w:rPr>
          <w:szCs w:val="22"/>
        </w:rPr>
        <w:t xml:space="preserve">  </w:t>
      </w:r>
      <w:bookmarkEnd w:id="2605"/>
      <w:r w:rsidRPr="00435180">
        <w:rPr>
          <w:szCs w:val="22"/>
        </w:rPr>
        <w:t xml:space="preserve">In addition, the Commission will send a copy of the </w:t>
      </w:r>
      <w:r w:rsidRPr="00435180">
        <w:rPr>
          <w:i/>
          <w:szCs w:val="22"/>
        </w:rPr>
        <w:t>Auction 10</w:t>
      </w:r>
      <w:r w:rsidR="008B1194">
        <w:rPr>
          <w:i/>
          <w:szCs w:val="22"/>
        </w:rPr>
        <w:t>7</w:t>
      </w:r>
      <w:r w:rsidRPr="00435180">
        <w:rPr>
          <w:i/>
          <w:szCs w:val="22"/>
        </w:rPr>
        <w:t xml:space="preserve"> Procedures Public Notice</w:t>
      </w:r>
      <w:r w:rsidRPr="00435180">
        <w:rPr>
          <w:szCs w:val="22"/>
        </w:rPr>
        <w:t xml:space="preserve">, including the Supplemental FRFA to the Chief Counsel for Advocacy of the SBA.  A copy of the </w:t>
      </w:r>
      <w:r w:rsidRPr="00435180">
        <w:rPr>
          <w:i/>
          <w:szCs w:val="22"/>
        </w:rPr>
        <w:t>Auction 10</w:t>
      </w:r>
      <w:r w:rsidR="008B1194">
        <w:rPr>
          <w:i/>
          <w:szCs w:val="22"/>
        </w:rPr>
        <w:t>7</w:t>
      </w:r>
      <w:r w:rsidRPr="00435180">
        <w:rPr>
          <w:i/>
          <w:szCs w:val="22"/>
        </w:rPr>
        <w:t xml:space="preserve"> Procedures Public Notice</w:t>
      </w:r>
      <w:r w:rsidRPr="00435180">
        <w:rPr>
          <w:szCs w:val="22"/>
        </w:rPr>
        <w:t>, and Supp</w:t>
      </w:r>
      <w:r w:rsidRPr="00435180">
        <w:rPr>
          <w:szCs w:val="22"/>
        </w:rPr>
        <w:t>lemental FRFA (or summaries thereof), will also be published in the Federal Register.</w:t>
      </w:r>
      <w:r>
        <w:rPr>
          <w:szCs w:val="22"/>
          <w:vertAlign w:val="superscript"/>
        </w:rPr>
        <w:footnoteReference w:id="390"/>
      </w:r>
    </w:p>
    <w:p w:rsidR="00745802" w:rsidP="00745802" w14:paraId="15D9F509" w14:textId="77777777">
      <w:pPr>
        <w:pStyle w:val="ParaNum"/>
        <w:keepNext/>
        <w:widowControl/>
        <w:rPr>
          <w:szCs w:val="22"/>
        </w:rPr>
      </w:pPr>
      <w:r w:rsidRPr="00435180">
        <w:rPr>
          <w:i/>
          <w:szCs w:val="22"/>
        </w:rPr>
        <w:t>Contact Information.</w:t>
      </w:r>
      <w:r w:rsidRPr="00435180">
        <w:rPr>
          <w:szCs w:val="22"/>
        </w:rPr>
        <w:t xml:space="preserve">  For further information concerning this proceeding, contact the offices listed below: </w:t>
      </w:r>
    </w:p>
    <w:tbl>
      <w:tblPr>
        <w:tblW w:w="9828" w:type="dxa"/>
        <w:tblLayout w:type="fixed"/>
        <w:tblLook w:val="0000"/>
      </w:tblPr>
      <w:tblGrid>
        <w:gridCol w:w="4968"/>
        <w:gridCol w:w="4860"/>
      </w:tblGrid>
      <w:tr w14:paraId="4B5F53FA" w14:textId="77777777" w:rsidTr="008C214D">
        <w:tblPrEx>
          <w:tblW w:w="9828" w:type="dxa"/>
          <w:tblLayout w:type="fixed"/>
          <w:tblLook w:val="0000"/>
        </w:tblPrEx>
        <w:trPr>
          <w:cantSplit/>
          <w:trHeight w:val="1254"/>
        </w:trPr>
        <w:tc>
          <w:tcPr>
            <w:tcW w:w="4968" w:type="dxa"/>
          </w:tcPr>
          <w:p w:rsidR="00745802" w:rsidRPr="00915E0F" w:rsidP="008C214D" w14:paraId="39AA7E88" w14:textId="6FF81722">
            <w:pPr>
              <w:widowControl/>
              <w:rPr>
                <w:b/>
                <w:szCs w:val="22"/>
              </w:rPr>
            </w:pPr>
            <w:r w:rsidRPr="00915E0F">
              <w:rPr>
                <w:b/>
                <w:szCs w:val="22"/>
              </w:rPr>
              <w:t>General Auction</w:t>
            </w:r>
            <w:r>
              <w:rPr>
                <w:b/>
                <w:szCs w:val="22"/>
              </w:rPr>
              <w:t xml:space="preserve"> 10</w:t>
            </w:r>
            <w:r w:rsidR="00110A63">
              <w:rPr>
                <w:b/>
                <w:szCs w:val="22"/>
              </w:rPr>
              <w:t>7</w:t>
            </w:r>
            <w:r w:rsidRPr="00915E0F">
              <w:rPr>
                <w:b/>
                <w:szCs w:val="22"/>
              </w:rPr>
              <w:t xml:space="preserve"> Information</w:t>
            </w:r>
          </w:p>
          <w:p w:rsidR="00745802" w:rsidRPr="00CA6286" w:rsidP="008C214D" w14:paraId="5CC4F674" w14:textId="77777777">
            <w:pPr>
              <w:widowControl/>
              <w:ind w:left="360"/>
              <w:rPr>
                <w:szCs w:val="22"/>
              </w:rPr>
            </w:pPr>
            <w:r w:rsidRPr="00CA6286">
              <w:rPr>
                <w:szCs w:val="22"/>
              </w:rPr>
              <w:t xml:space="preserve">General Auction </w:t>
            </w:r>
            <w:r w:rsidRPr="00CA6286">
              <w:rPr>
                <w:szCs w:val="22"/>
              </w:rPr>
              <w:t>Questions</w:t>
            </w:r>
          </w:p>
          <w:p w:rsidR="00745802" w:rsidRPr="00CA6286" w:rsidP="008C214D" w14:paraId="0B2FB22F" w14:textId="77777777">
            <w:pPr>
              <w:widowControl/>
              <w:ind w:left="360"/>
              <w:rPr>
                <w:szCs w:val="22"/>
              </w:rPr>
            </w:pPr>
            <w:r w:rsidRPr="00CA6286">
              <w:rPr>
                <w:szCs w:val="22"/>
              </w:rPr>
              <w:t>Auction Process and Procedures</w:t>
            </w:r>
          </w:p>
          <w:p w:rsidR="00745802" w:rsidRPr="00915E0F" w:rsidP="008C214D" w14:paraId="3FD37A15" w14:textId="77777777">
            <w:pPr>
              <w:widowControl/>
              <w:ind w:left="360"/>
              <w:rPr>
                <w:b/>
                <w:szCs w:val="22"/>
              </w:rPr>
            </w:pPr>
          </w:p>
        </w:tc>
        <w:tc>
          <w:tcPr>
            <w:tcW w:w="4860" w:type="dxa"/>
          </w:tcPr>
          <w:p w:rsidR="00745802" w:rsidRPr="00915E0F" w:rsidP="008C214D" w14:paraId="2EFF5CA2" w14:textId="77777777">
            <w:pPr>
              <w:widowControl/>
              <w:rPr>
                <w:b/>
                <w:szCs w:val="22"/>
              </w:rPr>
            </w:pPr>
            <w:r w:rsidRPr="00915E0F">
              <w:rPr>
                <w:b/>
                <w:szCs w:val="22"/>
              </w:rPr>
              <w:t xml:space="preserve">FCC Auctions Hotline </w:t>
            </w:r>
          </w:p>
          <w:p w:rsidR="00745802" w:rsidRPr="00CA6286" w:rsidP="008C214D" w14:paraId="15918700" w14:textId="77777777">
            <w:pPr>
              <w:widowControl/>
              <w:rPr>
                <w:szCs w:val="22"/>
              </w:rPr>
            </w:pPr>
            <w:r w:rsidRPr="00CA6286">
              <w:rPr>
                <w:szCs w:val="22"/>
              </w:rPr>
              <w:t>(888) 225-5322, option two;</w:t>
            </w:r>
            <w:r>
              <w:rPr>
                <w:szCs w:val="22"/>
              </w:rPr>
              <w:t xml:space="preserve"> or</w:t>
            </w:r>
          </w:p>
          <w:p w:rsidR="00745802" w:rsidP="008C214D" w14:paraId="0AF4BDCE" w14:textId="77777777">
            <w:pPr>
              <w:widowControl/>
              <w:rPr>
                <w:szCs w:val="22"/>
              </w:rPr>
            </w:pPr>
            <w:r w:rsidRPr="00CA6286">
              <w:rPr>
                <w:szCs w:val="22"/>
              </w:rPr>
              <w:t>(717) 338-2868</w:t>
            </w:r>
          </w:p>
          <w:p w:rsidR="00745802" w:rsidP="008C214D" w14:paraId="6A224127" w14:textId="77777777">
            <w:pPr>
              <w:widowControl/>
              <w:rPr>
                <w:szCs w:val="22"/>
              </w:rPr>
            </w:pPr>
            <w:r>
              <w:rPr>
                <w:szCs w:val="22"/>
              </w:rPr>
              <w:t>Hours of service: 8:00 a.m. – 5:30 p.m. ET,</w:t>
            </w:r>
          </w:p>
          <w:p w:rsidR="00745802" w:rsidP="008C214D" w14:paraId="3F2A73A6" w14:textId="77777777">
            <w:pPr>
              <w:widowControl/>
              <w:rPr>
                <w:szCs w:val="22"/>
              </w:rPr>
            </w:pPr>
            <w:r>
              <w:rPr>
                <w:szCs w:val="22"/>
              </w:rPr>
              <w:t>Monday through Friday</w:t>
            </w:r>
          </w:p>
          <w:p w:rsidR="00745802" w:rsidRPr="00915E0F" w:rsidP="008C214D" w14:paraId="5AA37228" w14:textId="77777777">
            <w:pPr>
              <w:widowControl/>
              <w:rPr>
                <w:b/>
                <w:szCs w:val="22"/>
              </w:rPr>
            </w:pPr>
          </w:p>
        </w:tc>
      </w:tr>
      <w:tr w14:paraId="0D22BC19" w14:textId="77777777" w:rsidTr="008C214D">
        <w:tblPrEx>
          <w:tblW w:w="9828" w:type="dxa"/>
          <w:tblLayout w:type="fixed"/>
          <w:tblLook w:val="0000"/>
        </w:tblPrEx>
        <w:trPr>
          <w:cantSplit/>
          <w:trHeight w:val="1266"/>
        </w:trPr>
        <w:tc>
          <w:tcPr>
            <w:tcW w:w="4968" w:type="dxa"/>
          </w:tcPr>
          <w:p w:rsidR="00745802" w:rsidP="008C214D" w14:paraId="232589CB" w14:textId="1B9C61A6">
            <w:pPr>
              <w:widowControl/>
              <w:rPr>
                <w:b/>
                <w:szCs w:val="22"/>
              </w:rPr>
            </w:pPr>
            <w:r w:rsidRPr="00915E0F">
              <w:rPr>
                <w:b/>
                <w:szCs w:val="22"/>
              </w:rPr>
              <w:t xml:space="preserve">Auction </w:t>
            </w:r>
            <w:r>
              <w:rPr>
                <w:b/>
                <w:szCs w:val="22"/>
              </w:rPr>
              <w:t>10</w:t>
            </w:r>
            <w:r w:rsidR="00DA06B0">
              <w:rPr>
                <w:b/>
                <w:szCs w:val="22"/>
              </w:rPr>
              <w:t>7</w:t>
            </w:r>
            <w:r>
              <w:rPr>
                <w:b/>
                <w:szCs w:val="22"/>
              </w:rPr>
              <w:t xml:space="preserve"> Legal </w:t>
            </w:r>
            <w:r w:rsidRPr="00915E0F">
              <w:rPr>
                <w:b/>
                <w:szCs w:val="22"/>
              </w:rPr>
              <w:t>Information</w:t>
            </w:r>
          </w:p>
          <w:p w:rsidR="00745802" w:rsidP="008C214D" w14:paraId="722400C4" w14:textId="77777777">
            <w:pPr>
              <w:widowControl/>
              <w:ind w:left="360"/>
              <w:rPr>
                <w:szCs w:val="22"/>
              </w:rPr>
            </w:pPr>
            <w:r w:rsidRPr="00CA6286">
              <w:rPr>
                <w:szCs w:val="22"/>
              </w:rPr>
              <w:t>Auction Rules, Policies, Regulations</w:t>
            </w:r>
            <w:r>
              <w:rPr>
                <w:szCs w:val="22"/>
              </w:rPr>
              <w:t xml:space="preserve">, including </w:t>
            </w:r>
          </w:p>
          <w:p w:rsidR="00745802" w:rsidRPr="00915E0F" w:rsidP="008C214D" w14:paraId="6A3E5F1A" w14:textId="77777777">
            <w:pPr>
              <w:widowControl/>
              <w:ind w:left="360"/>
              <w:rPr>
                <w:b/>
                <w:szCs w:val="22"/>
              </w:rPr>
            </w:pPr>
            <w:r>
              <w:rPr>
                <w:szCs w:val="22"/>
              </w:rPr>
              <w:t>Reports of Section 1.2105(c) Violations and Application Major Modifications</w:t>
            </w:r>
          </w:p>
        </w:tc>
        <w:tc>
          <w:tcPr>
            <w:tcW w:w="4860" w:type="dxa"/>
          </w:tcPr>
          <w:p w:rsidR="00745802" w:rsidP="008C214D" w14:paraId="75D36B0B" w14:textId="77777777">
            <w:pPr>
              <w:widowControl/>
              <w:rPr>
                <w:b/>
                <w:szCs w:val="22"/>
              </w:rPr>
            </w:pPr>
            <w:r w:rsidRPr="00915E0F">
              <w:rPr>
                <w:b/>
                <w:szCs w:val="22"/>
              </w:rPr>
              <w:t>Auctions Division</w:t>
            </w:r>
            <w:r>
              <w:rPr>
                <w:b/>
                <w:szCs w:val="22"/>
              </w:rPr>
              <w:t xml:space="preserve">, OEA </w:t>
            </w:r>
          </w:p>
          <w:p w:rsidR="00745802" w:rsidRPr="007302FC" w:rsidP="008C214D" w14:paraId="4ABE75D6" w14:textId="77777777">
            <w:pPr>
              <w:widowControl/>
              <w:rPr>
                <w:szCs w:val="22"/>
              </w:rPr>
            </w:pPr>
            <w:r w:rsidRPr="007302FC">
              <w:rPr>
                <w:szCs w:val="22"/>
              </w:rPr>
              <w:t>(202) 418-0660</w:t>
            </w:r>
          </w:p>
          <w:p w:rsidR="0033542E" w:rsidRPr="0033542E" w:rsidP="0033542E" w14:paraId="07BB81DD" w14:textId="29E32DEE">
            <w:pPr>
              <w:widowControl/>
              <w:rPr>
                <w:szCs w:val="22"/>
              </w:rPr>
            </w:pPr>
            <w:r>
              <w:rPr>
                <w:szCs w:val="22"/>
              </w:rPr>
              <w:t>Erik Beith</w:t>
            </w:r>
            <w:r w:rsidRPr="006F3FF7" w:rsidR="00745802">
              <w:rPr>
                <w:szCs w:val="22"/>
              </w:rPr>
              <w:t xml:space="preserve"> </w:t>
            </w:r>
            <w:r w:rsidR="00745802">
              <w:rPr>
                <w:szCs w:val="22"/>
              </w:rPr>
              <w:t>(Attorney)</w:t>
            </w:r>
          </w:p>
          <w:p w:rsidR="00745802" w:rsidRPr="00D018E4" w:rsidP="00154AB0" w14:paraId="096F47D0" w14:textId="43B3BB92">
            <w:pPr>
              <w:widowControl/>
              <w:rPr>
                <w:bCs/>
                <w:szCs w:val="22"/>
              </w:rPr>
            </w:pPr>
            <w:r>
              <w:rPr>
                <w:bCs/>
              </w:rPr>
              <w:t>Daniel Habif (Attorney)</w:t>
            </w:r>
          </w:p>
        </w:tc>
      </w:tr>
      <w:tr w14:paraId="71055268" w14:textId="77777777" w:rsidTr="008C214D">
        <w:tblPrEx>
          <w:tblW w:w="9828" w:type="dxa"/>
          <w:tblLayout w:type="fixed"/>
          <w:tblLook w:val="0000"/>
        </w:tblPrEx>
        <w:trPr>
          <w:cantSplit/>
          <w:trHeight w:val="1350"/>
        </w:trPr>
        <w:tc>
          <w:tcPr>
            <w:tcW w:w="4968" w:type="dxa"/>
          </w:tcPr>
          <w:p w:rsidR="00745802" w:rsidRPr="008C214D" w:rsidP="008C214D" w14:paraId="0896D424" w14:textId="718A968A">
            <w:pPr>
              <w:widowControl/>
              <w:rPr>
                <w:b/>
                <w:iCs/>
                <w:szCs w:val="22"/>
              </w:rPr>
            </w:pPr>
            <w:r>
              <w:rPr>
                <w:b/>
                <w:iCs/>
                <w:szCs w:val="22"/>
              </w:rPr>
              <w:t>3.</w:t>
            </w:r>
            <w:r w:rsidR="00A0427F">
              <w:rPr>
                <w:b/>
                <w:iCs/>
                <w:szCs w:val="22"/>
              </w:rPr>
              <w:t>7</w:t>
            </w:r>
            <w:r>
              <w:rPr>
                <w:b/>
                <w:iCs/>
                <w:szCs w:val="22"/>
              </w:rPr>
              <w:t xml:space="preserve"> GHz </w:t>
            </w:r>
            <w:r w:rsidR="00A0427F">
              <w:rPr>
                <w:b/>
                <w:iCs/>
                <w:szCs w:val="22"/>
              </w:rPr>
              <w:t>Service</w:t>
            </w:r>
            <w:r>
              <w:rPr>
                <w:b/>
                <w:iCs/>
                <w:szCs w:val="22"/>
              </w:rPr>
              <w:t xml:space="preserve"> Information</w:t>
            </w:r>
          </w:p>
          <w:p w:rsidR="00745802" w:rsidRPr="00915E0F" w:rsidP="008C214D" w14:paraId="1D552061" w14:textId="77777777">
            <w:pPr>
              <w:widowControl/>
              <w:ind w:left="360"/>
              <w:rPr>
                <w:szCs w:val="22"/>
              </w:rPr>
            </w:pPr>
            <w:r w:rsidRPr="00915E0F">
              <w:rPr>
                <w:szCs w:val="22"/>
              </w:rPr>
              <w:t xml:space="preserve">Service Rules, Policies, Regulations </w:t>
            </w:r>
          </w:p>
          <w:p w:rsidR="00745802" w:rsidRPr="00915E0F" w:rsidP="008C214D" w14:paraId="65C7DEA9" w14:textId="77777777">
            <w:pPr>
              <w:widowControl/>
              <w:ind w:left="360"/>
              <w:rPr>
                <w:szCs w:val="22"/>
              </w:rPr>
            </w:pPr>
            <w:r w:rsidRPr="00915E0F">
              <w:rPr>
                <w:szCs w:val="22"/>
              </w:rPr>
              <w:t xml:space="preserve">Licensing Issues, Engineering Issues </w:t>
            </w:r>
          </w:p>
          <w:p w:rsidR="00745802" w:rsidRPr="00915E0F" w:rsidP="008C214D" w14:paraId="3FB5E6CA" w14:textId="77777777">
            <w:pPr>
              <w:widowControl/>
              <w:ind w:left="360"/>
              <w:rPr>
                <w:szCs w:val="22"/>
              </w:rPr>
            </w:pPr>
            <w:r w:rsidRPr="00915E0F">
              <w:rPr>
                <w:szCs w:val="22"/>
              </w:rPr>
              <w:t>Due Diligence, Incumbency Issues</w:t>
            </w:r>
          </w:p>
          <w:p w:rsidR="00745802" w:rsidRPr="00915E0F" w:rsidP="008C214D" w14:paraId="4063B4B7" w14:textId="77777777">
            <w:pPr>
              <w:widowControl/>
              <w:rPr>
                <w:b/>
                <w:i/>
                <w:szCs w:val="22"/>
              </w:rPr>
            </w:pPr>
          </w:p>
        </w:tc>
        <w:tc>
          <w:tcPr>
            <w:tcW w:w="4860" w:type="dxa"/>
          </w:tcPr>
          <w:p w:rsidR="00745802" w:rsidP="008C214D" w14:paraId="4C18A872" w14:textId="1E0E0EB5">
            <w:pPr>
              <w:widowControl/>
              <w:rPr>
                <w:b/>
                <w:szCs w:val="22"/>
                <w:lang w:val="it-IT"/>
              </w:rPr>
            </w:pPr>
            <w:r>
              <w:rPr>
                <w:b/>
                <w:szCs w:val="22"/>
                <w:lang w:val="it-IT"/>
              </w:rPr>
              <w:t>Mobility</w:t>
            </w:r>
            <w:r w:rsidRPr="00F46145">
              <w:rPr>
                <w:b/>
                <w:szCs w:val="22"/>
                <w:lang w:val="it-IT"/>
              </w:rPr>
              <w:t xml:space="preserve"> Division</w:t>
            </w:r>
            <w:r>
              <w:rPr>
                <w:b/>
                <w:szCs w:val="22"/>
                <w:lang w:val="it-IT"/>
              </w:rPr>
              <w:t>, WTB</w:t>
            </w:r>
            <w:r w:rsidRPr="00F46145">
              <w:rPr>
                <w:b/>
                <w:szCs w:val="22"/>
                <w:lang w:val="it-IT"/>
              </w:rPr>
              <w:t xml:space="preserve"> </w:t>
            </w:r>
          </w:p>
          <w:p w:rsidR="001F0006" w:rsidP="008C214D" w14:paraId="68663630" w14:textId="4916D220">
            <w:pPr>
              <w:widowControl/>
              <w:rPr>
                <w:szCs w:val="22"/>
              </w:rPr>
            </w:pPr>
            <w:r w:rsidRPr="00435180">
              <w:rPr>
                <w:szCs w:val="22"/>
              </w:rPr>
              <w:t>(202) 418-</w:t>
            </w:r>
            <w:r>
              <w:rPr>
                <w:szCs w:val="22"/>
              </w:rPr>
              <w:t>7769</w:t>
            </w:r>
            <w:bookmarkStart w:id="2606" w:name="_GoBack"/>
            <w:bookmarkEnd w:id="2606"/>
          </w:p>
          <w:p w:rsidR="00745802" w:rsidRPr="00F46145" w:rsidP="008C214D" w14:paraId="333E79FE" w14:textId="442E1D54">
            <w:pPr>
              <w:widowControl/>
              <w:rPr>
                <w:szCs w:val="22"/>
                <w:lang w:val="it-IT"/>
              </w:rPr>
            </w:pPr>
            <w:r>
              <w:rPr>
                <w:szCs w:val="22"/>
              </w:rPr>
              <w:t>Anna Gentry</w:t>
            </w:r>
            <w:r w:rsidRPr="00F46145">
              <w:rPr>
                <w:szCs w:val="22"/>
                <w:lang w:val="it-IT"/>
              </w:rPr>
              <w:t xml:space="preserve"> (Attorney)</w:t>
            </w:r>
          </w:p>
          <w:p w:rsidR="00745802" w:rsidRPr="00915E0F" w:rsidP="008C214D" w14:paraId="2A89516B" w14:textId="1C748C25">
            <w:pPr>
              <w:widowControl/>
              <w:rPr>
                <w:b/>
                <w:szCs w:val="22"/>
              </w:rPr>
            </w:pPr>
          </w:p>
        </w:tc>
      </w:tr>
      <w:tr w14:paraId="2F8CBB3A" w14:textId="77777777" w:rsidTr="008C214D">
        <w:tblPrEx>
          <w:tblW w:w="9828" w:type="dxa"/>
          <w:tblLayout w:type="fixed"/>
          <w:tblLook w:val="0000"/>
        </w:tblPrEx>
        <w:trPr>
          <w:cantSplit/>
          <w:trHeight w:val="1514"/>
        </w:trPr>
        <w:tc>
          <w:tcPr>
            <w:tcW w:w="4968" w:type="dxa"/>
          </w:tcPr>
          <w:p w:rsidR="00745802" w:rsidRPr="00915E0F" w:rsidP="008C214D" w14:paraId="74374621" w14:textId="77777777">
            <w:pPr>
              <w:widowControl/>
              <w:rPr>
                <w:b/>
                <w:szCs w:val="22"/>
              </w:rPr>
            </w:pPr>
            <w:r w:rsidRPr="00915E0F">
              <w:rPr>
                <w:b/>
                <w:szCs w:val="22"/>
              </w:rPr>
              <w:t>Technical Support</w:t>
            </w:r>
          </w:p>
          <w:p w:rsidR="00745802" w:rsidRPr="00CA6286" w:rsidP="008C214D" w14:paraId="078A64FD" w14:textId="77777777">
            <w:pPr>
              <w:widowControl/>
              <w:ind w:left="360"/>
              <w:rPr>
                <w:szCs w:val="22"/>
              </w:rPr>
            </w:pPr>
            <w:r w:rsidRPr="00CA6286">
              <w:rPr>
                <w:szCs w:val="22"/>
              </w:rPr>
              <w:t xml:space="preserve">Electronic Filing </w:t>
            </w:r>
          </w:p>
          <w:p w:rsidR="00745802" w:rsidRPr="00915E0F" w:rsidP="008C214D" w14:paraId="63510145" w14:textId="77777777">
            <w:pPr>
              <w:widowControl/>
              <w:ind w:left="360"/>
              <w:rPr>
                <w:b/>
                <w:szCs w:val="22"/>
              </w:rPr>
            </w:pPr>
            <w:r w:rsidRPr="00CA6286">
              <w:rPr>
                <w:szCs w:val="22"/>
              </w:rPr>
              <w:t>FCC Auction System (Hardware/Software Issues)</w:t>
            </w:r>
          </w:p>
        </w:tc>
        <w:tc>
          <w:tcPr>
            <w:tcW w:w="4860" w:type="dxa"/>
          </w:tcPr>
          <w:p w:rsidR="00745802" w:rsidRPr="00915E0F" w:rsidP="008C214D" w14:paraId="35AA9938" w14:textId="77777777">
            <w:pPr>
              <w:widowControl/>
              <w:rPr>
                <w:b/>
                <w:szCs w:val="22"/>
              </w:rPr>
            </w:pPr>
            <w:r w:rsidRPr="00915E0F">
              <w:rPr>
                <w:b/>
                <w:szCs w:val="22"/>
              </w:rPr>
              <w:t xml:space="preserve">FCC Auctions Technical Support Hotline </w:t>
            </w:r>
          </w:p>
          <w:p w:rsidR="00745802" w:rsidRPr="00CA6286" w:rsidP="008C214D" w14:paraId="6CC4DB6C" w14:textId="77777777">
            <w:pPr>
              <w:widowControl/>
              <w:rPr>
                <w:szCs w:val="22"/>
              </w:rPr>
            </w:pPr>
            <w:r w:rsidRPr="00CA6286">
              <w:rPr>
                <w:szCs w:val="22"/>
              </w:rPr>
              <w:t xml:space="preserve">(877) 480-3201, option nine; or (202) 414-1250 </w:t>
            </w:r>
          </w:p>
          <w:p w:rsidR="00745802" w:rsidRPr="00CA6286" w:rsidP="008C214D" w14:paraId="5722B585" w14:textId="77777777">
            <w:pPr>
              <w:widowControl/>
              <w:rPr>
                <w:szCs w:val="22"/>
              </w:rPr>
            </w:pPr>
            <w:r w:rsidRPr="00CA6286">
              <w:rPr>
                <w:szCs w:val="22"/>
              </w:rPr>
              <w:t xml:space="preserve">(202) 414-1255 (TTY) </w:t>
            </w:r>
          </w:p>
          <w:p w:rsidR="00745802" w:rsidRPr="00CA6286" w:rsidP="008C214D" w14:paraId="699A8FBF" w14:textId="77777777">
            <w:pPr>
              <w:widowControl/>
              <w:rPr>
                <w:szCs w:val="22"/>
              </w:rPr>
            </w:pPr>
            <w:r w:rsidRPr="00CA6286">
              <w:rPr>
                <w:szCs w:val="22"/>
              </w:rPr>
              <w:t>Hours of service: 8:00 a.m. – 6:00 p.m. ET,</w:t>
            </w:r>
          </w:p>
          <w:p w:rsidR="00745802" w:rsidRPr="00CA6286" w:rsidP="008C214D" w14:paraId="698989D2" w14:textId="77777777">
            <w:pPr>
              <w:widowControl/>
              <w:rPr>
                <w:szCs w:val="22"/>
              </w:rPr>
            </w:pPr>
            <w:r w:rsidRPr="00CA6286">
              <w:rPr>
                <w:szCs w:val="22"/>
              </w:rPr>
              <w:t>Monday through Friday</w:t>
            </w:r>
          </w:p>
          <w:p w:rsidR="00745802" w:rsidRPr="00915E0F" w:rsidP="008C214D" w14:paraId="5C792BA8" w14:textId="77777777">
            <w:pPr>
              <w:widowControl/>
              <w:rPr>
                <w:b/>
                <w:szCs w:val="22"/>
              </w:rPr>
            </w:pPr>
          </w:p>
        </w:tc>
      </w:tr>
      <w:tr w14:paraId="4B85C234" w14:textId="77777777" w:rsidTr="008C214D">
        <w:tblPrEx>
          <w:tblW w:w="9828" w:type="dxa"/>
          <w:tblLayout w:type="fixed"/>
          <w:tblLook w:val="0000"/>
        </w:tblPrEx>
        <w:trPr>
          <w:cantSplit/>
          <w:trHeight w:val="1254"/>
        </w:trPr>
        <w:tc>
          <w:tcPr>
            <w:tcW w:w="4968" w:type="dxa"/>
          </w:tcPr>
          <w:p w:rsidR="00745802" w:rsidRPr="00915E0F" w:rsidP="008C214D" w14:paraId="44F768D3" w14:textId="77777777">
            <w:pPr>
              <w:widowControl/>
              <w:rPr>
                <w:b/>
                <w:szCs w:val="22"/>
              </w:rPr>
            </w:pPr>
            <w:r w:rsidRPr="00915E0F">
              <w:rPr>
                <w:b/>
                <w:szCs w:val="22"/>
              </w:rPr>
              <w:t>Payment Information</w:t>
            </w:r>
          </w:p>
          <w:p w:rsidR="00745802" w:rsidRPr="00CA6286" w:rsidP="008C214D" w14:paraId="627D4ECD" w14:textId="77777777">
            <w:pPr>
              <w:widowControl/>
              <w:ind w:left="360"/>
              <w:rPr>
                <w:szCs w:val="22"/>
              </w:rPr>
            </w:pPr>
            <w:r w:rsidRPr="00CA6286">
              <w:rPr>
                <w:szCs w:val="22"/>
              </w:rPr>
              <w:t>Wire Transfers</w:t>
            </w:r>
          </w:p>
          <w:p w:rsidR="00745802" w:rsidRPr="00915E0F" w:rsidP="008C214D" w14:paraId="7C44FABE" w14:textId="77777777">
            <w:pPr>
              <w:widowControl/>
              <w:ind w:left="360"/>
              <w:rPr>
                <w:b/>
                <w:szCs w:val="22"/>
              </w:rPr>
            </w:pPr>
            <w:r w:rsidRPr="00CA6286">
              <w:rPr>
                <w:szCs w:val="22"/>
              </w:rPr>
              <w:t>Refunds</w:t>
            </w:r>
          </w:p>
        </w:tc>
        <w:tc>
          <w:tcPr>
            <w:tcW w:w="4860" w:type="dxa"/>
          </w:tcPr>
          <w:p w:rsidR="00745802" w:rsidRPr="00915E0F" w:rsidP="008C214D" w14:paraId="7D5436EB" w14:textId="77777777">
            <w:pPr>
              <w:widowControl/>
              <w:rPr>
                <w:b/>
                <w:szCs w:val="22"/>
              </w:rPr>
            </w:pPr>
            <w:r w:rsidRPr="00915E0F">
              <w:rPr>
                <w:b/>
                <w:szCs w:val="22"/>
              </w:rPr>
              <w:t xml:space="preserve">FCC </w:t>
            </w:r>
            <w:r w:rsidRPr="0032017E">
              <w:rPr>
                <w:b/>
              </w:rPr>
              <w:t xml:space="preserve">Revenue &amp; </w:t>
            </w:r>
            <w:r w:rsidRPr="0032017E">
              <w:rPr>
                <w:b/>
              </w:rPr>
              <w:t>Receivables Operations Group/Auctions</w:t>
            </w:r>
          </w:p>
          <w:p w:rsidR="00745802" w:rsidP="008C214D" w14:paraId="22CBC4CB" w14:textId="77777777">
            <w:pPr>
              <w:widowControl/>
              <w:rPr>
                <w:szCs w:val="22"/>
              </w:rPr>
            </w:pPr>
            <w:r>
              <w:rPr>
                <w:szCs w:val="22"/>
              </w:rPr>
              <w:t>Scott Radcliffe at (202) 418-7518,</w:t>
            </w:r>
          </w:p>
          <w:p w:rsidR="00745802" w:rsidRPr="00CA6286" w:rsidP="008C214D" w14:paraId="7E49571D" w14:textId="77777777">
            <w:pPr>
              <w:widowControl/>
              <w:rPr>
                <w:szCs w:val="22"/>
              </w:rPr>
            </w:pPr>
            <w:r>
              <w:rPr>
                <w:szCs w:val="22"/>
              </w:rPr>
              <w:t>or Theresa Meeks at (202) 418-2945, or</w:t>
            </w:r>
          </w:p>
          <w:p w:rsidR="00745802" w:rsidP="008C214D" w14:paraId="5E9FFCA7" w14:textId="77777777">
            <w:pPr>
              <w:widowControl/>
              <w:rPr>
                <w:szCs w:val="22"/>
              </w:rPr>
            </w:pPr>
            <w:r>
              <w:rPr>
                <w:szCs w:val="22"/>
              </w:rPr>
              <w:t xml:space="preserve">(fax) (202) 418-2980, or email to </w:t>
            </w:r>
          </w:p>
          <w:p w:rsidR="00745802" w:rsidRPr="00CA6286" w:rsidP="008C214D" w14:paraId="3AAC7C18" w14:textId="5BCBD76D">
            <w:pPr>
              <w:widowControl/>
              <w:rPr>
                <w:szCs w:val="22"/>
              </w:rPr>
            </w:pPr>
            <w:hyperlink r:id="rId9" w:history="1">
              <w:r w:rsidRPr="003D451A" w:rsidR="00853964">
                <w:rPr>
                  <w:rStyle w:val="Hyperlink"/>
                  <w:szCs w:val="22"/>
                </w:rPr>
                <w:t>RROGWireFaxes@fcc.gov</w:t>
              </w:r>
            </w:hyperlink>
            <w:r w:rsidR="00853964">
              <w:rPr>
                <w:szCs w:val="22"/>
              </w:rPr>
              <w:t xml:space="preserve"> </w:t>
            </w:r>
          </w:p>
          <w:p w:rsidR="00745802" w:rsidRPr="00915E0F" w:rsidP="008C214D" w14:paraId="06216E01" w14:textId="77777777">
            <w:pPr>
              <w:widowControl/>
              <w:rPr>
                <w:b/>
                <w:szCs w:val="22"/>
              </w:rPr>
            </w:pPr>
          </w:p>
        </w:tc>
      </w:tr>
      <w:tr w14:paraId="641E3DE5" w14:textId="77777777" w:rsidTr="008C214D">
        <w:tblPrEx>
          <w:tblW w:w="9828" w:type="dxa"/>
          <w:tblLayout w:type="fixed"/>
          <w:tblLook w:val="0000"/>
        </w:tblPrEx>
        <w:trPr>
          <w:cantSplit/>
          <w:trHeight w:val="458"/>
        </w:trPr>
        <w:tc>
          <w:tcPr>
            <w:tcW w:w="4968" w:type="dxa"/>
          </w:tcPr>
          <w:p w:rsidR="00745802" w:rsidRPr="00CA6286" w:rsidP="008C214D" w14:paraId="65781450" w14:textId="77777777">
            <w:pPr>
              <w:widowControl/>
              <w:rPr>
                <w:b/>
                <w:szCs w:val="22"/>
              </w:rPr>
            </w:pPr>
            <w:r w:rsidRPr="00CA6286">
              <w:rPr>
                <w:b/>
                <w:szCs w:val="22"/>
              </w:rPr>
              <w:t>Auction Bidder Line</w:t>
            </w:r>
          </w:p>
        </w:tc>
        <w:tc>
          <w:tcPr>
            <w:tcW w:w="4860" w:type="dxa"/>
          </w:tcPr>
          <w:p w:rsidR="00745802" w:rsidRPr="00CA6286" w:rsidP="008C214D" w14:paraId="4AB02F95" w14:textId="77777777">
            <w:pPr>
              <w:pStyle w:val="TOAHeading"/>
              <w:widowControl/>
              <w:tabs>
                <w:tab w:val="clear" w:pos="9360"/>
              </w:tabs>
              <w:suppressAutoHyphens w:val="0"/>
              <w:rPr>
                <w:szCs w:val="22"/>
              </w:rPr>
            </w:pPr>
            <w:r w:rsidRPr="00CA6286">
              <w:rPr>
                <w:szCs w:val="22"/>
              </w:rPr>
              <w:t xml:space="preserve">Will be </w:t>
            </w:r>
            <w:r w:rsidRPr="00CA6286">
              <w:rPr>
                <w:szCs w:val="22"/>
              </w:rPr>
              <w:t>furnished only to qualified bidders</w:t>
            </w:r>
          </w:p>
        </w:tc>
      </w:tr>
      <w:tr w14:paraId="5468A31D" w14:textId="77777777" w:rsidTr="008C214D">
        <w:tblPrEx>
          <w:tblW w:w="9828" w:type="dxa"/>
          <w:tblLayout w:type="fixed"/>
          <w:tblLook w:val="0000"/>
        </w:tblPrEx>
        <w:trPr>
          <w:cantSplit/>
          <w:trHeight w:val="350"/>
        </w:trPr>
        <w:tc>
          <w:tcPr>
            <w:tcW w:w="4968" w:type="dxa"/>
          </w:tcPr>
          <w:p w:rsidR="00745802" w:rsidRPr="00CA6286" w:rsidP="008C214D" w14:paraId="77396111" w14:textId="77777777">
            <w:pPr>
              <w:widowControl/>
              <w:rPr>
                <w:b/>
                <w:szCs w:val="22"/>
              </w:rPr>
            </w:pPr>
            <w:r w:rsidRPr="00CA6286">
              <w:rPr>
                <w:b/>
                <w:szCs w:val="22"/>
              </w:rPr>
              <w:t>Press Information</w:t>
            </w:r>
          </w:p>
        </w:tc>
        <w:tc>
          <w:tcPr>
            <w:tcW w:w="4860" w:type="dxa"/>
          </w:tcPr>
          <w:p w:rsidR="00745802" w:rsidRPr="00CA6286" w:rsidP="008C214D" w14:paraId="6F4DB213" w14:textId="1011A481">
            <w:pPr>
              <w:widowControl/>
              <w:rPr>
                <w:szCs w:val="22"/>
              </w:rPr>
            </w:pPr>
            <w:r w:rsidRPr="00B87B80">
              <w:rPr>
                <w:szCs w:val="22"/>
              </w:rPr>
              <w:t>Cecilia Sulhoff</w:t>
            </w:r>
            <w:r>
              <w:rPr>
                <w:szCs w:val="22"/>
              </w:rPr>
              <w:t xml:space="preserve"> at (202) 418-0587</w:t>
            </w:r>
          </w:p>
          <w:p w:rsidR="00745802" w:rsidRPr="00CA6286" w:rsidP="008C214D" w14:paraId="12B56822" w14:textId="77777777">
            <w:pPr>
              <w:widowControl/>
              <w:rPr>
                <w:szCs w:val="22"/>
              </w:rPr>
            </w:pPr>
          </w:p>
        </w:tc>
      </w:tr>
      <w:tr w14:paraId="4E51D12F" w14:textId="77777777" w:rsidTr="008C214D">
        <w:tblPrEx>
          <w:tblW w:w="9828" w:type="dxa"/>
          <w:tblLayout w:type="fixed"/>
          <w:tblLook w:val="0000"/>
        </w:tblPrEx>
        <w:trPr>
          <w:cantSplit/>
          <w:trHeight w:val="980"/>
        </w:trPr>
        <w:tc>
          <w:tcPr>
            <w:tcW w:w="4968" w:type="dxa"/>
          </w:tcPr>
          <w:p w:rsidR="00745802" w:rsidRPr="00CA6286" w:rsidP="008C214D" w14:paraId="4D46634E" w14:textId="77777777">
            <w:pPr>
              <w:widowControl/>
              <w:rPr>
                <w:b/>
                <w:szCs w:val="22"/>
              </w:rPr>
            </w:pPr>
            <w:r w:rsidRPr="00CA6286">
              <w:rPr>
                <w:b/>
                <w:szCs w:val="22"/>
              </w:rPr>
              <w:t>FCC Forms</w:t>
            </w:r>
          </w:p>
        </w:tc>
        <w:tc>
          <w:tcPr>
            <w:tcW w:w="4860" w:type="dxa"/>
          </w:tcPr>
          <w:p w:rsidR="00745802" w:rsidRPr="00CA6286" w:rsidP="008C214D" w14:paraId="205C8406" w14:textId="77777777">
            <w:pPr>
              <w:widowControl/>
              <w:rPr>
                <w:szCs w:val="22"/>
              </w:rPr>
            </w:pPr>
            <w:r w:rsidRPr="00CA6286">
              <w:rPr>
                <w:szCs w:val="22"/>
              </w:rPr>
              <w:t xml:space="preserve">(800) 418-3676 (outside Washington, DC) </w:t>
            </w:r>
          </w:p>
          <w:p w:rsidR="00745802" w:rsidRPr="00CA6286" w:rsidP="008C214D" w14:paraId="1841A81C" w14:textId="77777777">
            <w:pPr>
              <w:widowControl/>
              <w:rPr>
                <w:szCs w:val="22"/>
              </w:rPr>
            </w:pPr>
            <w:r w:rsidRPr="00CA6286">
              <w:rPr>
                <w:szCs w:val="22"/>
              </w:rPr>
              <w:t>(202) 418-3676 (in the Washington area)</w:t>
            </w:r>
          </w:p>
          <w:p w:rsidR="00745802" w:rsidRPr="00CA6286" w:rsidP="008C214D" w14:paraId="29DAEA0E" w14:textId="0B65C5B3">
            <w:pPr>
              <w:widowControl/>
              <w:rPr>
                <w:szCs w:val="22"/>
              </w:rPr>
            </w:pPr>
            <w:hyperlink r:id="rId13" w:history="1">
              <w:r>
                <w:rPr>
                  <w:rStyle w:val="Hyperlink"/>
                  <w:szCs w:val="22"/>
                </w:rPr>
                <w:t>www.fcc.gov/formpage.html</w:t>
              </w:r>
            </w:hyperlink>
          </w:p>
        </w:tc>
      </w:tr>
      <w:tr w14:paraId="38D101CD" w14:textId="77777777" w:rsidTr="008C214D">
        <w:tblPrEx>
          <w:tblW w:w="9828" w:type="dxa"/>
          <w:tblLayout w:type="fixed"/>
          <w:tblLook w:val="0000"/>
        </w:tblPrEx>
        <w:trPr>
          <w:cantSplit/>
          <w:trHeight w:val="1105"/>
        </w:trPr>
        <w:tc>
          <w:tcPr>
            <w:tcW w:w="4968" w:type="dxa"/>
          </w:tcPr>
          <w:p w:rsidR="00745802" w:rsidRPr="00915E0F" w:rsidP="008C214D" w14:paraId="33D2D776" w14:textId="77777777">
            <w:pPr>
              <w:widowControl/>
              <w:rPr>
                <w:b/>
                <w:szCs w:val="22"/>
              </w:rPr>
            </w:pPr>
            <w:r w:rsidRPr="00915E0F">
              <w:rPr>
                <w:b/>
                <w:szCs w:val="22"/>
              </w:rPr>
              <w:t>Accessible Formats</w:t>
            </w:r>
          </w:p>
          <w:p w:rsidR="00745802" w:rsidRPr="00CA6286" w:rsidP="008C214D" w14:paraId="3AA0861C" w14:textId="77777777">
            <w:pPr>
              <w:widowControl/>
              <w:ind w:left="360"/>
              <w:rPr>
                <w:szCs w:val="22"/>
              </w:rPr>
            </w:pPr>
            <w:r w:rsidRPr="00CA6286">
              <w:rPr>
                <w:szCs w:val="22"/>
              </w:rPr>
              <w:t xml:space="preserve">Braille, large print, electronic files, or </w:t>
            </w:r>
          </w:p>
          <w:p w:rsidR="00745802" w:rsidRPr="00915E0F" w:rsidP="008C214D" w14:paraId="3B45BB83" w14:textId="77777777">
            <w:pPr>
              <w:widowControl/>
              <w:ind w:left="360"/>
              <w:rPr>
                <w:b/>
                <w:szCs w:val="22"/>
              </w:rPr>
            </w:pPr>
            <w:r w:rsidRPr="00CA6286">
              <w:rPr>
                <w:szCs w:val="22"/>
              </w:rPr>
              <w:t>audio format for people with disabilities</w:t>
            </w:r>
          </w:p>
        </w:tc>
        <w:tc>
          <w:tcPr>
            <w:tcW w:w="4860" w:type="dxa"/>
          </w:tcPr>
          <w:p w:rsidR="00745802" w:rsidRPr="00915E0F" w:rsidP="008C214D" w14:paraId="7D37542C" w14:textId="77777777">
            <w:pPr>
              <w:widowControl/>
              <w:rPr>
                <w:b/>
                <w:szCs w:val="22"/>
              </w:rPr>
            </w:pPr>
            <w:r w:rsidRPr="00915E0F">
              <w:rPr>
                <w:b/>
                <w:szCs w:val="22"/>
              </w:rPr>
              <w:t>Consumer and Governmental Affairs Bureau</w:t>
            </w:r>
          </w:p>
          <w:p w:rsidR="00745802" w:rsidRPr="00CA6286" w:rsidP="008C214D" w14:paraId="4EA5160B" w14:textId="77777777">
            <w:pPr>
              <w:widowControl/>
              <w:rPr>
                <w:szCs w:val="22"/>
              </w:rPr>
            </w:pPr>
            <w:r w:rsidRPr="00CA6286">
              <w:rPr>
                <w:szCs w:val="22"/>
              </w:rPr>
              <w:t xml:space="preserve">(202) 418-0530 or (202) </w:t>
            </w:r>
            <w:r w:rsidRPr="00CA6286">
              <w:rPr>
                <w:szCs w:val="22"/>
              </w:rPr>
              <w:t>418-0432 (TTY)</w:t>
            </w:r>
          </w:p>
          <w:p w:rsidR="00745802" w:rsidP="008C214D" w14:paraId="2E4B79CA" w14:textId="77777777">
            <w:pPr>
              <w:widowControl/>
              <w:rPr>
                <w:szCs w:val="22"/>
              </w:rPr>
            </w:pPr>
            <w:hyperlink r:id="rId14" w:history="1">
              <w:r w:rsidRPr="00692219">
                <w:rPr>
                  <w:rStyle w:val="Hyperlink"/>
                  <w:szCs w:val="22"/>
                </w:rPr>
                <w:t>fcc504@fcc.gov</w:t>
              </w:r>
            </w:hyperlink>
          </w:p>
          <w:p w:rsidR="00745802" w:rsidRPr="00915E0F" w:rsidP="008C214D" w14:paraId="208C1366" w14:textId="77777777">
            <w:pPr>
              <w:widowControl/>
              <w:rPr>
                <w:b/>
                <w:szCs w:val="22"/>
              </w:rPr>
            </w:pPr>
          </w:p>
        </w:tc>
      </w:tr>
      <w:tr w14:paraId="7A0C743C" w14:textId="77777777" w:rsidTr="008C214D">
        <w:tblPrEx>
          <w:tblW w:w="9828" w:type="dxa"/>
          <w:tblLayout w:type="fixed"/>
          <w:tblLook w:val="0000"/>
        </w:tblPrEx>
        <w:trPr>
          <w:cantSplit/>
        </w:trPr>
        <w:tc>
          <w:tcPr>
            <w:tcW w:w="4968" w:type="dxa"/>
          </w:tcPr>
          <w:p w:rsidR="00745802" w:rsidP="008C214D" w14:paraId="453EF5D5" w14:textId="77777777">
            <w:pPr>
              <w:widowControl/>
              <w:rPr>
                <w:b/>
                <w:szCs w:val="22"/>
              </w:rPr>
            </w:pPr>
            <w:r>
              <w:rPr>
                <w:b/>
                <w:szCs w:val="22"/>
              </w:rPr>
              <w:t>Small Businesses</w:t>
            </w:r>
          </w:p>
          <w:p w:rsidR="00745802" w:rsidRPr="00CF5529" w:rsidP="008C214D" w14:paraId="1B69B67C" w14:textId="77777777">
            <w:pPr>
              <w:widowControl/>
              <w:ind w:left="360"/>
              <w:rPr>
                <w:szCs w:val="22"/>
              </w:rPr>
            </w:pPr>
            <w:r>
              <w:rPr>
                <w:szCs w:val="22"/>
              </w:rPr>
              <w:t>Additional information for small and disadvantaged businesses</w:t>
            </w:r>
          </w:p>
        </w:tc>
        <w:tc>
          <w:tcPr>
            <w:tcW w:w="4860" w:type="dxa"/>
          </w:tcPr>
          <w:p w:rsidR="00745802" w:rsidP="008C214D" w14:paraId="418A7F2D" w14:textId="77777777">
            <w:pPr>
              <w:widowControl/>
              <w:rPr>
                <w:b/>
                <w:szCs w:val="22"/>
              </w:rPr>
            </w:pPr>
            <w:r>
              <w:rPr>
                <w:b/>
                <w:szCs w:val="22"/>
              </w:rPr>
              <w:t>Office of Communications Business Opportunities</w:t>
            </w:r>
          </w:p>
          <w:p w:rsidR="00745802" w:rsidP="008C214D" w14:paraId="793DA9CD" w14:textId="77777777">
            <w:pPr>
              <w:widowControl/>
              <w:rPr>
                <w:szCs w:val="22"/>
              </w:rPr>
            </w:pPr>
            <w:r>
              <w:rPr>
                <w:szCs w:val="22"/>
              </w:rPr>
              <w:t>(202) 418-0990</w:t>
            </w:r>
          </w:p>
          <w:p w:rsidR="00745802" w:rsidP="008C214D" w14:paraId="4DA8101D" w14:textId="5A5E2D62">
            <w:pPr>
              <w:widowControl/>
              <w:rPr>
                <w:szCs w:val="22"/>
              </w:rPr>
            </w:pPr>
            <w:hyperlink r:id="rId15" w:history="1">
              <w:r>
                <w:rPr>
                  <w:rStyle w:val="Hyperlink"/>
                  <w:szCs w:val="22"/>
                </w:rPr>
                <w:t>www.fcc.gov/ocbo/</w:t>
              </w:r>
            </w:hyperlink>
          </w:p>
          <w:p w:rsidR="00745802" w:rsidRPr="007E1D09" w:rsidP="008C214D" w14:paraId="437EFF14" w14:textId="77777777">
            <w:pPr>
              <w:widowControl/>
              <w:rPr>
                <w:szCs w:val="22"/>
              </w:rPr>
            </w:pPr>
          </w:p>
        </w:tc>
      </w:tr>
      <w:tr w14:paraId="16BB069B" w14:textId="77777777" w:rsidTr="008C214D">
        <w:tblPrEx>
          <w:tblW w:w="9828" w:type="dxa"/>
          <w:tblLayout w:type="fixed"/>
          <w:tblLook w:val="0000"/>
        </w:tblPrEx>
        <w:trPr>
          <w:cantSplit/>
        </w:trPr>
        <w:tc>
          <w:tcPr>
            <w:tcW w:w="4968" w:type="dxa"/>
          </w:tcPr>
          <w:p w:rsidR="00745802" w:rsidRPr="00CA6286" w:rsidP="008C214D" w14:paraId="4AD4170F" w14:textId="77777777">
            <w:pPr>
              <w:widowControl/>
              <w:rPr>
                <w:b/>
                <w:szCs w:val="22"/>
              </w:rPr>
            </w:pPr>
            <w:r w:rsidRPr="00CA6286">
              <w:rPr>
                <w:b/>
                <w:szCs w:val="22"/>
              </w:rPr>
              <w:t>FCC Internet Sites</w:t>
            </w:r>
          </w:p>
          <w:p w:rsidR="00745802" w:rsidRPr="00CA6286" w:rsidP="008C214D" w14:paraId="45857EA1" w14:textId="77777777">
            <w:pPr>
              <w:widowControl/>
              <w:rPr>
                <w:szCs w:val="22"/>
              </w:rPr>
            </w:pPr>
          </w:p>
        </w:tc>
        <w:tc>
          <w:tcPr>
            <w:tcW w:w="4860" w:type="dxa"/>
          </w:tcPr>
          <w:p w:rsidR="00745802" w:rsidRPr="00CA6286" w:rsidP="008C214D" w14:paraId="2D57BAB6" w14:textId="69FFDBC5">
            <w:pPr>
              <w:widowControl/>
              <w:rPr>
                <w:szCs w:val="22"/>
              </w:rPr>
            </w:pPr>
            <w:hyperlink r:id="rId16" w:history="1">
              <w:r>
                <w:rPr>
                  <w:rStyle w:val="Hyperlink"/>
                  <w:szCs w:val="22"/>
                </w:rPr>
                <w:t>www.fcc.gov</w:t>
              </w:r>
            </w:hyperlink>
          </w:p>
          <w:p w:rsidR="00745802" w:rsidRPr="00CA6286" w:rsidP="008C214D" w14:paraId="19A291E4" w14:textId="6F0CC41C">
            <w:pPr>
              <w:widowControl/>
              <w:rPr>
                <w:szCs w:val="22"/>
              </w:rPr>
            </w:pPr>
            <w:hyperlink r:id="rId7" w:history="1">
              <w:r w:rsidRPr="00947C2E" w:rsidR="00947C2E">
                <w:rPr>
                  <w:rStyle w:val="Hyperlink"/>
                </w:rPr>
                <w:t>www.fcc.gov/auction/107</w:t>
              </w:r>
            </w:hyperlink>
          </w:p>
          <w:p w:rsidR="00745802" w:rsidRPr="00CA6286" w:rsidP="001A1B99" w14:paraId="45061E09" w14:textId="77777777">
            <w:pPr>
              <w:widowControl/>
              <w:rPr>
                <w:szCs w:val="22"/>
              </w:rPr>
            </w:pPr>
          </w:p>
        </w:tc>
      </w:tr>
    </w:tbl>
    <w:p w:rsidR="00D6515C" w:rsidRPr="00435180" w:rsidP="00D6515C" w14:paraId="58C757C7" w14:textId="77777777">
      <w:pPr>
        <w:widowControl/>
        <w:suppressAutoHyphens/>
        <w:ind w:left="5040" w:hanging="5040"/>
        <w:rPr>
          <w:szCs w:val="22"/>
        </w:rPr>
      </w:pPr>
    </w:p>
    <w:p w:rsidR="005A485F" w:rsidRPr="005A485F" w:rsidP="005A485F" w14:paraId="40564F8E" w14:textId="77777777">
      <w:pPr>
        <w:pStyle w:val="ParaNum"/>
      </w:pPr>
      <w:r w:rsidRPr="005A485F">
        <w:t>Action by the Commission, August 6, 2020:  Chairman Pai and Commissioners O’Rielly and Carr issuing separate statements; Commissioners Rosenworcel and Starks approving in part, dissenting in part and issuing separate statements.</w:t>
      </w:r>
    </w:p>
    <w:p w:rsidR="00D6515C" w:rsidP="00371979" w14:paraId="1A3739BD" w14:textId="6C865DD0">
      <w:pPr>
        <w:pStyle w:val="ParaNum"/>
        <w:widowControl/>
        <w:numPr>
          <w:ilvl w:val="0"/>
          <w:numId w:val="0"/>
        </w:numPr>
        <w:jc w:val="center"/>
        <w:rPr>
          <w:b/>
          <w:szCs w:val="22"/>
        </w:rPr>
      </w:pPr>
    </w:p>
    <w:p w:rsidR="00371979" w:rsidRPr="00371979" w:rsidP="00371979" w14:paraId="6F48B657" w14:textId="77777777">
      <w:pPr>
        <w:jc w:val="center"/>
      </w:pPr>
    </w:p>
    <w:p w:rsidR="00371979" w:rsidRPr="00371979" w:rsidP="00371979" w14:paraId="53881A2C" w14:textId="77777777">
      <w:pPr>
        <w:jc w:val="center"/>
        <w:rPr>
          <w:b/>
        </w:rPr>
      </w:pPr>
      <w:r w:rsidRPr="00371979">
        <w:rPr>
          <w:b/>
        </w:rPr>
        <w:t>- FCC -</w:t>
      </w:r>
    </w:p>
    <w:p w:rsidR="00D6515C" w:rsidRPr="00435180" w:rsidP="00D6515C" w14:paraId="53AEC793" w14:textId="49490F17">
      <w:pPr>
        <w:pStyle w:val="ParaNum"/>
        <w:numPr>
          <w:ilvl w:val="0"/>
          <w:numId w:val="0"/>
        </w:numPr>
        <w:jc w:val="center"/>
        <w:rPr>
          <w:szCs w:val="22"/>
        </w:rPr>
      </w:pPr>
    </w:p>
    <w:bookmarkEnd w:id="0"/>
    <w:p w:rsidR="00D6515C" w:rsidP="00D6515C" w14:paraId="732B29EA" w14:textId="77777777">
      <w:pPr>
        <w:rPr>
          <w:szCs w:val="22"/>
        </w:rPr>
        <w:sectPr w:rsidSect="00C46D23">
          <w:headerReference w:type="default" r:id="rId17"/>
          <w:footerReference w:type="even" r:id="rId18"/>
          <w:footerReference w:type="default" r:id="rId19"/>
          <w:headerReference w:type="first" r:id="rId20"/>
          <w:endnotePr>
            <w:numFmt w:val="decimal"/>
          </w:endnotePr>
          <w:pgSz w:w="12240" w:h="15840"/>
          <w:pgMar w:top="1440" w:right="1440" w:bottom="720" w:left="1440" w:header="720" w:footer="720" w:gutter="0"/>
          <w:pgNumType w:start="1"/>
          <w:cols w:space="720"/>
          <w:noEndnote/>
          <w:titlePg/>
          <w:docGrid w:linePitch="299"/>
        </w:sectPr>
      </w:pPr>
    </w:p>
    <w:p w:rsidR="00D6515C" w:rsidRPr="00435180" w:rsidP="00D6515C" w14:paraId="4974B265" w14:textId="77777777">
      <w:pPr>
        <w:jc w:val="center"/>
        <w:rPr>
          <w:b/>
          <w:szCs w:val="22"/>
        </w:rPr>
      </w:pPr>
      <w:r w:rsidRPr="00435180">
        <w:rPr>
          <w:b/>
          <w:szCs w:val="22"/>
        </w:rPr>
        <w:t>APPENDIX</w:t>
      </w:r>
    </w:p>
    <w:p w:rsidR="00D6515C" w:rsidRPr="00435180" w:rsidP="00D6515C" w14:paraId="1CECB4C5" w14:textId="77777777">
      <w:pPr>
        <w:jc w:val="center"/>
        <w:rPr>
          <w:b/>
          <w:szCs w:val="22"/>
        </w:rPr>
      </w:pPr>
    </w:p>
    <w:p w:rsidR="00D6515C" w:rsidRPr="00435180" w:rsidP="00D6515C" w14:paraId="3FDFB6E5" w14:textId="77777777">
      <w:pPr>
        <w:jc w:val="center"/>
        <w:rPr>
          <w:b/>
          <w:szCs w:val="22"/>
        </w:rPr>
      </w:pPr>
      <w:r w:rsidRPr="00435180">
        <w:rPr>
          <w:b/>
          <w:szCs w:val="22"/>
        </w:rPr>
        <w:t>Commenter Short Names</w:t>
      </w:r>
    </w:p>
    <w:p w:rsidR="00D6515C" w:rsidRPr="00435180" w:rsidP="00D6515C" w14:paraId="0478340E" w14:textId="77777777">
      <w:pPr>
        <w:rPr>
          <w:szCs w:val="22"/>
        </w:rPr>
      </w:pPr>
    </w:p>
    <w:tbl>
      <w:tblPr>
        <w:tblW w:w="0" w:type="auto"/>
        <w:tblLook w:val="04A0"/>
      </w:tblPr>
      <w:tblGrid>
        <w:gridCol w:w="2988"/>
        <w:gridCol w:w="6362"/>
      </w:tblGrid>
      <w:tr w14:paraId="5BB52FFB" w14:textId="77777777" w:rsidTr="00A56D37">
        <w:tblPrEx>
          <w:tblW w:w="0" w:type="auto"/>
          <w:tblLook w:val="04A0"/>
        </w:tblPrEx>
        <w:tc>
          <w:tcPr>
            <w:tcW w:w="2988" w:type="dxa"/>
          </w:tcPr>
          <w:p w:rsidR="00D6515C" w:rsidRPr="00435180" w:rsidP="000F02E7" w14:paraId="1271ADCB" w14:textId="77777777">
            <w:pPr>
              <w:rPr>
                <w:b/>
                <w:szCs w:val="22"/>
              </w:rPr>
            </w:pPr>
            <w:r w:rsidRPr="00435180">
              <w:rPr>
                <w:b/>
                <w:szCs w:val="22"/>
              </w:rPr>
              <w:t>Short Name</w:t>
            </w:r>
          </w:p>
        </w:tc>
        <w:tc>
          <w:tcPr>
            <w:tcW w:w="6362" w:type="dxa"/>
          </w:tcPr>
          <w:p w:rsidR="00D6515C" w:rsidRPr="00435180" w:rsidP="000F02E7" w14:paraId="2E24FAC5" w14:textId="77777777">
            <w:pPr>
              <w:rPr>
                <w:b/>
                <w:szCs w:val="22"/>
              </w:rPr>
            </w:pPr>
            <w:r w:rsidRPr="00435180">
              <w:rPr>
                <w:b/>
                <w:szCs w:val="22"/>
              </w:rPr>
              <w:t>Name of Filer</w:t>
            </w:r>
          </w:p>
        </w:tc>
      </w:tr>
      <w:tr w14:paraId="095E7EC8" w14:textId="77777777" w:rsidTr="00A56D37">
        <w:tblPrEx>
          <w:tblW w:w="0" w:type="auto"/>
          <w:tblLook w:val="04A0"/>
        </w:tblPrEx>
        <w:tc>
          <w:tcPr>
            <w:tcW w:w="2988" w:type="dxa"/>
          </w:tcPr>
          <w:p w:rsidR="006C6238" w:rsidRPr="00435180" w:rsidP="000F02E7" w14:paraId="50FE96E9" w14:textId="52FB8318">
            <w:pPr>
              <w:rPr>
                <w:szCs w:val="22"/>
              </w:rPr>
            </w:pPr>
            <w:r>
              <w:rPr>
                <w:szCs w:val="22"/>
              </w:rPr>
              <w:t>AT&amp;T</w:t>
            </w:r>
          </w:p>
        </w:tc>
        <w:tc>
          <w:tcPr>
            <w:tcW w:w="6362" w:type="dxa"/>
          </w:tcPr>
          <w:p w:rsidR="006C6238" w:rsidRPr="00435180" w:rsidP="000F02E7" w14:paraId="51F0439B" w14:textId="0D6CD707">
            <w:pPr>
              <w:rPr>
                <w:szCs w:val="22"/>
              </w:rPr>
            </w:pPr>
            <w:r>
              <w:rPr>
                <w:szCs w:val="22"/>
              </w:rPr>
              <w:t>AT&amp;T Services, Inc.</w:t>
            </w:r>
          </w:p>
        </w:tc>
      </w:tr>
      <w:tr w14:paraId="41271878" w14:textId="77777777" w:rsidTr="00A56D37">
        <w:tblPrEx>
          <w:tblW w:w="0" w:type="auto"/>
          <w:tblLook w:val="04A0"/>
        </w:tblPrEx>
        <w:tc>
          <w:tcPr>
            <w:tcW w:w="2988" w:type="dxa"/>
          </w:tcPr>
          <w:p w:rsidR="0012096D" w:rsidRPr="00435180" w:rsidP="000F02E7" w14:paraId="09328099" w14:textId="290A4691">
            <w:pPr>
              <w:rPr>
                <w:szCs w:val="22"/>
              </w:rPr>
            </w:pPr>
            <w:r>
              <w:rPr>
                <w:szCs w:val="22"/>
              </w:rPr>
              <w:t>CCA</w:t>
            </w:r>
          </w:p>
        </w:tc>
        <w:tc>
          <w:tcPr>
            <w:tcW w:w="6362" w:type="dxa"/>
          </w:tcPr>
          <w:p w:rsidR="0012096D" w:rsidRPr="00435180" w:rsidP="000F02E7" w14:paraId="717C1B10" w14:textId="1E8D347A">
            <w:pPr>
              <w:rPr>
                <w:szCs w:val="22"/>
              </w:rPr>
            </w:pPr>
            <w:r>
              <w:rPr>
                <w:szCs w:val="22"/>
              </w:rPr>
              <w:t>Competitive Carriers Association</w:t>
            </w:r>
          </w:p>
        </w:tc>
      </w:tr>
      <w:tr w14:paraId="13A1DB35" w14:textId="77777777" w:rsidTr="00A56D37">
        <w:tblPrEx>
          <w:tblW w:w="0" w:type="auto"/>
          <w:tblLook w:val="04A0"/>
        </w:tblPrEx>
        <w:tc>
          <w:tcPr>
            <w:tcW w:w="2988" w:type="dxa"/>
          </w:tcPr>
          <w:p w:rsidR="0012096D" w:rsidRPr="00435180" w:rsidP="000F02E7" w14:paraId="13E27D8D" w14:textId="400F7776">
            <w:pPr>
              <w:rPr>
                <w:szCs w:val="22"/>
              </w:rPr>
            </w:pPr>
            <w:r>
              <w:rPr>
                <w:szCs w:val="22"/>
              </w:rPr>
              <w:t>C</w:t>
            </w:r>
            <w:r w:rsidR="005F2639">
              <w:rPr>
                <w:szCs w:val="22"/>
              </w:rPr>
              <w:t>TIA</w:t>
            </w:r>
          </w:p>
        </w:tc>
        <w:tc>
          <w:tcPr>
            <w:tcW w:w="6362" w:type="dxa"/>
          </w:tcPr>
          <w:p w:rsidR="0012096D" w:rsidRPr="00435180" w:rsidP="000F02E7" w14:paraId="72F74869" w14:textId="6EFFF1CA">
            <w:pPr>
              <w:rPr>
                <w:szCs w:val="22"/>
              </w:rPr>
            </w:pPr>
            <w:r>
              <w:rPr>
                <w:szCs w:val="22"/>
              </w:rPr>
              <w:t>C</w:t>
            </w:r>
            <w:r w:rsidR="00782085">
              <w:rPr>
                <w:szCs w:val="22"/>
              </w:rPr>
              <w:t>TIA—The Wireless Association</w:t>
            </w:r>
          </w:p>
        </w:tc>
      </w:tr>
      <w:tr w14:paraId="6FFF6A7D" w14:textId="77777777" w:rsidTr="00A56D37">
        <w:tblPrEx>
          <w:tblW w:w="0" w:type="auto"/>
          <w:tblLook w:val="04A0"/>
        </w:tblPrEx>
        <w:tc>
          <w:tcPr>
            <w:tcW w:w="2988" w:type="dxa"/>
          </w:tcPr>
          <w:p w:rsidR="0012096D" w:rsidRPr="00435180" w:rsidP="00CE484A" w14:paraId="43634BDB" w14:textId="569084BA">
            <w:pPr>
              <w:rPr>
                <w:szCs w:val="22"/>
              </w:rPr>
            </w:pPr>
            <w:r>
              <w:rPr>
                <w:szCs w:val="22"/>
              </w:rPr>
              <w:t>Moise</w:t>
            </w:r>
          </w:p>
        </w:tc>
        <w:tc>
          <w:tcPr>
            <w:tcW w:w="6362" w:type="dxa"/>
          </w:tcPr>
          <w:p w:rsidR="0012096D" w:rsidRPr="00435180" w:rsidP="00CE484A" w14:paraId="5361F4F6" w14:textId="72CDA1B5">
            <w:pPr>
              <w:rPr>
                <w:szCs w:val="22"/>
              </w:rPr>
            </w:pPr>
            <w:r>
              <w:rPr>
                <w:szCs w:val="22"/>
              </w:rPr>
              <w:t>Moise Advisory</w:t>
            </w:r>
          </w:p>
        </w:tc>
      </w:tr>
      <w:tr w14:paraId="4EF014BE" w14:textId="77777777" w:rsidTr="00A56D37">
        <w:tblPrEx>
          <w:tblW w:w="0" w:type="auto"/>
          <w:tblLook w:val="04A0"/>
        </w:tblPrEx>
        <w:tc>
          <w:tcPr>
            <w:tcW w:w="2988" w:type="dxa"/>
          </w:tcPr>
          <w:p w:rsidR="00A56D37" w:rsidRPr="00435180" w:rsidP="00CE484A" w14:paraId="34A5378B" w14:textId="260176E7">
            <w:pPr>
              <w:rPr>
                <w:szCs w:val="22"/>
              </w:rPr>
            </w:pPr>
            <w:r>
              <w:rPr>
                <w:szCs w:val="22"/>
              </w:rPr>
              <w:t>SES</w:t>
            </w:r>
          </w:p>
        </w:tc>
        <w:tc>
          <w:tcPr>
            <w:tcW w:w="6362" w:type="dxa"/>
          </w:tcPr>
          <w:p w:rsidR="00A56D37" w:rsidRPr="00435180" w:rsidP="00CE484A" w14:paraId="4150AC55" w14:textId="79F7406F">
            <w:pPr>
              <w:rPr>
                <w:szCs w:val="22"/>
              </w:rPr>
            </w:pPr>
            <w:r>
              <w:rPr>
                <w:szCs w:val="22"/>
              </w:rPr>
              <w:t>SES Americom, Inc.</w:t>
            </w:r>
          </w:p>
        </w:tc>
      </w:tr>
      <w:tr w14:paraId="5631CEAB" w14:textId="77777777" w:rsidTr="00A56D37">
        <w:tblPrEx>
          <w:tblW w:w="0" w:type="auto"/>
          <w:tblLook w:val="04A0"/>
        </w:tblPrEx>
        <w:tc>
          <w:tcPr>
            <w:tcW w:w="2988" w:type="dxa"/>
          </w:tcPr>
          <w:p w:rsidR="00A56D37" w:rsidRPr="00435180" w:rsidP="00CE484A" w14:paraId="6B588B05" w14:textId="66555DC1">
            <w:pPr>
              <w:rPr>
                <w:szCs w:val="22"/>
              </w:rPr>
            </w:pPr>
            <w:r>
              <w:rPr>
                <w:szCs w:val="22"/>
              </w:rPr>
              <w:t>T-Mobile</w:t>
            </w:r>
          </w:p>
        </w:tc>
        <w:tc>
          <w:tcPr>
            <w:tcW w:w="6362" w:type="dxa"/>
          </w:tcPr>
          <w:p w:rsidR="00A56D37" w:rsidRPr="00435180" w:rsidP="00CE484A" w14:paraId="3EDA4264" w14:textId="70648020">
            <w:pPr>
              <w:rPr>
                <w:szCs w:val="22"/>
              </w:rPr>
            </w:pPr>
            <w:r>
              <w:rPr>
                <w:szCs w:val="22"/>
              </w:rPr>
              <w:t>T-Mobile USA, Inc.</w:t>
            </w:r>
          </w:p>
        </w:tc>
      </w:tr>
      <w:tr w14:paraId="4542A062" w14:textId="77777777" w:rsidTr="00A56D37">
        <w:tblPrEx>
          <w:tblW w:w="0" w:type="auto"/>
          <w:tblLook w:val="04A0"/>
        </w:tblPrEx>
        <w:tc>
          <w:tcPr>
            <w:tcW w:w="2988" w:type="dxa"/>
          </w:tcPr>
          <w:p w:rsidR="00A56D37" w:rsidRPr="00435180" w:rsidP="00CE484A" w14:paraId="4FD255E1" w14:textId="059E1C3C">
            <w:pPr>
              <w:rPr>
                <w:szCs w:val="22"/>
              </w:rPr>
            </w:pPr>
            <w:r>
              <w:rPr>
                <w:szCs w:val="22"/>
              </w:rPr>
              <w:t>U.S. Cellular</w:t>
            </w:r>
          </w:p>
        </w:tc>
        <w:tc>
          <w:tcPr>
            <w:tcW w:w="6362" w:type="dxa"/>
          </w:tcPr>
          <w:p w:rsidR="00A56D37" w:rsidRPr="00435180" w:rsidP="00CE484A" w14:paraId="533577D2" w14:textId="2F6B167F">
            <w:pPr>
              <w:rPr>
                <w:szCs w:val="22"/>
              </w:rPr>
            </w:pPr>
            <w:r>
              <w:rPr>
                <w:szCs w:val="22"/>
              </w:rPr>
              <w:t xml:space="preserve">United States Cellular Corporation </w:t>
            </w:r>
          </w:p>
        </w:tc>
      </w:tr>
      <w:tr w14:paraId="5C8B495B" w14:textId="77777777" w:rsidTr="00A56D37">
        <w:tblPrEx>
          <w:tblW w:w="0" w:type="auto"/>
          <w:tblLook w:val="04A0"/>
        </w:tblPrEx>
        <w:tc>
          <w:tcPr>
            <w:tcW w:w="2988" w:type="dxa"/>
          </w:tcPr>
          <w:p w:rsidR="00A56D37" w:rsidRPr="00435180" w:rsidP="00CE484A" w14:paraId="280FBB6D" w14:textId="61159E51">
            <w:pPr>
              <w:rPr>
                <w:szCs w:val="22"/>
              </w:rPr>
            </w:pPr>
            <w:r>
              <w:rPr>
                <w:szCs w:val="22"/>
              </w:rPr>
              <w:t>Verizon</w:t>
            </w:r>
          </w:p>
        </w:tc>
        <w:tc>
          <w:tcPr>
            <w:tcW w:w="6362" w:type="dxa"/>
          </w:tcPr>
          <w:p w:rsidR="00A56D37" w:rsidRPr="00435180" w:rsidP="00CE484A" w14:paraId="7E9606AE" w14:textId="3B85CBCC">
            <w:pPr>
              <w:rPr>
                <w:szCs w:val="22"/>
              </w:rPr>
            </w:pPr>
            <w:r>
              <w:rPr>
                <w:szCs w:val="22"/>
              </w:rPr>
              <w:t>Verizon</w:t>
            </w:r>
          </w:p>
        </w:tc>
      </w:tr>
      <w:tr w14:paraId="436393BD" w14:textId="77777777" w:rsidTr="00A56D37">
        <w:tblPrEx>
          <w:tblW w:w="0" w:type="auto"/>
          <w:tblLook w:val="04A0"/>
        </w:tblPrEx>
        <w:tc>
          <w:tcPr>
            <w:tcW w:w="2988" w:type="dxa"/>
          </w:tcPr>
          <w:p w:rsidR="00A56D37" w:rsidP="00CE484A" w14:paraId="53FB5B43" w14:textId="16E81FC9">
            <w:pPr>
              <w:rPr>
                <w:szCs w:val="22"/>
              </w:rPr>
            </w:pPr>
          </w:p>
        </w:tc>
        <w:tc>
          <w:tcPr>
            <w:tcW w:w="6362" w:type="dxa"/>
          </w:tcPr>
          <w:p w:rsidR="00A56D37" w:rsidP="00CE484A" w14:paraId="6CE90B4E" w14:textId="62183138">
            <w:pPr>
              <w:rPr>
                <w:szCs w:val="22"/>
              </w:rPr>
            </w:pPr>
          </w:p>
        </w:tc>
      </w:tr>
      <w:tr w14:paraId="28F8F8CE" w14:textId="77777777" w:rsidTr="00A56D37">
        <w:tblPrEx>
          <w:tblW w:w="0" w:type="auto"/>
          <w:tblLook w:val="04A0"/>
        </w:tblPrEx>
        <w:tc>
          <w:tcPr>
            <w:tcW w:w="2988" w:type="dxa"/>
          </w:tcPr>
          <w:p w:rsidR="00A56D37" w:rsidRPr="00435180" w:rsidP="00CE484A" w14:paraId="00F13EBD" w14:textId="100BC3E0">
            <w:pPr>
              <w:rPr>
                <w:szCs w:val="22"/>
              </w:rPr>
            </w:pPr>
          </w:p>
        </w:tc>
        <w:tc>
          <w:tcPr>
            <w:tcW w:w="6362" w:type="dxa"/>
          </w:tcPr>
          <w:p w:rsidR="00A56D37" w:rsidRPr="00435180" w:rsidP="00CE484A" w14:paraId="420084F1" w14:textId="2E66248B">
            <w:pPr>
              <w:rPr>
                <w:szCs w:val="22"/>
              </w:rPr>
            </w:pPr>
          </w:p>
        </w:tc>
      </w:tr>
      <w:tr w14:paraId="15D99D00" w14:textId="77777777" w:rsidTr="00A56D37">
        <w:tblPrEx>
          <w:tblW w:w="0" w:type="auto"/>
          <w:tblLook w:val="04A0"/>
        </w:tblPrEx>
        <w:tc>
          <w:tcPr>
            <w:tcW w:w="2988" w:type="dxa"/>
          </w:tcPr>
          <w:p w:rsidR="00A56D37" w:rsidRPr="00435180" w:rsidP="00CE484A" w14:paraId="39ACC783" w14:textId="7E93B5F8">
            <w:pPr>
              <w:rPr>
                <w:szCs w:val="22"/>
              </w:rPr>
            </w:pPr>
          </w:p>
        </w:tc>
        <w:tc>
          <w:tcPr>
            <w:tcW w:w="6362" w:type="dxa"/>
          </w:tcPr>
          <w:p w:rsidR="00A56D37" w:rsidRPr="00435180" w:rsidP="00CE484A" w14:paraId="346EB319" w14:textId="03B8D50C">
            <w:pPr>
              <w:rPr>
                <w:szCs w:val="22"/>
              </w:rPr>
            </w:pPr>
          </w:p>
        </w:tc>
      </w:tr>
      <w:tr w14:paraId="0D72815F" w14:textId="77777777" w:rsidTr="00A56D37">
        <w:tblPrEx>
          <w:tblW w:w="0" w:type="auto"/>
          <w:tblLook w:val="04A0"/>
        </w:tblPrEx>
        <w:tc>
          <w:tcPr>
            <w:tcW w:w="2988" w:type="dxa"/>
          </w:tcPr>
          <w:p w:rsidR="00A56D37" w:rsidRPr="00435180" w:rsidP="00CE484A" w14:paraId="69A3FBC5" w14:textId="64D1DAD7">
            <w:pPr>
              <w:rPr>
                <w:szCs w:val="22"/>
              </w:rPr>
            </w:pPr>
          </w:p>
        </w:tc>
        <w:tc>
          <w:tcPr>
            <w:tcW w:w="6362" w:type="dxa"/>
          </w:tcPr>
          <w:p w:rsidR="00A56D37" w:rsidRPr="00435180" w:rsidP="00CE484A" w14:paraId="52FEA0FA" w14:textId="61C54DC2">
            <w:pPr>
              <w:rPr>
                <w:szCs w:val="22"/>
              </w:rPr>
            </w:pPr>
          </w:p>
        </w:tc>
      </w:tr>
      <w:tr w14:paraId="4223B05A" w14:textId="77777777" w:rsidTr="00A56D37">
        <w:tblPrEx>
          <w:tblW w:w="0" w:type="auto"/>
          <w:tblLook w:val="04A0"/>
        </w:tblPrEx>
        <w:tc>
          <w:tcPr>
            <w:tcW w:w="2988" w:type="dxa"/>
          </w:tcPr>
          <w:p w:rsidR="00A56D37" w:rsidRPr="00435180" w:rsidP="00CE484A" w14:paraId="2A7F986D" w14:textId="3E93DFB6">
            <w:pPr>
              <w:rPr>
                <w:szCs w:val="22"/>
              </w:rPr>
            </w:pPr>
          </w:p>
        </w:tc>
        <w:tc>
          <w:tcPr>
            <w:tcW w:w="6362" w:type="dxa"/>
          </w:tcPr>
          <w:p w:rsidR="00A56D37" w:rsidRPr="00435180" w:rsidP="00CE484A" w14:paraId="7C076110" w14:textId="268E5D09">
            <w:pPr>
              <w:rPr>
                <w:szCs w:val="22"/>
              </w:rPr>
            </w:pPr>
          </w:p>
        </w:tc>
      </w:tr>
      <w:tr w14:paraId="23073103" w14:textId="77777777" w:rsidTr="00A56D37">
        <w:tblPrEx>
          <w:tblW w:w="0" w:type="auto"/>
          <w:tblLook w:val="04A0"/>
        </w:tblPrEx>
        <w:tc>
          <w:tcPr>
            <w:tcW w:w="2988" w:type="dxa"/>
          </w:tcPr>
          <w:p w:rsidR="00A56D37" w:rsidRPr="00435180" w:rsidP="00CE484A" w14:paraId="388656F8" w14:textId="1BCB664D">
            <w:pPr>
              <w:rPr>
                <w:szCs w:val="22"/>
              </w:rPr>
            </w:pPr>
          </w:p>
        </w:tc>
        <w:tc>
          <w:tcPr>
            <w:tcW w:w="6362" w:type="dxa"/>
          </w:tcPr>
          <w:p w:rsidR="00A56D37" w:rsidRPr="00435180" w:rsidP="00CE484A" w14:paraId="14C34A54" w14:textId="49FA20DC">
            <w:pPr>
              <w:rPr>
                <w:szCs w:val="22"/>
              </w:rPr>
            </w:pPr>
          </w:p>
        </w:tc>
      </w:tr>
      <w:tr w14:paraId="18D77C08" w14:textId="77777777" w:rsidTr="00A56D37">
        <w:tblPrEx>
          <w:tblW w:w="0" w:type="auto"/>
          <w:tblLook w:val="04A0"/>
        </w:tblPrEx>
        <w:tc>
          <w:tcPr>
            <w:tcW w:w="2988" w:type="dxa"/>
          </w:tcPr>
          <w:p w:rsidR="00A56D37" w:rsidRPr="00435180" w:rsidP="00CE484A" w14:paraId="22FAAF77" w14:textId="22F58CB6">
            <w:pPr>
              <w:rPr>
                <w:szCs w:val="22"/>
              </w:rPr>
            </w:pPr>
          </w:p>
        </w:tc>
        <w:tc>
          <w:tcPr>
            <w:tcW w:w="6362" w:type="dxa"/>
          </w:tcPr>
          <w:p w:rsidR="00A56D37" w:rsidRPr="00435180" w:rsidP="00CE484A" w14:paraId="062A1E42" w14:textId="65204B4C">
            <w:pPr>
              <w:rPr>
                <w:szCs w:val="22"/>
              </w:rPr>
            </w:pPr>
          </w:p>
        </w:tc>
      </w:tr>
      <w:tr w14:paraId="1DB34094" w14:textId="77777777" w:rsidTr="00A56D37">
        <w:tblPrEx>
          <w:tblW w:w="0" w:type="auto"/>
          <w:tblLook w:val="04A0"/>
        </w:tblPrEx>
        <w:tc>
          <w:tcPr>
            <w:tcW w:w="2988" w:type="dxa"/>
          </w:tcPr>
          <w:p w:rsidR="00A56D37" w:rsidRPr="00435180" w:rsidP="00CE484A" w14:paraId="42182FF3" w14:textId="17F0EC72">
            <w:pPr>
              <w:rPr>
                <w:szCs w:val="22"/>
              </w:rPr>
            </w:pPr>
          </w:p>
        </w:tc>
        <w:tc>
          <w:tcPr>
            <w:tcW w:w="6362" w:type="dxa"/>
          </w:tcPr>
          <w:p w:rsidR="00A56D37" w:rsidRPr="00435180" w:rsidP="00CE484A" w14:paraId="34F45D7C" w14:textId="4123DD63">
            <w:pPr>
              <w:rPr>
                <w:szCs w:val="22"/>
              </w:rPr>
            </w:pPr>
          </w:p>
        </w:tc>
      </w:tr>
      <w:tr w14:paraId="1DC7C221" w14:textId="77777777" w:rsidTr="00A56D37">
        <w:tblPrEx>
          <w:tblW w:w="0" w:type="auto"/>
          <w:tblLook w:val="04A0"/>
        </w:tblPrEx>
        <w:tc>
          <w:tcPr>
            <w:tcW w:w="2988" w:type="dxa"/>
          </w:tcPr>
          <w:p w:rsidR="00A56D37" w:rsidRPr="00435180" w:rsidP="00CE484A" w14:paraId="17602310" w14:textId="1E07BCA9">
            <w:pPr>
              <w:rPr>
                <w:szCs w:val="22"/>
              </w:rPr>
            </w:pPr>
          </w:p>
        </w:tc>
        <w:tc>
          <w:tcPr>
            <w:tcW w:w="6362" w:type="dxa"/>
          </w:tcPr>
          <w:p w:rsidR="00A56D37" w:rsidRPr="00435180" w:rsidP="00CE484A" w14:paraId="5E2DCABE" w14:textId="10AB7DDA">
            <w:pPr>
              <w:rPr>
                <w:szCs w:val="22"/>
              </w:rPr>
            </w:pPr>
          </w:p>
        </w:tc>
      </w:tr>
      <w:tr w14:paraId="22EBCDDC" w14:textId="77777777" w:rsidTr="00A56D37">
        <w:tblPrEx>
          <w:tblW w:w="0" w:type="auto"/>
          <w:tblLook w:val="04A0"/>
        </w:tblPrEx>
        <w:tc>
          <w:tcPr>
            <w:tcW w:w="2988" w:type="dxa"/>
          </w:tcPr>
          <w:p w:rsidR="00A56D37" w:rsidRPr="00435180" w:rsidP="00CE484A" w14:paraId="24D409CE" w14:textId="2B3F80FF">
            <w:pPr>
              <w:rPr>
                <w:szCs w:val="22"/>
              </w:rPr>
            </w:pPr>
          </w:p>
        </w:tc>
        <w:tc>
          <w:tcPr>
            <w:tcW w:w="6362" w:type="dxa"/>
          </w:tcPr>
          <w:p w:rsidR="00A56D37" w:rsidRPr="00435180" w:rsidP="00CE484A" w14:paraId="7588FA00" w14:textId="29DD562B">
            <w:pPr>
              <w:rPr>
                <w:szCs w:val="22"/>
              </w:rPr>
            </w:pPr>
          </w:p>
        </w:tc>
      </w:tr>
      <w:tr w14:paraId="7F4A5456" w14:textId="77777777" w:rsidTr="00A56D37">
        <w:tblPrEx>
          <w:tblW w:w="0" w:type="auto"/>
          <w:tblLook w:val="04A0"/>
        </w:tblPrEx>
        <w:tc>
          <w:tcPr>
            <w:tcW w:w="2988" w:type="dxa"/>
          </w:tcPr>
          <w:p w:rsidR="00A56D37" w:rsidRPr="00435180" w:rsidP="00CE484A" w14:paraId="4030B5EA" w14:textId="6328DAE0">
            <w:pPr>
              <w:rPr>
                <w:szCs w:val="22"/>
              </w:rPr>
            </w:pPr>
          </w:p>
        </w:tc>
        <w:tc>
          <w:tcPr>
            <w:tcW w:w="6362" w:type="dxa"/>
          </w:tcPr>
          <w:p w:rsidR="00A56D37" w:rsidRPr="00435180" w:rsidP="00CE484A" w14:paraId="27BFAC86" w14:textId="3E447427">
            <w:pPr>
              <w:rPr>
                <w:szCs w:val="22"/>
              </w:rPr>
            </w:pPr>
          </w:p>
        </w:tc>
      </w:tr>
      <w:tr w14:paraId="1DAF6B0C" w14:textId="77777777" w:rsidTr="00A56D37">
        <w:tblPrEx>
          <w:tblW w:w="0" w:type="auto"/>
          <w:tblLook w:val="04A0"/>
        </w:tblPrEx>
        <w:tc>
          <w:tcPr>
            <w:tcW w:w="2988" w:type="dxa"/>
          </w:tcPr>
          <w:p w:rsidR="00A56D37" w:rsidRPr="00435180" w:rsidP="00CE484A" w14:paraId="7AAE369D" w14:textId="10F3E419">
            <w:pPr>
              <w:rPr>
                <w:szCs w:val="22"/>
              </w:rPr>
            </w:pPr>
          </w:p>
        </w:tc>
        <w:tc>
          <w:tcPr>
            <w:tcW w:w="6362" w:type="dxa"/>
          </w:tcPr>
          <w:p w:rsidR="00A56D37" w:rsidRPr="00435180" w:rsidP="00CE484A" w14:paraId="087222D8" w14:textId="77825757">
            <w:pPr>
              <w:rPr>
                <w:szCs w:val="22"/>
              </w:rPr>
            </w:pPr>
          </w:p>
        </w:tc>
      </w:tr>
      <w:tr w14:paraId="7861A018" w14:textId="77777777" w:rsidTr="00A56D37">
        <w:tblPrEx>
          <w:tblW w:w="0" w:type="auto"/>
          <w:tblLook w:val="04A0"/>
        </w:tblPrEx>
        <w:tc>
          <w:tcPr>
            <w:tcW w:w="2988" w:type="dxa"/>
          </w:tcPr>
          <w:p w:rsidR="00A56D37" w:rsidP="00CE484A" w14:paraId="0C22A9B0" w14:textId="4067C244">
            <w:pPr>
              <w:rPr>
                <w:szCs w:val="22"/>
              </w:rPr>
            </w:pPr>
          </w:p>
        </w:tc>
        <w:tc>
          <w:tcPr>
            <w:tcW w:w="6362" w:type="dxa"/>
          </w:tcPr>
          <w:p w:rsidR="00A56D37" w:rsidP="00CE484A" w14:paraId="28D46CE0" w14:textId="3FDDF0B2">
            <w:pPr>
              <w:rPr>
                <w:szCs w:val="22"/>
              </w:rPr>
            </w:pPr>
          </w:p>
        </w:tc>
      </w:tr>
    </w:tbl>
    <w:p w:rsidR="00A71C3C" w:rsidRPr="004E184C" w:rsidP="00A5158F" w14:paraId="668A038B" w14:textId="7E8B4EAA">
      <w:pPr>
        <w:rPr>
          <w:szCs w:val="22"/>
        </w:rPr>
      </w:pPr>
    </w:p>
    <w:p w:rsidR="00A71C3C" w:rsidRPr="004E184C" w:rsidP="004B1A9E" w14:paraId="6DCB58BC" w14:textId="596EC6D7">
      <w:pPr>
        <w:rPr>
          <w:rFonts w:eastAsia="Calibri"/>
          <w:snapToGrid/>
          <w:kern w:val="0"/>
          <w:szCs w:val="22"/>
        </w:rPr>
      </w:pPr>
    </w:p>
    <w:p w:rsidR="00A71C3C" w:rsidRPr="004E184C" w:rsidP="004B1A9E" w14:paraId="1A3CAD1F" w14:textId="57C2B641">
      <w:pPr>
        <w:rPr>
          <w:rFonts w:eastAsia="Calibri"/>
          <w:snapToGrid/>
          <w:kern w:val="0"/>
          <w:szCs w:val="22"/>
        </w:rPr>
      </w:pPr>
    </w:p>
    <w:p w:rsidR="00795EF9" w:rsidP="00A5158F" w14:paraId="66CEB43D" w14:textId="77777777">
      <w:pPr>
        <w:rPr>
          <w:szCs w:val="22"/>
        </w:rPr>
        <w:sectPr w:rsidSect="00C525DF">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630" w:footer="720" w:gutter="0"/>
          <w:cols w:space="720"/>
          <w:noEndnote/>
          <w:docGrid w:linePitch="299"/>
        </w:sectPr>
      </w:pPr>
    </w:p>
    <w:p w:rsidR="00CF3022" w:rsidRPr="005577AD" w:rsidP="00CF3022" w14:paraId="3F5AB365" w14:textId="77777777">
      <w:pPr>
        <w:jc w:val="center"/>
        <w:rPr>
          <w:b/>
          <w:bCs/>
          <w:caps/>
          <w:szCs w:val="22"/>
        </w:rPr>
      </w:pPr>
      <w:r w:rsidRPr="005577AD">
        <w:rPr>
          <w:b/>
          <w:bCs/>
          <w:caps/>
          <w:szCs w:val="22"/>
        </w:rPr>
        <w:t>Statement of</w:t>
      </w:r>
    </w:p>
    <w:p w:rsidR="00CF3022" w:rsidP="00CF3022" w14:paraId="15A1082E" w14:textId="77777777">
      <w:pPr>
        <w:jc w:val="center"/>
        <w:rPr>
          <w:b/>
          <w:bCs/>
          <w:caps/>
          <w:szCs w:val="22"/>
        </w:rPr>
      </w:pPr>
      <w:r w:rsidRPr="009D2CFA">
        <w:rPr>
          <w:b/>
          <w:bCs/>
          <w:caps/>
          <w:szCs w:val="22"/>
        </w:rPr>
        <w:t>CHAIRMAN AJIT PAI</w:t>
      </w:r>
    </w:p>
    <w:p w:rsidR="00CF3022" w:rsidRPr="005577AD" w:rsidP="00CF3022" w14:paraId="5DC3820F" w14:textId="77777777">
      <w:pPr>
        <w:jc w:val="center"/>
        <w:rPr>
          <w:b/>
          <w:bCs/>
          <w:caps/>
          <w:szCs w:val="22"/>
        </w:rPr>
      </w:pPr>
    </w:p>
    <w:p w:rsidR="00CF3022" w:rsidRPr="005577AD" w:rsidP="00CF3022" w14:paraId="30615FE1"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rPr>
        <w:t>Auction of Flexible-Use Service Licenses in the 3.7</w:t>
      </w:r>
      <w:r w:rsidRPr="00AC1645">
        <w:rPr>
          <w:i/>
          <w:iCs/>
        </w:rPr>
        <w:t>–</w:t>
      </w:r>
      <w:r>
        <w:rPr>
          <w:i/>
          <w:iCs/>
        </w:rPr>
        <w:t>3.98 GHz Band for Next-Generation Wireless Services; Notice and Filing Requirements, Minimum Opening Bids, Upfront Payments, and Othe</w:t>
      </w:r>
      <w:r>
        <w:rPr>
          <w:i/>
          <w:iCs/>
        </w:rPr>
        <w:t>r Procedures for Auction 107; Bidding in Auction 107 Scheduled to Begin December 8, 2020</w:t>
      </w:r>
      <w:r>
        <w:t>; AU Docket No. 20-25.</w:t>
      </w:r>
    </w:p>
    <w:p w:rsidR="00CF3022" w:rsidP="00CF3022" w14:paraId="22A7F9D4" w14:textId="77777777">
      <w:pPr>
        <w:widowControl/>
        <w:ind w:firstLine="720"/>
        <w:rPr>
          <w:snapToGrid/>
          <w:kern w:val="0"/>
          <w:szCs w:val="22"/>
        </w:rPr>
      </w:pPr>
    </w:p>
    <w:p w:rsidR="00CF3022" w:rsidP="00CF3022" w14:paraId="2128119C" w14:textId="77777777">
      <w:pPr>
        <w:widowControl/>
        <w:rPr>
          <w:snapToGrid/>
          <w:kern w:val="0"/>
          <w:szCs w:val="22"/>
        </w:rPr>
      </w:pPr>
      <w:r>
        <w:rPr>
          <w:snapToGrid/>
          <w:kern w:val="0"/>
          <w:szCs w:val="22"/>
        </w:rPr>
        <w:tab/>
      </w:r>
      <w:r w:rsidRPr="009800E6">
        <w:rPr>
          <w:snapToGrid/>
          <w:kern w:val="0"/>
          <w:szCs w:val="22"/>
        </w:rPr>
        <w:t>This is a watershed moment for American leadership in 5G.  Today, we establish final procedures for the auction of 280 megahertz of mid-band sp</w:t>
      </w:r>
      <w:r w:rsidRPr="009800E6">
        <w:rPr>
          <w:snapToGrid/>
          <w:kern w:val="0"/>
          <w:szCs w:val="22"/>
        </w:rPr>
        <w:t>ectrum from 3.7-3.98 GHz (part of what is commonly known as the C-band), paving the way for bidding on these critical frequencies to begin December 8.  This auction will quickly free up a significant amount of spectrum for 5G and represents the Commission’</w:t>
      </w:r>
      <w:r w:rsidRPr="009800E6">
        <w:rPr>
          <w:snapToGrid/>
          <w:kern w:val="0"/>
          <w:szCs w:val="22"/>
        </w:rPr>
        <w:t xml:space="preserve">s most significant action yet to repurpose mid-band frequencies.  </w:t>
      </w:r>
    </w:p>
    <w:p w:rsidR="00CF3022" w:rsidRPr="009800E6" w:rsidP="00CF3022" w14:paraId="19384E1D" w14:textId="77777777">
      <w:pPr>
        <w:widowControl/>
        <w:rPr>
          <w:snapToGrid/>
          <w:kern w:val="0"/>
          <w:szCs w:val="22"/>
        </w:rPr>
      </w:pPr>
    </w:p>
    <w:p w:rsidR="00CF3022" w:rsidP="00CF3022" w14:paraId="20196A1B" w14:textId="77777777">
      <w:pPr>
        <w:widowControl/>
        <w:rPr>
          <w:snapToGrid/>
          <w:kern w:val="0"/>
          <w:szCs w:val="22"/>
        </w:rPr>
      </w:pPr>
      <w:r>
        <w:rPr>
          <w:snapToGrid/>
          <w:kern w:val="0"/>
          <w:szCs w:val="22"/>
        </w:rPr>
        <w:tab/>
      </w:r>
      <w:r w:rsidRPr="009800E6">
        <w:rPr>
          <w:snapToGrid/>
          <w:kern w:val="0"/>
          <w:szCs w:val="22"/>
        </w:rPr>
        <w:t xml:space="preserve">Our work on the C-band builds on our efforts over the last few years to implement the FCC’s 5G FAST Plan—a comprehensive strategy for Facilitating American Superiority in 5G </w:t>
      </w:r>
      <w:r w:rsidRPr="009800E6">
        <w:rPr>
          <w:snapToGrid/>
          <w:kern w:val="0"/>
          <w:szCs w:val="22"/>
        </w:rPr>
        <w:t xml:space="preserve">Technology.  Executing this plan is critical to boosting economic growth, job creation, and America’s global competitiveness.  The first prong of our 5G FAST plan is making more spectrum available for the commercial marketplace.  That’s why, over the past </w:t>
      </w:r>
      <w:r w:rsidRPr="009800E6">
        <w:rPr>
          <w:snapToGrid/>
          <w:kern w:val="0"/>
          <w:szCs w:val="22"/>
        </w:rPr>
        <w:t>three years, we have left no stone unturned in making a mix of low-, mid-, and high-band spectrum available for 5G services.</w:t>
      </w:r>
    </w:p>
    <w:p w:rsidR="00CF3022" w:rsidP="00CF3022" w14:paraId="0A0850CC" w14:textId="77777777">
      <w:pPr>
        <w:widowControl/>
        <w:rPr>
          <w:snapToGrid/>
          <w:kern w:val="0"/>
          <w:szCs w:val="22"/>
        </w:rPr>
      </w:pPr>
    </w:p>
    <w:p w:rsidR="00CF3022" w:rsidP="00CF3022" w14:paraId="7C10646B" w14:textId="77777777">
      <w:pPr>
        <w:widowControl/>
        <w:rPr>
          <w:snapToGrid/>
          <w:kern w:val="0"/>
          <w:szCs w:val="22"/>
        </w:rPr>
      </w:pPr>
      <w:r>
        <w:rPr>
          <w:snapToGrid/>
          <w:kern w:val="0"/>
          <w:szCs w:val="22"/>
        </w:rPr>
        <w:tab/>
      </w:r>
      <w:r w:rsidRPr="009800E6">
        <w:rPr>
          <w:snapToGrid/>
          <w:kern w:val="0"/>
          <w:szCs w:val="22"/>
        </w:rPr>
        <w:t>With respect to high-band spectrum, we have conducted spectrum auctions in the 28 GHz band; the 24 GHz band; and the upper 37 GHz</w:t>
      </w:r>
      <w:r w:rsidRPr="009800E6">
        <w:rPr>
          <w:snapToGrid/>
          <w:kern w:val="0"/>
          <w:szCs w:val="22"/>
        </w:rPr>
        <w:t>, 39 GHz, and 47 GHz bands.  Gross proceeds for these three auctions totaled over $10 billion.  Together, these auctions have made available almost five gigahertz of spectrum for 5G and other advanced wireless services.  This is more spectrum than was used</w:t>
      </w:r>
      <w:r w:rsidRPr="009800E6">
        <w:rPr>
          <w:snapToGrid/>
          <w:kern w:val="0"/>
          <w:szCs w:val="22"/>
        </w:rPr>
        <w:t xml:space="preserve"> for terrestrial mobile broadband by all wireless service providers in the United States combined before these auctions started.</w:t>
      </w:r>
    </w:p>
    <w:p w:rsidR="00CF3022" w:rsidP="00CF3022" w14:paraId="1BE9538F" w14:textId="77777777">
      <w:pPr>
        <w:widowControl/>
        <w:rPr>
          <w:snapToGrid/>
          <w:kern w:val="0"/>
          <w:szCs w:val="22"/>
        </w:rPr>
      </w:pPr>
    </w:p>
    <w:p w:rsidR="00CF3022" w:rsidP="00CF3022" w14:paraId="613763FF" w14:textId="77777777">
      <w:pPr>
        <w:widowControl/>
        <w:rPr>
          <w:snapToGrid/>
          <w:kern w:val="0"/>
          <w:szCs w:val="22"/>
        </w:rPr>
      </w:pPr>
      <w:r>
        <w:rPr>
          <w:snapToGrid/>
          <w:kern w:val="0"/>
          <w:szCs w:val="22"/>
        </w:rPr>
        <w:tab/>
      </w:r>
      <w:r w:rsidRPr="009800E6">
        <w:rPr>
          <w:snapToGrid/>
          <w:kern w:val="0"/>
          <w:szCs w:val="22"/>
        </w:rPr>
        <w:t>As for low-band spectrum, this summer, we completed the post-incentive auction transition process in the 600 MHz band smoothl</w:t>
      </w:r>
      <w:r w:rsidRPr="009800E6">
        <w:rPr>
          <w:snapToGrid/>
          <w:kern w:val="0"/>
          <w:szCs w:val="22"/>
        </w:rPr>
        <w:t>y and on time—a task many said was impossible.  And today, that band is being used to provide 5G service across our country.  Indeed, just this week, one U.S. carrier using this spectrum became the first in the world to launch a commercial, nationwide stan</w:t>
      </w:r>
      <w:r w:rsidRPr="009800E6">
        <w:rPr>
          <w:snapToGrid/>
          <w:kern w:val="0"/>
          <w:szCs w:val="22"/>
        </w:rPr>
        <w:t>d-alone 5G network.</w:t>
      </w:r>
    </w:p>
    <w:p w:rsidR="00CF3022" w:rsidP="00CF3022" w14:paraId="25041FAE" w14:textId="77777777">
      <w:pPr>
        <w:widowControl/>
        <w:rPr>
          <w:snapToGrid/>
          <w:kern w:val="0"/>
          <w:szCs w:val="22"/>
        </w:rPr>
      </w:pPr>
    </w:p>
    <w:p w:rsidR="00CF3022" w:rsidP="00CF3022" w14:paraId="2A401B39" w14:textId="77777777">
      <w:pPr>
        <w:widowControl/>
        <w:rPr>
          <w:snapToGrid/>
          <w:kern w:val="0"/>
          <w:szCs w:val="22"/>
        </w:rPr>
      </w:pPr>
      <w:r>
        <w:rPr>
          <w:snapToGrid/>
          <w:kern w:val="0"/>
          <w:szCs w:val="22"/>
        </w:rPr>
        <w:tab/>
      </w:r>
      <w:r w:rsidRPr="009800E6">
        <w:rPr>
          <w:snapToGrid/>
          <w:kern w:val="0"/>
          <w:szCs w:val="22"/>
        </w:rPr>
        <w:t>And then there’s mid-band spectrum.  These airwaves are critical for 5G.  They feature the attractive combination of good geographic coverage with strong capacity, which enables providers to broadly deploy fast 5G networks.  Despite s</w:t>
      </w:r>
      <w:r w:rsidRPr="009800E6">
        <w:rPr>
          <w:snapToGrid/>
          <w:kern w:val="0"/>
          <w:szCs w:val="22"/>
        </w:rPr>
        <w:t>tarting from scratch in 2017, this FCC has been working hard to make more than 600 megahertz of mid-band spectrum available for 5G deployments.</w:t>
      </w:r>
    </w:p>
    <w:p w:rsidR="00CF3022" w:rsidP="00CF3022" w14:paraId="78611858" w14:textId="77777777">
      <w:pPr>
        <w:widowControl/>
        <w:rPr>
          <w:snapToGrid/>
          <w:kern w:val="0"/>
          <w:szCs w:val="22"/>
        </w:rPr>
      </w:pPr>
    </w:p>
    <w:p w:rsidR="00CF3022" w:rsidP="00CF3022" w14:paraId="3FEFE27A" w14:textId="77777777">
      <w:pPr>
        <w:widowControl/>
        <w:rPr>
          <w:snapToGrid/>
          <w:kern w:val="0"/>
          <w:szCs w:val="22"/>
        </w:rPr>
      </w:pPr>
      <w:r>
        <w:rPr>
          <w:snapToGrid/>
          <w:kern w:val="0"/>
          <w:szCs w:val="22"/>
        </w:rPr>
        <w:tab/>
      </w:r>
      <w:r w:rsidRPr="009800E6">
        <w:rPr>
          <w:snapToGrid/>
          <w:kern w:val="0"/>
          <w:szCs w:val="22"/>
        </w:rPr>
        <w:t>Let’s start with the 3.5 GHz band.  When the Commission began its efforts to make 150 megahertz in the 3.5 GHz</w:t>
      </w:r>
      <w:r w:rsidRPr="009800E6">
        <w:rPr>
          <w:snapToGrid/>
          <w:kern w:val="0"/>
          <w:szCs w:val="22"/>
        </w:rPr>
        <w:t xml:space="preserve"> band available for commercial use, it was primarily used by federal radar systems.  The Commission initiated a rulemaking proceeding that led to the creation of a dynamic, three-tiered, hierarchical framework to coordinate shared federal and non-federal u</w:t>
      </w:r>
      <w:r w:rsidRPr="009800E6">
        <w:rPr>
          <w:snapToGrid/>
          <w:kern w:val="0"/>
          <w:szCs w:val="22"/>
        </w:rPr>
        <w:t>ses.  In recent years, this Commission has worked with our public and private partners to get the vital technical work done to bring this spectrum to market.  Specifically, we’ve authorized several Spectrum Access System Administrators and Environmental Se</w:t>
      </w:r>
      <w:r w:rsidRPr="009800E6">
        <w:rPr>
          <w:snapToGrid/>
          <w:kern w:val="0"/>
          <w:szCs w:val="22"/>
        </w:rPr>
        <w:t>nsing Capability operators, paving the way for full commercial deployment in the band.  Moreover, under Commissioner O’Rielly’s leadership, we reformed our rules regarding Priority Access Licenses to facilitate the deployment of 5G in the band.  And at thi</w:t>
      </w:r>
      <w:r w:rsidRPr="009800E6">
        <w:rPr>
          <w:snapToGrid/>
          <w:kern w:val="0"/>
          <w:szCs w:val="22"/>
        </w:rPr>
        <w:t xml:space="preserve">s moment, the 3.5 GHz band auction is ongoing.  It will make available up to 70 megahertz of spectrum for Priority Access Licenses on a county-by-county basis, offering the greatest number of licenses—over 22,000—ever in a single FCC auction. </w:t>
      </w:r>
    </w:p>
    <w:p w:rsidR="00CF3022" w:rsidP="00CF3022" w14:paraId="70D03B8F" w14:textId="77777777">
      <w:pPr>
        <w:widowControl/>
        <w:rPr>
          <w:snapToGrid/>
          <w:kern w:val="0"/>
          <w:szCs w:val="22"/>
        </w:rPr>
      </w:pPr>
    </w:p>
    <w:p w:rsidR="00CF3022" w:rsidP="00CF3022" w14:paraId="7F89C399" w14:textId="77777777">
      <w:pPr>
        <w:widowControl/>
        <w:rPr>
          <w:snapToGrid/>
          <w:kern w:val="0"/>
          <w:szCs w:val="22"/>
        </w:rPr>
      </w:pPr>
      <w:r>
        <w:rPr>
          <w:snapToGrid/>
          <w:kern w:val="0"/>
          <w:szCs w:val="22"/>
        </w:rPr>
        <w:tab/>
      </w:r>
      <w:r w:rsidRPr="009800E6">
        <w:rPr>
          <w:snapToGrid/>
          <w:kern w:val="0"/>
          <w:szCs w:val="22"/>
        </w:rPr>
        <w:t xml:space="preserve">And </w:t>
      </w:r>
      <w:r w:rsidRPr="009800E6">
        <w:rPr>
          <w:snapToGrid/>
          <w:kern w:val="0"/>
          <w:szCs w:val="22"/>
        </w:rPr>
        <w:t>then there’s the 2.5 GHz band.  Last year, the Commission liberalized the rules of this underused mid-band spectrum, the largest swath of contiguous spectrum in the country below 3 GHz.  We created a first-ever opportunity for rural Tribes to get early acc</w:t>
      </w:r>
      <w:r w:rsidRPr="009800E6">
        <w:rPr>
          <w:snapToGrid/>
          <w:kern w:val="0"/>
          <w:szCs w:val="22"/>
        </w:rPr>
        <w:t xml:space="preserve">ess to 2.5 GHz spectrum before the start of an auction.  This Rural Tribal Priority Window for the 2.5 GHz band is currently open, and we have already received over 280 applications.  Once the window closes, I expect we will move forward with scheduling a </w:t>
      </w:r>
      <w:r w:rsidRPr="009800E6">
        <w:rPr>
          <w:snapToGrid/>
          <w:kern w:val="0"/>
          <w:szCs w:val="22"/>
        </w:rPr>
        <w:t>2.5 GHz auction in the first half of 2021.</w:t>
      </w:r>
    </w:p>
    <w:p w:rsidR="00CF3022" w:rsidP="00CF3022" w14:paraId="6321BF17" w14:textId="77777777">
      <w:pPr>
        <w:widowControl/>
        <w:rPr>
          <w:snapToGrid/>
          <w:kern w:val="0"/>
          <w:szCs w:val="22"/>
        </w:rPr>
      </w:pPr>
    </w:p>
    <w:p w:rsidR="00CF3022" w:rsidP="00CF3022" w14:paraId="20ACAE99" w14:textId="77777777">
      <w:pPr>
        <w:widowControl/>
        <w:rPr>
          <w:snapToGrid/>
          <w:kern w:val="0"/>
          <w:szCs w:val="22"/>
        </w:rPr>
      </w:pPr>
      <w:r>
        <w:rPr>
          <w:snapToGrid/>
          <w:kern w:val="0"/>
          <w:szCs w:val="22"/>
        </w:rPr>
        <w:tab/>
      </w:r>
      <w:r w:rsidRPr="009800E6">
        <w:rPr>
          <w:snapToGrid/>
          <w:kern w:val="0"/>
          <w:szCs w:val="22"/>
        </w:rPr>
        <w:t>That brings us to the C-band, which will be our largest auction of mid-band frequencies for 5G to date.  Five months ago, the FCC voted to clear the lower 280 megahertz of the C-band and make this spectrum avail</w:t>
      </w:r>
      <w:r w:rsidRPr="009800E6">
        <w:rPr>
          <w:snapToGrid/>
          <w:kern w:val="0"/>
          <w:szCs w:val="22"/>
        </w:rPr>
        <w:t>able for flexible use.  When we crafted our rules for repurposing the C-band, we prioritized making a large amount of spectrum in this band available for 5G as quickly as possible while still ensuring that incumbents would have access to sufficient spectru</w:t>
      </w:r>
      <w:r w:rsidRPr="009800E6">
        <w:rPr>
          <w:snapToGrid/>
          <w:kern w:val="0"/>
          <w:szCs w:val="22"/>
        </w:rPr>
        <w:t>m to continue delivering the same services they currently provide over the entire C-band spectrum.  That’s why we rejected politically-motivated calls to do literally nothing until Congress passed a law on the subject (breaking news:  It still hasn’t).  Th</w:t>
      </w:r>
      <w:r w:rsidRPr="009800E6">
        <w:rPr>
          <w:snapToGrid/>
          <w:kern w:val="0"/>
          <w:szCs w:val="22"/>
        </w:rPr>
        <w:t>at’s why we included accelerated relocation payments to incumbent satellite operators that will make spectrum available for 5G two to four years earlier than otherwise would have been the case.  And that’s why we proposed an aggressive schedule for holding</w:t>
      </w:r>
      <w:r w:rsidRPr="009800E6">
        <w:rPr>
          <w:snapToGrid/>
          <w:kern w:val="0"/>
          <w:szCs w:val="22"/>
        </w:rPr>
        <w:t xml:space="preserve"> an auction within the calendar year.  I’m proud to say that even amidst a pandemic—and the effective shutdown of Commission headquarters it occasioned just a few weeks after we adopted the </w:t>
      </w:r>
      <w:r w:rsidRPr="00B357E7">
        <w:rPr>
          <w:i/>
          <w:iCs/>
          <w:snapToGrid/>
          <w:kern w:val="0"/>
          <w:szCs w:val="22"/>
        </w:rPr>
        <w:t>C-band Order</w:t>
      </w:r>
      <w:r w:rsidRPr="009800E6">
        <w:rPr>
          <w:snapToGrid/>
          <w:kern w:val="0"/>
          <w:szCs w:val="22"/>
        </w:rPr>
        <w:t xml:space="preserve">—the excellent work of FCC staff has kept us fully on </w:t>
      </w:r>
      <w:r w:rsidRPr="009800E6">
        <w:rPr>
          <w:snapToGrid/>
          <w:kern w:val="0"/>
          <w:szCs w:val="22"/>
        </w:rPr>
        <w:t>track and on schedule.</w:t>
      </w:r>
    </w:p>
    <w:p w:rsidR="00CF3022" w:rsidP="00CF3022" w14:paraId="1BB2E3E0" w14:textId="77777777">
      <w:pPr>
        <w:widowControl/>
        <w:rPr>
          <w:snapToGrid/>
          <w:kern w:val="0"/>
          <w:szCs w:val="22"/>
        </w:rPr>
      </w:pPr>
    </w:p>
    <w:p w:rsidR="00CF3022" w:rsidP="00CF3022" w14:paraId="38DCB602" w14:textId="77777777">
      <w:pPr>
        <w:widowControl/>
        <w:rPr>
          <w:snapToGrid/>
          <w:kern w:val="0"/>
          <w:szCs w:val="22"/>
        </w:rPr>
      </w:pPr>
      <w:r>
        <w:rPr>
          <w:snapToGrid/>
          <w:kern w:val="0"/>
          <w:szCs w:val="22"/>
        </w:rPr>
        <w:tab/>
      </w:r>
      <w:r w:rsidRPr="009800E6">
        <w:rPr>
          <w:snapToGrid/>
          <w:kern w:val="0"/>
          <w:szCs w:val="22"/>
        </w:rPr>
        <w:t>Speaking of staff, they’ve continued to do the critical tasks necessary for a successful C-band auction and clearing.  In recent months, FCC staff administered a process by which all eligible space station operators voluntarily ele</w:t>
      </w:r>
      <w:r w:rsidRPr="009800E6">
        <w:rPr>
          <w:snapToGrid/>
          <w:kern w:val="0"/>
          <w:szCs w:val="22"/>
        </w:rPr>
        <w:t>cted to clear the band on an accelerated basis.  Staff also created a cost catalog with categories and estimates of presumptively reasonable expenses that Fixed Satellite Service and Fixed Service incumbents may incur as they clear operations from the band</w:t>
      </w:r>
      <w:r w:rsidRPr="009800E6">
        <w:rPr>
          <w:snapToGrid/>
          <w:kern w:val="0"/>
          <w:szCs w:val="22"/>
        </w:rPr>
        <w:t>.  Incumbent earth station operators alternatively can elect to receive lump sum payments, pursuant to a recently announced process.  Further, we are seeking comment on the proposed selections for the Relocation Payment Clearinghouse and Relocation Coordin</w:t>
      </w:r>
      <w:r w:rsidRPr="009800E6">
        <w:rPr>
          <w:snapToGrid/>
          <w:kern w:val="0"/>
          <w:szCs w:val="22"/>
        </w:rPr>
        <w:t>ator, each of which will play a key role during the transition process.</w:t>
      </w:r>
    </w:p>
    <w:p w:rsidR="00CF3022" w:rsidP="00CF3022" w14:paraId="063F35F5" w14:textId="77777777">
      <w:pPr>
        <w:widowControl/>
        <w:rPr>
          <w:snapToGrid/>
          <w:kern w:val="0"/>
          <w:szCs w:val="22"/>
        </w:rPr>
      </w:pPr>
    </w:p>
    <w:p w:rsidR="00CF3022" w:rsidP="00CF3022" w14:paraId="4205B991" w14:textId="77777777">
      <w:pPr>
        <w:widowControl/>
        <w:rPr>
          <w:snapToGrid/>
          <w:kern w:val="0"/>
          <w:szCs w:val="22"/>
        </w:rPr>
      </w:pPr>
      <w:r>
        <w:rPr>
          <w:snapToGrid/>
          <w:kern w:val="0"/>
          <w:szCs w:val="22"/>
        </w:rPr>
        <w:tab/>
      </w:r>
      <w:r w:rsidRPr="009800E6">
        <w:rPr>
          <w:snapToGrid/>
          <w:kern w:val="0"/>
          <w:szCs w:val="22"/>
        </w:rPr>
        <w:t>All in all, the C-band auction is a massive undertaking, offering up to 5,684 new flexible-use overlay licenses for 5G.  And this Public Notice brings us one step closer to launching</w:t>
      </w:r>
      <w:r w:rsidRPr="009800E6">
        <w:rPr>
          <w:snapToGrid/>
          <w:kern w:val="0"/>
          <w:szCs w:val="22"/>
        </w:rPr>
        <w:t xml:space="preserve"> this auction on December 8.  It establishes clock phase categories for each Partial Economic Area, which will be determined based on whether incumbent earth stations in a PEA are subject to a Phase I or Phase II relocation deadline.  It establishes clock </w:t>
      </w:r>
      <w:r w:rsidRPr="009800E6">
        <w:rPr>
          <w:snapToGrid/>
          <w:kern w:val="0"/>
          <w:szCs w:val="22"/>
        </w:rPr>
        <w:t>and assignment phase procedures.  It establishes upfront payment and minimum opening bid amounts for the new flexible-use overlay licenses.  And it sets auction deadlines, as well as bidding credit caps for small businesses and rural service providers.</w:t>
      </w:r>
    </w:p>
    <w:p w:rsidR="00CF3022" w:rsidP="00CF3022" w14:paraId="70ACC70A" w14:textId="77777777">
      <w:pPr>
        <w:widowControl/>
        <w:rPr>
          <w:snapToGrid/>
          <w:kern w:val="0"/>
          <w:szCs w:val="22"/>
        </w:rPr>
      </w:pPr>
    </w:p>
    <w:p w:rsidR="00CF3022" w:rsidP="00CF3022" w14:paraId="2F5CC2E5" w14:textId="71D115B5">
      <w:pPr>
        <w:widowControl/>
        <w:rPr>
          <w:snapToGrid/>
          <w:kern w:val="0"/>
          <w:szCs w:val="22"/>
        </w:rPr>
      </w:pPr>
      <w:r>
        <w:rPr>
          <w:snapToGrid/>
          <w:kern w:val="0"/>
          <w:szCs w:val="22"/>
        </w:rPr>
        <w:tab/>
      </w:r>
      <w:r w:rsidRPr="009800E6">
        <w:rPr>
          <w:snapToGrid/>
          <w:kern w:val="0"/>
          <w:szCs w:val="22"/>
        </w:rPr>
        <w:t>F</w:t>
      </w:r>
      <w:r w:rsidRPr="009800E6">
        <w:rPr>
          <w:snapToGrid/>
          <w:kern w:val="0"/>
          <w:szCs w:val="22"/>
        </w:rPr>
        <w:t>or their hard work, I would like to thank the diligent staff who worked on this Public Notice: Erik Beith, Craig Bomberger, Jonathan Campbell, Alex Espinoza, Daniel Habif, Bill Huber, Shabnam Javid, Gary Michaels, Giulia McHenry, Erik Salovaara, Linda Sand</w:t>
      </w:r>
      <w:r w:rsidRPr="009800E6">
        <w:rPr>
          <w:snapToGrid/>
          <w:kern w:val="0"/>
          <w:szCs w:val="22"/>
        </w:rPr>
        <w:t>erson, Martha Stancill, Sue Sterner, and Margy Wiener from the Office of Economics and Analytics; Peter Daronco, Nellie Foosaner, Anna Gentry, Katherine Nevitt, Roger Noel, Matthew Pearl, Paul Powell, Jaclyn Rosen, Dana Shaffer, Donald Stockdale, and Cecil</w:t>
      </w:r>
      <w:r w:rsidRPr="009800E6">
        <w:rPr>
          <w:snapToGrid/>
          <w:kern w:val="0"/>
          <w:szCs w:val="22"/>
        </w:rPr>
        <w:t>ia Sulhoff from the Wireless Telecommunications Bureau; Ashley Boizelle, Deborah Broderson, David Horowitz, Thomas Johnson, and Bill Richardson from the Office of General Counsel; and Chana Wilkerson and Sanford Williams from the Office of Communications B</w:t>
      </w:r>
      <w:r w:rsidRPr="009800E6">
        <w:rPr>
          <w:snapToGrid/>
          <w:kern w:val="0"/>
          <w:szCs w:val="22"/>
        </w:rPr>
        <w:t xml:space="preserve">usiness Opportunities. </w:t>
      </w:r>
    </w:p>
    <w:p w:rsidR="00214F61" w:rsidP="00CF3022" w14:paraId="7D3ABB7C" w14:textId="51377244">
      <w:pPr>
        <w:widowControl/>
        <w:rPr>
          <w:snapToGrid/>
          <w:kern w:val="0"/>
          <w:szCs w:val="22"/>
        </w:rPr>
      </w:pPr>
    </w:p>
    <w:p w:rsidR="009E698B" w:rsidRPr="005577AD" w:rsidP="009E698B" w14:paraId="1333CBCD" w14:textId="77777777">
      <w:pPr>
        <w:jc w:val="center"/>
        <w:rPr>
          <w:b/>
          <w:bCs/>
          <w:caps/>
          <w:szCs w:val="22"/>
        </w:rPr>
      </w:pPr>
      <w:r>
        <w:rPr>
          <w:snapToGrid/>
          <w:kern w:val="0"/>
          <w:szCs w:val="22"/>
        </w:rPr>
        <w:br w:type="page"/>
      </w:r>
      <w:r w:rsidRPr="005577AD">
        <w:rPr>
          <w:b/>
          <w:bCs/>
          <w:caps/>
          <w:szCs w:val="22"/>
        </w:rPr>
        <w:t>Statement of</w:t>
      </w:r>
    </w:p>
    <w:p w:rsidR="009E698B" w:rsidP="009E698B" w14:paraId="451E3C1B" w14:textId="77777777">
      <w:pPr>
        <w:jc w:val="center"/>
        <w:rPr>
          <w:b/>
          <w:bCs/>
          <w:caps/>
          <w:szCs w:val="22"/>
        </w:rPr>
      </w:pPr>
      <w:r>
        <w:rPr>
          <w:b/>
          <w:bCs/>
          <w:caps/>
          <w:szCs w:val="22"/>
        </w:rPr>
        <w:t>Commissioner</w:t>
      </w:r>
      <w:r w:rsidRPr="009D2CFA">
        <w:rPr>
          <w:b/>
          <w:bCs/>
          <w:caps/>
          <w:szCs w:val="22"/>
        </w:rPr>
        <w:t xml:space="preserve"> </w:t>
      </w:r>
      <w:r>
        <w:rPr>
          <w:b/>
          <w:bCs/>
          <w:caps/>
          <w:szCs w:val="22"/>
        </w:rPr>
        <w:t>Michael</w:t>
      </w:r>
      <w:r w:rsidRPr="009D2CFA">
        <w:rPr>
          <w:b/>
          <w:bCs/>
          <w:caps/>
          <w:szCs w:val="22"/>
        </w:rPr>
        <w:t xml:space="preserve"> </w:t>
      </w:r>
      <w:r>
        <w:rPr>
          <w:b/>
          <w:bCs/>
          <w:caps/>
          <w:szCs w:val="22"/>
        </w:rPr>
        <w:t>O’Rielly</w:t>
      </w:r>
    </w:p>
    <w:p w:rsidR="009E698B" w:rsidRPr="005577AD" w:rsidP="009E698B" w14:paraId="33F4C056" w14:textId="77777777">
      <w:pPr>
        <w:jc w:val="center"/>
        <w:rPr>
          <w:b/>
          <w:bCs/>
          <w:caps/>
          <w:szCs w:val="22"/>
        </w:rPr>
      </w:pPr>
    </w:p>
    <w:p w:rsidR="009E698B" w:rsidRPr="005577AD" w:rsidP="009E698B" w14:paraId="4F8365A1"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rPr>
        <w:t>Auction of Flexible-Use Service Licenses in the 3.7</w:t>
      </w:r>
      <w:r w:rsidRPr="00AC1645">
        <w:rPr>
          <w:i/>
          <w:iCs/>
        </w:rPr>
        <w:t>–</w:t>
      </w:r>
      <w:r>
        <w:rPr>
          <w:i/>
          <w:iCs/>
        </w:rPr>
        <w:t xml:space="preserve">3.98 GHz Band for Next-Generation Wireless Services; Notice and Filing Requirements, Minimum Opening Bids, Upfront </w:t>
      </w:r>
      <w:r>
        <w:rPr>
          <w:i/>
          <w:iCs/>
        </w:rPr>
        <w:t>Payments, and Other Procedures for Auction 107; Bidding in Auction 107 Scheduled to Begin December 8, 2020</w:t>
      </w:r>
      <w:r>
        <w:t>; AU Docket No. 20-25.</w:t>
      </w:r>
    </w:p>
    <w:p w:rsidR="009E698B" w:rsidP="009E698B" w14:paraId="7EDEA8C7" w14:textId="77777777">
      <w:pPr>
        <w:widowControl/>
        <w:ind w:firstLine="720"/>
        <w:rPr>
          <w:snapToGrid/>
          <w:kern w:val="0"/>
          <w:szCs w:val="22"/>
        </w:rPr>
      </w:pPr>
    </w:p>
    <w:p w:rsidR="009E698B" w:rsidRPr="000F3512" w:rsidP="009E698B" w14:paraId="3EFDCB96" w14:textId="77777777">
      <w:r>
        <w:rPr>
          <w:snapToGrid/>
          <w:kern w:val="0"/>
          <w:szCs w:val="22"/>
        </w:rPr>
        <w:tab/>
      </w:r>
      <w:r w:rsidRPr="000F3512">
        <w:t>Now that the 3.5 GHz priority access license, or PAL, auction is under way, it is time for the Commission to turn its attenti</w:t>
      </w:r>
      <w:r w:rsidRPr="000F3512">
        <w:t>on to the next spectrum auction in its queue: the 3.7 to 3.98 GHz band, more commonly referred to as the C-Band.  I have been pushing for the auction of this spectrum for years, and I thank the Chairman for finalizing the auction procedures to ensure the D</w:t>
      </w:r>
      <w:r w:rsidRPr="000F3512">
        <w:t>ecember auction remains on schedule.  As I have said before, CBRS provides a foothold for mid-band spectrum for 5G, but the 280 megahertz available in the C-band auction will be the spectrum centerpiece that permits 5G to truly flourish and will solidify U</w:t>
      </w:r>
      <w:r w:rsidRPr="000F3512">
        <w:t>.S. leadership in next-generation wireless technology.  Moreover, this spectrum will bring the benefits of 5G not only to large metropolitan areas, but also to our more rural communities where other frequencies the Commission has made available, such as th</w:t>
      </w:r>
      <w:r w:rsidRPr="000F3512">
        <w:t>e millimeter waves, may be too costly to rely on for mobile broadband build out.</w:t>
      </w:r>
    </w:p>
    <w:p w:rsidR="009E698B" w:rsidRPr="000F3512" w:rsidP="009E698B" w14:paraId="2978058C" w14:textId="77777777"/>
    <w:p w:rsidR="009E698B" w:rsidRPr="000F3512" w:rsidP="009E698B" w14:paraId="7C798D58" w14:textId="77777777">
      <w:r>
        <w:tab/>
      </w:r>
      <w:r w:rsidRPr="000F3512">
        <w:t>Most importantly, perhaps, this swath of spectrum will allow potential bidders to aggregate 20 megahertz licenses to create the larger channel blocks needed to truly meet 5G</w:t>
      </w:r>
      <w:r w:rsidRPr="000F3512">
        <w:t xml:space="preserve">’s full promise of faster speeds, greater capacity, and lower latency.  I am pleased that changes were made, at industry’s request, to modify the assignment round process to ensure the contiguity of licenses once the entire wireless portion of the band is </w:t>
      </w:r>
      <w:r w:rsidRPr="000F3512">
        <w:t>cleared.  Keeping a winning bidder’s licenses together maximizes functionality and spectrum efficiency, while reducing harmful interference risks within the band.</w:t>
      </w:r>
    </w:p>
    <w:p w:rsidR="009E698B" w:rsidRPr="000F3512" w:rsidP="009E698B" w14:paraId="5E305FBB" w14:textId="77777777"/>
    <w:p w:rsidR="009E698B" w:rsidRPr="000F3512" w:rsidP="009E698B" w14:paraId="00D55F08" w14:textId="77777777">
      <w:r>
        <w:tab/>
      </w:r>
      <w:r w:rsidRPr="000F3512">
        <w:t>Additionally, these licenses will be usable in tandem with the adjacent 3.5 GHz band freque</w:t>
      </w:r>
      <w:r w:rsidRPr="000F3512">
        <w:t>ncies, hopefully getting wireless providers closer to the 100 megahertz blocks that many seek for 5G.  However, we know that the interest in mid-band spectrum is through the roof and more is still needed to meet overall demand.</w:t>
      </w:r>
    </w:p>
    <w:p w:rsidR="009E698B" w:rsidRPr="000F3512" w:rsidP="009E698B" w14:paraId="14AB5E12" w14:textId="77777777"/>
    <w:p w:rsidR="009E698B" w:rsidRPr="000F3512" w:rsidP="009E698B" w14:paraId="0D4499CE" w14:textId="77777777">
      <w:r>
        <w:tab/>
      </w:r>
      <w:r w:rsidRPr="000F3512">
        <w:t>The Commission – and the A</w:t>
      </w:r>
      <w:r w:rsidRPr="000F3512">
        <w:t>dministration – must focus its next efforts on the band just below those being auctioned currently.  The 3.1 to 3.55 GHz spectrum is ideally placed and can be combined with the 3.5 and 3.7 GHz bands to meet our current needs.  These frequencies are primari</w:t>
      </w:r>
      <w:r w:rsidRPr="000F3512">
        <w:t>ly used for federal government radar systems, and, as I wrote in a letter to the President earlier this year, we need the help of the Administration to impress upon the Department of Defense the importance of repurposing this spectrum.  The upper 100 megah</w:t>
      </w:r>
      <w:r w:rsidRPr="000F3512">
        <w:t>ertz, which is the most promising and was considered years ago for reallocation, must finally be cleared, as should the adjacent 100 megahertz, 3.35 to 3.45 GHz.  While the remainder of the band may be harder to clear, it must be studied for potential shar</w:t>
      </w:r>
      <w:r w:rsidRPr="000F3512">
        <w:t>ing.</w:t>
      </w:r>
    </w:p>
    <w:p w:rsidR="009E698B" w:rsidRPr="000F3512" w:rsidP="009E698B" w14:paraId="1BCD3AD5" w14:textId="77777777"/>
    <w:p w:rsidR="009E698B" w:rsidRPr="000F3512" w:rsidP="009E698B" w14:paraId="2B56C80C" w14:textId="77777777">
      <w:r>
        <w:tab/>
      </w:r>
      <w:r w:rsidRPr="000F3512">
        <w:t>In sum, the C-Band auction will be a great victory for American wireless consumers, but more needs to be done to prepare for our longer-term spectrum needs and create a spectrum pipeline for the future.  I approve.</w:t>
      </w:r>
    </w:p>
    <w:p w:rsidR="00F44AEC" w:rsidRPr="005577AD" w:rsidP="00F44AEC" w14:paraId="51EC8D54" w14:textId="77777777">
      <w:pPr>
        <w:jc w:val="center"/>
        <w:rPr>
          <w:b/>
          <w:bCs/>
          <w:caps/>
          <w:szCs w:val="22"/>
        </w:rPr>
      </w:pPr>
      <w:r>
        <w:rPr>
          <w:szCs w:val="22"/>
        </w:rPr>
        <w:br w:type="page"/>
      </w:r>
      <w:r w:rsidRPr="005577AD">
        <w:rPr>
          <w:b/>
          <w:bCs/>
          <w:caps/>
          <w:szCs w:val="22"/>
        </w:rPr>
        <w:t>Statement of</w:t>
      </w:r>
    </w:p>
    <w:p w:rsidR="00F44AEC" w:rsidP="00F44AEC" w14:paraId="7AF69E90" w14:textId="77777777">
      <w:pPr>
        <w:jc w:val="center"/>
        <w:rPr>
          <w:b/>
          <w:bCs/>
          <w:caps/>
          <w:szCs w:val="22"/>
        </w:rPr>
      </w:pPr>
      <w:r>
        <w:rPr>
          <w:b/>
          <w:bCs/>
          <w:caps/>
          <w:szCs w:val="22"/>
        </w:rPr>
        <w:t>Commissioner</w:t>
      </w:r>
      <w:r w:rsidRPr="009D2CFA">
        <w:rPr>
          <w:b/>
          <w:bCs/>
          <w:caps/>
          <w:szCs w:val="22"/>
        </w:rPr>
        <w:t xml:space="preserve"> </w:t>
      </w:r>
      <w:r>
        <w:rPr>
          <w:b/>
          <w:bCs/>
          <w:caps/>
          <w:szCs w:val="22"/>
        </w:rPr>
        <w:t>Brendan Carr</w:t>
      </w:r>
    </w:p>
    <w:p w:rsidR="00F44AEC" w:rsidRPr="005577AD" w:rsidP="00F44AEC" w14:paraId="622DEC5A" w14:textId="77777777">
      <w:pPr>
        <w:jc w:val="center"/>
        <w:rPr>
          <w:b/>
          <w:bCs/>
          <w:caps/>
          <w:szCs w:val="22"/>
        </w:rPr>
      </w:pPr>
    </w:p>
    <w:p w:rsidR="00F44AEC" w:rsidRPr="005577AD" w:rsidP="00F44AEC" w14:paraId="16D12438"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rPr>
        <w:t>Auction of Flexible-Use Service Licenses in the 3.7</w:t>
      </w:r>
      <w:r w:rsidRPr="00AC1645">
        <w:rPr>
          <w:i/>
          <w:iCs/>
        </w:rPr>
        <w:t>–</w:t>
      </w:r>
      <w:r>
        <w:rPr>
          <w:i/>
          <w:iCs/>
        </w:rPr>
        <w:t>3.98 GHz Band for Next-Generation Wireless Services; Notice and Filing Requirements, Minimum Opening Bids, Upfront Payments, and Other Procedures for Auction 107; Bidding i</w:t>
      </w:r>
      <w:r>
        <w:rPr>
          <w:i/>
          <w:iCs/>
        </w:rPr>
        <w:t>n Auction 107 Scheduled to Begin December 8, 2020</w:t>
      </w:r>
      <w:r>
        <w:t>; AU Docket No. 20-25.</w:t>
      </w:r>
    </w:p>
    <w:p w:rsidR="00F44AEC" w:rsidP="00F44AEC" w14:paraId="706744EB" w14:textId="77777777">
      <w:pPr>
        <w:widowControl/>
        <w:spacing w:after="120"/>
        <w:ind w:firstLine="720"/>
        <w:rPr>
          <w:snapToGrid/>
          <w:kern w:val="0"/>
          <w:szCs w:val="22"/>
        </w:rPr>
      </w:pPr>
    </w:p>
    <w:p w:rsidR="00F44AEC" w:rsidP="00F44AEC" w14:paraId="44CBDDA3" w14:textId="77777777">
      <w:r>
        <w:rPr>
          <w:snapToGrid/>
          <w:kern w:val="0"/>
          <w:szCs w:val="22"/>
        </w:rPr>
        <w:tab/>
      </w:r>
      <w:r>
        <w:t>Thursday, March 12, was my last full day at the Portals, the FCC’s headquarters for 20 years.  When we came into the building that morning, we didn’t know that, with the exception of</w:t>
      </w:r>
      <w:r>
        <w:t xml:space="preserve"> some clean up and packing, many of us wouldn’t step into our offices again.  The</w:t>
      </w:r>
      <w:r w:rsidRPr="00641C94">
        <w:t xml:space="preserve"> sudden shock to work life at the FCC was felt</w:t>
      </w:r>
      <w:r>
        <w:t xml:space="preserve"> in similar ways across the country as the</w:t>
      </w:r>
      <w:r w:rsidRPr="00641C94">
        <w:t xml:space="preserve"> pandemic seriously altered Americans’ lives. </w:t>
      </w:r>
      <w:r>
        <w:t xml:space="preserve"> </w:t>
      </w:r>
      <w:r w:rsidRPr="00641C94">
        <w:t>Our daily routines—driving to work, send</w:t>
      </w:r>
      <w:r w:rsidRPr="00641C94">
        <w:t xml:space="preserve">ing the kids off to school, even catching up with friends—were upended. </w:t>
      </w:r>
      <w:r>
        <w:t xml:space="preserve"> </w:t>
      </w:r>
      <w:r w:rsidRPr="00641C94">
        <w:t xml:space="preserve">Staying at home prompted us to recreate these routines online in an instant. </w:t>
      </w:r>
      <w:r>
        <w:t xml:space="preserve"> </w:t>
      </w:r>
      <w:r w:rsidRPr="00641C94">
        <w:t>And that sudden, massive transition made our Internet connections more important than ever.</w:t>
      </w:r>
    </w:p>
    <w:p w:rsidR="00F44AEC" w:rsidP="00F44AEC" w14:paraId="5C029034" w14:textId="77777777"/>
    <w:p w:rsidR="00F44AEC" w:rsidP="00F44AEC" w14:paraId="6962FA7F" w14:textId="77777777">
      <w:r>
        <w:tab/>
      </w:r>
      <w:r>
        <w:t>Although we didn’t know it at the time, ongoing FCC initiatives prepared us to respond to the pandemic.  In 2018, we began the process to launch the Connected Care Pilot Program.  The effort over the last two years to assess the need for telehealth, find f</w:t>
      </w:r>
      <w:r>
        <w:t>unding, target support, and set application criteria, has allowed the Commission to expedite that $100 million program.  And it gave us a lot of experience to leverage when Congress directed us to build on the pilot program through a new appropriation.  Th</w:t>
      </w:r>
      <w:r>
        <w:t>us far, we have awarded $200 million to healthcare providers to combat disease, including COVID-19.</w:t>
      </w:r>
    </w:p>
    <w:p w:rsidR="00F44AEC" w:rsidRPr="005B33F9" w:rsidP="00F44AEC" w14:paraId="1530D1A6" w14:textId="77777777"/>
    <w:p w:rsidR="00F44AEC" w:rsidP="00F44AEC" w14:paraId="0CE79C48" w14:textId="77777777">
      <w:r>
        <w:tab/>
      </w:r>
      <w:r w:rsidRPr="005B33F9">
        <w:t xml:space="preserve">The pandemic also </w:t>
      </w:r>
      <w:r>
        <w:t>was a shock to</w:t>
      </w:r>
      <w:r w:rsidRPr="005B33F9">
        <w:t xml:space="preserve"> our broadband networks.  In the first few weeks of the pandemic, Internet traffic surged about 25 percent on fixed networ</w:t>
      </w:r>
      <w:r w:rsidRPr="005B33F9">
        <w:t>ks</w:t>
      </w:r>
      <w:r>
        <w:t xml:space="preserve"> and 20 percent on mobile ones.  Yet our networks held up and, through nimble traffic management and spectrum leases, actually increased speeds.  So while European and Australian officials asked streaming platforms to reduce video quality to prevent thei</w:t>
      </w:r>
      <w:r>
        <w:t>r networks from breaking, Americans streamed, chatted, and worked away.</w:t>
      </w:r>
    </w:p>
    <w:p w:rsidR="00F44AEC" w:rsidP="00F44AEC" w14:paraId="2C633ADE" w14:textId="77777777"/>
    <w:p w:rsidR="00F44AEC" w:rsidP="00F44AEC" w14:paraId="75D61FC7" w14:textId="77777777">
      <w:r>
        <w:tab/>
        <w:t>Again, although we didn’t know it at the time, we were a step ahead thanks to ongoing FCC initia</w:t>
      </w:r>
      <w:r w:rsidRPr="00C70E58">
        <w:t xml:space="preserve">tives, including our aggressive push to bring more mid-band </w:t>
      </w:r>
      <w:r>
        <w:t xml:space="preserve">spectrum </w:t>
      </w:r>
      <w:r w:rsidRPr="00C70E58">
        <w:t>to market.  At 3.</w:t>
      </w:r>
      <w:r w:rsidRPr="00C70E58">
        <w:t xml:space="preserve">5 GHz, </w:t>
      </w:r>
      <w:r>
        <w:t>we are in the middle of a robust auction at this very moment that has generated more than $1.8 billion in gross proceeds thus far</w:t>
      </w:r>
      <w:r w:rsidRPr="00C70E58">
        <w:t xml:space="preserve">. </w:t>
      </w:r>
      <w:r>
        <w:t xml:space="preserve"> </w:t>
      </w:r>
      <w:r w:rsidRPr="00C70E58">
        <w:t>With EBS, which had not been assigned in roughly half the country, we are pushing mid-band out into the commercial ma</w:t>
      </w:r>
      <w:r w:rsidRPr="00C70E58">
        <w:t xml:space="preserve">rketplace. </w:t>
      </w:r>
      <w:r>
        <w:t xml:space="preserve"> </w:t>
      </w:r>
      <w:r w:rsidRPr="00C70E58">
        <w:t xml:space="preserve">At 2 GHz AWS-4, we now have a binding commitment from DISH to build broadband using its mid-band licenses—an intensive use of the spectrum that DISH wasn’t planning on absent our demands. </w:t>
      </w:r>
      <w:r>
        <w:t xml:space="preserve"> </w:t>
      </w:r>
      <w:r w:rsidRPr="00C70E58">
        <w:t>We are pressing ahead with 5.9 GHz and 6 GHz, as well.</w:t>
      </w:r>
      <w:r>
        <w:t xml:space="preserve"> </w:t>
      </w:r>
      <w:r>
        <w:t xml:space="preserve"> And at 3.7 GHz, in the item we’re voting on today, we continue the sprint to a C-band auction this year.</w:t>
      </w:r>
    </w:p>
    <w:p w:rsidR="00F44AEC" w:rsidP="00F44AEC" w14:paraId="328DF9EC" w14:textId="77777777"/>
    <w:p w:rsidR="00F44AEC" w:rsidP="00F44AEC" w14:paraId="0BB9AA7B" w14:textId="77777777">
      <w:r>
        <w:tab/>
        <w:t>Mid-band already is providing hundreds of megabits of 5G mobile performance in markets across the country.  It can be used for telehealth, remote le</w:t>
      </w:r>
      <w:r>
        <w:t>arning, or working from home—use cases we’ve suddenly had to rely on.  And while none of us can say for sure what particular need will arise in the future, we can be sure that this mid-band capacity will help us meet it.</w:t>
      </w:r>
    </w:p>
    <w:p w:rsidR="00F44AEC" w:rsidP="00F44AEC" w14:paraId="6CCDD8B1" w14:textId="77777777"/>
    <w:p w:rsidR="00F44AEC" w:rsidRPr="004A6444" w:rsidP="00F44AEC" w14:paraId="2FFEFE5B" w14:textId="77777777">
      <w:r>
        <w:tab/>
        <w:t>I thank the Wireless Telecommunic</w:t>
      </w:r>
      <w:r>
        <w:t xml:space="preserve">ations Bureau and all of the Commission’s staff for their work on this item.  It has my support.   </w:t>
      </w:r>
    </w:p>
    <w:p w:rsidR="00F44AEC" w:rsidRPr="009800E6" w:rsidP="00F44AEC" w14:paraId="6470ACDE" w14:textId="77777777">
      <w:pPr>
        <w:rPr>
          <w:snapToGrid/>
          <w:kern w:val="0"/>
          <w:szCs w:val="22"/>
        </w:rPr>
      </w:pPr>
    </w:p>
    <w:p w:rsidR="00EB335F" w:rsidRPr="005577AD" w:rsidP="00EB335F" w14:paraId="7E1AC206" w14:textId="77777777">
      <w:pPr>
        <w:jc w:val="center"/>
        <w:rPr>
          <w:b/>
          <w:bCs/>
          <w:caps/>
          <w:szCs w:val="22"/>
        </w:rPr>
      </w:pPr>
      <w:r>
        <w:rPr>
          <w:szCs w:val="22"/>
        </w:rPr>
        <w:br w:type="page"/>
      </w:r>
      <w:r w:rsidRPr="005577AD">
        <w:rPr>
          <w:b/>
          <w:bCs/>
          <w:caps/>
          <w:szCs w:val="22"/>
        </w:rPr>
        <w:t>Statement of</w:t>
      </w:r>
    </w:p>
    <w:p w:rsidR="00EB335F" w:rsidP="00EB335F" w14:paraId="63925E5B" w14:textId="77777777">
      <w:pPr>
        <w:jc w:val="center"/>
        <w:rPr>
          <w:b/>
          <w:bCs/>
          <w:caps/>
          <w:szCs w:val="22"/>
        </w:rPr>
      </w:pPr>
      <w:r>
        <w:rPr>
          <w:b/>
          <w:bCs/>
          <w:caps/>
          <w:szCs w:val="22"/>
        </w:rPr>
        <w:t>Commissioner</w:t>
      </w:r>
      <w:r w:rsidRPr="009D2CFA">
        <w:rPr>
          <w:b/>
          <w:bCs/>
          <w:caps/>
          <w:szCs w:val="22"/>
        </w:rPr>
        <w:t xml:space="preserve"> </w:t>
      </w:r>
      <w:r>
        <w:rPr>
          <w:b/>
          <w:bCs/>
          <w:caps/>
          <w:szCs w:val="22"/>
        </w:rPr>
        <w:t>Jessica Rosenworcel</w:t>
      </w:r>
    </w:p>
    <w:p w:rsidR="00EB335F" w:rsidP="00EB335F" w14:paraId="013AC4C5" w14:textId="77777777">
      <w:pPr>
        <w:jc w:val="center"/>
        <w:rPr>
          <w:b/>
          <w:bCs/>
          <w:caps/>
          <w:szCs w:val="22"/>
        </w:rPr>
      </w:pPr>
      <w:r>
        <w:rPr>
          <w:b/>
          <w:bCs/>
          <w:caps/>
          <w:szCs w:val="22"/>
        </w:rPr>
        <w:t>Approving in Part, Dissenting In Part</w:t>
      </w:r>
    </w:p>
    <w:p w:rsidR="00EB335F" w:rsidRPr="005577AD" w:rsidP="00EB335F" w14:paraId="469B68C5" w14:textId="77777777">
      <w:pPr>
        <w:jc w:val="center"/>
        <w:rPr>
          <w:b/>
          <w:bCs/>
          <w:caps/>
          <w:szCs w:val="22"/>
        </w:rPr>
      </w:pPr>
    </w:p>
    <w:p w:rsidR="00EB335F" w:rsidRPr="005577AD" w:rsidP="00EB335F" w14:paraId="530F380A"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rPr>
        <w:t>Auction of Flexible-Use Service Licenses in the 3.7</w:t>
      </w:r>
      <w:r w:rsidRPr="00AC1645">
        <w:rPr>
          <w:i/>
          <w:iCs/>
        </w:rPr>
        <w:t>–</w:t>
      </w:r>
      <w:r>
        <w:rPr>
          <w:i/>
          <w:iCs/>
        </w:rPr>
        <w:t xml:space="preserve">3.98 GHz </w:t>
      </w:r>
      <w:r>
        <w:rPr>
          <w:i/>
          <w:iCs/>
        </w:rPr>
        <w:t>Band for Next-Generation Wireless Services; Notice and Filing Requirements, Minimum Opening Bids, Upfront Payments, and Other Procedures for Auction 107; Bidding in Auction 107 Scheduled to Begin December 8, 2020</w:t>
      </w:r>
      <w:r>
        <w:t>; AU Docket No. 20-25.</w:t>
      </w:r>
    </w:p>
    <w:p w:rsidR="00EB335F" w:rsidP="00EB335F" w14:paraId="09E5C136" w14:textId="77777777">
      <w:pPr>
        <w:widowControl/>
        <w:ind w:firstLine="720"/>
        <w:rPr>
          <w:snapToGrid/>
          <w:kern w:val="0"/>
          <w:szCs w:val="22"/>
        </w:rPr>
      </w:pPr>
    </w:p>
    <w:p w:rsidR="00EB335F" w:rsidRPr="00827071" w:rsidP="00EB335F" w14:paraId="4E31E578" w14:textId="77777777">
      <w:pPr>
        <w:rPr>
          <w:szCs w:val="22"/>
        </w:rPr>
      </w:pPr>
      <w:r>
        <w:rPr>
          <w:snapToGrid/>
          <w:kern w:val="0"/>
          <w:szCs w:val="22"/>
        </w:rPr>
        <w:tab/>
      </w:r>
      <w:r w:rsidRPr="00827071">
        <w:rPr>
          <w:szCs w:val="22"/>
        </w:rPr>
        <w:t>Today’s Public Notice adopts procedures for the auction of 280 megahertz of spectrum in the C-Band.  If all goes as planned, it may prove to be one of the more consequential auctions in this agency’s history.  That’s because this auction will make availabl</w:t>
      </w:r>
      <w:r w:rsidRPr="00827071">
        <w:rPr>
          <w:szCs w:val="22"/>
        </w:rPr>
        <w:t>e airwaves that are uniquely suited for next-generation 5G service at an absolutely critical juncture for our nation’s wireless leadership.  It is no secret that the United States is woefully behind other countries when it comes to making mid-band spectrum</w:t>
      </w:r>
      <w:r w:rsidRPr="00827071">
        <w:rPr>
          <w:szCs w:val="22"/>
        </w:rPr>
        <w:t xml:space="preserve"> available for 5G.  Other nations have moved these airwaves to market much faster, while during the last few years we auctioned band after band of only millimeter wave.  Other nations have their 5G plans in order and are poised to free up to five times mor</w:t>
      </w:r>
      <w:r w:rsidRPr="00827071">
        <w:rPr>
          <w:szCs w:val="22"/>
        </w:rPr>
        <w:t xml:space="preserve">e licensed mid-band spectrum than the U.S. by the end of the year, while we still wait for a national spectrum strategy that is more than a year overdue.  </w:t>
      </w:r>
    </w:p>
    <w:p w:rsidR="00EB335F" w:rsidRPr="00827071" w:rsidP="00EB335F" w14:paraId="6B3D16EA" w14:textId="77777777">
      <w:pPr>
        <w:rPr>
          <w:szCs w:val="22"/>
        </w:rPr>
      </w:pPr>
    </w:p>
    <w:p w:rsidR="00EB335F" w:rsidRPr="00827071" w:rsidP="00EB335F" w14:paraId="21A5058C" w14:textId="77777777">
      <w:pPr>
        <w:rPr>
          <w:szCs w:val="22"/>
        </w:rPr>
      </w:pPr>
      <w:r w:rsidRPr="00827071">
        <w:rPr>
          <w:szCs w:val="22"/>
        </w:rPr>
        <w:tab/>
        <w:t>Nonetheless, this Public Notice is a step toward closing that gap.  It reflects the usual high-qua</w:t>
      </w:r>
      <w:r w:rsidRPr="00827071">
        <w:rPr>
          <w:szCs w:val="22"/>
        </w:rPr>
        <w:t>lity work of our auction experts.  The procedural rules we adopt today set up the nitty-gritty of our auction—details like timelines and bidding procedures, compliance with antitrust laws, bidding credits for small businesses and rural service providers, a</w:t>
      </w:r>
      <w:r w:rsidRPr="00827071">
        <w:rPr>
          <w:szCs w:val="22"/>
        </w:rPr>
        <w:t xml:space="preserve">nd more.  These procedural rules mirror what has been successful in the past.  I also am pleased that we are adjusting the assignment phase of the auction to better ensure that auction winners receive contiguous spectrum blocks, which will be important to </w:t>
      </w:r>
      <w:r w:rsidRPr="00827071">
        <w:rPr>
          <w:szCs w:val="22"/>
        </w:rPr>
        <w:t>providing robust 5G service.  So that’s the good.</w:t>
      </w:r>
    </w:p>
    <w:p w:rsidR="00EB335F" w:rsidRPr="00827071" w:rsidP="00EB335F" w14:paraId="52D28D1F" w14:textId="77777777">
      <w:pPr>
        <w:rPr>
          <w:szCs w:val="22"/>
        </w:rPr>
      </w:pPr>
    </w:p>
    <w:p w:rsidR="00EB335F" w:rsidRPr="00827071" w:rsidP="00EB335F" w14:paraId="727CC01E" w14:textId="77777777">
      <w:pPr>
        <w:rPr>
          <w:szCs w:val="22"/>
        </w:rPr>
      </w:pPr>
      <w:r w:rsidRPr="00827071">
        <w:rPr>
          <w:szCs w:val="22"/>
        </w:rPr>
        <w:tab/>
        <w:t>But there are reasons this auction will be consequential that are not so good, too.  That’s because with this effort for the first time the value of spectrum assigned in a Federal Communications Commissio</w:t>
      </w:r>
      <w:r w:rsidRPr="00827071">
        <w:rPr>
          <w:szCs w:val="22"/>
        </w:rPr>
        <w:t xml:space="preserve">n auction will not be determined by an efficient and effective market.  Instead, bids in this auction will be distorted by a nearly $10 billion payment to incumbent satellite operators that was negotiated outside the light of day.  Whatever hazy deal this </w:t>
      </w:r>
      <w:r w:rsidRPr="00827071">
        <w:rPr>
          <w:szCs w:val="22"/>
        </w:rPr>
        <w:t xml:space="preserve">agency cut with existing licensees is hard to square with our clear statutory duty to deposit auction proceeds in the United States Treasury.  Moreover, this mandatory payment set by the agency falls outside of the traditional </w:t>
      </w:r>
      <w:r w:rsidRPr="00827071">
        <w:rPr>
          <w:i/>
          <w:iCs/>
          <w:szCs w:val="22"/>
        </w:rPr>
        <w:t>Emerging Technologies Framewo</w:t>
      </w:r>
      <w:r w:rsidRPr="00827071">
        <w:rPr>
          <w:i/>
          <w:iCs/>
          <w:szCs w:val="22"/>
        </w:rPr>
        <w:t>rk</w:t>
      </w:r>
      <w:r w:rsidRPr="00827071">
        <w:rPr>
          <w:szCs w:val="22"/>
        </w:rPr>
        <w:t>, which permits voluntary, market-based transactions to repurpose spectrum for new uses.  That means the public foots this $10 billion bill without the traditional tools of accountability that our auctions have relied on in the past.</w:t>
      </w:r>
    </w:p>
    <w:p w:rsidR="00EB335F" w:rsidRPr="00827071" w:rsidP="00EB335F" w14:paraId="36E32148" w14:textId="77777777">
      <w:pPr>
        <w:rPr>
          <w:szCs w:val="22"/>
        </w:rPr>
      </w:pPr>
    </w:p>
    <w:p w:rsidR="00EB335F" w:rsidRPr="00827071" w:rsidP="00EB335F" w14:paraId="42808DAA" w14:textId="77777777">
      <w:pPr>
        <w:rPr>
          <w:szCs w:val="22"/>
        </w:rPr>
      </w:pPr>
      <w:r w:rsidRPr="00827071">
        <w:rPr>
          <w:szCs w:val="22"/>
        </w:rPr>
        <w:tab/>
        <w:t>We should have wor</w:t>
      </w:r>
      <w:r w:rsidRPr="00827071">
        <w:rPr>
          <w:szCs w:val="22"/>
        </w:rPr>
        <w:t>ked with Congress on a more transparent path.  By doing so, we could have cleared up these ambiguities.  Not just for this auction but for spectrum efforts in the future.  Because we would benefit from a legislative overhaul of our system for incentivizing</w:t>
      </w:r>
      <w:r w:rsidRPr="00827071">
        <w:rPr>
          <w:szCs w:val="22"/>
        </w:rPr>
        <w:t xml:space="preserve"> the return of airwaves and the repurposing of them for a future where we can lead in 5G.  In fact, I believe our experience with C-band and mid-band more generally proves we need more innovative tools to help this process along—just like incentive auction</w:t>
      </w:r>
      <w:r w:rsidRPr="00827071">
        <w:rPr>
          <w:szCs w:val="22"/>
        </w:rPr>
        <w:t xml:space="preserve">s have helped with freeing low- and high-band spectrum.  </w:t>
      </w:r>
    </w:p>
    <w:p w:rsidR="00EB335F" w:rsidRPr="00827071" w:rsidP="00EB335F" w14:paraId="58C789AC" w14:textId="77777777">
      <w:pPr>
        <w:rPr>
          <w:szCs w:val="22"/>
        </w:rPr>
      </w:pPr>
    </w:p>
    <w:p w:rsidR="00EB335F" w:rsidRPr="00827071" w:rsidP="00EB335F" w14:paraId="79F9804B" w14:textId="77777777">
      <w:pPr>
        <w:widowControl/>
        <w:rPr>
          <w:szCs w:val="22"/>
        </w:rPr>
      </w:pPr>
      <w:r w:rsidRPr="00827071">
        <w:rPr>
          <w:szCs w:val="22"/>
        </w:rPr>
        <w:tab/>
        <w:t>Moreover, by proceeding on our own, we also missed a big opportunity.  Because we acted unilaterally, we denied the legislative branch the ability to take the funds from the auction of these publi</w:t>
      </w:r>
      <w:r w:rsidRPr="00827071">
        <w:rPr>
          <w:szCs w:val="22"/>
        </w:rPr>
        <w:t>c airwaves and put them to broader public purpose.  Working with Congress we could have used the billions of dollars in revenues this auction is expected to raise to do the very infrastructure projects this country so desperately needs.  We could have fund</w:t>
      </w:r>
      <w:r w:rsidRPr="00827071">
        <w:rPr>
          <w:szCs w:val="22"/>
        </w:rPr>
        <w:t>ed the nation’s transition to next-generation 911, which would benefit public safety in every state.  We could have started a new rural broadband initiative.  Or we could have used revenues to seed a Homework Gap Trust Fund to help our nation’s students st</w:t>
      </w:r>
      <w:r w:rsidRPr="00827071">
        <w:rPr>
          <w:szCs w:val="22"/>
        </w:rPr>
        <w:t xml:space="preserve">uck in the </w:t>
      </w:r>
      <w:r w:rsidRPr="00827071">
        <w:rPr>
          <w:szCs w:val="22"/>
        </w:rPr>
        <w:t xml:space="preserve">digital divide and locked out of the virtual classroom during this pandemic.  It is regrettable we did not.  Because these things are important.  </w:t>
      </w:r>
    </w:p>
    <w:p w:rsidR="00EB335F" w:rsidRPr="00827071" w:rsidP="00EB335F" w14:paraId="73BBC444" w14:textId="77777777">
      <w:pPr>
        <w:rPr>
          <w:szCs w:val="22"/>
        </w:rPr>
      </w:pPr>
    </w:p>
    <w:p w:rsidR="00EB335F" w:rsidRPr="00827071" w:rsidP="00EB335F" w14:paraId="05654AD6" w14:textId="77777777">
      <w:pPr>
        <w:rPr>
          <w:szCs w:val="22"/>
        </w:rPr>
      </w:pPr>
      <w:r w:rsidRPr="00827071">
        <w:rPr>
          <w:szCs w:val="22"/>
        </w:rPr>
        <w:tab/>
        <w:t>For these reasons, I approve the work of our staff to implement these auction rules, but dissent</w:t>
      </w:r>
      <w:r w:rsidRPr="00827071">
        <w:rPr>
          <w:szCs w:val="22"/>
        </w:rPr>
        <w:t xml:space="preserve"> because I continue to believe how we got here is misguided.  </w:t>
      </w:r>
    </w:p>
    <w:p w:rsidR="00D6515C" w:rsidP="000C550D" w14:paraId="1AC47A0F" w14:textId="596F700E">
      <w:pPr>
        <w:widowControl/>
        <w:rPr>
          <w:snapToGrid/>
          <w:kern w:val="0"/>
          <w:szCs w:val="22"/>
        </w:rPr>
      </w:pPr>
    </w:p>
    <w:p w:rsidR="00D705E1" w:rsidRPr="005577AD" w:rsidP="00D705E1" w14:paraId="5BEC0DB7" w14:textId="77777777">
      <w:pPr>
        <w:jc w:val="center"/>
        <w:rPr>
          <w:b/>
          <w:bCs/>
          <w:caps/>
          <w:szCs w:val="22"/>
        </w:rPr>
      </w:pPr>
      <w:r>
        <w:rPr>
          <w:szCs w:val="22"/>
        </w:rPr>
        <w:br w:type="page"/>
      </w:r>
      <w:r w:rsidRPr="005577AD">
        <w:rPr>
          <w:b/>
          <w:bCs/>
          <w:caps/>
          <w:szCs w:val="22"/>
        </w:rPr>
        <w:t>Statement of</w:t>
      </w:r>
    </w:p>
    <w:p w:rsidR="00D705E1" w:rsidP="00D705E1" w14:paraId="09D713DA" w14:textId="77777777">
      <w:pPr>
        <w:jc w:val="center"/>
        <w:rPr>
          <w:b/>
          <w:bCs/>
          <w:caps/>
          <w:szCs w:val="22"/>
        </w:rPr>
      </w:pPr>
      <w:r>
        <w:rPr>
          <w:b/>
          <w:bCs/>
          <w:caps/>
          <w:szCs w:val="22"/>
        </w:rPr>
        <w:t>Commissioner</w:t>
      </w:r>
      <w:r w:rsidRPr="009D2CFA">
        <w:rPr>
          <w:b/>
          <w:bCs/>
          <w:caps/>
          <w:szCs w:val="22"/>
        </w:rPr>
        <w:t xml:space="preserve"> </w:t>
      </w:r>
      <w:r>
        <w:rPr>
          <w:b/>
          <w:bCs/>
          <w:caps/>
          <w:szCs w:val="22"/>
        </w:rPr>
        <w:t>Geoffrey Starks</w:t>
      </w:r>
    </w:p>
    <w:p w:rsidR="00D705E1" w:rsidP="00D705E1" w14:paraId="1B215B07" w14:textId="77777777">
      <w:pPr>
        <w:jc w:val="center"/>
        <w:rPr>
          <w:b/>
          <w:bCs/>
          <w:caps/>
          <w:szCs w:val="22"/>
        </w:rPr>
      </w:pPr>
      <w:r>
        <w:rPr>
          <w:b/>
          <w:bCs/>
          <w:caps/>
          <w:szCs w:val="22"/>
        </w:rPr>
        <w:t>Approving in Part, Dissenting In Part</w:t>
      </w:r>
    </w:p>
    <w:p w:rsidR="00D705E1" w:rsidRPr="005577AD" w:rsidP="00D705E1" w14:paraId="69ADE44C" w14:textId="77777777">
      <w:pPr>
        <w:jc w:val="center"/>
        <w:rPr>
          <w:b/>
          <w:bCs/>
          <w:caps/>
          <w:szCs w:val="22"/>
        </w:rPr>
      </w:pPr>
    </w:p>
    <w:p w:rsidR="00D705E1" w:rsidRPr="005577AD" w:rsidP="00D705E1" w14:paraId="4F1C1FC2"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rPr>
        <w:t>Auction of Flexible-Use Service Licenses in the 3.7</w:t>
      </w:r>
      <w:r w:rsidRPr="00AC1645">
        <w:rPr>
          <w:i/>
          <w:iCs/>
        </w:rPr>
        <w:t>–</w:t>
      </w:r>
      <w:r>
        <w:rPr>
          <w:i/>
          <w:iCs/>
        </w:rPr>
        <w:t xml:space="preserve">3.98 GHz Band for Next-Generation Wireless Services; </w:t>
      </w:r>
      <w:r>
        <w:rPr>
          <w:i/>
          <w:iCs/>
        </w:rPr>
        <w:t>Notice and Filing Requirements, Minimum Opening Bids, Upfront Payments, and Other Procedures for Auction 107; Bidding in Auction 107 Scheduled to Begin December 8, 2020</w:t>
      </w:r>
      <w:r>
        <w:t>; AU Docket No. 20-25.</w:t>
      </w:r>
    </w:p>
    <w:p w:rsidR="00D705E1" w:rsidP="00D705E1" w14:paraId="04FB41C0" w14:textId="77777777">
      <w:pPr>
        <w:widowControl/>
        <w:ind w:firstLine="720"/>
        <w:rPr>
          <w:snapToGrid/>
          <w:kern w:val="0"/>
          <w:szCs w:val="22"/>
        </w:rPr>
      </w:pPr>
    </w:p>
    <w:p w:rsidR="00D705E1" w:rsidP="00D705E1" w14:paraId="36162849" w14:textId="77777777">
      <w:pPr>
        <w:rPr>
          <w:szCs w:val="22"/>
        </w:rPr>
      </w:pPr>
      <w:r>
        <w:rPr>
          <w:szCs w:val="22"/>
        </w:rPr>
        <w:tab/>
      </w:r>
      <w:r w:rsidRPr="004B5EBD">
        <w:rPr>
          <w:szCs w:val="22"/>
        </w:rPr>
        <w:t xml:space="preserve">My perspective on the fundamentals underlying this item </w:t>
      </w:r>
      <w:r w:rsidRPr="004B5EBD">
        <w:rPr>
          <w:szCs w:val="22"/>
        </w:rPr>
        <w:t xml:space="preserve">haven’t changed.  Under the majority’s decision from this February, we’re paying nearly $10 billion of taxpayer money to foreign satellite companies to vacate spectrum that belongs to the American people, based on a formula that has nothing to do with the </w:t>
      </w:r>
      <w:r w:rsidRPr="004B5EBD">
        <w:rPr>
          <w:szCs w:val="22"/>
        </w:rPr>
        <w:t>companies’ relocation costs.</w:t>
      </w:r>
    </w:p>
    <w:p w:rsidR="00D705E1" w:rsidRPr="004B5EBD" w:rsidP="00D705E1" w14:paraId="0B144194" w14:textId="77777777">
      <w:pPr>
        <w:rPr>
          <w:szCs w:val="22"/>
        </w:rPr>
      </w:pPr>
    </w:p>
    <w:p w:rsidR="00D705E1" w:rsidP="00D705E1" w14:paraId="23248211" w14:textId="77777777">
      <w:pPr>
        <w:rPr>
          <w:szCs w:val="22"/>
        </w:rPr>
      </w:pPr>
      <w:r>
        <w:rPr>
          <w:szCs w:val="22"/>
        </w:rPr>
        <w:tab/>
      </w:r>
      <w:r w:rsidRPr="004B5EBD">
        <w:rPr>
          <w:szCs w:val="22"/>
        </w:rPr>
        <w:t xml:space="preserve">Nearly six months later, and we still have tremendous uncertainty surrounding this bad deal.  The DC Circuit is now considering two sets of challenges to the February order.  Intelsat has declared bankruptcy, and the </w:t>
      </w:r>
      <w:r w:rsidRPr="004B5EBD">
        <w:rPr>
          <w:szCs w:val="22"/>
        </w:rPr>
        <w:t>former C-Band Alliance has turned into a circular firing squad.  And last week’s Bureau-level decision on lump-sum reimbursements has generated yet another issue by dramatically limiting the ability of small cable companies to replace their satellite conne</w:t>
      </w:r>
      <w:r w:rsidRPr="004B5EBD">
        <w:rPr>
          <w:szCs w:val="22"/>
        </w:rPr>
        <w:t>ctions with fiber that could have helped with rural broadband expansion.  Now those companies may create yet another front attacking this proceeding in court.  Who knows what will happen next?</w:t>
      </w:r>
    </w:p>
    <w:p w:rsidR="00D705E1" w:rsidRPr="004B5EBD" w:rsidP="00D705E1" w14:paraId="4A9E7B99" w14:textId="77777777">
      <w:pPr>
        <w:rPr>
          <w:szCs w:val="22"/>
        </w:rPr>
      </w:pPr>
    </w:p>
    <w:p w:rsidR="00D705E1" w:rsidP="00D705E1" w14:paraId="3CF889FA" w14:textId="77777777">
      <w:pPr>
        <w:rPr>
          <w:szCs w:val="22"/>
        </w:rPr>
      </w:pPr>
      <w:r>
        <w:rPr>
          <w:szCs w:val="22"/>
        </w:rPr>
        <w:tab/>
      </w:r>
      <w:r w:rsidRPr="004B5EBD">
        <w:rPr>
          <w:szCs w:val="22"/>
        </w:rPr>
        <w:t xml:space="preserve">All of this confusion affirms what I said back in February.  </w:t>
      </w:r>
      <w:r w:rsidRPr="004B5EBD">
        <w:rPr>
          <w:szCs w:val="22"/>
        </w:rPr>
        <w:t>Instead of racing ahead with a half-baked decision, we should have allowed Congress to act here, as it did with the 700 MHz band nearly 20 years ago.  Doing so would have avoided this uncertainty and ensured that the proceeds from this auction went towards</w:t>
      </w:r>
      <w:r w:rsidRPr="004B5EBD">
        <w:rPr>
          <w:szCs w:val="22"/>
        </w:rPr>
        <w:t xml:space="preserve"> the needs of the American people and not to the coffers of foreign satellite operators.</w:t>
      </w:r>
    </w:p>
    <w:p w:rsidR="00D705E1" w:rsidRPr="004B5EBD" w:rsidP="00D705E1" w14:paraId="25D21D27" w14:textId="77777777">
      <w:pPr>
        <w:rPr>
          <w:szCs w:val="22"/>
        </w:rPr>
      </w:pPr>
    </w:p>
    <w:p w:rsidR="00D705E1" w:rsidRPr="004B5EBD" w:rsidP="00D705E1" w14:paraId="08B53923" w14:textId="77777777">
      <w:pPr>
        <w:rPr>
          <w:szCs w:val="22"/>
        </w:rPr>
      </w:pPr>
      <w:r>
        <w:rPr>
          <w:szCs w:val="22"/>
        </w:rPr>
        <w:tab/>
      </w:r>
      <w:r w:rsidRPr="004B5EBD">
        <w:rPr>
          <w:szCs w:val="22"/>
        </w:rPr>
        <w:t>While I dissent from the underlying decision to proceed with the auction under these circumstances, I support the basic auction rules we adopt today.  Thank you to t</w:t>
      </w:r>
      <w:r w:rsidRPr="004B5EBD">
        <w:rPr>
          <w:szCs w:val="22"/>
        </w:rPr>
        <w:t>he Office of Economics and Analytics for its work on this item.</w:t>
      </w:r>
    </w:p>
    <w:p w:rsidR="00EB335F" w:rsidRPr="004E184C" w:rsidP="000C550D" w14:paraId="232ABB81" w14:textId="3968055A">
      <w:pPr>
        <w:widowControl/>
        <w:rPr>
          <w:szCs w:val="22"/>
        </w:rPr>
      </w:pPr>
    </w:p>
    <w:sectPr w:rsidSect="00A36354">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3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
    <w:altName w:val="Yu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2B" w:rsidP="0055614C" w14:paraId="4C77BA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4F2B" w14:paraId="2828FE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2B" w:rsidP="00193EBA" w14:paraId="3F1E966F" w14:textId="77777777">
    <w:pPr>
      <w:pStyle w:val="Footer"/>
      <w:tabs>
        <w:tab w:val="left" w:pos="365"/>
        <w:tab w:val="center" w:pos="468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2B" w:rsidP="0055614C" w14:paraId="6451BF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4F2B" w14:paraId="2F37BF2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2B" w:rsidP="00910F12" w14:paraId="5EB329B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2B" w14:paraId="01AA8BE9"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BC01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896B7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2DDA33"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14:paraId="60188DBF"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ED711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6211" w14:paraId="73501668" w14:textId="77777777">
      <w:r>
        <w:separator/>
      </w:r>
    </w:p>
  </w:footnote>
  <w:footnote w:type="continuationSeparator" w:id="1">
    <w:p w:rsidR="008A6211" w14:paraId="43D27EC0" w14:textId="77777777">
      <w:pPr>
        <w:rPr>
          <w:sz w:val="20"/>
        </w:rPr>
      </w:pPr>
      <w:r>
        <w:rPr>
          <w:sz w:val="20"/>
        </w:rPr>
        <w:t xml:space="preserve">(Continued from previous page)  </w:t>
      </w:r>
      <w:r>
        <w:rPr>
          <w:sz w:val="20"/>
        </w:rPr>
        <w:separator/>
      </w:r>
    </w:p>
  </w:footnote>
  <w:footnote w:type="continuationNotice" w:id="2">
    <w:p w:rsidR="008A6211" w:rsidP="00910F12" w14:paraId="4E415962" w14:textId="77777777">
      <w:pPr>
        <w:jc w:val="right"/>
        <w:rPr>
          <w:sz w:val="20"/>
        </w:rPr>
      </w:pPr>
      <w:r>
        <w:rPr>
          <w:sz w:val="20"/>
        </w:rPr>
        <w:t>(continued….)</w:t>
      </w:r>
    </w:p>
  </w:footnote>
  <w:footnote w:id="3">
    <w:p w:rsidR="00FE4F2B" w:rsidRPr="00D764A7" w:rsidP="001956CF" w14:paraId="1107E2ED" w14:textId="77777777">
      <w:pPr>
        <w:pStyle w:val="FootnoteText"/>
      </w:pPr>
      <w:r w:rsidRPr="00D764A7">
        <w:rPr>
          <w:rStyle w:val="FootnoteReference"/>
        </w:rPr>
        <w:footnoteRef/>
      </w:r>
      <w:r w:rsidRPr="00D764A7">
        <w:t xml:space="preserve"> </w:t>
      </w:r>
      <w:r w:rsidRPr="00D764A7">
        <w:rPr>
          <w:i/>
        </w:rPr>
        <w:t xml:space="preserve">See generally </w:t>
      </w:r>
      <w:r w:rsidRPr="00141D95">
        <w:rPr>
          <w:i/>
        </w:rPr>
        <w:t xml:space="preserve">Expanding Flexible Use of the 3.7 to 4.2 GHz Band, </w:t>
      </w:r>
      <w:r>
        <w:rPr>
          <w:iCs/>
        </w:rPr>
        <w:t xml:space="preserve">GN Docket No. 18-122, </w:t>
      </w:r>
      <w:r w:rsidRPr="00331C1F">
        <w:rPr>
          <w:iCs/>
        </w:rPr>
        <w:t>Report and Order and Order of Proposed Modification,</w:t>
      </w:r>
      <w:r w:rsidRPr="00141D95">
        <w:rPr>
          <w:i/>
        </w:rPr>
        <w:t xml:space="preserve"> </w:t>
      </w:r>
      <w:r>
        <w:rPr>
          <w:iCs/>
        </w:rPr>
        <w:t xml:space="preserve">35 FCC Rcd 2343 </w:t>
      </w:r>
      <w:r w:rsidRPr="00F96E21">
        <w:rPr>
          <w:iCs/>
        </w:rPr>
        <w:t>(2020)</w:t>
      </w:r>
      <w:r w:rsidRPr="0064077E">
        <w:rPr>
          <w:i/>
        </w:rPr>
        <w:t xml:space="preserve"> </w:t>
      </w:r>
      <w:r w:rsidRPr="00345990">
        <w:t>(</w:t>
      </w:r>
      <w:r>
        <w:rPr>
          <w:i/>
        </w:rPr>
        <w:t xml:space="preserve">3.7 GHz Report and </w:t>
      </w:r>
      <w:r w:rsidRPr="0064077E">
        <w:rPr>
          <w:i/>
        </w:rPr>
        <w:t>Order</w:t>
      </w:r>
      <w:r w:rsidRPr="00345990">
        <w:t>)</w:t>
      </w:r>
      <w:r>
        <w:t>.</w:t>
      </w:r>
      <w:r>
        <w:rPr>
          <w:i/>
        </w:rPr>
        <w:t xml:space="preserve"> </w:t>
      </w:r>
    </w:p>
  </w:footnote>
  <w:footnote w:id="4">
    <w:p w:rsidR="00FE4F2B" w:rsidP="001956CF" w14:paraId="769953AB" w14:textId="03792C08">
      <w:pPr>
        <w:pStyle w:val="FootnoteText"/>
      </w:pPr>
      <w:r>
        <w:rPr>
          <w:rStyle w:val="FootnoteReference"/>
        </w:rPr>
        <w:footnoteRef/>
      </w:r>
      <w:r>
        <w:t xml:space="preserve"> </w:t>
      </w:r>
      <w:r>
        <w:rPr>
          <w:i/>
        </w:rPr>
        <w:t>Id.</w:t>
      </w:r>
      <w:r w:rsidRPr="00C71199">
        <w:t xml:space="preserve"> at </w:t>
      </w:r>
      <w:r>
        <w:t>2394-408, 2463-66, 2488-89, paras. 124-53, 321-28, 409.</w:t>
      </w:r>
    </w:p>
  </w:footnote>
  <w:footnote w:id="5">
    <w:p w:rsidR="00FE4F2B" w14:paraId="715EACB6" w14:textId="15B8CF2C">
      <w:pPr>
        <w:pStyle w:val="FootnoteText"/>
      </w:pPr>
      <w:r>
        <w:rPr>
          <w:rStyle w:val="FootnoteReference"/>
        </w:rPr>
        <w:footnoteRef/>
      </w:r>
      <w:r>
        <w:t xml:space="preserve"> </w:t>
      </w:r>
      <w:r>
        <w:rPr>
          <w:i/>
        </w:rPr>
        <w:t>Id.</w:t>
      </w:r>
      <w:r>
        <w:t xml:space="preserve"> at 2372-90, paras. 59-109.</w:t>
      </w:r>
    </w:p>
  </w:footnote>
  <w:footnote w:id="6">
    <w:p w:rsidR="00FE4F2B" w:rsidRPr="00D764A7" w:rsidP="00D6515C" w14:paraId="0DFAF4AD" w14:textId="50DDC36D">
      <w:pPr>
        <w:pStyle w:val="FootnoteText"/>
      </w:pPr>
      <w:r w:rsidRPr="00D764A7">
        <w:rPr>
          <w:rStyle w:val="FootnoteReference"/>
        </w:rPr>
        <w:footnoteRef/>
      </w:r>
      <w:r w:rsidRPr="00D764A7">
        <w:t xml:space="preserve"> 47 U.S.C. § 309(j)(3)(E)(i) (requir</w:t>
      </w:r>
      <w:r>
        <w:t>ing Commission</w:t>
      </w:r>
      <w:r w:rsidRPr="00D764A7">
        <w:t xml:space="preserve"> to seek comment on proposed auction procedures); </w:t>
      </w:r>
      <w:r w:rsidRPr="00D764A7">
        <w:rPr>
          <w:i/>
        </w:rPr>
        <w:t xml:space="preserve">see also </w:t>
      </w:r>
      <w:r w:rsidRPr="00EB5BE1">
        <w:rPr>
          <w:i/>
        </w:rPr>
        <w:t>id</w:t>
      </w:r>
      <w:r w:rsidRPr="00425C7C">
        <w:rPr>
          <w:i/>
        </w:rPr>
        <w:t>.</w:t>
      </w:r>
      <w:r w:rsidRPr="00D764A7">
        <w:t xml:space="preserve"> § 309(j)(4)(F) (authoriz</w:t>
      </w:r>
      <w:r>
        <w:t>ing Commission</w:t>
      </w:r>
      <w:r w:rsidRPr="00D764A7">
        <w:t xml:space="preserve"> to prescribe reserve price or minimum bid);</w:t>
      </w:r>
      <w:r w:rsidRPr="00D764A7">
        <w:rPr>
          <w:i/>
        </w:rPr>
        <w:t xml:space="preserve"> </w:t>
      </w:r>
      <w:r w:rsidRPr="00D764A7">
        <w:t xml:space="preserve">47 CFR § 1.2104(c)-(d).  </w:t>
      </w:r>
    </w:p>
  </w:footnote>
  <w:footnote w:id="7">
    <w:p w:rsidR="00FE4F2B" w:rsidRPr="00D764A7" w:rsidP="00BE57A2" w14:paraId="6F8949A4" w14:textId="21700FF9">
      <w:pPr>
        <w:pStyle w:val="FootnoteText"/>
      </w:pPr>
      <w:r w:rsidRPr="00D764A7">
        <w:rPr>
          <w:rStyle w:val="FootnoteReference"/>
        </w:rPr>
        <w:footnoteRef/>
      </w:r>
      <w:r w:rsidRPr="00D764A7">
        <w:t xml:space="preserve"> </w:t>
      </w:r>
      <w:r w:rsidRPr="00AD5DDE">
        <w:rPr>
          <w:i/>
        </w:rPr>
        <w:t xml:space="preserve">See </w:t>
      </w:r>
      <w:r>
        <w:rPr>
          <w:i/>
        </w:rPr>
        <w:t>Auction of Flexible-Use Service Licenses in the 3.7–3.98 GHz Band for Next-Generation Wireless Services; Comment Sought on Competitive Bidding Procedures for Auction 107</w:t>
      </w:r>
      <w:r>
        <w:t>, AU Docket No. 20-25, Public Notice, 35 FCC Rcd 2601</w:t>
      </w:r>
      <w:r w:rsidRPr="005529F3">
        <w:t xml:space="preserve"> </w:t>
      </w:r>
      <w:r>
        <w:t>(</w:t>
      </w:r>
      <w:r w:rsidRPr="00BE57A2">
        <w:rPr>
          <w:rStyle w:val="FootnoteTextChar3Char1"/>
        </w:rPr>
        <w:t>20</w:t>
      </w:r>
      <w:r>
        <w:rPr>
          <w:rStyle w:val="FootnoteTextChar3Char1"/>
        </w:rPr>
        <w:t>20</w:t>
      </w:r>
      <w:r>
        <w:t xml:space="preserve">) </w:t>
      </w:r>
      <w:r w:rsidRPr="00036A39">
        <w:t>(</w:t>
      </w:r>
      <w:r w:rsidRPr="00AD5DDE">
        <w:rPr>
          <w:i/>
        </w:rPr>
        <w:t>Auction 10</w:t>
      </w:r>
      <w:r>
        <w:rPr>
          <w:i/>
        </w:rPr>
        <w:t>7</w:t>
      </w:r>
      <w:r w:rsidRPr="00AD5DDE">
        <w:rPr>
          <w:i/>
        </w:rPr>
        <w:t xml:space="preserve"> Commen</w:t>
      </w:r>
      <w:r w:rsidRPr="00AD5DDE">
        <w:rPr>
          <w:i/>
        </w:rPr>
        <w:t>t Public Notice</w:t>
      </w:r>
      <w:r w:rsidRPr="00036A39">
        <w:t>)</w:t>
      </w:r>
      <w:r w:rsidRPr="00AD5DDE">
        <w:rPr>
          <w:i/>
        </w:rPr>
        <w:t xml:space="preserve">.  </w:t>
      </w:r>
      <w:r w:rsidRPr="00D764A7">
        <w:rPr>
          <w:rStyle w:val="FootnoteTextChar3Char1"/>
        </w:rPr>
        <w:t xml:space="preserve">A summary of the </w:t>
      </w:r>
      <w:r w:rsidRPr="00D764A7">
        <w:rPr>
          <w:i/>
        </w:rPr>
        <w:t>Auction 10</w:t>
      </w:r>
      <w:r>
        <w:rPr>
          <w:i/>
        </w:rPr>
        <w:t xml:space="preserve">7 </w:t>
      </w:r>
      <w:r w:rsidRPr="00D764A7">
        <w:rPr>
          <w:i/>
        </w:rPr>
        <w:t>Comment Public Notice</w:t>
      </w:r>
      <w:r w:rsidRPr="00D764A7">
        <w:rPr>
          <w:rStyle w:val="FootnoteTextChar3Char1"/>
        </w:rPr>
        <w:t xml:space="preserve"> was published in the Federal Register at </w:t>
      </w:r>
      <w:r>
        <w:rPr>
          <w:rStyle w:val="FootnoteTextChar3Char1"/>
        </w:rPr>
        <w:t xml:space="preserve">85 </w:t>
      </w:r>
      <w:r w:rsidRPr="00D764A7">
        <w:rPr>
          <w:rStyle w:val="FootnoteTextChar3Char1"/>
        </w:rPr>
        <w:t>Fed. Reg.</w:t>
      </w:r>
      <w:r>
        <w:rPr>
          <w:rStyle w:val="FootnoteTextChar3Char1"/>
        </w:rPr>
        <w:t xml:space="preserve"> 23287</w:t>
      </w:r>
      <w:r w:rsidRPr="00845B4F">
        <w:rPr>
          <w:rStyle w:val="FootnoteTextChar3Char1"/>
        </w:rPr>
        <w:t xml:space="preserve"> </w:t>
      </w:r>
      <w:r w:rsidRPr="00D764A7">
        <w:rPr>
          <w:rStyle w:val="FootnoteTextChar3Char1"/>
        </w:rPr>
        <w:t>(</w:t>
      </w:r>
      <w:r>
        <w:rPr>
          <w:rStyle w:val="FootnoteTextChar3Char1"/>
        </w:rPr>
        <w:t>Apr. 27</w:t>
      </w:r>
      <w:r w:rsidRPr="00D764A7">
        <w:rPr>
          <w:rStyle w:val="FootnoteTextChar3Char1"/>
        </w:rPr>
        <w:t>, 20</w:t>
      </w:r>
      <w:r>
        <w:rPr>
          <w:rStyle w:val="FootnoteTextChar3Char1"/>
        </w:rPr>
        <w:t>20</w:t>
      </w:r>
      <w:r w:rsidRPr="00D764A7">
        <w:rPr>
          <w:rStyle w:val="FootnoteTextChar3Char1"/>
        </w:rPr>
        <w:t>).</w:t>
      </w:r>
    </w:p>
  </w:footnote>
  <w:footnote w:id="8">
    <w:p w:rsidR="00FE4F2B" w:rsidRPr="00D764A7" w:rsidP="0047161C" w14:paraId="00DB0CA5" w14:textId="12EBB8CA">
      <w:pPr>
        <w:pStyle w:val="FootnoteText"/>
      </w:pPr>
      <w:r w:rsidRPr="00D764A7">
        <w:rPr>
          <w:rStyle w:val="FootnoteReference"/>
        </w:rPr>
        <w:footnoteRef/>
      </w:r>
      <w:r w:rsidRPr="00D764A7">
        <w:rPr>
          <w:rStyle w:val="FootnoteTextChar3Char1"/>
        </w:rPr>
        <w:t xml:space="preserve"> These comments are available under </w:t>
      </w:r>
      <w:r>
        <w:rPr>
          <w:rStyle w:val="FootnoteTextChar3Char1"/>
        </w:rPr>
        <w:t>proceeding 20</w:t>
      </w:r>
      <w:r w:rsidRPr="00D764A7">
        <w:rPr>
          <w:rStyle w:val="FootnoteTextChar3Char1"/>
        </w:rPr>
        <w:t>-</w:t>
      </w:r>
      <w:r>
        <w:rPr>
          <w:rStyle w:val="FootnoteTextChar3Char1"/>
        </w:rPr>
        <w:t>25</w:t>
      </w:r>
      <w:r w:rsidRPr="00D764A7">
        <w:rPr>
          <w:rStyle w:val="FootnoteTextChar3Char1"/>
        </w:rPr>
        <w:t xml:space="preserve"> in the Commission’s Electronic Comment Filing System (ECFS).  The ECFS home page is publicly accessible at</w:t>
      </w:r>
      <w:r>
        <w:rPr>
          <w:rStyle w:val="FootnoteTextChar3Char1"/>
        </w:rPr>
        <w:t xml:space="preserve"> </w:t>
      </w:r>
      <w:hyperlink r:id="rId1" w:history="1">
        <w:r>
          <w:rPr>
            <w:rStyle w:val="Hyperlink"/>
          </w:rPr>
          <w:t>www.fcc.gov/ecfs</w:t>
        </w:r>
      </w:hyperlink>
      <w:r w:rsidRPr="00D764A7">
        <w:rPr>
          <w:rStyle w:val="FootnoteTextChar3Char1"/>
        </w:rPr>
        <w:t>.</w:t>
      </w:r>
      <w:r>
        <w:rPr>
          <w:rStyle w:val="FootnoteTextChar3Char1"/>
        </w:rPr>
        <w:t xml:space="preserve">  We generally note in the context of discussing </w:t>
      </w:r>
      <w:r w:rsidRPr="0047161C">
        <w:rPr>
          <w:spacing w:val="-2"/>
        </w:rPr>
        <w:t>particular</w:t>
      </w:r>
      <w:r>
        <w:rPr>
          <w:rStyle w:val="FootnoteTextChar3Char1"/>
        </w:rPr>
        <w:t xml:space="preserve"> issues whether any commenter </w:t>
      </w:r>
      <w:r>
        <w:rPr>
          <w:rStyle w:val="FootnoteTextChar3Char1"/>
        </w:rPr>
        <w:t>addressed those issues.</w:t>
      </w:r>
    </w:p>
  </w:footnote>
  <w:footnote w:id="9">
    <w:p w:rsidR="00FE4F2B" w:rsidRPr="00D764A7" w:rsidP="00D6515C" w14:paraId="6E80D75A" w14:textId="3E4494C3">
      <w:pPr>
        <w:pStyle w:val="FootnoteText"/>
        <w:rPr>
          <w:i/>
        </w:rPr>
      </w:pPr>
      <w:r w:rsidRPr="00D764A7">
        <w:rPr>
          <w:rStyle w:val="FootnoteReference"/>
        </w:rPr>
        <w:footnoteRef/>
      </w:r>
      <w:r w:rsidRPr="00D764A7">
        <w:t xml:space="preserve"> 47 CFR Part 1, Subpart Q.   </w:t>
      </w:r>
    </w:p>
  </w:footnote>
  <w:footnote w:id="10">
    <w:p w:rsidR="00FE4F2B" w:rsidRPr="00D764A7" w:rsidP="00D6515C" w14:paraId="5FD2877D" w14:textId="73B5E871">
      <w:pPr>
        <w:pStyle w:val="FootnoteText"/>
      </w:pPr>
      <w:r w:rsidRPr="00D764A7">
        <w:rPr>
          <w:rStyle w:val="FootnoteReference"/>
        </w:rPr>
        <w:footnoteRef/>
      </w:r>
      <w:r w:rsidRPr="00D764A7">
        <w:t xml:space="preserve"> </w:t>
      </w:r>
      <w:r w:rsidRPr="00D764A7">
        <w:rPr>
          <w:i/>
        </w:rPr>
        <w:t>See</w:t>
      </w:r>
      <w:r w:rsidRPr="00925FC2">
        <w:rPr>
          <w:i/>
        </w:rPr>
        <w:t>,</w:t>
      </w:r>
      <w:r w:rsidRPr="00D764A7">
        <w:t xml:space="preserve"> </w:t>
      </w:r>
      <w:r w:rsidRPr="00D764A7">
        <w:rPr>
          <w:i/>
        </w:rPr>
        <w:t>e.g</w:t>
      </w:r>
      <w:r w:rsidRPr="00D764A7">
        <w:t>.</w:t>
      </w:r>
      <w:r w:rsidRPr="00332FD3">
        <w:rPr>
          <w:i/>
          <w:iCs/>
        </w:rPr>
        <w:t>,</w:t>
      </w:r>
      <w:r w:rsidRPr="00D764A7">
        <w:t xml:space="preserve"> </w:t>
      </w:r>
      <w:r w:rsidRPr="00D764A7">
        <w:rPr>
          <w:i/>
          <w:spacing w:val="-2"/>
        </w:rPr>
        <w:t>Updating Part 1 Competitive Bidding Rules</w:t>
      </w:r>
      <w:r>
        <w:rPr>
          <w:i/>
          <w:spacing w:val="-2"/>
        </w:rPr>
        <w:t xml:space="preserve"> et al.</w:t>
      </w:r>
      <w:r w:rsidRPr="00D764A7">
        <w:rPr>
          <w:spacing w:val="-2"/>
        </w:rPr>
        <w:t xml:space="preserve">, </w:t>
      </w:r>
      <w:r>
        <w:rPr>
          <w:spacing w:val="-2"/>
        </w:rPr>
        <w:t xml:space="preserve">WT Docket Nos. 14-170 and 05-211, GN Docket No. 12-268, </w:t>
      </w:r>
      <w:r w:rsidRPr="00D764A7">
        <w:rPr>
          <w:spacing w:val="-2"/>
        </w:rPr>
        <w:t xml:space="preserve">Report and Order, Order on Reconsideration </w:t>
      </w:r>
      <w:r w:rsidRPr="00D764A7">
        <w:t>of the First Report and Order, Third Or</w:t>
      </w:r>
      <w:r w:rsidRPr="00D764A7">
        <w:t xml:space="preserve">der on Reconsideration of </w:t>
      </w:r>
      <w:r w:rsidRPr="0047161C">
        <w:rPr>
          <w:spacing w:val="-2"/>
        </w:rPr>
        <w:t>the</w:t>
      </w:r>
      <w:r w:rsidRPr="00D764A7">
        <w:t xml:space="preserve"> Second Report and Order, Third Report and Order,</w:t>
      </w:r>
      <w:r w:rsidRPr="00D764A7">
        <w:rPr>
          <w:i/>
        </w:rPr>
        <w:t xml:space="preserve"> </w:t>
      </w:r>
      <w:r w:rsidRPr="00D764A7">
        <w:t>30 FCC Rcd 7493 (2015) (</w:t>
      </w:r>
      <w:r>
        <w:rPr>
          <w:i/>
        </w:rPr>
        <w:t>Updating Part 1 Report and</w:t>
      </w:r>
      <w:r w:rsidRPr="00D764A7">
        <w:rPr>
          <w:i/>
        </w:rPr>
        <w:t xml:space="preserve"> Order</w:t>
      </w:r>
      <w:r w:rsidRPr="00D764A7">
        <w:t xml:space="preserve">) (modified by Erratum, 30 FCC Rcd 8518 (2015)); </w:t>
      </w:r>
      <w:r w:rsidRPr="00D764A7">
        <w:rPr>
          <w:i/>
        </w:rPr>
        <w:t>Amendment of Part 1 of the Commission</w:t>
      </w:r>
      <w:r>
        <w:rPr>
          <w:i/>
        </w:rPr>
        <w:t>’</w:t>
      </w:r>
      <w:r w:rsidRPr="00D764A7">
        <w:rPr>
          <w:i/>
        </w:rPr>
        <w:t>s Rules–Competitive Bidding Proced</w:t>
      </w:r>
      <w:r w:rsidRPr="00D764A7">
        <w:rPr>
          <w:i/>
        </w:rPr>
        <w:t>ures</w:t>
      </w:r>
      <w:r w:rsidRPr="00D764A7">
        <w:t xml:space="preserve">, </w:t>
      </w:r>
      <w:r>
        <w:t xml:space="preserve">WT Docket No. 97-82, </w:t>
      </w:r>
      <w:r w:rsidRPr="00D764A7">
        <w:t>Order, Memorandum Opinion and Order and Notice of Proposed Rule Making, 12 FCC Rcd 5686 (1997) (</w:t>
      </w:r>
      <w:r w:rsidRPr="00D764A7">
        <w:rPr>
          <w:i/>
        </w:rPr>
        <w:t>Auction Procedures Consolidation Order</w:t>
      </w:r>
      <w:r w:rsidRPr="00D764A7">
        <w:t>); Order on Reconsideration of the Third Report and Order, Fifth Report and Order, and Fourth F</w:t>
      </w:r>
      <w:r w:rsidRPr="00D764A7">
        <w:t>urther Notice of Proposed Rule Making, 15 FCC Rcd 15293 (2000) (</w:t>
      </w:r>
      <w:r w:rsidRPr="00D764A7">
        <w:rPr>
          <w:i/>
        </w:rPr>
        <w:t>Part 1 Fifth Report and Order</w:t>
      </w:r>
      <w:r w:rsidRPr="00D764A7">
        <w:t>) (modified by Erratum, 15 FCC Rcd 21520 (2000)); Seventh Report and Order, 16 FCC Rcd 17546 (2001) (</w:t>
      </w:r>
      <w:r w:rsidRPr="00D764A7">
        <w:rPr>
          <w:i/>
        </w:rPr>
        <w:t>Part 1 Seventh Report and Order</w:t>
      </w:r>
      <w:r w:rsidRPr="00D764A7">
        <w:t xml:space="preserve">); Eighth Report and </w:t>
      </w:r>
      <w:r w:rsidRPr="00D764A7">
        <w:t>Order, 17 FCC Rcd 2962 (2002); Second Order on</w:t>
      </w:r>
      <w:r w:rsidRPr="00D764A7">
        <w:rPr>
          <w:i/>
        </w:rPr>
        <w:t xml:space="preserve"> </w:t>
      </w:r>
      <w:r w:rsidRPr="00D764A7">
        <w:t>Reconsideration of the Third Report and Order and Order on Reconsideration of the Fifth Report and Order, 18 FCC Rcd 10180 (2003)</w:t>
      </w:r>
      <w:r>
        <w:t xml:space="preserve"> (</w:t>
      </w:r>
      <w:r w:rsidRPr="00EB5BE1">
        <w:rPr>
          <w:i/>
        </w:rPr>
        <w:t>Part 1 Third R&amp;O</w:t>
      </w:r>
      <w:r>
        <w:rPr>
          <w:i/>
        </w:rPr>
        <w:t xml:space="preserve"> Second Recon</w:t>
      </w:r>
      <w:r w:rsidRPr="00EB5BE1">
        <w:rPr>
          <w:i/>
        </w:rPr>
        <w:t>/</w:t>
      </w:r>
      <w:r>
        <w:rPr>
          <w:i/>
        </w:rPr>
        <w:t xml:space="preserve">Part 1 Fifth R&amp;O </w:t>
      </w:r>
      <w:r w:rsidRPr="00EB5BE1">
        <w:rPr>
          <w:i/>
        </w:rPr>
        <w:t>Recon</w:t>
      </w:r>
      <w:r>
        <w:t>)</w:t>
      </w:r>
      <w:r w:rsidRPr="00D764A7">
        <w:t>; Second Order on Reconsi</w:t>
      </w:r>
      <w:r w:rsidRPr="00D764A7">
        <w:t>deration of the Fifth Report and Order, 20 FCC Rcd 1942 (2005)</w:t>
      </w:r>
      <w:r>
        <w:t xml:space="preserve"> (</w:t>
      </w:r>
      <w:r w:rsidRPr="00EB5BE1">
        <w:rPr>
          <w:i/>
        </w:rPr>
        <w:t>Part 1 Fifth R&amp;O</w:t>
      </w:r>
      <w:r>
        <w:rPr>
          <w:i/>
        </w:rPr>
        <w:t xml:space="preserve"> Second Recon</w:t>
      </w:r>
      <w:r w:rsidRPr="00D764A7">
        <w:t xml:space="preserve">).  </w:t>
      </w:r>
    </w:p>
  </w:footnote>
  <w:footnote w:id="11">
    <w:p w:rsidR="00FE4F2B" w14:paraId="37C38D34" w14:textId="3D6849C6">
      <w:pPr>
        <w:pStyle w:val="FootnoteText"/>
      </w:pPr>
      <w:r>
        <w:rPr>
          <w:rStyle w:val="FootnoteReference"/>
        </w:rPr>
        <w:footnoteRef/>
      </w:r>
      <w:r>
        <w:t xml:space="preserve"> </w:t>
      </w:r>
      <w:r w:rsidRPr="00352579">
        <w:rPr>
          <w:i/>
          <w:iCs/>
        </w:rPr>
        <w:t>See</w:t>
      </w:r>
      <w:r>
        <w:rPr>
          <w:i/>
          <w:iCs/>
        </w:rPr>
        <w:t xml:space="preserve"> generally</w:t>
      </w:r>
      <w:r>
        <w:t xml:space="preserve"> 47 CFR Part 27, Subpart O.</w:t>
      </w:r>
    </w:p>
  </w:footnote>
  <w:footnote w:id="12">
    <w:p w:rsidR="00FE4F2B" w:rsidP="00D6515C" w14:paraId="3A9AF9D9" w14:textId="103104B3">
      <w:pPr>
        <w:pStyle w:val="FootnoteText"/>
      </w:pPr>
      <w:r>
        <w:rPr>
          <w:rStyle w:val="FootnoteReference"/>
        </w:rPr>
        <w:footnoteRef/>
      </w:r>
      <w:r>
        <w:t xml:space="preserve"> </w:t>
      </w:r>
      <w:r>
        <w:rPr>
          <w:i/>
        </w:rPr>
        <w:t xml:space="preserve">See generally </w:t>
      </w:r>
      <w:r>
        <w:rPr>
          <w:i/>
          <w:iCs/>
        </w:rPr>
        <w:t>id.</w:t>
      </w:r>
      <w:r>
        <w:t xml:space="preserve"> §§ 0.21(m), 0.271(a), 0.131(c), 0.331.</w:t>
      </w:r>
    </w:p>
  </w:footnote>
  <w:footnote w:id="13">
    <w:p w:rsidR="00FE4F2B" w:rsidP="00EB12A7" w14:paraId="11F9D4F9" w14:textId="67E7E5A1">
      <w:pPr>
        <w:pStyle w:val="FootnoteText"/>
      </w:pPr>
      <w:r>
        <w:rPr>
          <w:rStyle w:val="FootnoteReference"/>
        </w:rPr>
        <w:footnoteRef/>
      </w:r>
      <w:r>
        <w:t xml:space="preserve"> </w:t>
      </w:r>
      <w:r w:rsidRPr="00C07CA0">
        <w:rPr>
          <w:i/>
          <w:iCs/>
        </w:rPr>
        <w:t>See</w:t>
      </w:r>
      <w:r>
        <w:t xml:space="preserve"> </w:t>
      </w:r>
      <w:r>
        <w:rPr>
          <w:i/>
          <w:iCs/>
        </w:rPr>
        <w:t xml:space="preserve">FCC Announces Updated Restrictions on Visitors to </w:t>
      </w:r>
      <w:r>
        <w:rPr>
          <w:i/>
          <w:iCs/>
        </w:rPr>
        <w:t>its Facilities</w:t>
      </w:r>
      <w:r>
        <w:t xml:space="preserve">, Public Notice (OMD Mar. 12, 2020), </w:t>
      </w:r>
      <w:hyperlink r:id="rId2" w:history="1">
        <w:r>
          <w:rPr>
            <w:rStyle w:val="Hyperlink"/>
          </w:rPr>
          <w:t>https://docs.fcc.gov/public/attachments/DOC-363007A1.pdf</w:t>
        </w:r>
      </w:hyperlink>
      <w:r>
        <w:t>.</w:t>
      </w:r>
    </w:p>
  </w:footnote>
  <w:footnote w:id="14">
    <w:p w:rsidR="00FE4F2B" w14:paraId="55418EA1" w14:textId="40A1D5EE">
      <w:pPr>
        <w:pStyle w:val="FootnoteText"/>
      </w:pPr>
      <w:r>
        <w:rPr>
          <w:rStyle w:val="FootnoteReference"/>
        </w:rPr>
        <w:footnoteRef/>
      </w:r>
      <w:r>
        <w:t xml:space="preserve"> </w:t>
      </w:r>
      <w:r>
        <w:rPr>
          <w:i/>
        </w:rPr>
        <w:t>Auction 107</w:t>
      </w:r>
      <w:r>
        <w:rPr>
          <w:i/>
          <w:iCs/>
        </w:rPr>
        <w:t xml:space="preserve"> Comment Public Notice</w:t>
      </w:r>
      <w:r>
        <w:t xml:space="preserve">, 35 FCC Rcd at 2602, para. 2. </w:t>
      </w:r>
    </w:p>
  </w:footnote>
  <w:footnote w:id="15">
    <w:p w:rsidR="00FE4F2B" w:rsidP="00581EA4" w14:paraId="4FC04C79" w14:textId="3343FB87">
      <w:pPr>
        <w:pStyle w:val="FootnoteText"/>
      </w:pPr>
      <w:r>
        <w:rPr>
          <w:rStyle w:val="FootnoteReference"/>
        </w:rPr>
        <w:footnoteRef/>
      </w:r>
      <w:r>
        <w:rPr>
          <w:i/>
          <w:iCs/>
        </w:rPr>
        <w:t xml:space="preserve"> </w:t>
      </w:r>
      <w:r w:rsidRPr="00332FD3">
        <w:rPr>
          <w:i/>
          <w:iCs/>
        </w:rPr>
        <w:t>3.7 G</w:t>
      </w:r>
      <w:r w:rsidRPr="00332FD3">
        <w:rPr>
          <w:i/>
          <w:iCs/>
        </w:rPr>
        <w:t>Hz Report and Order</w:t>
      </w:r>
      <w:r>
        <w:t xml:space="preserve">, 35 FCC Rcd at 2377-80, paras. 72-80.  </w:t>
      </w:r>
      <w:r w:rsidRPr="00B424D7">
        <w:rPr>
          <w:iCs/>
        </w:rPr>
        <w:t xml:space="preserve">We will not issue flexible-use overlay licenses for Honolulu, Anchorage, Kodiak, Fairbanks, Juneau, Puerto Rico, Guam-Northern Mariana Islands, U.S. Virgin Islands, American Samoa, and the Gulf of </w:t>
      </w:r>
      <w:r w:rsidRPr="00B424D7">
        <w:rPr>
          <w:iCs/>
        </w:rPr>
        <w:t>Mexico (PEAs</w:t>
      </w:r>
      <w:r>
        <w:rPr>
          <w:iCs/>
        </w:rPr>
        <w:t xml:space="preserve"> </w:t>
      </w:r>
      <w:r w:rsidRPr="00B424D7">
        <w:rPr>
          <w:iCs/>
        </w:rPr>
        <w:t xml:space="preserve">42, 212, 264, 298, 360, 412–416). </w:t>
      </w:r>
      <w:r>
        <w:rPr>
          <w:iCs/>
        </w:rPr>
        <w:t xml:space="preserve"> </w:t>
      </w:r>
      <w:r w:rsidRPr="00A5623A">
        <w:rPr>
          <w:i/>
        </w:rPr>
        <w:t xml:space="preserve">Id. </w:t>
      </w:r>
      <w:r w:rsidRPr="00B424D7">
        <w:rPr>
          <w:iCs/>
        </w:rPr>
        <w:t xml:space="preserve">at </w:t>
      </w:r>
      <w:r>
        <w:rPr>
          <w:iCs/>
        </w:rPr>
        <w:t>2380</w:t>
      </w:r>
      <w:r w:rsidRPr="00B424D7">
        <w:rPr>
          <w:iCs/>
        </w:rPr>
        <w:t>, para. 80.</w:t>
      </w:r>
    </w:p>
  </w:footnote>
  <w:footnote w:id="16">
    <w:p w:rsidR="00FE4F2B" w:rsidP="006450CB" w14:paraId="61ABA868" w14:textId="0B7682FF">
      <w:pPr>
        <w:pStyle w:val="FootnoteText"/>
      </w:pPr>
      <w:r>
        <w:rPr>
          <w:rStyle w:val="FootnoteReference"/>
        </w:rPr>
        <w:footnoteRef/>
      </w:r>
      <w:r>
        <w:t xml:space="preserve"> </w:t>
      </w:r>
      <w:r>
        <w:rPr>
          <w:i/>
          <w:iCs/>
        </w:rPr>
        <w:t>Id.</w:t>
      </w:r>
      <w:r>
        <w:t xml:space="preserve"> </w:t>
      </w:r>
      <w:r w:rsidRPr="00D03FDB">
        <w:t xml:space="preserve">at </w:t>
      </w:r>
      <w:r>
        <w:t>2384-85</w:t>
      </w:r>
      <w:r w:rsidRPr="00D03FDB">
        <w:t>, paras. 90-91</w:t>
      </w:r>
      <w:r>
        <w:t xml:space="preserve">.  As described in section IV.C (License Authorizations for Interim and Final Assignments), below, licenses in the 46 PEAs may be issued as paired interim </w:t>
      </w:r>
      <w:r>
        <w:t xml:space="preserve">and final licenses, which taken together, provide authorization for a block over the full 15-year license term. </w:t>
      </w:r>
    </w:p>
  </w:footnote>
  <w:footnote w:id="17">
    <w:p w:rsidR="00FE4F2B" w14:paraId="7FE3A438" w14:textId="33CD5F0D">
      <w:pPr>
        <w:pStyle w:val="FootnoteText"/>
      </w:pPr>
      <w:r>
        <w:rPr>
          <w:rStyle w:val="FootnoteReference"/>
        </w:rPr>
        <w:footnoteRef/>
      </w:r>
      <w:r>
        <w:t xml:space="preserve"> </w:t>
      </w:r>
      <w:r w:rsidRPr="00134C46">
        <w:rPr>
          <w:i/>
          <w:iCs/>
        </w:rPr>
        <w:t xml:space="preserve">See </w:t>
      </w:r>
      <w:r>
        <w:rPr>
          <w:i/>
          <w:iCs/>
        </w:rPr>
        <w:t>id.</w:t>
      </w:r>
      <w:r>
        <w:t xml:space="preserve"> </w:t>
      </w:r>
      <w:r w:rsidRPr="00860529">
        <w:t>at 2</w:t>
      </w:r>
      <w:r>
        <w:t>370</w:t>
      </w:r>
      <w:r w:rsidRPr="00860529">
        <w:t xml:space="preserve">, para. 54; </w:t>
      </w:r>
      <w:r w:rsidRPr="00332FD3">
        <w:rPr>
          <w:i/>
          <w:iCs/>
        </w:rPr>
        <w:t>see also</w:t>
      </w:r>
      <w:r w:rsidRPr="00860529">
        <w:t xml:space="preserve"> 47 CFR § 2.106.</w:t>
      </w:r>
    </w:p>
  </w:footnote>
  <w:footnote w:id="18">
    <w:p w:rsidR="00FE4F2B" w:rsidP="00D71AF9" w14:paraId="1D38A34F" w14:textId="6791B40C">
      <w:pPr>
        <w:pStyle w:val="FootnoteText"/>
      </w:pPr>
      <w:r>
        <w:rPr>
          <w:rStyle w:val="FootnoteReference"/>
        </w:rPr>
        <w:footnoteRef/>
      </w:r>
      <w:r>
        <w:t xml:space="preserve"> </w:t>
      </w:r>
      <w:r w:rsidRPr="00F75255">
        <w:rPr>
          <w:i/>
          <w:iCs/>
        </w:rPr>
        <w:t xml:space="preserve">Wireless Telecommunications Bureau Announces Accelerated Clearing in the 3.7–4.2 GHz </w:t>
      </w:r>
      <w:r w:rsidRPr="00F75255">
        <w:rPr>
          <w:i/>
          <w:iCs/>
        </w:rPr>
        <w:t>Band</w:t>
      </w:r>
      <w:r w:rsidRPr="00F75255">
        <w:t>,</w:t>
      </w:r>
      <w:r>
        <w:t xml:space="preserve"> GN Docket No. 18-122, Public Notice, DA 20-578 (WTB June 1, 2020). </w:t>
      </w:r>
    </w:p>
  </w:footnote>
  <w:footnote w:id="19">
    <w:p w:rsidR="00FE4F2B" w14:paraId="37B968DA" w14:textId="0A65DAC6">
      <w:pPr>
        <w:pStyle w:val="FootnoteText"/>
      </w:pPr>
      <w:r>
        <w:rPr>
          <w:rStyle w:val="FootnoteReference"/>
        </w:rPr>
        <w:footnoteRef/>
      </w:r>
      <w:r>
        <w:t xml:space="preserve"> </w:t>
      </w:r>
      <w:r w:rsidRPr="00C23C4C">
        <w:rPr>
          <w:i/>
          <w:iCs/>
        </w:rPr>
        <w:t>See</w:t>
      </w:r>
      <w:r>
        <w:t xml:space="preserve"> </w:t>
      </w:r>
      <w:r w:rsidRPr="00332FD3">
        <w:rPr>
          <w:i/>
          <w:iCs/>
        </w:rPr>
        <w:t>3.7 GHz Report and Order</w:t>
      </w:r>
      <w:r>
        <w:t>, 35 FCC Rcd at 2413, para. 168; section IV.A.2 (Generic License Blocks and Bidding Categories), below.</w:t>
      </w:r>
    </w:p>
  </w:footnote>
  <w:footnote w:id="20">
    <w:p w:rsidR="00FE4F2B" w:rsidP="00D6515C" w14:paraId="0B0CBC91" w14:textId="4AB29E28">
      <w:pPr>
        <w:pStyle w:val="FootnoteText"/>
      </w:pPr>
      <w:r>
        <w:rPr>
          <w:rStyle w:val="FootnoteReference"/>
        </w:rPr>
        <w:footnoteRef/>
      </w:r>
      <w:r>
        <w:t xml:space="preserve"> We direct OEA to </w:t>
      </w:r>
      <w:r>
        <w:rPr>
          <w:szCs w:val="22"/>
        </w:rPr>
        <w:t xml:space="preserve">prepare </w:t>
      </w:r>
      <w:r w:rsidRPr="00FE420E">
        <w:rPr>
          <w:szCs w:val="22"/>
        </w:rPr>
        <w:t xml:space="preserve">and </w:t>
      </w:r>
      <w:r>
        <w:rPr>
          <w:szCs w:val="22"/>
        </w:rPr>
        <w:t xml:space="preserve">make publicly available detailed instructions for submitting an FCC Form 175 for Auction 107 (FCC Form 175 Instructions) in the Education section of the Auction 107 website at </w:t>
      </w:r>
      <w:hyperlink r:id="rId3" w:history="1">
        <w:r w:rsidRPr="00391444">
          <w:rPr>
            <w:rStyle w:val="Hyperlink"/>
            <w:szCs w:val="22"/>
          </w:rPr>
          <w:t>www.fcc.gov/auction/107</w:t>
        </w:r>
      </w:hyperlink>
      <w:r>
        <w:rPr>
          <w:szCs w:val="22"/>
        </w:rPr>
        <w:t xml:space="preserve">. </w:t>
      </w:r>
    </w:p>
  </w:footnote>
  <w:footnote w:id="21">
    <w:p w:rsidR="00FE4F2B" w:rsidRPr="00D764A7" w:rsidP="00D6515C" w14:paraId="02AAC64B" w14:textId="3F056ECC">
      <w:pPr>
        <w:pStyle w:val="FootnoteText"/>
      </w:pPr>
      <w:r w:rsidRPr="00D764A7">
        <w:rPr>
          <w:rStyle w:val="FootnoteReference"/>
        </w:rPr>
        <w:footnoteRef/>
      </w:r>
      <w:r w:rsidRPr="00D764A7">
        <w:t xml:space="preserve"> </w:t>
      </w:r>
      <w:r w:rsidRPr="00D764A7">
        <w:rPr>
          <w:i/>
        </w:rPr>
        <w:t>See</w:t>
      </w:r>
      <w:r w:rsidRPr="00D764A7">
        <w:rPr>
          <w:i/>
        </w:rPr>
        <w:t xml:space="preserve"> </w:t>
      </w:r>
      <w:r w:rsidRPr="00D764A7">
        <w:t>47 CFR § 1.2105;</w:t>
      </w:r>
      <w:r w:rsidRPr="00D764A7">
        <w:rPr>
          <w:i/>
        </w:rPr>
        <w:t xml:space="preserve"> see also </w:t>
      </w:r>
      <w:r>
        <w:rPr>
          <w:i/>
        </w:rPr>
        <w:t xml:space="preserve">Implementation of Section 309(j) of the Communications Act–Competitive </w:t>
      </w:r>
      <w:r w:rsidRPr="00E41C1B">
        <w:rPr>
          <w:i/>
        </w:rPr>
        <w:t>Bidding</w:t>
      </w:r>
      <w:r w:rsidRPr="007803A9">
        <w:t>,</w:t>
      </w:r>
      <w:r w:rsidRPr="00925FC2">
        <w:rPr>
          <w:i/>
        </w:rPr>
        <w:t xml:space="preserve"> </w:t>
      </w:r>
      <w:r>
        <w:rPr>
          <w:iCs/>
        </w:rPr>
        <w:t xml:space="preserve">PP Docket No. 93-253, </w:t>
      </w:r>
      <w:r w:rsidRPr="00925FC2">
        <w:t>Second Report and Order</w:t>
      </w:r>
      <w:r>
        <w:t xml:space="preserve">, </w:t>
      </w:r>
      <w:r w:rsidRPr="00D764A7">
        <w:t xml:space="preserve">9 FCC Rcd </w:t>
      </w:r>
      <w:r>
        <w:t xml:space="preserve">2348, </w:t>
      </w:r>
      <w:r w:rsidRPr="00D764A7">
        <w:t>2376</w:t>
      </w:r>
      <w:r>
        <w:t>-77</w:t>
      </w:r>
      <w:r w:rsidRPr="00D764A7">
        <w:t>, para. 16</w:t>
      </w:r>
      <w:r>
        <w:t>6 (1994) (</w:t>
      </w:r>
      <w:r w:rsidRPr="00E41C1B">
        <w:rPr>
          <w:i/>
        </w:rPr>
        <w:t>Competitive</w:t>
      </w:r>
      <w:r w:rsidRPr="00D764A7">
        <w:rPr>
          <w:i/>
        </w:rPr>
        <w:t xml:space="preserve"> Bidding</w:t>
      </w:r>
      <w:r w:rsidRPr="00D764A7">
        <w:t xml:space="preserve"> </w:t>
      </w:r>
      <w:r w:rsidRPr="00D764A7">
        <w:rPr>
          <w:i/>
        </w:rPr>
        <w:t>Second Report and Order</w:t>
      </w:r>
      <w:r>
        <w:t>)</w:t>
      </w:r>
      <w:r w:rsidRPr="00D764A7">
        <w:t>.</w:t>
      </w:r>
      <w:r>
        <w:t xml:space="preserve">  </w:t>
      </w:r>
    </w:p>
  </w:footnote>
  <w:footnote w:id="22">
    <w:p w:rsidR="00FE4F2B" w:rsidRPr="00D764A7" w:rsidP="00D6515C" w14:paraId="6C85E6E3" w14:textId="450C0666">
      <w:pPr>
        <w:pStyle w:val="FootnoteText"/>
      </w:pPr>
      <w:r w:rsidRPr="00D764A7">
        <w:rPr>
          <w:rStyle w:val="FootnoteReference"/>
        </w:rPr>
        <w:footnoteRef/>
      </w:r>
      <w:r w:rsidRPr="00D764A7">
        <w:t xml:space="preserve"> </w:t>
      </w:r>
      <w:r w:rsidRPr="00E41C1B">
        <w:rPr>
          <w:i/>
        </w:rPr>
        <w:t>Competitive</w:t>
      </w:r>
      <w:r w:rsidRPr="00D764A7">
        <w:rPr>
          <w:i/>
        </w:rPr>
        <w:t xml:space="preserve"> Bidding</w:t>
      </w:r>
      <w:r w:rsidRPr="00D764A7">
        <w:t xml:space="preserve"> </w:t>
      </w:r>
      <w:r w:rsidRPr="00D764A7">
        <w:rPr>
          <w:i/>
        </w:rPr>
        <w:t>Second Report and Order</w:t>
      </w:r>
      <w:r>
        <w:rPr>
          <w:iCs/>
        </w:rPr>
        <w:t>, 9 FCC Rcd</w:t>
      </w:r>
      <w:r w:rsidRPr="00D764A7">
        <w:t xml:space="preserve"> at 2376, para. 165.</w:t>
      </w:r>
    </w:p>
  </w:footnote>
  <w:footnote w:id="23">
    <w:p w:rsidR="00FE4F2B" w:rsidRPr="00D764A7" w:rsidP="00D6515C" w14:paraId="67F782C8" w14:textId="738BF87A">
      <w:pPr>
        <w:pStyle w:val="FootnoteText"/>
        <w:widowControl w:val="0"/>
      </w:pPr>
      <w:r w:rsidRPr="00D764A7">
        <w:rPr>
          <w:rStyle w:val="FootnoteReference"/>
        </w:rPr>
        <w:footnoteRef/>
      </w:r>
      <w:r w:rsidRPr="00D764A7">
        <w:rPr>
          <w:i/>
        </w:rPr>
        <w:t xml:space="preserve"> See </w:t>
      </w:r>
      <w:r>
        <w:t xml:space="preserve">section </w:t>
      </w:r>
      <w:r w:rsidRPr="00DB0ABB">
        <w:t>III.F</w:t>
      </w:r>
      <w:r w:rsidRPr="00D764A7">
        <w:t xml:space="preserve"> (Upfront Payments)</w:t>
      </w:r>
      <w:r>
        <w:t>, below</w:t>
      </w:r>
      <w:r w:rsidRPr="00D764A7">
        <w:rPr>
          <w:i/>
        </w:rPr>
        <w:t xml:space="preserve">.  </w:t>
      </w:r>
      <w:r w:rsidRPr="00D764A7">
        <w:t xml:space="preserve"> </w:t>
      </w:r>
      <w:r w:rsidRPr="00D764A7">
        <w:rPr>
          <w:i/>
        </w:rPr>
        <w:t xml:space="preserve">  </w:t>
      </w:r>
    </w:p>
  </w:footnote>
  <w:footnote w:id="24">
    <w:p w:rsidR="00FE4F2B" w:rsidRPr="00D764A7" w:rsidP="00D6515C" w14:paraId="1D612E37" w14:textId="5DADA77C">
      <w:pPr>
        <w:pStyle w:val="FootnoteText"/>
        <w:widowControl w:val="0"/>
        <w:rPr>
          <w:b/>
        </w:rPr>
      </w:pPr>
      <w:r w:rsidRPr="00D764A7">
        <w:rPr>
          <w:rStyle w:val="FootnoteReference"/>
        </w:rPr>
        <w:footnoteRef/>
      </w:r>
      <w:r w:rsidRPr="00D764A7">
        <w:t xml:space="preserve"> 47 CFR § 1.2107.  </w:t>
      </w:r>
      <w:r>
        <w:t>We</w:t>
      </w:r>
      <w:r w:rsidRPr="00D764A7">
        <w:t xml:space="preserve"> remind applicants that being deemed qualified to bid in Auction 10</w:t>
      </w:r>
      <w:r>
        <w:t xml:space="preserve">7 </w:t>
      </w:r>
      <w:r w:rsidRPr="00D764A7">
        <w:t>does not constitute a determination th</w:t>
      </w:r>
      <w:r w:rsidRPr="00D764A7">
        <w:t xml:space="preserve">at a </w:t>
      </w:r>
      <w:r>
        <w:t>party</w:t>
      </w:r>
      <w:r w:rsidRPr="00D764A7">
        <w:t xml:space="preserve"> is qualified to hold a Commission license or is eligible for a designated entity bidding credit. </w:t>
      </w:r>
    </w:p>
  </w:footnote>
  <w:footnote w:id="25">
    <w:p w:rsidR="00FE4F2B" w:rsidP="00D6515C" w14:paraId="3436BB9D" w14:textId="10D83627">
      <w:pPr>
        <w:pStyle w:val="FootnoteText"/>
      </w:pPr>
      <w:r>
        <w:rPr>
          <w:rStyle w:val="FootnoteReference"/>
        </w:rPr>
        <w:footnoteRef/>
      </w:r>
      <w:r>
        <w:t xml:space="preserve"> </w:t>
      </w:r>
      <w:r w:rsidRPr="00576BB1">
        <w:rPr>
          <w:i/>
        </w:rPr>
        <w:t xml:space="preserve">Id. </w:t>
      </w:r>
      <w:r w:rsidRPr="00D764A7">
        <w:t>§ 1.2105(</w:t>
      </w:r>
      <w:r>
        <w:t>c</w:t>
      </w:r>
      <w:r w:rsidRPr="00D764A7">
        <w:t>).</w:t>
      </w:r>
    </w:p>
  </w:footnote>
  <w:footnote w:id="26">
    <w:p w:rsidR="00FE4F2B" w:rsidRPr="00D764A7" w:rsidP="00D6515C" w14:paraId="32C84263" w14:textId="2FD895B0">
      <w:pPr>
        <w:pStyle w:val="FootnoteText"/>
      </w:pPr>
      <w:r w:rsidRPr="00D764A7">
        <w:rPr>
          <w:rStyle w:val="FootnoteReference"/>
        </w:rPr>
        <w:footnoteRef/>
      </w:r>
      <w:r w:rsidRPr="00D764A7">
        <w:t xml:space="preserve"> </w:t>
      </w:r>
      <w:r>
        <w:t>T</w:t>
      </w:r>
      <w:r w:rsidRPr="00D764A7">
        <w:t>he prohibition will end for applicants on the post-auction down payment deadline</w:t>
      </w:r>
      <w:r>
        <w:t xml:space="preserve"> for Auction 107</w:t>
      </w:r>
      <w:r w:rsidRPr="00D764A7">
        <w:t xml:space="preserve">.  </w:t>
      </w:r>
      <w:r w:rsidRPr="00D764A7">
        <w:rPr>
          <w:i/>
        </w:rPr>
        <w:t>See</w:t>
      </w:r>
      <w:r>
        <w:rPr>
          <w:i/>
        </w:rPr>
        <w:t xml:space="preserve"> </w:t>
      </w:r>
      <w:r>
        <w:t>section</w:t>
      </w:r>
      <w:r w:rsidRPr="00D764A7">
        <w:t xml:space="preserve"> </w:t>
      </w:r>
      <w:r w:rsidRPr="00DB0ABB">
        <w:t>II.G.2</w:t>
      </w:r>
      <w:r w:rsidRPr="00D764A7">
        <w:t xml:space="preserve"> (</w:t>
      </w:r>
      <w:r>
        <w:t>Prohib</w:t>
      </w:r>
      <w:r>
        <w:t>ition Applies Until Down Payment Deadline</w:t>
      </w:r>
      <w:r w:rsidRPr="00D764A7">
        <w:t>)</w:t>
      </w:r>
      <w:r>
        <w:t>, below</w:t>
      </w:r>
      <w:r w:rsidRPr="00D764A7">
        <w:t xml:space="preserve">.  </w:t>
      </w:r>
    </w:p>
  </w:footnote>
  <w:footnote w:id="27">
    <w:p w:rsidR="00FE4F2B" w:rsidRPr="00D764A7" w:rsidP="00D6515C" w14:paraId="47A7AD53" w14:textId="77777777">
      <w:pPr>
        <w:pStyle w:val="FootnoteText"/>
        <w:widowControl w:val="0"/>
      </w:pPr>
      <w:r w:rsidRPr="00D764A7">
        <w:rPr>
          <w:rStyle w:val="FootnoteReference"/>
        </w:rPr>
        <w:footnoteRef/>
      </w:r>
      <w:r w:rsidRPr="00D764A7">
        <w:t xml:space="preserve"> 47 CFR § 1.2105(a)(2).</w:t>
      </w:r>
    </w:p>
  </w:footnote>
  <w:footnote w:id="28">
    <w:p w:rsidR="00FE4F2B" w:rsidRPr="00D764A7" w:rsidP="00D6515C" w14:paraId="06B12F6F" w14:textId="77777777">
      <w:pPr>
        <w:pStyle w:val="FootnoteText"/>
        <w:widowControl w:val="0"/>
      </w:pPr>
      <w:r w:rsidRPr="00D764A7">
        <w:rPr>
          <w:rStyle w:val="FootnoteReference"/>
        </w:rPr>
        <w:footnoteRef/>
      </w:r>
      <w:r w:rsidRPr="00D764A7">
        <w:t xml:space="preserve"> </w:t>
      </w:r>
      <w:r w:rsidRPr="00D764A7">
        <w:rPr>
          <w:i/>
        </w:rPr>
        <w:t xml:space="preserve">See </w:t>
      </w:r>
      <w:r w:rsidRPr="00CB378E">
        <w:rPr>
          <w:i/>
        </w:rPr>
        <w:t xml:space="preserve">id. </w:t>
      </w:r>
      <w:r w:rsidRPr="00D764A7">
        <w:t>§ 1.2105(b)(1).</w:t>
      </w:r>
    </w:p>
  </w:footnote>
  <w:footnote w:id="29">
    <w:p w:rsidR="00FE4F2B" w:rsidRPr="00D764A7" w:rsidP="00D6515C" w14:paraId="5675667A" w14:textId="6C0B402E">
      <w:pPr>
        <w:pStyle w:val="FootnoteText"/>
        <w:widowControl w:val="0"/>
      </w:pPr>
      <w:r w:rsidRPr="00D764A7">
        <w:rPr>
          <w:rStyle w:val="FootnoteReference"/>
        </w:rPr>
        <w:footnoteRef/>
      </w:r>
      <w:r w:rsidRPr="00D764A7">
        <w:t xml:space="preserve"> As more fully explained below in </w:t>
      </w:r>
      <w:r>
        <w:t>section</w:t>
      </w:r>
      <w:r w:rsidRPr="00D764A7">
        <w:t xml:space="preserve"> </w:t>
      </w:r>
      <w:r w:rsidRPr="00DB0ABB">
        <w:t>II.K</w:t>
      </w:r>
      <w:r w:rsidRPr="00D764A7">
        <w:t xml:space="preserve"> (Modifications to FCC Form 175), applicants are not permitted to make major modifications to their FCC F</w:t>
      </w:r>
      <w:r w:rsidRPr="00D764A7">
        <w:t xml:space="preserve">orm 175 applications after the filing deadline.  </w:t>
      </w:r>
      <w:r w:rsidRPr="00D764A7">
        <w:rPr>
          <w:i/>
        </w:rPr>
        <w:t xml:space="preserve">See </w:t>
      </w:r>
      <w:r w:rsidRPr="00D764A7">
        <w:t xml:space="preserve">47 CFR § 1.2105(b)(2).  A change in the </w:t>
      </w:r>
      <w:r>
        <w:t xml:space="preserve">required certifications </w:t>
      </w:r>
      <w:r w:rsidRPr="00D764A7">
        <w:t>is considered a major change and would therefore not be permitted.</w:t>
      </w:r>
    </w:p>
  </w:footnote>
  <w:footnote w:id="30">
    <w:p w:rsidR="00FE4F2B" w:rsidP="00D6515C" w14:paraId="70E93627" w14:textId="0260E489">
      <w:pPr>
        <w:pStyle w:val="FootnoteText"/>
      </w:pPr>
      <w:r>
        <w:rPr>
          <w:rStyle w:val="FootnoteReference"/>
        </w:rPr>
        <w:footnoteRef/>
      </w:r>
      <w:r>
        <w:t xml:space="preserve"> </w:t>
      </w:r>
      <w:r w:rsidRPr="00A97B40">
        <w:rPr>
          <w:i/>
        </w:rPr>
        <w:t xml:space="preserve">See </w:t>
      </w:r>
      <w:r w:rsidRPr="00A97B40">
        <w:rPr>
          <w:i/>
          <w:iCs/>
        </w:rPr>
        <w:t xml:space="preserve">Examination of Current Policy Concerning Treatment of </w:t>
      </w:r>
      <w:r w:rsidRPr="00A97B40">
        <w:rPr>
          <w:i/>
          <w:iCs/>
        </w:rPr>
        <w:t>Confidential Information Submitted to the Commission</w:t>
      </w:r>
      <w:r w:rsidRPr="00374A32">
        <w:rPr>
          <w:iCs/>
        </w:rPr>
        <w:t>,</w:t>
      </w:r>
      <w:r>
        <w:rPr>
          <w:iCs/>
        </w:rPr>
        <w:t xml:space="preserve"> GC Docket No. 96-55,</w:t>
      </w:r>
      <w:r w:rsidRPr="00A97B40">
        <w:rPr>
          <w:i/>
          <w:iCs/>
        </w:rPr>
        <w:t xml:space="preserve"> </w:t>
      </w:r>
      <w:r w:rsidRPr="00A97B40">
        <w:t xml:space="preserve">Report and Order, 13 FCC Red 24816, </w:t>
      </w:r>
      <w:r w:rsidRPr="00D5018F">
        <w:t>24822-23, para. 8 (1998</w:t>
      </w:r>
      <w:r w:rsidRPr="00A97B40">
        <w:t>).</w:t>
      </w:r>
      <w:r>
        <w:t xml:space="preserve">  </w:t>
      </w:r>
    </w:p>
  </w:footnote>
  <w:footnote w:id="31">
    <w:p w:rsidR="00FE4F2B" w:rsidP="00D6515C" w14:paraId="3DCF5C39" w14:textId="51A23E9F">
      <w:pPr>
        <w:pStyle w:val="FootnoteText"/>
      </w:pPr>
      <w:r>
        <w:rPr>
          <w:rStyle w:val="FootnoteReference"/>
        </w:rPr>
        <w:footnoteRef/>
      </w:r>
      <w:r>
        <w:t xml:space="preserve"> </w:t>
      </w:r>
      <w:r w:rsidRPr="008E743C">
        <w:rPr>
          <w:i/>
        </w:rPr>
        <w:t>See</w:t>
      </w:r>
      <w:r>
        <w:rPr>
          <w:i/>
        </w:rPr>
        <w:t>, e.</w:t>
      </w:r>
      <w:r w:rsidRPr="00374A32">
        <w:rPr>
          <w:i/>
        </w:rPr>
        <w:t>g.</w:t>
      </w:r>
      <w:r w:rsidRPr="00332FD3">
        <w:rPr>
          <w:i/>
          <w:iCs/>
        </w:rPr>
        <w:t>,</w:t>
      </w:r>
      <w:r w:rsidRPr="008E743C">
        <w:rPr>
          <w:i/>
        </w:rPr>
        <w:t xml:space="preserve"> </w:t>
      </w:r>
      <w:r w:rsidRPr="008E743C">
        <w:rPr>
          <w:i/>
          <w:iCs/>
        </w:rPr>
        <w:t>SAL Spectrum, LLC – Request for Confidential Treatment of Subscriber Information Provided in FCC Form 17</w:t>
      </w:r>
      <w:r w:rsidRPr="008E743C">
        <w:rPr>
          <w:i/>
          <w:iCs/>
        </w:rPr>
        <w:t>5</w:t>
      </w:r>
      <w:r w:rsidRPr="008E743C">
        <w:rPr>
          <w:rFonts w:eastAsia="TimesNewRoman"/>
        </w:rPr>
        <w:t>, Letter Order, 31 FCC Rcd 3726 (WTB 2016) (denying a request for confidentiality of the number of wireless, wireline, broadband, and cable subscribers submitted by an applicant for only those affiliates operating in the United States)</w:t>
      </w:r>
      <w:r>
        <w:rPr>
          <w:rFonts w:eastAsia="TimesNewRoman"/>
        </w:rPr>
        <w:t>.</w:t>
      </w:r>
    </w:p>
  </w:footnote>
  <w:footnote w:id="32">
    <w:p w:rsidR="00FE4F2B" w:rsidRPr="00D764A7" w:rsidP="008A1D33" w14:paraId="55051D86" w14:textId="413C9E19">
      <w:pPr>
        <w:pStyle w:val="FootnoteText"/>
        <w:widowControl w:val="0"/>
      </w:pPr>
      <w:r w:rsidRPr="00D764A7">
        <w:rPr>
          <w:rStyle w:val="FootnoteReference"/>
        </w:rPr>
        <w:footnoteRef/>
      </w:r>
      <w:r w:rsidRPr="00D764A7">
        <w:t xml:space="preserve"> </w:t>
      </w:r>
      <w:r w:rsidRPr="00D764A7">
        <w:rPr>
          <w:i/>
        </w:rPr>
        <w:t xml:space="preserve">See </w:t>
      </w:r>
      <w:r>
        <w:rPr>
          <w:iCs/>
        </w:rPr>
        <w:t>47 CFR</w:t>
      </w:r>
      <w:r w:rsidRPr="00925FC2">
        <w:rPr>
          <w:i/>
        </w:rPr>
        <w:t xml:space="preserve"> </w:t>
      </w:r>
      <w:r w:rsidRPr="00D764A7">
        <w:t xml:space="preserve">§ </w:t>
      </w:r>
      <w:r w:rsidRPr="00D764A7">
        <w:rPr>
          <w:rStyle w:val="footnote"/>
        </w:rPr>
        <w:t>1.2</w:t>
      </w:r>
      <w:r w:rsidRPr="00D764A7">
        <w:rPr>
          <w:rStyle w:val="footnote"/>
        </w:rPr>
        <w:t>105(a)(2)(iii)</w:t>
      </w:r>
      <w:r>
        <w:rPr>
          <w:rStyle w:val="footnote"/>
        </w:rPr>
        <w:t>.</w:t>
      </w:r>
    </w:p>
  </w:footnote>
  <w:footnote w:id="33">
    <w:p w:rsidR="00FE4F2B" w:rsidRPr="00D764A7" w:rsidP="00D6515C" w14:paraId="5711B978" w14:textId="58494C67">
      <w:pPr>
        <w:pStyle w:val="FootnoteText"/>
      </w:pPr>
      <w:r w:rsidRPr="00D764A7">
        <w:rPr>
          <w:rStyle w:val="FootnoteReference"/>
        </w:rPr>
        <w:footnoteRef/>
      </w:r>
      <w:r w:rsidRPr="00D764A7">
        <w:t xml:space="preserve"> </w:t>
      </w:r>
      <w:r w:rsidRPr="00D764A7">
        <w:rPr>
          <w:i/>
        </w:rPr>
        <w:t xml:space="preserve">See </w:t>
      </w:r>
      <w:r>
        <w:rPr>
          <w:i/>
          <w:iCs/>
        </w:rPr>
        <w:t>id.</w:t>
      </w:r>
      <w:r w:rsidRPr="000A5FFA">
        <w:t xml:space="preserve"> </w:t>
      </w:r>
      <w:r w:rsidRPr="00D764A7">
        <w:t xml:space="preserve">§ 1.2105(a)(3); </w:t>
      </w:r>
      <w:r w:rsidRPr="00D764A7">
        <w:rPr>
          <w:i/>
        </w:rPr>
        <w:t>see also</w:t>
      </w:r>
      <w:r w:rsidRPr="00D764A7">
        <w:t xml:space="preserve"> </w:t>
      </w:r>
      <w:r>
        <w:rPr>
          <w:i/>
        </w:rPr>
        <w:t>Updating Part 1 Report and Order</w:t>
      </w:r>
      <w:r w:rsidRPr="00D764A7">
        <w:t xml:space="preserve">, 30 FCC Rcd at 7579, para. 205.  </w:t>
      </w:r>
    </w:p>
  </w:footnote>
  <w:footnote w:id="34">
    <w:p w:rsidR="00FE4F2B" w:rsidRPr="00D764A7" w:rsidP="00D6515C" w14:paraId="5E05045D" w14:textId="61B57508">
      <w:pPr>
        <w:pStyle w:val="FootnoteText"/>
        <w:widowControl w:val="0"/>
      </w:pPr>
      <w:r w:rsidRPr="00D764A7">
        <w:rPr>
          <w:rStyle w:val="FootnoteReference"/>
        </w:rPr>
        <w:footnoteRef/>
      </w:r>
      <w:r w:rsidRPr="00D764A7">
        <w:t xml:space="preserve"> </w:t>
      </w:r>
      <w:r w:rsidRPr="00D764A7">
        <w:rPr>
          <w:i/>
        </w:rPr>
        <w:t xml:space="preserve">See </w:t>
      </w:r>
      <w:r w:rsidRPr="00D764A7">
        <w:t>47 CFR § 1.2105(a)(3)</w:t>
      </w:r>
      <w:r>
        <w:t>,</w:t>
      </w:r>
      <w:r w:rsidRPr="00D764A7">
        <w:t xml:space="preserve"> (b)(1)(ii).</w:t>
      </w:r>
    </w:p>
  </w:footnote>
  <w:footnote w:id="35">
    <w:p w:rsidR="00FE4F2B" w:rsidRPr="00D764A7" w:rsidP="00D6515C" w14:paraId="0185407A" w14:textId="724AD1E1">
      <w:pPr>
        <w:pStyle w:val="FootnoteText"/>
        <w:widowControl w:val="0"/>
      </w:pPr>
      <w:r w:rsidRPr="00D764A7">
        <w:rPr>
          <w:rStyle w:val="FootnoteReference"/>
        </w:rPr>
        <w:footnoteRef/>
      </w:r>
      <w:r w:rsidRPr="00D764A7">
        <w:t xml:space="preserve"> </w:t>
      </w:r>
      <w:r w:rsidRPr="00D764A7">
        <w:rPr>
          <w:i/>
        </w:rPr>
        <w:t xml:space="preserve">See </w:t>
      </w:r>
      <w:r>
        <w:rPr>
          <w:i/>
        </w:rPr>
        <w:t>Updating Part 1 Report and Order</w:t>
      </w:r>
      <w:r w:rsidRPr="00D764A7">
        <w:t>, 30 FCC Rcd at 7580-81, paras. 206</w:t>
      </w:r>
      <w:r>
        <w:t>-</w:t>
      </w:r>
      <w:r w:rsidRPr="00D764A7">
        <w:t>08.</w:t>
      </w:r>
    </w:p>
  </w:footnote>
  <w:footnote w:id="36">
    <w:p w:rsidR="00FE4F2B" w:rsidRPr="00D764A7" w:rsidP="00D6515C" w14:paraId="70072FE1" w14:textId="26948E7A">
      <w:pPr>
        <w:pStyle w:val="FootnoteText"/>
        <w:widowControl w:val="0"/>
      </w:pPr>
      <w:r w:rsidRPr="00D764A7">
        <w:rPr>
          <w:rStyle w:val="FootnoteReference"/>
        </w:rPr>
        <w:footnoteRef/>
      </w:r>
      <w:r w:rsidRPr="00D764A7">
        <w:t xml:space="preserve"> </w:t>
      </w:r>
      <w:r w:rsidRPr="00D764A7">
        <w:rPr>
          <w:i/>
        </w:rPr>
        <w:t xml:space="preserve">See </w:t>
      </w:r>
      <w:r w:rsidRPr="00D764A7">
        <w:t xml:space="preserve">47 CFR § 1.2105(a)(3), (a)(4)(i), (b)(1)(ii); </w:t>
      </w:r>
      <w:r>
        <w:rPr>
          <w:i/>
        </w:rPr>
        <w:t>Updating Part 1 Report and Order</w:t>
      </w:r>
      <w:r w:rsidRPr="00D764A7">
        <w:t xml:space="preserve">, 30 FCC Rcd at 7580-81, paras. 206-08.  This restriction applies across all applications, without regard to the geographic areas selected.  </w:t>
      </w:r>
      <w:r w:rsidRPr="00D764A7">
        <w:rPr>
          <w:i/>
        </w:rPr>
        <w:t xml:space="preserve">See </w:t>
      </w:r>
      <w:r>
        <w:rPr>
          <w:i/>
        </w:rPr>
        <w:t>id.</w:t>
      </w:r>
      <w:r w:rsidRPr="00D764A7">
        <w:t xml:space="preserve"> at 7580, para. 206.  The Comm</w:t>
      </w:r>
      <w:r w:rsidRPr="00D764A7">
        <w:t xml:space="preserve">ission adopted a limited exception to the general </w:t>
      </w:r>
      <w:r>
        <w:t>prohibition on</w:t>
      </w:r>
      <w:r w:rsidRPr="00D764A7">
        <w:t xml:space="preserve"> the filing of multiple applications by commonly</w:t>
      </w:r>
      <w:r>
        <w:t xml:space="preserve"> </w:t>
      </w:r>
      <w:r w:rsidRPr="00D764A7">
        <w:t xml:space="preserve">controlled entities for qualified rural wireless partnerships and individual members of such partnerships.  </w:t>
      </w:r>
      <w:r w:rsidRPr="00D764A7">
        <w:rPr>
          <w:i/>
        </w:rPr>
        <w:t xml:space="preserve">See </w:t>
      </w:r>
      <w:r w:rsidRPr="00D764A7">
        <w:t>47 CFR § 1.2105(a)(3).  Under t</w:t>
      </w:r>
      <w:r w:rsidRPr="00D764A7">
        <w:t xml:space="preserve">his limited exception, each qualifying rural wireless partnership and its individual members will be permitted to participate separately in an auction.  </w:t>
      </w:r>
      <w:r w:rsidRPr="00D764A7">
        <w:rPr>
          <w:i/>
        </w:rPr>
        <w:t xml:space="preserve">See </w:t>
      </w:r>
      <w:r w:rsidRPr="007803A9">
        <w:rPr>
          <w:i/>
        </w:rPr>
        <w:t>id.</w:t>
      </w:r>
      <w:r w:rsidRPr="00D764A7">
        <w:t xml:space="preserve">; </w:t>
      </w:r>
      <w:r w:rsidRPr="00D764A7">
        <w:rPr>
          <w:i/>
        </w:rPr>
        <w:t>see also</w:t>
      </w:r>
      <w:r w:rsidRPr="00D764A7">
        <w:t xml:space="preserve"> </w:t>
      </w:r>
      <w:r>
        <w:rPr>
          <w:i/>
        </w:rPr>
        <w:t>Updating Part 1 Report and Order</w:t>
      </w:r>
      <w:r w:rsidRPr="00D764A7">
        <w:t>, 30 FCC Rcd at 7582, para. 210.</w:t>
      </w:r>
    </w:p>
  </w:footnote>
  <w:footnote w:id="37">
    <w:p w:rsidR="00FE4F2B" w:rsidP="00D6515C" w14:paraId="5EC4C758" w14:textId="1152D899">
      <w:pPr>
        <w:pStyle w:val="FootnoteText"/>
      </w:pPr>
      <w:r>
        <w:rPr>
          <w:rStyle w:val="FootnoteReference"/>
        </w:rPr>
        <w:footnoteRef/>
      </w:r>
      <w:r>
        <w:t xml:space="preserve"> </w:t>
      </w:r>
      <w:r>
        <w:rPr>
          <w:i/>
        </w:rPr>
        <w:t>See</w:t>
      </w:r>
      <w:r>
        <w:t xml:space="preserve"> </w:t>
      </w:r>
      <w:r>
        <w:rPr>
          <w:i/>
        </w:rPr>
        <w:t xml:space="preserve">Updating Part </w:t>
      </w:r>
      <w:r>
        <w:rPr>
          <w:i/>
        </w:rPr>
        <w:t>1 Report and Order</w:t>
      </w:r>
      <w:r w:rsidRPr="00D764A7">
        <w:t>, 30 FCC Rcd at 75</w:t>
      </w:r>
      <w:r>
        <w:t>80</w:t>
      </w:r>
      <w:r w:rsidRPr="00D764A7">
        <w:t>, para. 20</w:t>
      </w:r>
      <w:r>
        <w:t>6.</w:t>
      </w:r>
    </w:p>
  </w:footnote>
  <w:footnote w:id="38">
    <w:p w:rsidR="00FE4F2B" w:rsidRPr="00D764A7" w:rsidP="00D6515C" w14:paraId="5C51223E" w14:textId="77777777">
      <w:pPr>
        <w:pStyle w:val="FootnoteText"/>
      </w:pPr>
      <w:r w:rsidRPr="00D764A7">
        <w:rPr>
          <w:rStyle w:val="FootnoteReference"/>
        </w:rPr>
        <w:footnoteRef/>
      </w:r>
      <w:r w:rsidRPr="00D764A7">
        <w:t xml:space="preserve"> 47 CFR § 1.2105(b)(2).</w:t>
      </w:r>
    </w:p>
  </w:footnote>
  <w:footnote w:id="39">
    <w:p w:rsidR="00FE4F2B" w:rsidRPr="00D764A7" w:rsidP="00D6515C" w14:paraId="7D708EC1" w14:textId="2F07E7FD">
      <w:pPr>
        <w:pStyle w:val="FootnoteText"/>
        <w:widowControl w:val="0"/>
      </w:pPr>
      <w:r w:rsidRPr="00D764A7">
        <w:rPr>
          <w:rStyle w:val="FootnoteReference"/>
        </w:rPr>
        <w:footnoteRef/>
      </w:r>
      <w:r>
        <w:rPr>
          <w:i/>
          <w:iCs/>
        </w:rPr>
        <w:t xml:space="preserve"> Id</w:t>
      </w:r>
      <w:r w:rsidRPr="00D764A7">
        <w:t>.</w:t>
      </w:r>
    </w:p>
  </w:footnote>
  <w:footnote w:id="40">
    <w:p w:rsidR="00FE4F2B" w:rsidRPr="00D764A7" w:rsidP="00D6515C" w14:paraId="62216E02" w14:textId="02F648FA">
      <w:pPr>
        <w:pStyle w:val="FootnoteText"/>
        <w:widowControl w:val="0"/>
      </w:pPr>
      <w:r w:rsidRPr="00D764A7">
        <w:rPr>
          <w:rStyle w:val="FootnoteReference"/>
        </w:rPr>
        <w:footnoteRef/>
      </w:r>
      <w:r w:rsidRPr="00D764A7">
        <w:t xml:space="preserve"> </w:t>
      </w:r>
      <w:r w:rsidRPr="00CB378E">
        <w:rPr>
          <w:i/>
        </w:rPr>
        <w:t>Id.</w:t>
      </w:r>
      <w:r w:rsidRPr="00D764A7">
        <w:t xml:space="preserve"> § 1.2105(a)(2)(viii), (a)(4).  As defined for purposes of this rule, a</w:t>
      </w:r>
      <w:r w:rsidRPr="00D764A7">
        <w:rPr>
          <w:color w:val="000000"/>
        </w:rPr>
        <w:t xml:space="preserve"> controlling interest includes all individuals or entities with positive or negative </w:t>
      </w:r>
      <w:r w:rsidRPr="00D764A7">
        <w:rPr>
          <w:i/>
          <w:iCs/>
          <w:color w:val="000000"/>
        </w:rPr>
        <w:t>de jure</w:t>
      </w:r>
      <w:r w:rsidRPr="00D764A7">
        <w:rPr>
          <w:color w:val="000000"/>
        </w:rPr>
        <w:t xml:space="preserve"> or </w:t>
      </w:r>
      <w:r w:rsidRPr="00D764A7">
        <w:rPr>
          <w:i/>
          <w:iCs/>
          <w:color w:val="000000"/>
        </w:rPr>
        <w:t>de</w:t>
      </w:r>
      <w:r w:rsidRPr="00D764A7">
        <w:rPr>
          <w:i/>
          <w:iCs/>
          <w:color w:val="000000"/>
        </w:rPr>
        <w:t xml:space="preserve"> facto</w:t>
      </w:r>
      <w:r w:rsidRPr="00D764A7">
        <w:rPr>
          <w:color w:val="000000"/>
        </w:rPr>
        <w:t xml:space="preserve"> control of the </w:t>
      </w:r>
      <w:r>
        <w:rPr>
          <w:color w:val="000000"/>
        </w:rPr>
        <w:t>applicant</w:t>
      </w:r>
      <w:r w:rsidRPr="00D764A7">
        <w:rPr>
          <w:color w:val="000000"/>
        </w:rPr>
        <w:t xml:space="preserve">.  </w:t>
      </w:r>
      <w:r w:rsidRPr="00D764A7">
        <w:rPr>
          <w:i/>
          <w:color w:val="000000"/>
        </w:rPr>
        <w:t xml:space="preserve">See </w:t>
      </w:r>
      <w:r w:rsidRPr="00CB378E">
        <w:rPr>
          <w:i/>
          <w:color w:val="000000"/>
        </w:rPr>
        <w:t xml:space="preserve">id. </w:t>
      </w:r>
      <w:r w:rsidRPr="00D764A7">
        <w:rPr>
          <w:color w:val="000000"/>
        </w:rPr>
        <w:t xml:space="preserve">§ 1.2105(a)(4)(i).  This definition is modeled on a similar term used in </w:t>
      </w:r>
      <w:r>
        <w:rPr>
          <w:color w:val="000000"/>
        </w:rPr>
        <w:t>section</w:t>
      </w:r>
      <w:r w:rsidRPr="00D764A7">
        <w:rPr>
          <w:color w:val="000000"/>
        </w:rPr>
        <w:t xml:space="preserve"> 1.2110(c) (definitions for designated entities), though it differs in some respects from that rule.  </w:t>
      </w:r>
      <w:r w:rsidRPr="00D764A7">
        <w:rPr>
          <w:i/>
          <w:color w:val="000000"/>
        </w:rPr>
        <w:t>Compare</w:t>
      </w:r>
      <w:r w:rsidRPr="00D764A7">
        <w:rPr>
          <w:color w:val="000000"/>
        </w:rPr>
        <w:t xml:space="preserve"> </w:t>
      </w:r>
      <w:r w:rsidRPr="007803A9">
        <w:rPr>
          <w:i/>
          <w:color w:val="000000"/>
        </w:rPr>
        <w:t>id.</w:t>
      </w:r>
      <w:r w:rsidRPr="00925FC2">
        <w:rPr>
          <w:i/>
          <w:color w:val="000000"/>
        </w:rPr>
        <w:t xml:space="preserve"> </w:t>
      </w:r>
      <w:r w:rsidRPr="00D764A7">
        <w:rPr>
          <w:color w:val="000000"/>
        </w:rPr>
        <w:t xml:space="preserve">§ 1.2105(a)(4)(i) </w:t>
      </w:r>
      <w:r w:rsidRPr="00CB378E">
        <w:rPr>
          <w:i/>
          <w:color w:val="000000"/>
        </w:rPr>
        <w:t>with</w:t>
      </w:r>
      <w:r w:rsidRPr="00D764A7">
        <w:rPr>
          <w:color w:val="000000"/>
        </w:rPr>
        <w:t xml:space="preserve"> </w:t>
      </w:r>
      <w:r w:rsidRPr="00CB378E">
        <w:rPr>
          <w:i/>
          <w:color w:val="000000"/>
        </w:rPr>
        <w:t xml:space="preserve">id. </w:t>
      </w:r>
      <w:r w:rsidRPr="00D764A7">
        <w:rPr>
          <w:color w:val="000000"/>
        </w:rPr>
        <w:t>§ 1.2110(c)</w:t>
      </w:r>
      <w:r>
        <w:rPr>
          <w:color w:val="000000"/>
        </w:rPr>
        <w:t>(2)</w:t>
      </w:r>
      <w:r w:rsidRPr="00D764A7">
        <w:rPr>
          <w:color w:val="000000"/>
        </w:rPr>
        <w:t xml:space="preserve">.  </w:t>
      </w:r>
    </w:p>
  </w:footnote>
  <w:footnote w:id="41">
    <w:p w:rsidR="00FE4F2B" w:rsidRPr="00356ED9" w:rsidP="00D6515C" w14:paraId="37863225" w14:textId="4551B99E">
      <w:pPr>
        <w:pStyle w:val="FootnoteText"/>
        <w:widowControl w:val="0"/>
      </w:pPr>
      <w:r w:rsidRPr="00D764A7">
        <w:rPr>
          <w:rStyle w:val="FootnoteReference"/>
        </w:rPr>
        <w:footnoteRef/>
      </w:r>
      <w:r w:rsidRPr="00D764A7">
        <w:t xml:space="preserve"> </w:t>
      </w:r>
      <w:r w:rsidRPr="00CB378E">
        <w:rPr>
          <w:i/>
        </w:rPr>
        <w:t>Id.</w:t>
      </w:r>
      <w:r w:rsidRPr="00D764A7">
        <w:t xml:space="preserve"> § 1.2105(a)(2)(viii).</w:t>
      </w:r>
      <w:r>
        <w:t xml:space="preserve">  As discussed below, a</w:t>
      </w:r>
      <w:r w:rsidRPr="00C60499">
        <w:t>n applicant may continue negotiating, discussing, or communicating with respect to a new agreement after the FCC Form 175 filing deadline, provided that the comm</w:t>
      </w:r>
      <w:r w:rsidRPr="00C60499">
        <w:t>unications involved do not relate both to the licenses being auctioned and to bids or bidding strategies or post-auction market structure.</w:t>
      </w:r>
      <w:r>
        <w:t xml:space="preserve">  </w:t>
      </w:r>
      <w:r>
        <w:rPr>
          <w:i/>
        </w:rPr>
        <w:t xml:space="preserve">See </w:t>
      </w:r>
      <w:r>
        <w:t>section II.G.3 (Scope of Prohibition on Certain Communications; Prohibition on Joint Bidding Agreements), below.</w:t>
      </w:r>
    </w:p>
  </w:footnote>
  <w:footnote w:id="42">
    <w:p w:rsidR="00FE4F2B" w:rsidRPr="00D764A7" w:rsidP="00D6515C" w14:paraId="323E931A" w14:textId="69790CD7">
      <w:pPr>
        <w:pStyle w:val="FootnoteText"/>
        <w:widowControl w:val="0"/>
      </w:pPr>
      <w:r w:rsidRPr="00D764A7">
        <w:rPr>
          <w:rStyle w:val="FootnoteReference"/>
        </w:rPr>
        <w:footnoteRef/>
      </w:r>
      <w:r w:rsidRPr="00D764A7">
        <w:t xml:space="preserve"> </w:t>
      </w:r>
      <w:r>
        <w:t xml:space="preserve">47 CFR § 1.65; </w:t>
      </w:r>
      <w:r>
        <w:rPr>
          <w:i/>
        </w:rPr>
        <w:t>s</w:t>
      </w:r>
      <w:r w:rsidRPr="00D764A7">
        <w:rPr>
          <w:i/>
        </w:rPr>
        <w:t xml:space="preserve">ee </w:t>
      </w:r>
      <w:r>
        <w:rPr>
          <w:i/>
        </w:rPr>
        <w:t xml:space="preserve">also id. </w:t>
      </w:r>
      <w:r>
        <w:t xml:space="preserve">§ 1.2105(b)(4); </w:t>
      </w:r>
      <w:r w:rsidRPr="00D764A7">
        <w:rPr>
          <w:i/>
        </w:rPr>
        <w:t>Guidance Regarding the Prohibition of Certain Communications During the Incentive Auction</w:t>
      </w:r>
      <w:r w:rsidRPr="00D764A7">
        <w:t>,</w:t>
      </w:r>
      <w:r w:rsidRPr="00D764A7">
        <w:rPr>
          <w:i/>
        </w:rPr>
        <w:t xml:space="preserve"> Auction 1000</w:t>
      </w:r>
      <w:r w:rsidRPr="00D764A7">
        <w:t xml:space="preserve">, </w:t>
      </w:r>
      <w:r>
        <w:t xml:space="preserve">AU Docket No. 14-252 et al., </w:t>
      </w:r>
      <w:r w:rsidRPr="00D764A7">
        <w:t>Public Notice, 30 FCC Rcd 10794</w:t>
      </w:r>
      <w:r>
        <w:t>, 10806-07, para. 34</w:t>
      </w:r>
      <w:r w:rsidRPr="00D764A7">
        <w:t xml:space="preserve"> (WTB 2015) (</w:t>
      </w:r>
      <w:r w:rsidRPr="00D764A7">
        <w:rPr>
          <w:i/>
        </w:rPr>
        <w:t xml:space="preserve">Prohibited </w:t>
      </w:r>
      <w:r w:rsidRPr="00D764A7">
        <w:rPr>
          <w:i/>
        </w:rPr>
        <w:t xml:space="preserve">Communications </w:t>
      </w:r>
      <w:r>
        <w:rPr>
          <w:i/>
        </w:rPr>
        <w:t xml:space="preserve">Guidance </w:t>
      </w:r>
      <w:r w:rsidRPr="00D764A7">
        <w:rPr>
          <w:i/>
        </w:rPr>
        <w:t>Public Notice</w:t>
      </w:r>
      <w:r w:rsidRPr="00D764A7">
        <w:t>);</w:t>
      </w:r>
      <w:r w:rsidRPr="00D764A7">
        <w:rPr>
          <w:i/>
          <w:iCs/>
          <w:snapToGrid w:val="0"/>
        </w:rPr>
        <w:t xml:space="preserve"> </w:t>
      </w:r>
      <w:r w:rsidRPr="00D764A7">
        <w:rPr>
          <w:i/>
        </w:rPr>
        <w:t>Auction of Advanced Wireless Services (AWS-3) Licenses Scheduled for November 13, 2014; Notice and Filing Requirements, Reserve Prices, Minimum Opening Bids, Upfront Payments, and Other Procedures for Auction 97</w:t>
      </w:r>
      <w:r w:rsidRPr="00D764A7">
        <w:rPr>
          <w:iCs/>
          <w:snapToGrid w:val="0"/>
        </w:rPr>
        <w:t xml:space="preserve">, </w:t>
      </w:r>
      <w:r>
        <w:rPr>
          <w:iCs/>
          <w:snapToGrid w:val="0"/>
        </w:rPr>
        <w:t xml:space="preserve">AU </w:t>
      </w:r>
      <w:r>
        <w:rPr>
          <w:iCs/>
          <w:snapToGrid w:val="0"/>
        </w:rPr>
        <w:t xml:space="preserve">Docket No. 14-78, </w:t>
      </w:r>
      <w:r w:rsidRPr="00D764A7">
        <w:t xml:space="preserve">Public Notice, </w:t>
      </w:r>
      <w:r w:rsidRPr="00D764A7">
        <w:rPr>
          <w:iCs/>
          <w:snapToGrid w:val="0"/>
        </w:rPr>
        <w:t xml:space="preserve">29 FCC Rcd </w:t>
      </w:r>
      <w:r w:rsidRPr="00D764A7">
        <w:rPr>
          <w:snapToGrid w:val="0"/>
        </w:rPr>
        <w:t>8386, 8418</w:t>
      </w:r>
      <w:r>
        <w:rPr>
          <w:snapToGrid w:val="0"/>
        </w:rPr>
        <w:t>-19</w:t>
      </w:r>
      <w:r w:rsidRPr="00D764A7">
        <w:rPr>
          <w:snapToGrid w:val="0"/>
        </w:rPr>
        <w:t>, para. 109 (2014)</w:t>
      </w:r>
      <w:r>
        <w:rPr>
          <w:snapToGrid w:val="0"/>
        </w:rPr>
        <w:t xml:space="preserve"> </w:t>
      </w:r>
      <w:r w:rsidRPr="00D764A7">
        <w:rPr>
          <w:snapToGrid w:val="0"/>
        </w:rPr>
        <w:t xml:space="preserve">(discussing </w:t>
      </w:r>
      <w:r w:rsidRPr="00D764A7">
        <w:rPr>
          <w:color w:val="000000"/>
        </w:rPr>
        <w:t>applicants’</w:t>
      </w:r>
      <w:r w:rsidRPr="00D764A7">
        <w:rPr>
          <w:snapToGrid w:val="0"/>
        </w:rPr>
        <w:t xml:space="preserve"> obligation to maintain accuracy and completeness of information in pending auction applications)</w:t>
      </w:r>
      <w:r>
        <w:rPr>
          <w:snapToGrid w:val="0"/>
        </w:rPr>
        <w:t xml:space="preserve"> (</w:t>
      </w:r>
      <w:r>
        <w:rPr>
          <w:i/>
          <w:iCs/>
          <w:snapToGrid w:val="0"/>
        </w:rPr>
        <w:t>Auction 97 Procedures Public Notice</w:t>
      </w:r>
      <w:r>
        <w:rPr>
          <w:snapToGrid w:val="0"/>
        </w:rPr>
        <w:t>)</w:t>
      </w:r>
      <w:r w:rsidRPr="00D764A7">
        <w:rPr>
          <w:snapToGrid w:val="0"/>
        </w:rPr>
        <w:t xml:space="preserve">. </w:t>
      </w:r>
    </w:p>
  </w:footnote>
  <w:footnote w:id="43">
    <w:p w:rsidR="00FE4F2B" w:rsidP="00D6515C" w14:paraId="259E283C" w14:textId="63EE8FA9">
      <w:pPr>
        <w:pStyle w:val="FootnoteText"/>
      </w:pPr>
      <w:r>
        <w:rPr>
          <w:rStyle w:val="FootnoteReference"/>
        </w:rPr>
        <w:footnoteRef/>
      </w:r>
      <w:r>
        <w:t xml:space="preserve"> 47 CFR § </w:t>
      </w:r>
      <w:r w:rsidRPr="00C60499">
        <w:t>1.2105(a)(2)(viii)</w:t>
      </w:r>
      <w:r>
        <w:t>,</w:t>
      </w:r>
      <w:r w:rsidRPr="00C60499">
        <w:t xml:space="preserve"> (c)(1)</w:t>
      </w:r>
      <w:r>
        <w:t>.</w:t>
      </w:r>
    </w:p>
  </w:footnote>
  <w:footnote w:id="44">
    <w:p w:rsidR="00FE4F2B" w:rsidRPr="00D764A7" w:rsidP="007A779F" w14:paraId="572B2CA7" w14:textId="520A3463">
      <w:pPr>
        <w:pStyle w:val="FootnoteText"/>
        <w:widowControl w:val="0"/>
      </w:pPr>
      <w:r w:rsidRPr="00D764A7">
        <w:rPr>
          <w:rStyle w:val="FootnoteReference"/>
        </w:rPr>
        <w:footnoteRef/>
      </w:r>
      <w:r w:rsidRPr="00D764A7">
        <w:t xml:space="preserve"> </w:t>
      </w:r>
      <w:r w:rsidRPr="00D764A7">
        <w:rPr>
          <w:i/>
        </w:rPr>
        <w:t>See Wireless Telecommunications Bureau Clarifies Spectrum Auction Anti-Collusion Rules</w:t>
      </w:r>
      <w:r w:rsidRPr="00D764A7">
        <w:t>, Public Notice, 11 FCC Rcd 9645, 9646 (WTB 1995)</w:t>
      </w:r>
      <w:r>
        <w:t xml:space="preserve"> </w:t>
      </w:r>
      <w:r w:rsidRPr="00D764A7">
        <w:t>(</w:t>
      </w:r>
      <w:r>
        <w:t xml:space="preserve">clarifying </w:t>
      </w:r>
      <w:r w:rsidRPr="00D764A7">
        <w:t>standard for determining when a disclosable agreement exists, discus</w:t>
      </w:r>
      <w:r w:rsidRPr="00D764A7">
        <w:t xml:space="preserve">sed in connection with an earlier version of </w:t>
      </w:r>
      <w:r>
        <w:t>section</w:t>
      </w:r>
      <w:r w:rsidRPr="00D764A7">
        <w:t xml:space="preserve"> 1.2105 of the Commission’s rules).</w:t>
      </w:r>
    </w:p>
  </w:footnote>
  <w:footnote w:id="45">
    <w:p w:rsidR="00FE4F2B" w:rsidRPr="00D764A7" w:rsidP="00D6515C" w14:paraId="3F7A4CD4" w14:textId="5393780F">
      <w:pPr>
        <w:pStyle w:val="FootnoteText"/>
        <w:widowControl w:val="0"/>
      </w:pPr>
      <w:r w:rsidRPr="00D764A7">
        <w:rPr>
          <w:rStyle w:val="FootnoteReference"/>
        </w:rPr>
        <w:footnoteRef/>
      </w:r>
      <w:r w:rsidRPr="00D764A7">
        <w:t xml:space="preserve"> </w:t>
      </w:r>
      <w:r w:rsidRPr="00D764A7">
        <w:rPr>
          <w:i/>
        </w:rPr>
        <w:t>See</w:t>
      </w:r>
      <w:r>
        <w:rPr>
          <w:i/>
        </w:rPr>
        <w:t xml:space="preserve"> id.</w:t>
      </w:r>
    </w:p>
  </w:footnote>
  <w:footnote w:id="46">
    <w:p w:rsidR="00FE4F2B" w:rsidRPr="00D764A7" w:rsidP="00D6515C" w14:paraId="51E24259" w14:textId="393EC474">
      <w:pPr>
        <w:pStyle w:val="FootnoteText"/>
        <w:widowControl w:val="0"/>
        <w:rPr>
          <w:i/>
        </w:rPr>
      </w:pPr>
      <w:r w:rsidRPr="00D764A7">
        <w:rPr>
          <w:rStyle w:val="FootnoteReference"/>
          <w:rFonts w:eastAsia="Calibri"/>
        </w:rPr>
        <w:footnoteRef/>
      </w:r>
      <w:r w:rsidRPr="00D764A7">
        <w:t xml:space="preserve"> </w:t>
      </w:r>
      <w:r w:rsidRPr="00D764A7">
        <w:rPr>
          <w:i/>
        </w:rPr>
        <w:t xml:space="preserve">See </w:t>
      </w:r>
      <w:r w:rsidRPr="00D764A7">
        <w:t xml:space="preserve">47 CFR § 1.2105(a)(2)(ix); </w:t>
      </w:r>
      <w:r w:rsidRPr="00D764A7">
        <w:rPr>
          <w:i/>
        </w:rPr>
        <w:t>see also</w:t>
      </w:r>
      <w:r w:rsidRPr="00D764A7">
        <w:t xml:space="preserve"> </w:t>
      </w:r>
      <w:r>
        <w:rPr>
          <w:i/>
        </w:rPr>
        <w:t xml:space="preserve">Updating </w:t>
      </w:r>
      <w:r w:rsidRPr="00D764A7">
        <w:rPr>
          <w:i/>
        </w:rPr>
        <w:t>Part 1 R</w:t>
      </w:r>
      <w:r>
        <w:rPr>
          <w:i/>
        </w:rPr>
        <w:t xml:space="preserve">eport and </w:t>
      </w:r>
      <w:r w:rsidRPr="00D764A7">
        <w:rPr>
          <w:i/>
        </w:rPr>
        <w:t>O</w:t>
      </w:r>
      <w:r>
        <w:rPr>
          <w:i/>
        </w:rPr>
        <w:t>rder</w:t>
      </w:r>
      <w:r w:rsidRPr="00D764A7">
        <w:t>, 30 FCC Rcd at 7569-77, paras. 177-9</w:t>
      </w:r>
      <w:r>
        <w:t>9</w:t>
      </w:r>
      <w:r w:rsidRPr="00D764A7">
        <w:t xml:space="preserve">.  </w:t>
      </w:r>
    </w:p>
  </w:footnote>
  <w:footnote w:id="47">
    <w:p w:rsidR="00FE4F2B" w:rsidRPr="00D764A7" w:rsidP="00D6515C" w14:paraId="7018284C" w14:textId="643DDAAE">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2C1165">
        <w:rPr>
          <w:i/>
        </w:rPr>
        <w:t xml:space="preserve">Updating Part 1 Report and </w:t>
      </w:r>
      <w:r w:rsidRPr="002C1165">
        <w:rPr>
          <w:i/>
        </w:rPr>
        <w:t>Order</w:t>
      </w:r>
      <w:r w:rsidRPr="00313C2B">
        <w:rPr>
          <w:iCs/>
        </w:rPr>
        <w:t>, 30 FCC Rcd</w:t>
      </w:r>
      <w:r w:rsidRPr="00D764A7">
        <w:t xml:space="preserve"> at 7575, para. 195. </w:t>
      </w:r>
    </w:p>
  </w:footnote>
  <w:footnote w:id="48">
    <w:p w:rsidR="00FE4F2B" w:rsidRPr="006A2261" w14:paraId="63DA9DE3" w14:textId="201B6A4B">
      <w:pPr>
        <w:pStyle w:val="FootnoteText"/>
      </w:pPr>
      <w:r>
        <w:rPr>
          <w:rStyle w:val="FootnoteReference"/>
        </w:rPr>
        <w:footnoteRef/>
      </w:r>
      <w:r>
        <w:t xml:space="preserve"> </w:t>
      </w:r>
      <w:r>
        <w:rPr>
          <w:i/>
          <w:iCs/>
        </w:rPr>
        <w:t>Id</w:t>
      </w:r>
      <w:r>
        <w:t>. at 7571, 7573, paras. 182, 186.</w:t>
      </w:r>
    </w:p>
  </w:footnote>
  <w:footnote w:id="49">
    <w:p w:rsidR="00FE4F2B" w:rsidRPr="00D764A7" w:rsidP="00D6515C" w14:paraId="69CECEE3" w14:textId="048AAD25">
      <w:pPr>
        <w:pStyle w:val="FootnoteText"/>
      </w:pPr>
      <w:r w:rsidRPr="00D764A7">
        <w:rPr>
          <w:rStyle w:val="FootnoteReference"/>
        </w:rPr>
        <w:footnoteRef/>
      </w:r>
      <w:r w:rsidRPr="00D764A7">
        <w:t xml:space="preserve"> A “non-nationwide provider” refers to any provider of communications services that is not a “nationwide provider.”  </w:t>
      </w:r>
      <w:r w:rsidRPr="00D764A7">
        <w:rPr>
          <w:i/>
        </w:rPr>
        <w:t>See</w:t>
      </w:r>
      <w:r w:rsidRPr="00D764A7">
        <w:t xml:space="preserve"> </w:t>
      </w:r>
      <w:r>
        <w:rPr>
          <w:i/>
        </w:rPr>
        <w:t>id</w:t>
      </w:r>
      <w:r w:rsidRPr="00D764A7">
        <w:rPr>
          <w:i/>
        </w:rPr>
        <w:t>.</w:t>
      </w:r>
      <w:r w:rsidRPr="00D764A7">
        <w:t xml:space="preserve">  </w:t>
      </w:r>
    </w:p>
  </w:footnote>
  <w:footnote w:id="50">
    <w:p w:rsidR="00FE4F2B" w:rsidRPr="00D764A7" w:rsidP="00D6515C" w14:paraId="3DE3CE3B" w14:textId="59BBC178">
      <w:pPr>
        <w:pStyle w:val="FootnoteText"/>
        <w:widowControl w:val="0"/>
      </w:pPr>
      <w:r w:rsidRPr="00D764A7">
        <w:rPr>
          <w:rStyle w:val="FootnoteReference"/>
          <w:rFonts w:eastAsia="Calibri"/>
        </w:rPr>
        <w:footnoteRef/>
      </w:r>
      <w:r w:rsidRPr="00D764A7">
        <w:t xml:space="preserve"> </w:t>
      </w:r>
      <w:r w:rsidRPr="00D764A7">
        <w:rPr>
          <w:i/>
        </w:rPr>
        <w:t xml:space="preserve">See </w:t>
      </w:r>
      <w:r w:rsidRPr="00D764A7">
        <w:t xml:space="preserve">47 CFR § 1.2105(a)(2)(ix); </w:t>
      </w:r>
      <w:r w:rsidRPr="00D764A7">
        <w:rPr>
          <w:i/>
        </w:rPr>
        <w:t xml:space="preserve">see also </w:t>
      </w:r>
      <w:r>
        <w:rPr>
          <w:i/>
        </w:rPr>
        <w:t xml:space="preserve">Updating </w:t>
      </w:r>
      <w:r>
        <w:rPr>
          <w:i/>
        </w:rPr>
        <w:t>Part 1 Report and Order</w:t>
      </w:r>
      <w:r w:rsidRPr="00D764A7">
        <w:t>, 30 FCC Rcd at</w:t>
      </w:r>
      <w:r>
        <w:t xml:space="preserve"> 7574-75, </w:t>
      </w:r>
      <w:r w:rsidRPr="00D764A7">
        <w:t>para</w:t>
      </w:r>
      <w:r>
        <w:t>s</w:t>
      </w:r>
      <w:r w:rsidRPr="00D764A7">
        <w:t>. 191</w:t>
      </w:r>
      <w:r>
        <w:t>-</w:t>
      </w:r>
      <w:r w:rsidRPr="00D764A7">
        <w:t>193.</w:t>
      </w:r>
    </w:p>
  </w:footnote>
  <w:footnote w:id="51">
    <w:p w:rsidR="00FE4F2B" w14:paraId="1FBFE0C7" w14:textId="46B0B275">
      <w:pPr>
        <w:pStyle w:val="FootnoteText"/>
      </w:pPr>
      <w:r>
        <w:rPr>
          <w:rStyle w:val="FootnoteReference"/>
        </w:rPr>
        <w:footnoteRef/>
      </w:r>
      <w:r>
        <w:t xml:space="preserve"> </w:t>
      </w:r>
      <w:r>
        <w:rPr>
          <w:i/>
        </w:rPr>
        <w:t xml:space="preserve">Updating Part 1 Report and </w:t>
      </w:r>
      <w:r w:rsidRPr="00D764A7">
        <w:rPr>
          <w:i/>
        </w:rPr>
        <w:t>O</w:t>
      </w:r>
      <w:r>
        <w:rPr>
          <w:i/>
        </w:rPr>
        <w:t>rder</w:t>
      </w:r>
      <w:r w:rsidRPr="00D764A7">
        <w:t>, 30 FCC Rcd</w:t>
      </w:r>
      <w:r>
        <w:t xml:space="preserve"> at 7571, para. 182 n.596.</w:t>
      </w:r>
    </w:p>
  </w:footnote>
  <w:footnote w:id="52">
    <w:p w:rsidR="00FE4F2B" w:rsidRPr="009C676B" w:rsidP="00D6515C" w14:paraId="676B7942" w14:textId="5B71B961">
      <w:pPr>
        <w:pStyle w:val="FootnoteText"/>
      </w:pPr>
      <w:r w:rsidRPr="00D764A7">
        <w:rPr>
          <w:rStyle w:val="FootnoteReference"/>
        </w:rPr>
        <w:footnoteRef/>
      </w:r>
      <w:r w:rsidRPr="00D764A7">
        <w:t xml:space="preserve"> </w:t>
      </w:r>
      <w:r>
        <w:rPr>
          <w:i/>
        </w:rPr>
        <w:t>See, e.g.,</w:t>
      </w:r>
      <w:r>
        <w:t xml:space="preserve"> </w:t>
      </w:r>
      <w:r w:rsidRPr="001A5A5D">
        <w:rPr>
          <w:i/>
        </w:rPr>
        <w:t xml:space="preserve">Auctions of Upper Microwave Flexible Use Licenses for Next-Generation Wireless Services; Notice and </w:t>
      </w:r>
      <w:r w:rsidRPr="001A5A5D">
        <w:rPr>
          <w:i/>
        </w:rPr>
        <w:t>Filing Requirements, Minimum Opening Bids, Upfront Payments, and Other Procedures for Auctions 101 (28 GHz) and 102 (24 GHz); Bidding in Auction 101 Scheduled to Begin November 14, 2018</w:t>
      </w:r>
      <w:r w:rsidRPr="001A5A5D">
        <w:t xml:space="preserve">, </w:t>
      </w:r>
      <w:r>
        <w:t xml:space="preserve">AU Docket No. 18-85, </w:t>
      </w:r>
      <w:r w:rsidRPr="001A5A5D">
        <w:t>Public Notice, 33 FCC Rcd 7575, 759</w:t>
      </w:r>
      <w:r>
        <w:t>3</w:t>
      </w:r>
      <w:r w:rsidRPr="001A5A5D">
        <w:t>, para</w:t>
      </w:r>
      <w:r>
        <w:t>. 44</w:t>
      </w:r>
      <w:r w:rsidRPr="001A5A5D">
        <w:t xml:space="preserve"> (</w:t>
      </w:r>
      <w:r w:rsidRPr="001A5A5D">
        <w:t>2018)</w:t>
      </w:r>
      <w:r w:rsidRPr="001A5A5D">
        <w:rPr>
          <w:i/>
        </w:rPr>
        <w:t xml:space="preserve"> </w:t>
      </w:r>
      <w:r>
        <w:rPr>
          <w:iCs/>
        </w:rPr>
        <w:t>(</w:t>
      </w:r>
      <w:r>
        <w:rPr>
          <w:i/>
        </w:rPr>
        <w:t>Auctions 101 and 102 Procedures Public Notice</w:t>
      </w:r>
      <w:r>
        <w:rPr>
          <w:iCs/>
        </w:rPr>
        <w:t>)</w:t>
      </w:r>
      <w:r>
        <w:t xml:space="preserve">; </w:t>
      </w:r>
      <w:r>
        <w:rPr>
          <w:i/>
        </w:rPr>
        <w:t>Incentive Auction of Upper Microwave Flexible Use Service Licenses in the Upper 37 GHz, 39 GHz, and 47 GHz Bands for Next-Generation Wireless Services; Notice and Filing Requirements, Minimum Opening B</w:t>
      </w:r>
      <w:r>
        <w:rPr>
          <w:i/>
        </w:rPr>
        <w:t>ids, Upfront Payments, and Other Procedures for Auction 103; Bidding in Auction 103 Scheduled to Begin December 10, 2019</w:t>
      </w:r>
      <w:r>
        <w:t>, AU Docket No. 19-59, GN Docket No. 14-177, Public Notice, 34 FCC Rcd 5532</w:t>
      </w:r>
      <w:r w:rsidRPr="005065F4">
        <w:t>,</w:t>
      </w:r>
      <w:r>
        <w:t xml:space="preserve"> 5547, para. 43 (2019)</w:t>
      </w:r>
      <w:r w:rsidRPr="005065F4">
        <w:t xml:space="preserve"> </w:t>
      </w:r>
      <w:r>
        <w:t>(</w:t>
      </w:r>
      <w:r w:rsidRPr="009C676B">
        <w:rPr>
          <w:i/>
        </w:rPr>
        <w:t>Auction 103 Procedures</w:t>
      </w:r>
      <w:r>
        <w:rPr>
          <w:i/>
        </w:rPr>
        <w:t xml:space="preserve"> Public Notice</w:t>
      </w:r>
      <w:r>
        <w:t>).</w:t>
      </w:r>
    </w:p>
  </w:footnote>
  <w:footnote w:id="53">
    <w:p w:rsidR="00FE4F2B" w:rsidRPr="000A3B76" w14:paraId="2A659552" w14:textId="66897240">
      <w:pPr>
        <w:pStyle w:val="FootnoteText"/>
      </w:pPr>
      <w:r>
        <w:rPr>
          <w:rStyle w:val="FootnoteReference"/>
        </w:rPr>
        <w:footnoteRef/>
      </w:r>
      <w:r>
        <w:t xml:space="preserve"> In the </w:t>
      </w:r>
      <w:r w:rsidRPr="00F93736">
        <w:rPr>
          <w:i/>
          <w:iCs/>
        </w:rPr>
        <w:t>Auction 107 Comment Public Notice</w:t>
      </w:r>
      <w:r>
        <w:t xml:space="preserve">, we proposed to identify Sprint as a fourth nationwide provider.  </w:t>
      </w:r>
      <w:r w:rsidRPr="004326D6">
        <w:rPr>
          <w:i/>
          <w:iCs/>
        </w:rPr>
        <w:t>Auction 107 Comment Public Notice</w:t>
      </w:r>
      <w:r>
        <w:t>, 35 FCC Rcd at 2604, para. 9.  On April 1, 2020, T-Mobile announced that it had completed its pending merger w</w:t>
      </w:r>
      <w:r>
        <w:t xml:space="preserve">ith </w:t>
      </w:r>
      <w:r w:rsidRPr="001F33BE">
        <w:t>Sprint</w:t>
      </w:r>
      <w:r>
        <w:t xml:space="preserve"> to create the New T-Mobile, which combined entity will operate under the name T-Mobile. </w:t>
      </w:r>
      <w:r w:rsidRPr="001F33BE">
        <w:t xml:space="preserve"> </w:t>
      </w:r>
      <w:r w:rsidRPr="00860EC7">
        <w:rPr>
          <w:i/>
          <w:iCs/>
        </w:rPr>
        <w:t>See</w:t>
      </w:r>
      <w:r>
        <w:t xml:space="preserve"> Press Release, T-Mobile, </w:t>
      </w:r>
      <w:r w:rsidRPr="0003284F">
        <w:t>T-Mobile Completes Merger with Sprint to Create the New T-Mobile</w:t>
      </w:r>
      <w:r>
        <w:rPr>
          <w:i/>
          <w:iCs/>
        </w:rPr>
        <w:t xml:space="preserve"> </w:t>
      </w:r>
      <w:r>
        <w:t xml:space="preserve">(Apr. 1, 2020), </w:t>
      </w:r>
      <w:hyperlink r:id="rId4" w:history="1">
        <w:r w:rsidRPr="00496DBD">
          <w:rPr>
            <w:rStyle w:val="Hyperlink"/>
          </w:rPr>
          <w:t>https://www.t-mobile.com/news/t-mobile-sprint-one-company</w:t>
        </w:r>
      </w:hyperlink>
      <w:r>
        <w:t xml:space="preserve">.  Accordingly, we identify the combined entity, T-Mobile, as a single nationwide provider </w:t>
      </w:r>
      <w:r w:rsidRPr="00435180">
        <w:rPr>
          <w:szCs w:val="22"/>
        </w:rPr>
        <w:t>for the purpose of implementing our competitive bidding rules in Auction 10</w:t>
      </w:r>
      <w:r>
        <w:rPr>
          <w:szCs w:val="22"/>
        </w:rPr>
        <w:t>7</w:t>
      </w:r>
      <w:r>
        <w:t>.</w:t>
      </w:r>
    </w:p>
  </w:footnote>
  <w:footnote w:id="54">
    <w:p w:rsidR="00FE4F2B" w:rsidRPr="00D764A7" w:rsidP="00D6515C" w14:paraId="29EB1748" w14:textId="572112F9">
      <w:pPr>
        <w:pStyle w:val="FootnoteText"/>
        <w:widowControl w:val="0"/>
      </w:pPr>
      <w:r w:rsidRPr="00D764A7">
        <w:rPr>
          <w:rStyle w:val="FootnoteReference"/>
          <w:rFonts w:eastAsia="Calibri"/>
        </w:rPr>
        <w:footnoteRef/>
      </w:r>
      <w:r w:rsidRPr="00D764A7">
        <w:t xml:space="preserve"> </w:t>
      </w:r>
      <w:r w:rsidRPr="00D764A7">
        <w:rPr>
          <w:i/>
        </w:rPr>
        <w:t xml:space="preserve">See </w:t>
      </w:r>
      <w:r>
        <w:rPr>
          <w:i/>
        </w:rPr>
        <w:t>Updating Part 1 Report and Order</w:t>
      </w:r>
      <w:r w:rsidRPr="00D764A7">
        <w:rPr>
          <w:color w:val="000000"/>
        </w:rPr>
        <w:t>, 30 FCC Rcd at 7573</w:t>
      </w:r>
      <w:r>
        <w:rPr>
          <w:color w:val="000000"/>
        </w:rPr>
        <w:t>-74</w:t>
      </w:r>
      <w:r w:rsidRPr="00D764A7">
        <w:rPr>
          <w:color w:val="000000"/>
        </w:rPr>
        <w:t>,</w:t>
      </w:r>
      <w:r>
        <w:rPr>
          <w:color w:val="000000"/>
        </w:rPr>
        <w:t xml:space="preserve"> 7576,</w:t>
      </w:r>
      <w:r w:rsidRPr="00D764A7">
        <w:rPr>
          <w:color w:val="000000"/>
        </w:rPr>
        <w:t xml:space="preserve"> para</w:t>
      </w:r>
      <w:r>
        <w:rPr>
          <w:color w:val="000000"/>
        </w:rPr>
        <w:t>s</w:t>
      </w:r>
      <w:r w:rsidRPr="00D764A7">
        <w:rPr>
          <w:color w:val="000000"/>
        </w:rPr>
        <w:t xml:space="preserve">. 187, 190, 198.  While two or more non-nationwide providers may participate in an auction through a joint venture, a nationwide and a non-nationwide provider may not do so.  </w:t>
      </w:r>
      <w:r w:rsidRPr="00D764A7">
        <w:rPr>
          <w:i/>
          <w:color w:val="000000"/>
        </w:rPr>
        <w:t>See id</w:t>
      </w:r>
      <w:r w:rsidRPr="00D764A7">
        <w:rPr>
          <w:color w:val="000000"/>
        </w:rPr>
        <w:t xml:space="preserve">. </w:t>
      </w:r>
      <w:r w:rsidRPr="00D764A7">
        <w:rPr>
          <w:color w:val="000000"/>
        </w:rPr>
        <w:t>at 7575, para. 194.</w:t>
      </w:r>
    </w:p>
  </w:footnote>
  <w:footnote w:id="55">
    <w:p w:rsidR="00FE4F2B" w:rsidRPr="00D764A7" w:rsidP="00D6515C" w14:paraId="3AE8FA0D" w14:textId="2AE1AC94">
      <w:pPr>
        <w:pStyle w:val="FootnoteText"/>
        <w:widowControl w:val="0"/>
      </w:pPr>
      <w:r w:rsidRPr="00D764A7">
        <w:rPr>
          <w:rStyle w:val="FootnoteReference"/>
        </w:rPr>
        <w:footnoteRef/>
      </w:r>
      <w:r w:rsidRPr="00D764A7">
        <w:t xml:space="preserve"> </w:t>
      </w:r>
      <w:r w:rsidRPr="00D764A7">
        <w:rPr>
          <w:i/>
        </w:rPr>
        <w:t xml:space="preserve">See </w:t>
      </w:r>
      <w:r>
        <w:rPr>
          <w:i/>
        </w:rPr>
        <w:t>id.</w:t>
      </w:r>
      <w:r w:rsidRPr="00D764A7">
        <w:t xml:space="preserve"> at </w:t>
      </w:r>
      <w:r w:rsidRPr="00D764A7">
        <w:rPr>
          <w:color w:val="000000"/>
        </w:rPr>
        <w:t>7576</w:t>
      </w:r>
      <w:r>
        <w:rPr>
          <w:color w:val="000000"/>
        </w:rPr>
        <w:t>-77</w:t>
      </w:r>
      <w:r w:rsidRPr="00D764A7">
        <w:rPr>
          <w:color w:val="000000"/>
        </w:rPr>
        <w:t xml:space="preserve">, para. 198.  Pursuant to </w:t>
      </w:r>
      <w:r>
        <w:rPr>
          <w:color w:val="000000"/>
        </w:rPr>
        <w:t>section</w:t>
      </w:r>
      <w:r w:rsidRPr="00D764A7">
        <w:rPr>
          <w:color w:val="000000"/>
        </w:rPr>
        <w:t xml:space="preserve"> 1.2105(a)(4)(ii), a</w:t>
      </w:r>
      <w:r w:rsidRPr="00D764A7">
        <w:t xml:space="preserve"> consortium is an entity formed to apply as a single applicant to bid at auction pursuant to an agreement by two or more separate and distinct legal entities that </w:t>
      </w:r>
      <w:r w:rsidRPr="00D764A7">
        <w:t>individually are eligible to claim the same design</w:t>
      </w:r>
      <w:r>
        <w:t>at</w:t>
      </w:r>
      <w:r w:rsidRPr="00D764A7">
        <w:t xml:space="preserve">ed entity benefits under </w:t>
      </w:r>
      <w:r>
        <w:t>section</w:t>
      </w:r>
      <w:r w:rsidRPr="00D764A7">
        <w:t xml:space="preserve"> 1.2110, provided that no member of the consortium may be a nationwide provider.  47 CFR §</w:t>
      </w:r>
      <w:r>
        <w:t> </w:t>
      </w:r>
      <w:r w:rsidRPr="00D764A7">
        <w:t>1.2105(a)(4)(ii).</w:t>
      </w:r>
    </w:p>
  </w:footnote>
  <w:footnote w:id="56">
    <w:p w:rsidR="00FE4F2B" w:rsidRPr="00D764A7" w:rsidP="00D6515C" w14:paraId="16CD96D9" w14:textId="6F643238">
      <w:pPr>
        <w:pStyle w:val="FootnoteText"/>
        <w:widowControl w:val="0"/>
      </w:pPr>
      <w:r w:rsidRPr="00D764A7">
        <w:rPr>
          <w:rStyle w:val="FootnoteReference"/>
          <w:rFonts w:eastAsia="Calibri"/>
        </w:rPr>
        <w:footnoteRef/>
      </w:r>
      <w:r w:rsidRPr="00D764A7">
        <w:t xml:space="preserve"> </w:t>
      </w:r>
      <w:r w:rsidRPr="00D764A7">
        <w:rPr>
          <w:i/>
        </w:rPr>
        <w:t>See</w:t>
      </w:r>
      <w:r w:rsidRPr="00D764A7">
        <w:t xml:space="preserve"> </w:t>
      </w:r>
      <w:r>
        <w:rPr>
          <w:i/>
        </w:rPr>
        <w:t>Updating Part 1 Report and Order</w:t>
      </w:r>
      <w:r w:rsidRPr="00D764A7">
        <w:t xml:space="preserve">, 30 FCC Rcd at </w:t>
      </w:r>
      <w:r w:rsidRPr="00D764A7">
        <w:rPr>
          <w:color w:val="000000"/>
        </w:rPr>
        <w:t>7576</w:t>
      </w:r>
      <w:r>
        <w:rPr>
          <w:color w:val="000000"/>
        </w:rPr>
        <w:t>-77</w:t>
      </w:r>
      <w:r w:rsidRPr="00D764A7">
        <w:rPr>
          <w:color w:val="000000"/>
        </w:rPr>
        <w:t xml:space="preserve">, </w:t>
      </w:r>
      <w:r w:rsidRPr="00D764A7">
        <w:rPr>
          <w:color w:val="000000"/>
        </w:rPr>
        <w:t xml:space="preserve">para. 198.  Under the Commission’s rule, a joint venture means a legally cognizable entity formed to apply as a single applicant to bid at auction pursuant to an agreement by two or more separate and distinct legal entities, provided that no member of the </w:t>
      </w:r>
      <w:r w:rsidRPr="00D764A7">
        <w:rPr>
          <w:color w:val="000000"/>
        </w:rPr>
        <w:t xml:space="preserve">joint venture may be a nationwide provider.  </w:t>
      </w:r>
      <w:r w:rsidRPr="00D764A7">
        <w:t xml:space="preserve">47 CFR § 1.2105(a)(4)(iii); </w:t>
      </w:r>
      <w:r w:rsidRPr="00D764A7">
        <w:rPr>
          <w:i/>
        </w:rPr>
        <w:t xml:space="preserve">see also </w:t>
      </w:r>
      <w:r>
        <w:rPr>
          <w:i/>
        </w:rPr>
        <w:t xml:space="preserve">Updating Part 1 Report and </w:t>
      </w:r>
      <w:r w:rsidRPr="00D764A7">
        <w:rPr>
          <w:i/>
        </w:rPr>
        <w:t>O</w:t>
      </w:r>
      <w:r>
        <w:rPr>
          <w:i/>
        </w:rPr>
        <w:t>rder</w:t>
      </w:r>
      <w:r w:rsidRPr="00D764A7">
        <w:t>, 30 FCC Rcd</w:t>
      </w:r>
      <w:r w:rsidRPr="00D764A7">
        <w:rPr>
          <w:color w:val="000000"/>
        </w:rPr>
        <w:t xml:space="preserve"> at 7575, para. 194.</w:t>
      </w:r>
    </w:p>
  </w:footnote>
  <w:footnote w:id="57">
    <w:p w:rsidR="00FE4F2B" w:rsidP="004B0ADC" w14:paraId="65673592" w14:textId="3BD59DD8">
      <w:pPr>
        <w:pStyle w:val="FootnoteText"/>
      </w:pPr>
      <w:r>
        <w:rPr>
          <w:rStyle w:val="FootnoteReference"/>
        </w:rPr>
        <w:footnoteRef/>
      </w:r>
      <w:r>
        <w:t xml:space="preserve"> </w:t>
      </w:r>
      <w:r>
        <w:rPr>
          <w:i/>
        </w:rPr>
        <w:t xml:space="preserve">Updating Part 1 Report and </w:t>
      </w:r>
      <w:r w:rsidRPr="00D764A7">
        <w:rPr>
          <w:i/>
        </w:rPr>
        <w:t>O</w:t>
      </w:r>
      <w:r>
        <w:rPr>
          <w:i/>
        </w:rPr>
        <w:t>rder</w:t>
      </w:r>
      <w:r w:rsidRPr="00D764A7">
        <w:t>, 30 FCC Rcd</w:t>
      </w:r>
      <w:r>
        <w:t xml:space="preserve"> at 7576-77, para. 198.</w:t>
      </w:r>
    </w:p>
  </w:footnote>
  <w:footnote w:id="58">
    <w:p w:rsidR="00FE4F2B" w:rsidRPr="00D764A7" w:rsidP="00D6515C" w14:paraId="6820B94E" w14:textId="4C381583">
      <w:pPr>
        <w:pStyle w:val="FootnoteText"/>
      </w:pPr>
      <w:r w:rsidRPr="00D764A7">
        <w:rPr>
          <w:rStyle w:val="FootnoteReference"/>
        </w:rPr>
        <w:footnoteRef/>
      </w:r>
      <w:r w:rsidRPr="00D764A7">
        <w:t xml:space="preserve"> </w:t>
      </w:r>
      <w:r w:rsidRPr="00D764A7">
        <w:rPr>
          <w:i/>
        </w:rPr>
        <w:t xml:space="preserve">See </w:t>
      </w:r>
      <w:r w:rsidRPr="00D764A7">
        <w:t xml:space="preserve">47 CFR § 1.2105(a)(2)(ix)(A).  </w:t>
      </w:r>
      <w:r w:rsidRPr="00D764A7">
        <w:rPr>
          <w:color w:val="000000"/>
        </w:rPr>
        <w:t>Un</w:t>
      </w:r>
      <w:r w:rsidRPr="00D764A7">
        <w:rPr>
          <w:color w:val="000000"/>
        </w:rPr>
        <w:t xml:space="preserve">der the Commission’s rules, </w:t>
      </w:r>
      <w:r w:rsidRPr="00D764A7">
        <w:t xml:space="preserve">agreements that are solely operational in nature are those that address operational aspects of providing a mobile service, such as agreements for roaming, </w:t>
      </w:r>
      <w:r>
        <w:t xml:space="preserve">device acquisition, and </w:t>
      </w:r>
      <w:r w:rsidRPr="00D764A7">
        <w:t>spectrum leasing and other spectrum use arrangeme</w:t>
      </w:r>
      <w:r w:rsidRPr="00D764A7">
        <w:t>nts, provided that any such agreement does not both relate to the licenses at auction and address or communicate, directly or indirectly, bidding at auction (including specific prices to be bid) or bidding strategies (including the specific licenses on whi</w:t>
      </w:r>
      <w:r w:rsidRPr="00D764A7">
        <w:t xml:space="preserve">ch to bid or not to bid) or post-auction market structure.  </w:t>
      </w:r>
      <w:r w:rsidRPr="00D764A7">
        <w:rPr>
          <w:i/>
        </w:rPr>
        <w:t xml:space="preserve">See </w:t>
      </w:r>
      <w:r w:rsidRPr="00CB378E">
        <w:rPr>
          <w:i/>
        </w:rPr>
        <w:t xml:space="preserve">id. </w:t>
      </w:r>
      <w:r w:rsidRPr="00D764A7">
        <w:t xml:space="preserve">§ 1.2105(a)(4); </w:t>
      </w:r>
      <w:r w:rsidRPr="00D764A7">
        <w:rPr>
          <w:i/>
        </w:rPr>
        <w:t xml:space="preserve">see also </w:t>
      </w:r>
      <w:r>
        <w:rPr>
          <w:i/>
        </w:rPr>
        <w:t>Updating Part 1 Report and Order</w:t>
      </w:r>
      <w:r w:rsidRPr="00D764A7">
        <w:rPr>
          <w:color w:val="000000"/>
        </w:rPr>
        <w:t>, 30 FCC Rcd at 7576, para. 197</w:t>
      </w:r>
      <w:r w:rsidRPr="00D764A7">
        <w:t>.</w:t>
      </w:r>
    </w:p>
  </w:footnote>
  <w:footnote w:id="59">
    <w:p w:rsidR="00FE4F2B" w:rsidRPr="00D764A7" w:rsidP="00D6515C" w14:paraId="4A71C133" w14:textId="6F748A57">
      <w:pPr>
        <w:pStyle w:val="FootnoteText"/>
        <w:widowControl w:val="0"/>
      </w:pPr>
      <w:r w:rsidRPr="00D764A7">
        <w:rPr>
          <w:rStyle w:val="FootnoteReference"/>
          <w:rFonts w:eastAsia="Calibri"/>
        </w:rPr>
        <w:footnoteRef/>
      </w:r>
      <w:r w:rsidRPr="00D764A7">
        <w:t xml:space="preserve"> </w:t>
      </w:r>
      <w:r w:rsidRPr="00D764A7">
        <w:rPr>
          <w:i/>
        </w:rPr>
        <w:t xml:space="preserve">See </w:t>
      </w:r>
      <w:r w:rsidRPr="00D764A7">
        <w:t xml:space="preserve">47 CFR § 1.2105(a)(2)(ix); </w:t>
      </w:r>
      <w:r w:rsidRPr="00D764A7">
        <w:rPr>
          <w:i/>
        </w:rPr>
        <w:t xml:space="preserve">see also </w:t>
      </w:r>
      <w:r>
        <w:rPr>
          <w:i/>
        </w:rPr>
        <w:t>Updating Part 1 Report</w:t>
      </w:r>
      <w:r>
        <w:rPr>
          <w:i/>
          <w:color w:val="000000"/>
        </w:rPr>
        <w:t xml:space="preserve"> and </w:t>
      </w:r>
      <w:r w:rsidRPr="00D764A7">
        <w:rPr>
          <w:i/>
          <w:color w:val="000000"/>
        </w:rPr>
        <w:t>O</w:t>
      </w:r>
      <w:r>
        <w:rPr>
          <w:i/>
          <w:color w:val="000000"/>
        </w:rPr>
        <w:t>rder</w:t>
      </w:r>
      <w:r w:rsidRPr="00D764A7">
        <w:rPr>
          <w:color w:val="000000"/>
        </w:rPr>
        <w:t xml:space="preserve">, 30 FCC Rcd at 7575-76, paras. 195-97.  </w:t>
      </w:r>
    </w:p>
  </w:footnote>
  <w:footnote w:id="60">
    <w:p w:rsidR="00FE4F2B" w14:paraId="5E7F5EC9" w14:textId="63AAC4CF">
      <w:pPr>
        <w:pStyle w:val="FootnoteText"/>
      </w:pPr>
      <w:r>
        <w:rPr>
          <w:rStyle w:val="FootnoteReference"/>
        </w:rPr>
        <w:footnoteRef/>
      </w:r>
      <w:r>
        <w:t xml:space="preserve"> 47 CFR </w:t>
      </w:r>
      <w:r w:rsidRPr="00D764A7">
        <w:t>§ 1.2105(a)(2)(</w:t>
      </w:r>
      <w:r>
        <w:t>viii).</w:t>
      </w:r>
    </w:p>
  </w:footnote>
  <w:footnote w:id="61">
    <w:p w:rsidR="00FE4F2B" w:rsidRPr="00D764A7" w:rsidP="00D6515C" w14:paraId="090D8F88" w14:textId="77777777">
      <w:pPr>
        <w:pStyle w:val="FootnoteText"/>
      </w:pPr>
      <w:r w:rsidRPr="00D764A7">
        <w:rPr>
          <w:rStyle w:val="FootnoteReference"/>
        </w:rPr>
        <w:footnoteRef/>
      </w:r>
      <w:r w:rsidRPr="00D764A7">
        <w:t xml:space="preserve"> “The short-form application must contain . . .</w:t>
      </w:r>
    </w:p>
    <w:p w:rsidR="00FE4F2B" w:rsidRPr="00D764A7" w:rsidP="00DC5ED9" w14:paraId="68480B40" w14:textId="3ED97D50">
      <w:pPr>
        <w:pStyle w:val="FootnoteText"/>
        <w:ind w:left="432" w:right="432"/>
        <w:jc w:val="both"/>
      </w:pPr>
      <w:r w:rsidRPr="00D764A7">
        <w:t>(viii) Certification that the applicant has provided in its application a brief description of, and identified each party to, any part</w:t>
      </w:r>
      <w:r w:rsidRPr="00D764A7">
        <w:t>nerships, joint ventures, consortia or other agreements, arrangements or understandings of any kind relating to the licenses being auctioned, including any agreements that address or communicate directly or indirectly bids (including specific prices), bidd</w:t>
      </w:r>
      <w:r w:rsidRPr="00D764A7">
        <w:t xml:space="preserve">ing strategies (including the specific licenses on which to bid or not to bid), or the post-auction market structure, to which the applicant, or any party that controls as defined in paragraph (a)(4) of this </w:t>
      </w:r>
      <w:r>
        <w:t>s</w:t>
      </w:r>
      <w:r w:rsidRPr="00D764A7">
        <w:t xml:space="preserve">ection or is controlled by the applicant, is a </w:t>
      </w:r>
      <w:r w:rsidRPr="00D764A7">
        <w:t>party.</w:t>
      </w:r>
    </w:p>
    <w:p w:rsidR="00FE4F2B" w:rsidRPr="00D764A7" w:rsidP="00DC5ED9" w14:paraId="2EE494F5" w14:textId="38A93AE2">
      <w:pPr>
        <w:pStyle w:val="FootnoteText"/>
        <w:ind w:left="432" w:right="432"/>
        <w:jc w:val="both"/>
      </w:pPr>
      <w:r w:rsidRPr="00D764A7">
        <w:t xml:space="preserve">(ix) Certification that the applicant (or any party that controls as defined in paragraph (a)(4) of this </w:t>
      </w:r>
      <w:r>
        <w:t>s</w:t>
      </w:r>
      <w:r w:rsidRPr="00D764A7">
        <w:t>ection or is controlled by the applicant) has not entered and will not enter into any partnerships, joint ventures, consortia or other agreemen</w:t>
      </w:r>
      <w:r w:rsidRPr="00D764A7">
        <w:t>ts, arrangements, or understandings of any kind relating to the licenses being auctioned that address or communicate, directly or indirectly, bidding at auction (including specific prices to be bid) or bidding strategies (including the specific licenses on</w:t>
      </w:r>
      <w:r w:rsidRPr="00D764A7">
        <w:t xml:space="preserve"> which to bid or not to bid), or post-auction market structure with:  any other applicant (or any party that controls or is controlled by another applicant); with a nationwide provider that is not an applicant (or any party that controls or is controlled b</w:t>
      </w:r>
      <w:r w:rsidRPr="00D764A7">
        <w:t xml:space="preserve">y such a nationwide provider); or, if the applicant is a nationwide provider, with any non-nationwide provider that is not an applicant (or with any party that controls or is controlled by such a non-nationwide provider), other than:    </w:t>
      </w:r>
    </w:p>
    <w:p w:rsidR="00FE4F2B" w:rsidRPr="00D764A7" w:rsidP="00DC5ED9" w14:paraId="12333467" w14:textId="4F44BB41">
      <w:pPr>
        <w:pStyle w:val="FootnoteText"/>
        <w:ind w:left="720" w:right="720"/>
        <w:jc w:val="both"/>
      </w:pPr>
      <w:r w:rsidRPr="00D764A7">
        <w:t>(</w:t>
      </w:r>
      <w:r>
        <w:t>A</w:t>
      </w:r>
      <w:r w:rsidRPr="00D764A7">
        <w:t>) Agreements, ar</w:t>
      </w:r>
      <w:r w:rsidRPr="00D764A7">
        <w:t xml:space="preserve">rangements, or understandings of any kind that are solely operational as defined under paragraph (a)(4) of this </w:t>
      </w:r>
      <w:r>
        <w:t>s</w:t>
      </w:r>
      <w:r w:rsidRPr="00D764A7">
        <w:t>ection;</w:t>
      </w:r>
    </w:p>
    <w:p w:rsidR="00FE4F2B" w:rsidRPr="00D764A7" w:rsidP="00DC5ED9" w14:paraId="516E0C23" w14:textId="1AD08D93">
      <w:pPr>
        <w:pStyle w:val="FootnoteText"/>
        <w:ind w:left="720" w:right="720"/>
        <w:jc w:val="both"/>
      </w:pPr>
      <w:r w:rsidRPr="00D764A7">
        <w:t>(</w:t>
      </w:r>
      <w:r>
        <w:t>B</w:t>
      </w:r>
      <w:r w:rsidRPr="00D764A7">
        <w:t>) Agreements, arrangements, or understandings of any kind to form consortia or joint ventures as defined under paragraph (a)(4) of th</w:t>
      </w:r>
      <w:r w:rsidRPr="00D764A7">
        <w:t xml:space="preserve">is </w:t>
      </w:r>
      <w:r>
        <w:t>s</w:t>
      </w:r>
      <w:r w:rsidRPr="00D764A7">
        <w:t>ection;</w:t>
      </w:r>
    </w:p>
    <w:p w:rsidR="00FE4F2B" w:rsidRPr="00D764A7" w:rsidP="00DC5ED9" w14:paraId="05D487D0" w14:textId="77777777">
      <w:pPr>
        <w:pStyle w:val="FootnoteText"/>
        <w:ind w:left="720" w:right="720"/>
        <w:jc w:val="both"/>
      </w:pPr>
      <w:r w:rsidRPr="00D764A7">
        <w:t>(</w:t>
      </w:r>
      <w:r>
        <w:t>C</w:t>
      </w:r>
      <w:r w:rsidRPr="00D764A7">
        <w:t>) Agreements, arrangements or understandings of any kind with respect to the transfer or assignment of licenses, provided that such agreements, arrangements or understandings do not both relate to the licenses at auction and address or commun</w:t>
      </w:r>
      <w:r w:rsidRPr="00D764A7">
        <w:t>icate, directly or indirectly, bidding at auction (including specific prices to be bid), or bidding strategies (including the specific licenses on which to bid or not to bid), or post-auction market structure.”</w:t>
      </w:r>
    </w:p>
    <w:p w:rsidR="00FE4F2B" w:rsidRPr="00D764A7" w:rsidP="00D6515C" w14:paraId="456AFC05" w14:textId="3C459006">
      <w:pPr>
        <w:pStyle w:val="FootnoteText"/>
      </w:pPr>
      <w:r w:rsidRPr="00D764A7">
        <w:t xml:space="preserve">47 CFR § 1.2105(a)(2)(viii)-(ix); </w:t>
      </w:r>
      <w:r w:rsidRPr="00D764A7">
        <w:rPr>
          <w:i/>
        </w:rPr>
        <w:t xml:space="preserve">see also </w:t>
      </w:r>
      <w:r>
        <w:rPr>
          <w:i/>
        </w:rPr>
        <w:t>Up</w:t>
      </w:r>
      <w:r>
        <w:rPr>
          <w:i/>
        </w:rPr>
        <w:t>dating Part 1 Report</w:t>
      </w:r>
      <w:r w:rsidRPr="00D764A7">
        <w:rPr>
          <w:i/>
        </w:rPr>
        <w:t xml:space="preserve"> and Order</w:t>
      </w:r>
      <w:r w:rsidRPr="00D764A7">
        <w:t>, 30 FCC Rcd at 7570-78, paras. 180-201.</w:t>
      </w:r>
    </w:p>
  </w:footnote>
  <w:footnote w:id="62">
    <w:p w:rsidR="00FE4F2B" w:rsidRPr="00687E7D" w:rsidP="00D6515C" w14:paraId="34533444" w14:textId="53B305E7">
      <w:pPr>
        <w:pStyle w:val="FootnoteText"/>
      </w:pPr>
      <w:r>
        <w:rPr>
          <w:rStyle w:val="FootnoteReference"/>
        </w:rPr>
        <w:footnoteRef/>
      </w:r>
      <w:r>
        <w:t xml:space="preserve"> 47 CFR </w:t>
      </w:r>
      <w:r w:rsidRPr="00A82742">
        <w:t>§ 1.2105</w:t>
      </w:r>
      <w:r>
        <w:t>(a)(2)(viii),</w:t>
      </w:r>
      <w:r w:rsidRPr="002F79F6">
        <w:t xml:space="preserve"> (</w:t>
      </w:r>
      <w:r>
        <w:t>a)(2)(ix)(A)-(C), (c)(1).</w:t>
      </w:r>
    </w:p>
  </w:footnote>
  <w:footnote w:id="63">
    <w:p w:rsidR="00FE4F2B" w:rsidRPr="00D764A7" w:rsidP="00D6515C" w14:paraId="7708F67B" w14:textId="77777777">
      <w:pPr>
        <w:pStyle w:val="FootnoteText"/>
        <w:widowControl w:val="0"/>
      </w:pPr>
      <w:r w:rsidRPr="00D764A7">
        <w:rPr>
          <w:rStyle w:val="FootnoteReference"/>
        </w:rPr>
        <w:footnoteRef/>
      </w:r>
      <w:r w:rsidRPr="00D764A7">
        <w:t xml:space="preserve"> </w:t>
      </w:r>
      <w:r w:rsidRPr="00D764A7">
        <w:rPr>
          <w:i/>
        </w:rPr>
        <w:t>See Amendment of Part 1 of the Commission</w:t>
      </w:r>
      <w:r>
        <w:rPr>
          <w:i/>
        </w:rPr>
        <w:t>’</w:t>
      </w:r>
      <w:r w:rsidRPr="00D764A7">
        <w:rPr>
          <w:i/>
        </w:rPr>
        <w:t>s Rules—Competitive Bidding Procedures</w:t>
      </w:r>
      <w:r w:rsidRPr="00374A32">
        <w:t>,</w:t>
      </w:r>
      <w:r w:rsidRPr="00D764A7">
        <w:rPr>
          <w:i/>
        </w:rPr>
        <w:t xml:space="preserve"> </w:t>
      </w:r>
      <w:r w:rsidRPr="00D764A7">
        <w:t xml:space="preserve">Third Report and Order and Second </w:t>
      </w:r>
      <w:r w:rsidRPr="00D764A7">
        <w:t>Further Notice of Proposed Rule Making, 13 FCC Rcd 374, 467-68, para. 163 (1997)</w:t>
      </w:r>
      <w:r>
        <w:t xml:space="preserve"> (</w:t>
      </w:r>
      <w:r w:rsidRPr="007803A9">
        <w:rPr>
          <w:i/>
        </w:rPr>
        <w:t>Part 1 Third Report and Order</w:t>
      </w:r>
      <w:r>
        <w:t>)</w:t>
      </w:r>
      <w:r w:rsidRPr="00D764A7">
        <w:t xml:space="preserve">; </w:t>
      </w:r>
      <w:r w:rsidRPr="00D764A7">
        <w:rPr>
          <w:i/>
        </w:rPr>
        <w:t xml:space="preserve">see generally Prohibited Communications </w:t>
      </w:r>
      <w:r>
        <w:rPr>
          <w:i/>
        </w:rPr>
        <w:t xml:space="preserve">Guidance </w:t>
      </w:r>
      <w:r w:rsidRPr="00D764A7">
        <w:rPr>
          <w:i/>
        </w:rPr>
        <w:t>Public Notice</w:t>
      </w:r>
      <w:r>
        <w:t xml:space="preserve">, </w:t>
      </w:r>
      <w:r w:rsidRPr="00D764A7">
        <w:t>30 FCC Rcd 10794.</w:t>
      </w:r>
    </w:p>
  </w:footnote>
  <w:footnote w:id="64">
    <w:p w:rsidR="00FE4F2B" w:rsidRPr="00D764A7" w:rsidP="00D6515C" w14:paraId="2DE4CE76" w14:textId="15F652F3">
      <w:pPr>
        <w:pStyle w:val="FootnoteText"/>
        <w:widowControl w:val="0"/>
      </w:pPr>
      <w:r w:rsidRPr="00D764A7">
        <w:rPr>
          <w:rStyle w:val="FootnoteReference"/>
        </w:rPr>
        <w:footnoteRef/>
      </w:r>
      <w:r w:rsidRPr="00D764A7">
        <w:t xml:space="preserve"> 47 CFR § 1.2105(a)(2)(ix)(A)-(C), (a)(2)(viii); s</w:t>
      </w:r>
      <w:r w:rsidRPr="00D764A7">
        <w:rPr>
          <w:i/>
        </w:rPr>
        <w:t xml:space="preserve">ee also </w:t>
      </w:r>
      <w:r>
        <w:rPr>
          <w:i/>
        </w:rPr>
        <w:t xml:space="preserve">Updating </w:t>
      </w:r>
      <w:r w:rsidRPr="00D764A7">
        <w:rPr>
          <w:i/>
        </w:rPr>
        <w:t>Part 1 R</w:t>
      </w:r>
      <w:r>
        <w:rPr>
          <w:i/>
        </w:rPr>
        <w:t xml:space="preserve">eport and </w:t>
      </w:r>
      <w:r w:rsidRPr="00D764A7">
        <w:rPr>
          <w:i/>
        </w:rPr>
        <w:t>O</w:t>
      </w:r>
      <w:r>
        <w:rPr>
          <w:i/>
        </w:rPr>
        <w:t>rder</w:t>
      </w:r>
      <w:r w:rsidRPr="00D764A7">
        <w:t xml:space="preserve">, 30 FCC Rcd at 7571, para. 181; </w:t>
      </w:r>
      <w:r w:rsidRPr="00D764A7">
        <w:rPr>
          <w:i/>
        </w:rPr>
        <w:t>Prohibited Communications</w:t>
      </w:r>
      <w:r>
        <w:rPr>
          <w:i/>
        </w:rPr>
        <w:t xml:space="preserve"> Guidance</w:t>
      </w:r>
      <w:r w:rsidRPr="00D764A7">
        <w:rPr>
          <w:i/>
        </w:rPr>
        <w:t xml:space="preserve"> P</w:t>
      </w:r>
      <w:r>
        <w:rPr>
          <w:i/>
        </w:rPr>
        <w:t xml:space="preserve">ublic </w:t>
      </w:r>
      <w:r w:rsidRPr="00D764A7">
        <w:rPr>
          <w:i/>
        </w:rPr>
        <w:t>N</w:t>
      </w:r>
      <w:r>
        <w:rPr>
          <w:i/>
        </w:rPr>
        <w:t>otice</w:t>
      </w:r>
      <w:r>
        <w:t>, 30 FCC Rcd</w:t>
      </w:r>
      <w:r w:rsidRPr="00D764A7">
        <w:t xml:space="preserve"> at </w:t>
      </w:r>
      <w:r>
        <w:t>10809</w:t>
      </w:r>
      <w:r w:rsidRPr="00D764A7">
        <w:t xml:space="preserve">, para. 43.  </w:t>
      </w:r>
    </w:p>
  </w:footnote>
  <w:footnote w:id="65">
    <w:p w:rsidR="00FE4F2B" w:rsidRPr="00D764A7" w:rsidP="00D6515C" w14:paraId="3DD14F6C" w14:textId="25D8FA90">
      <w:pPr>
        <w:pStyle w:val="FootnoteText"/>
        <w:widowControl w:val="0"/>
      </w:pPr>
      <w:r w:rsidRPr="00D764A7">
        <w:rPr>
          <w:rStyle w:val="FootnoteReference"/>
        </w:rPr>
        <w:footnoteRef/>
      </w:r>
      <w:r w:rsidRPr="00D764A7">
        <w:t xml:space="preserve"> 47 CFR § 1.2107(d); s</w:t>
      </w:r>
      <w:r w:rsidRPr="00D764A7">
        <w:rPr>
          <w:i/>
        </w:rPr>
        <w:t xml:space="preserve">ee also </w:t>
      </w:r>
      <w:r w:rsidRPr="007341C0">
        <w:rPr>
          <w:i/>
        </w:rPr>
        <w:t xml:space="preserve">id. </w:t>
      </w:r>
      <w:r w:rsidRPr="00D764A7">
        <w:t>§ 1.2105(a)(2)(</w:t>
      </w:r>
      <w:r w:rsidRPr="00D764A7">
        <w:t>ix)(A)-(C), (a)(2)(viii).</w:t>
      </w:r>
    </w:p>
  </w:footnote>
  <w:footnote w:id="66">
    <w:p w:rsidR="00FE4F2B" w:rsidRPr="00D764A7" w:rsidP="00D6515C" w14:paraId="21E0B1CF" w14:textId="10112854">
      <w:pPr>
        <w:pStyle w:val="FootnoteText"/>
        <w:widowControl w:val="0"/>
      </w:pPr>
      <w:r w:rsidRPr="00D764A7">
        <w:rPr>
          <w:rStyle w:val="FootnoteReference"/>
        </w:rPr>
        <w:footnoteRef/>
      </w:r>
      <w:r w:rsidRPr="00D764A7">
        <w:t xml:space="preserve"> </w:t>
      </w:r>
      <w:r w:rsidRPr="007341C0">
        <w:rPr>
          <w:i/>
        </w:rPr>
        <w:t>Id.</w:t>
      </w:r>
      <w:r w:rsidRPr="00D764A7">
        <w:t xml:space="preserve"> § 1.2107(d); s</w:t>
      </w:r>
      <w:r w:rsidRPr="00D764A7">
        <w:rPr>
          <w:i/>
        </w:rPr>
        <w:t xml:space="preserve">ee also </w:t>
      </w:r>
      <w:r w:rsidRPr="007341C0">
        <w:rPr>
          <w:i/>
        </w:rPr>
        <w:t xml:space="preserve">id. </w:t>
      </w:r>
      <w:r w:rsidRPr="00D764A7">
        <w:t>§ 1.2105(a)(2)(ix)(A)-(C), (a)(2)(viii).</w:t>
      </w:r>
    </w:p>
  </w:footnote>
  <w:footnote w:id="67">
    <w:p w:rsidR="00FE4F2B" w:rsidRPr="00D764A7" w:rsidP="00D6515C" w14:paraId="4412284B" w14:textId="3F40474D">
      <w:pPr>
        <w:pStyle w:val="FootnoteText"/>
        <w:widowControl w:val="0"/>
      </w:pPr>
      <w:r w:rsidRPr="00D764A7">
        <w:rPr>
          <w:rStyle w:val="FootnoteReference"/>
        </w:rPr>
        <w:footnoteRef/>
      </w:r>
      <w:r w:rsidRPr="00D764A7">
        <w:t xml:space="preserve"> Section 1.2105 requires the disclosure on the FCC Form 175 of the applicant’s ownership information as set forth in </w:t>
      </w:r>
      <w:r>
        <w:t>section</w:t>
      </w:r>
      <w:r w:rsidRPr="00D764A7">
        <w:t xml:space="preserve">s 1.2105 and 1.2112.  </w:t>
      </w:r>
      <w:r w:rsidRPr="00D764A7">
        <w:rPr>
          <w:i/>
        </w:rPr>
        <w:t xml:space="preserve">See </w:t>
      </w:r>
      <w:r w:rsidRPr="007341C0">
        <w:rPr>
          <w:i/>
        </w:rPr>
        <w:t xml:space="preserve">id. </w:t>
      </w:r>
      <w:r w:rsidRPr="00D764A7">
        <w:t xml:space="preserve">§ </w:t>
      </w:r>
      <w:r w:rsidRPr="00D764A7">
        <w:t>1.2105</w:t>
      </w:r>
      <w:r>
        <w:t>(a)(2)(ii)(B)</w:t>
      </w:r>
      <w:r w:rsidRPr="00D764A7">
        <w:t xml:space="preserve">.  In addition, each applicant should ensure that its disclosures comply with the ownership disclosure requirements in the Part 1 rules.  </w:t>
      </w:r>
      <w:r w:rsidRPr="00D764A7">
        <w:rPr>
          <w:i/>
        </w:rPr>
        <w:t xml:space="preserve">See generally </w:t>
      </w:r>
      <w:r>
        <w:rPr>
          <w:i/>
        </w:rPr>
        <w:t>Updating Part 1 Report and Order</w:t>
      </w:r>
      <w:r>
        <w:t>, 30 FCC Rcd 7493</w:t>
      </w:r>
      <w:r w:rsidRPr="00D764A7">
        <w:rPr>
          <w:i/>
        </w:rPr>
        <w:t>.</w:t>
      </w:r>
    </w:p>
  </w:footnote>
  <w:footnote w:id="68">
    <w:p w:rsidR="00FE4F2B" w:rsidRPr="00D764A7" w:rsidP="00D6515C" w14:paraId="07A093C6" w14:textId="7A5A4073">
      <w:pPr>
        <w:pStyle w:val="FootnoteText"/>
        <w:widowControl w:val="0"/>
      </w:pPr>
      <w:r w:rsidRPr="00D764A7">
        <w:rPr>
          <w:rStyle w:val="FootnoteReference"/>
        </w:rPr>
        <w:footnoteRef/>
      </w:r>
      <w:r w:rsidRPr="00D764A7">
        <w:t xml:space="preserve"> 47 CFR §§ 1.2105</w:t>
      </w:r>
      <w:r>
        <w:t>(a)(2)(ii)(B)</w:t>
      </w:r>
      <w:r w:rsidRPr="00D764A7">
        <w:t>, 1</w:t>
      </w:r>
      <w:r w:rsidRPr="00D764A7">
        <w:t>.2112.</w:t>
      </w:r>
    </w:p>
  </w:footnote>
  <w:footnote w:id="69">
    <w:p w:rsidR="00FE4F2B" w:rsidP="00D6515C" w14:paraId="3651D431" w14:textId="0DA76D90">
      <w:pPr>
        <w:pStyle w:val="FootnoteText"/>
      </w:pPr>
      <w:r>
        <w:rPr>
          <w:rStyle w:val="FootnoteReference"/>
        </w:rPr>
        <w:footnoteRef/>
      </w:r>
      <w:r>
        <w:t xml:space="preserve"> The FCC Form 175 Instructions provide additional details on pre-filled information.</w:t>
      </w:r>
    </w:p>
  </w:footnote>
  <w:footnote w:id="70">
    <w:p w:rsidR="00FE4F2B" w:rsidP="00D6515C" w14:paraId="7C463DA7" w14:textId="20DF3D99">
      <w:pPr>
        <w:pStyle w:val="FootnoteText"/>
      </w:pPr>
      <w:r>
        <w:rPr>
          <w:rStyle w:val="FootnoteReference"/>
        </w:rPr>
        <w:footnoteRef/>
      </w:r>
      <w:r>
        <w:t xml:space="preserve"> Applicants are encouraged to submit an FCC Form 602 ownership report or update any ownership information on file with the Commission in an FCC Form 602 ownership</w:t>
      </w:r>
      <w:r>
        <w:t xml:space="preserve"> report prior to starting a short-form application for Auction 107 to ensure that their most recent ownership information is pre-filled into their short-form application.   </w:t>
      </w:r>
    </w:p>
  </w:footnote>
  <w:footnote w:id="71">
    <w:p w:rsidR="00FE4F2B" w:rsidRPr="00D764A7" w:rsidP="00D6515C" w14:paraId="2DB8386A" w14:textId="77777777">
      <w:pPr>
        <w:pStyle w:val="FootnoteText"/>
        <w:widowControl w:val="0"/>
        <w:rPr>
          <w:u w:val="single"/>
        </w:rPr>
      </w:pPr>
      <w:r w:rsidRPr="00D764A7">
        <w:rPr>
          <w:rStyle w:val="FootnoteReference"/>
        </w:rPr>
        <w:footnoteRef/>
      </w:r>
      <w:r w:rsidRPr="00D764A7">
        <w:t xml:space="preserve"> </w:t>
      </w:r>
      <w:r w:rsidRPr="00D764A7">
        <w:rPr>
          <w:i/>
        </w:rPr>
        <w:t xml:space="preserve">See </w:t>
      </w:r>
      <w:r w:rsidRPr="00D764A7">
        <w:t xml:space="preserve">47 U.S.C. § 310(a), (b).  </w:t>
      </w:r>
    </w:p>
  </w:footnote>
  <w:footnote w:id="72">
    <w:p w:rsidR="00FE4F2B" w:rsidRPr="00D764A7" w:rsidP="00D6515C" w14:paraId="0F590105" w14:textId="27C5816D">
      <w:pPr>
        <w:pStyle w:val="FootnoteText"/>
        <w:widowControl w:val="0"/>
      </w:pPr>
      <w:r w:rsidRPr="00D764A7">
        <w:rPr>
          <w:rStyle w:val="FootnoteReference"/>
        </w:rPr>
        <w:footnoteRef/>
      </w:r>
      <w:r w:rsidRPr="00D764A7">
        <w:t xml:space="preserve"> </w:t>
      </w:r>
      <w:r w:rsidRPr="00D764A7">
        <w:rPr>
          <w:i/>
        </w:rPr>
        <w:t xml:space="preserve">See </w:t>
      </w:r>
      <w:r w:rsidRPr="007341C0">
        <w:rPr>
          <w:i/>
        </w:rPr>
        <w:t xml:space="preserve">Review of Foreign Ownership </w:t>
      </w:r>
      <w:r w:rsidRPr="007341C0">
        <w:rPr>
          <w:i/>
        </w:rPr>
        <w:t>Policies for Common Carrier and Aeronautical Radio Licensees under Section 310(b)(4) of the Communications Act of 1934, as Amended</w:t>
      </w:r>
      <w:r w:rsidRPr="00D764A7">
        <w:rPr>
          <w:bCs/>
        </w:rPr>
        <w:t xml:space="preserve">, </w:t>
      </w:r>
      <w:r>
        <w:rPr>
          <w:bCs/>
        </w:rPr>
        <w:t xml:space="preserve">IB Docket No. 11-133, </w:t>
      </w:r>
      <w:r w:rsidRPr="007341C0">
        <w:t>Second Report and Order</w:t>
      </w:r>
      <w:r w:rsidRPr="00D764A7">
        <w:t xml:space="preserve">, </w:t>
      </w:r>
      <w:r>
        <w:t xml:space="preserve">28 </w:t>
      </w:r>
      <w:r w:rsidRPr="00D764A7">
        <w:t>FCC Rcd 5741, 5747-48, para. 7 (2013).</w:t>
      </w:r>
      <w:r>
        <w:t xml:space="preserve">  </w:t>
      </w:r>
      <w:r w:rsidRPr="00C02CB9">
        <w:t>The Commission amended its foreign</w:t>
      </w:r>
      <w:r w:rsidRPr="00C02CB9">
        <w:t xml:space="preserve"> ownership rules in </w:t>
      </w:r>
      <w:r w:rsidRPr="00C02CB9">
        <w:rPr>
          <w:bCs/>
          <w:i/>
        </w:rPr>
        <w:t>Review of Foreign Ownership Policies for Broadcast, Common Carrier and Aeronautical Radio Licensees under Section 310(b)(4) of the Communications Act of 1934, as Amended</w:t>
      </w:r>
      <w:r w:rsidRPr="00C02CB9">
        <w:rPr>
          <w:bCs/>
        </w:rPr>
        <w:t>,</w:t>
      </w:r>
      <w:r>
        <w:rPr>
          <w:bCs/>
        </w:rPr>
        <w:t xml:space="preserve"> GN Docket No. 15-236,</w:t>
      </w:r>
      <w:r w:rsidRPr="00C02CB9">
        <w:rPr>
          <w:bCs/>
        </w:rPr>
        <w:t xml:space="preserve"> </w:t>
      </w:r>
      <w:r>
        <w:rPr>
          <w:bCs/>
        </w:rPr>
        <w:t xml:space="preserve">Report and Order, </w:t>
      </w:r>
      <w:r w:rsidRPr="00C02CB9">
        <w:rPr>
          <w:bCs/>
        </w:rPr>
        <w:t>31 FCC Rcd 11272 (2016)</w:t>
      </w:r>
      <w:r w:rsidRPr="00C02CB9">
        <w:t xml:space="preserve">. </w:t>
      </w:r>
      <w:r w:rsidRPr="00C02CB9">
        <w:t xml:space="preserve"> The rules are now codified in 47 CFR</w:t>
      </w:r>
      <w:r>
        <w:t xml:space="preserve"> </w:t>
      </w:r>
      <w:r w:rsidRPr="00D764A7">
        <w:t>§§</w:t>
      </w:r>
      <w:r w:rsidRPr="00C02CB9">
        <w:t xml:space="preserve"> 1.5000-1.5004.</w:t>
      </w:r>
    </w:p>
  </w:footnote>
  <w:footnote w:id="73">
    <w:p w:rsidR="00FE4F2B" w:rsidRPr="00D764A7" w:rsidP="00C00E04" w14:paraId="0250DC50" w14:textId="67B4101C">
      <w:pPr>
        <w:pStyle w:val="FootnoteText"/>
        <w:widowControl w:val="0"/>
      </w:pPr>
      <w:r w:rsidRPr="00D764A7">
        <w:rPr>
          <w:rStyle w:val="FootnoteReference"/>
        </w:rPr>
        <w:footnoteRef/>
      </w:r>
      <w:r w:rsidRPr="00D764A7">
        <w:t xml:space="preserve"> 47 CFR § 1.2105</w:t>
      </w:r>
      <w:r>
        <w:t>(a)(2)(vi)</w:t>
      </w:r>
      <w:r w:rsidRPr="00D764A7">
        <w:t>.</w:t>
      </w:r>
    </w:p>
  </w:footnote>
  <w:footnote w:id="74">
    <w:p w:rsidR="00FE4F2B" w:rsidRPr="00D764A7" w:rsidP="00D6515C" w14:paraId="6488CD5E" w14:textId="43AA8503">
      <w:pPr>
        <w:pStyle w:val="FootnoteText"/>
        <w:widowControl w:val="0"/>
      </w:pPr>
      <w:r w:rsidRPr="00D764A7">
        <w:rPr>
          <w:rStyle w:val="FootnoteReference"/>
        </w:rPr>
        <w:footnoteRef/>
      </w:r>
      <w:r w:rsidRPr="00D764A7">
        <w:t xml:space="preserve"> </w:t>
      </w:r>
      <w:r w:rsidRPr="00D764A7">
        <w:rPr>
          <w:i/>
        </w:rPr>
        <w:t xml:space="preserve">See </w:t>
      </w:r>
      <w:r w:rsidRPr="00FA72DF">
        <w:rPr>
          <w:i/>
          <w:iCs/>
        </w:rPr>
        <w:t>id.</w:t>
      </w:r>
      <w:r>
        <w:t xml:space="preserve"> </w:t>
      </w:r>
      <w:r w:rsidRPr="00D764A7">
        <w:t xml:space="preserve">§ 1.2105(a)(2)(v), (vi).  Additional information concerning foreign ownership disclosure requirements is provided in </w:t>
      </w:r>
      <w:r>
        <w:t>the</w:t>
      </w:r>
      <w:r w:rsidRPr="00D764A7">
        <w:t xml:space="preserve"> FCC Form 175 Instructions.  </w:t>
      </w:r>
    </w:p>
  </w:footnote>
  <w:footnote w:id="75">
    <w:p w:rsidR="00FE4F2B" w:rsidRPr="00D764A7" w:rsidP="00D6515C" w14:paraId="6F3B83F6" w14:textId="7D11C06D">
      <w:pPr>
        <w:pStyle w:val="FootnoteText"/>
      </w:pPr>
      <w:r w:rsidRPr="00D764A7">
        <w:rPr>
          <w:rStyle w:val="FootnoteReference"/>
        </w:rPr>
        <w:footnoteRef/>
      </w:r>
      <w:r w:rsidRPr="00D764A7">
        <w:t xml:space="preserve"> </w:t>
      </w:r>
      <w:r w:rsidRPr="00D764A7">
        <w:rPr>
          <w:i/>
        </w:rPr>
        <w:t>See, e.</w:t>
      </w:r>
      <w:r w:rsidRPr="00374A32">
        <w:rPr>
          <w:i/>
        </w:rPr>
        <w:t>g.</w:t>
      </w:r>
      <w:r w:rsidRPr="007376D3">
        <w:rPr>
          <w:i/>
          <w:iCs/>
        </w:rPr>
        <w:t>,</w:t>
      </w:r>
      <w:r w:rsidRPr="00D764A7">
        <w:rPr>
          <w:i/>
        </w:rPr>
        <w:t xml:space="preserve"> </w:t>
      </w:r>
      <w:r>
        <w:rPr>
          <w:i/>
        </w:rPr>
        <w:t>Auction 103 Procedures Public Notice</w:t>
      </w:r>
      <w:r w:rsidRPr="0034090B">
        <w:rPr>
          <w:iCs/>
        </w:rPr>
        <w:t>,</w:t>
      </w:r>
      <w:r>
        <w:rPr>
          <w:i/>
        </w:rPr>
        <w:t xml:space="preserve"> </w:t>
      </w:r>
      <w:r>
        <w:rPr>
          <w:iCs/>
        </w:rPr>
        <w:t xml:space="preserve">34 FCC Rcd at 5546-47, paras. 35-40; </w:t>
      </w:r>
      <w:r w:rsidRPr="001A5A5D">
        <w:rPr>
          <w:i/>
        </w:rPr>
        <w:t xml:space="preserve">Auctions </w:t>
      </w:r>
      <w:r>
        <w:rPr>
          <w:i/>
        </w:rPr>
        <w:t xml:space="preserve">101 and 102 </w:t>
      </w:r>
      <w:r w:rsidRPr="001A5A5D">
        <w:rPr>
          <w:i/>
        </w:rPr>
        <w:t>Procedures Public Notice</w:t>
      </w:r>
      <w:r w:rsidRPr="001A5A5D">
        <w:t xml:space="preserve">, 33 FCC Rcd </w:t>
      </w:r>
      <w:r>
        <w:t>at</w:t>
      </w:r>
      <w:r w:rsidRPr="001A5A5D">
        <w:t xml:space="preserve"> 7596</w:t>
      </w:r>
      <w:r>
        <w:t>-98</w:t>
      </w:r>
      <w:r w:rsidRPr="001A5A5D">
        <w:t>, paras. 50-56</w:t>
      </w:r>
      <w:r w:rsidRPr="00297064">
        <w:t>;</w:t>
      </w:r>
      <w:r>
        <w:t xml:space="preserve"> </w:t>
      </w:r>
      <w:r w:rsidRPr="00D764A7">
        <w:rPr>
          <w:i/>
        </w:rPr>
        <w:t>Broadcast Incentive Auction Scheduled to Begin on March 29, 2016; Procedures for Competitive Bi</w:t>
      </w:r>
      <w:r w:rsidRPr="00D764A7">
        <w:rPr>
          <w:i/>
        </w:rPr>
        <w:t>dding in Auction 1000, Including Initial Clearing Target Determination, Qualifying to Bid, and Bidding in Auctions 1001 (Reverse) and 1002 (Forward)</w:t>
      </w:r>
      <w:r w:rsidRPr="00D764A7">
        <w:t>,</w:t>
      </w:r>
      <w:r w:rsidRPr="00D764A7">
        <w:rPr>
          <w:i/>
        </w:rPr>
        <w:t xml:space="preserve"> </w:t>
      </w:r>
      <w:r>
        <w:rPr>
          <w:iCs/>
        </w:rPr>
        <w:t xml:space="preserve">MB Docket No. 15-146 et al., </w:t>
      </w:r>
      <w:r w:rsidRPr="00D764A7">
        <w:t>Public Notice, 30 FCC Rcd 8975, 9046, para. 138 (2015)</w:t>
      </w:r>
      <w:r>
        <w:t xml:space="preserve"> (</w:t>
      </w:r>
      <w:r>
        <w:rPr>
          <w:i/>
          <w:iCs/>
        </w:rPr>
        <w:t xml:space="preserve">Auction 1000 </w:t>
      </w:r>
      <w:r>
        <w:rPr>
          <w:i/>
          <w:iCs/>
        </w:rPr>
        <w:t>Procedures Public Notice</w:t>
      </w:r>
      <w:r>
        <w:rPr>
          <w:i/>
        </w:rPr>
        <w:t>)</w:t>
      </w:r>
      <w:r w:rsidRPr="00D764A7">
        <w:rPr>
          <w:bCs/>
        </w:rPr>
        <w:t>;</w:t>
      </w:r>
      <w:r>
        <w:rPr>
          <w:bCs/>
        </w:rPr>
        <w:t xml:space="preserve"> </w:t>
      </w:r>
      <w:r w:rsidRPr="00D764A7">
        <w:rPr>
          <w:bCs/>
          <w:i/>
        </w:rPr>
        <w:t xml:space="preserve">see also </w:t>
      </w:r>
      <w:r w:rsidRPr="00D764A7">
        <w:t>47 CFR § 1.2104(h)</w:t>
      </w:r>
      <w:r w:rsidRPr="00D91EFD">
        <w:t>.</w:t>
      </w:r>
    </w:p>
  </w:footnote>
  <w:footnote w:id="76">
    <w:p w:rsidR="00FE4F2B" w:rsidRPr="001A5A5D" w:rsidP="00D6515C" w14:paraId="59425506" w14:textId="1BBB7480">
      <w:pPr>
        <w:pStyle w:val="FootnoteText"/>
      </w:pPr>
      <w:r w:rsidRPr="001A5A5D">
        <w:rPr>
          <w:rStyle w:val="FootnoteReference"/>
          <w:sz w:val="20"/>
        </w:rPr>
        <w:footnoteRef/>
      </w:r>
      <w:r w:rsidRPr="001A5A5D">
        <w:rPr>
          <w:bCs/>
        </w:rPr>
        <w:t xml:space="preserve"> </w:t>
      </w:r>
      <w:r>
        <w:rPr>
          <w:bCs/>
          <w:i/>
        </w:rPr>
        <w:t xml:space="preserve">See </w:t>
      </w:r>
      <w:r w:rsidRPr="00D764A7">
        <w:rPr>
          <w:rStyle w:val="FootnoteTextChar3Char1"/>
          <w:i/>
        </w:rPr>
        <w:t>Auction 10</w:t>
      </w:r>
      <w:r>
        <w:rPr>
          <w:rStyle w:val="FootnoteTextChar3Char1"/>
          <w:i/>
        </w:rPr>
        <w:t>7</w:t>
      </w:r>
      <w:r w:rsidRPr="00D764A7">
        <w:rPr>
          <w:rStyle w:val="FootnoteTextChar3Char1"/>
          <w:i/>
        </w:rPr>
        <w:t xml:space="preserve"> Comment </w:t>
      </w:r>
      <w:r w:rsidRPr="00D764A7">
        <w:rPr>
          <w:i/>
        </w:rPr>
        <w:t>Public Notice</w:t>
      </w:r>
      <w:r>
        <w:t>, 35 FCC Rcd at 2607, para. 17</w:t>
      </w:r>
      <w:r w:rsidRPr="00D764A7">
        <w:t>.</w:t>
      </w:r>
    </w:p>
  </w:footnote>
  <w:footnote w:id="77">
    <w:p w:rsidR="00FE4F2B" w:rsidRPr="00D764A7" w:rsidP="00D6515C" w14:paraId="60C4AD4E" w14:textId="10A5C8FD">
      <w:pPr>
        <w:pStyle w:val="FootnoteText"/>
        <w:spacing w:before="120"/>
      </w:pPr>
      <w:r w:rsidRPr="00D764A7">
        <w:rPr>
          <w:rStyle w:val="FootnoteReference"/>
        </w:rPr>
        <w:footnoteRef/>
      </w:r>
      <w:r w:rsidRPr="00D764A7">
        <w:t xml:space="preserve"> </w:t>
      </w:r>
      <w:r w:rsidRPr="00D764A7">
        <w:rPr>
          <w:i/>
        </w:rPr>
        <w:t>See Auction of AWS-1 and Broadband PCS Licenses Rescheduled for August 13, 2008; Notice and Filing Requirements, Minimum Openin</w:t>
      </w:r>
      <w:r w:rsidRPr="00D764A7">
        <w:rPr>
          <w:i/>
        </w:rPr>
        <w:t>g Bids, Upfront Payments, and Other Procedures for Auction 78</w:t>
      </w:r>
      <w:r w:rsidRPr="00D764A7">
        <w:t xml:space="preserve">, </w:t>
      </w:r>
      <w:r>
        <w:t xml:space="preserve">AU Docket No. 08-46, </w:t>
      </w:r>
      <w:r w:rsidRPr="00D764A7">
        <w:t>Public Notice, 23 FCC Rcd 7496, 7536, para. 157 (WTB 2008) (recognizing that limited information procedures may have overall competitive benefits from reduced opportunities</w:t>
      </w:r>
      <w:r w:rsidRPr="00D764A7">
        <w:t xml:space="preserve"> for bid signaling, retaliatory bidding, or other anti-competitive strategic bidding)</w:t>
      </w:r>
      <w:r>
        <w:t xml:space="preserve"> (</w:t>
      </w:r>
      <w:r w:rsidRPr="007341C0">
        <w:rPr>
          <w:i/>
        </w:rPr>
        <w:t>Auction 78 Procedures Public Notice</w:t>
      </w:r>
      <w:r w:rsidRPr="00D764A7">
        <w:t xml:space="preserve">); </w:t>
      </w:r>
      <w:r w:rsidRPr="00D764A7">
        <w:rPr>
          <w:i/>
        </w:rPr>
        <w:t>Auction of 700 MHz Band Licenses Scheduled for July 19, 2011; Notice and Filing Requirements, Minimum Opening Bids, Upfront Payment</w:t>
      </w:r>
      <w:r w:rsidRPr="00D764A7">
        <w:rPr>
          <w:i/>
        </w:rPr>
        <w:t>s, and Other Procedures for Auction 92</w:t>
      </w:r>
      <w:r w:rsidRPr="00D764A7">
        <w:t xml:space="preserve">, </w:t>
      </w:r>
      <w:r>
        <w:t xml:space="preserve">AU Docket No. 10-248, </w:t>
      </w:r>
      <w:r w:rsidRPr="00D764A7">
        <w:t>Public Notice, 26 FCC Rcd 3342, 3372, para. 12</w:t>
      </w:r>
      <w:r>
        <w:t>8</w:t>
      </w:r>
      <w:r w:rsidRPr="00D764A7">
        <w:t xml:space="preserve"> (WTB 2011)</w:t>
      </w:r>
      <w:r>
        <w:t xml:space="preserve"> </w:t>
      </w:r>
      <w:r w:rsidRPr="00D764A7">
        <w:t xml:space="preserve">(finding that the competitive benefits associated with </w:t>
      </w:r>
      <w:r w:rsidRPr="00D764A7">
        <w:rPr>
          <w:color w:val="000000"/>
        </w:rPr>
        <w:t>limited information disclosure procedures</w:t>
      </w:r>
      <w:r w:rsidRPr="00D764A7">
        <w:t xml:space="preserve"> support adoption of such procedures).</w:t>
      </w:r>
    </w:p>
  </w:footnote>
  <w:footnote w:id="78">
    <w:p w:rsidR="00FE4F2B" w:rsidRPr="00D764A7" w:rsidP="00D6515C" w14:paraId="74397947" w14:textId="77777777">
      <w:pPr>
        <w:pStyle w:val="FootnoteText"/>
      </w:pPr>
      <w:r w:rsidRPr="00D764A7">
        <w:rPr>
          <w:rStyle w:val="FootnoteReference"/>
        </w:rPr>
        <w:footnoteRef/>
      </w:r>
      <w:r w:rsidRPr="00D764A7">
        <w:t xml:space="preserve"> </w:t>
      </w:r>
      <w:r w:rsidRPr="00D764A7">
        <w:rPr>
          <w:i/>
        </w:rPr>
        <w:t xml:space="preserve">See Auction </w:t>
      </w:r>
      <w:r>
        <w:rPr>
          <w:i/>
        </w:rPr>
        <w:t xml:space="preserve">78 Procedures Public </w:t>
      </w:r>
      <w:r w:rsidRPr="00954EA8">
        <w:rPr>
          <w:i/>
        </w:rPr>
        <w:t>Notice</w:t>
      </w:r>
      <w:r w:rsidRPr="007341C0">
        <w:t>,</w:t>
      </w:r>
      <w:r>
        <w:t xml:space="preserve"> 23 FCC Rcd at </w:t>
      </w:r>
      <w:r w:rsidRPr="0019430B">
        <w:t>7536</w:t>
      </w:r>
      <w:r w:rsidRPr="00D764A7">
        <w:t>, para. 157.</w:t>
      </w:r>
    </w:p>
  </w:footnote>
  <w:footnote w:id="79">
    <w:p w:rsidR="00FE4F2B" w:rsidP="00D6515C" w14:paraId="5BEE80DE" w14:textId="23E7A2EB">
      <w:pPr>
        <w:pStyle w:val="FootnoteText"/>
      </w:pPr>
      <w:r>
        <w:rPr>
          <w:rStyle w:val="FootnoteReference"/>
        </w:rPr>
        <w:footnoteRef/>
      </w:r>
      <w:r>
        <w:t xml:space="preserve"> </w:t>
      </w:r>
      <w:r>
        <w:rPr>
          <w:bCs/>
          <w:i/>
        </w:rPr>
        <w:t xml:space="preserve">See </w:t>
      </w:r>
      <w:r>
        <w:rPr>
          <w:rStyle w:val="FootnoteTextChar3Char1"/>
          <w:i/>
        </w:rPr>
        <w:t>Auction 107</w:t>
      </w:r>
      <w:r w:rsidRPr="00D764A7">
        <w:rPr>
          <w:rStyle w:val="FootnoteTextChar3Char1"/>
          <w:i/>
        </w:rPr>
        <w:t xml:space="preserve"> Comment </w:t>
      </w:r>
      <w:r w:rsidRPr="00D764A7">
        <w:rPr>
          <w:i/>
        </w:rPr>
        <w:t>Public Notice</w:t>
      </w:r>
      <w:r>
        <w:t>, 35 FCC Rcd at 2607, para. 17</w:t>
      </w:r>
      <w:r w:rsidRPr="00D764A7">
        <w:t>.</w:t>
      </w:r>
    </w:p>
  </w:footnote>
  <w:footnote w:id="80">
    <w:p w:rsidR="00FE4F2B" w:rsidRPr="00D9485C" w:rsidP="00D6515C" w14:paraId="17D19F2B" w14:textId="2E915169">
      <w:pPr>
        <w:pStyle w:val="FootnoteText"/>
      </w:pPr>
      <w:r>
        <w:rPr>
          <w:rStyle w:val="FootnoteReference"/>
        </w:rPr>
        <w:footnoteRef/>
      </w:r>
      <w:r>
        <w:t xml:space="preserve"> </w:t>
      </w:r>
      <w:r w:rsidRPr="007C010B">
        <w:rPr>
          <w:i/>
        </w:rPr>
        <w:t>See</w:t>
      </w:r>
      <w:r w:rsidRPr="00D764A7">
        <w:t xml:space="preserve"> 47 CFR § 1.2105(c)</w:t>
      </w:r>
      <w:r>
        <w:t xml:space="preserve">; </w:t>
      </w:r>
      <w:r>
        <w:rPr>
          <w:i/>
        </w:rPr>
        <w:t xml:space="preserve">see also </w:t>
      </w:r>
      <w:r w:rsidRPr="00FE6CDB">
        <w:rPr>
          <w:iCs/>
        </w:rPr>
        <w:t>section</w:t>
      </w:r>
      <w:r w:rsidRPr="00DB0ABB">
        <w:t xml:space="preserve"> II.G</w:t>
      </w:r>
      <w:r>
        <w:t xml:space="preserve"> (Prohibited Communications and Compliance with Antitrust Laws), below.</w:t>
      </w:r>
    </w:p>
  </w:footnote>
  <w:footnote w:id="81">
    <w:p w:rsidR="00FE4F2B" w:rsidRPr="00D764A7" w:rsidP="00D6515C" w14:paraId="5FD3F92E" w14:textId="77777777">
      <w:pPr>
        <w:pStyle w:val="FootnoteText"/>
      </w:pPr>
      <w:r w:rsidRPr="00D764A7">
        <w:rPr>
          <w:rStyle w:val="FootnoteReference"/>
        </w:rPr>
        <w:footnoteRef/>
      </w:r>
      <w:r w:rsidRPr="00D764A7">
        <w:t xml:space="preserve"> </w:t>
      </w:r>
      <w:r w:rsidRPr="007C010B">
        <w:rPr>
          <w:i/>
        </w:rPr>
        <w:t>See</w:t>
      </w:r>
      <w:r w:rsidRPr="00D764A7">
        <w:t xml:space="preserve"> 47 CFR § 1.2105(c).</w:t>
      </w:r>
    </w:p>
  </w:footnote>
  <w:footnote w:id="82">
    <w:p w:rsidR="00FE4F2B" w:rsidRPr="00D764A7" w:rsidP="00D6515C" w14:paraId="620B3B44" w14:textId="0F0B4D89">
      <w:pPr>
        <w:pStyle w:val="FootnoteText"/>
      </w:pPr>
      <w:r w:rsidRPr="00D764A7">
        <w:rPr>
          <w:rStyle w:val="FootnoteReference"/>
        </w:rPr>
        <w:footnoteRef/>
      </w:r>
      <w:r w:rsidRPr="00D764A7">
        <w:t xml:space="preserve"> </w:t>
      </w:r>
      <w:r w:rsidRPr="007341C0">
        <w:rPr>
          <w:i/>
        </w:rPr>
        <w:t>Id</w:t>
      </w:r>
      <w:r w:rsidRPr="00D764A7">
        <w:t>. § 1.2105(c)</w:t>
      </w:r>
      <w:r>
        <w:t>(1)</w:t>
      </w:r>
      <w:r w:rsidRPr="00D764A7">
        <w:t xml:space="preserve">. </w:t>
      </w:r>
    </w:p>
  </w:footnote>
  <w:footnote w:id="83">
    <w:p w:rsidR="00FE4F2B" w:rsidRPr="00D764A7" w:rsidP="00D6515C" w14:paraId="63ED8C92" w14:textId="77777777">
      <w:pPr>
        <w:pStyle w:val="FootnoteText"/>
      </w:pPr>
      <w:r w:rsidRPr="00D764A7">
        <w:rPr>
          <w:rStyle w:val="FootnoteReference"/>
        </w:rPr>
        <w:footnoteRef/>
      </w:r>
      <w:r w:rsidRPr="00D764A7">
        <w:t xml:space="preserve"> </w:t>
      </w:r>
      <w:r>
        <w:rPr>
          <w:i/>
        </w:rPr>
        <w:t>Id.</w:t>
      </w:r>
      <w:r w:rsidRPr="00D764A7">
        <w:t xml:space="preserve"> § 1.2105(c)(5)(i). </w:t>
      </w:r>
    </w:p>
  </w:footnote>
  <w:footnote w:id="84">
    <w:p w:rsidR="00FE4F2B" w:rsidRPr="00D764A7" w:rsidP="00D6515C" w14:paraId="2B36BA52" w14:textId="62C5BD50">
      <w:pPr>
        <w:pStyle w:val="FootnoteText"/>
      </w:pPr>
      <w:r w:rsidRPr="00D764A7">
        <w:rPr>
          <w:rStyle w:val="FootnoteReference"/>
        </w:rPr>
        <w:footnoteRef/>
      </w:r>
      <w:r w:rsidRPr="00D764A7">
        <w:t xml:space="preserve"> </w:t>
      </w:r>
      <w:r w:rsidRPr="00D764A7">
        <w:rPr>
          <w:i/>
        </w:rPr>
        <w:t>See Star Wireless, LLC v. FCC</w:t>
      </w:r>
      <w:r w:rsidRPr="00D764A7">
        <w:t>, 522 F.3d 469</w:t>
      </w:r>
      <w:r>
        <w:t xml:space="preserve">, 473-74 </w:t>
      </w:r>
      <w:r w:rsidRPr="00D764A7">
        <w:t>(D.C. Cir. 2008).  Thus, an auction applicant that does</w:t>
      </w:r>
      <w:r w:rsidRPr="00D764A7">
        <w:t xml:space="preserve"> not correct deficiencies in its application, fails to submit a timely and sufficient upfront payment, or does not otherwise become qualified, remains an “applicant” for purposes of the rule and remains subject to the </w:t>
      </w:r>
      <w:r>
        <w:t>prohibition on</w:t>
      </w:r>
      <w:r w:rsidRPr="00D764A7">
        <w:t xml:space="preserve"> certain communications </w:t>
      </w:r>
      <w:r w:rsidRPr="00D764A7">
        <w:t xml:space="preserve">until the </w:t>
      </w:r>
      <w:r>
        <w:t xml:space="preserve">Auction 107 </w:t>
      </w:r>
      <w:r w:rsidRPr="00D764A7">
        <w:t>down payment deadline.</w:t>
      </w:r>
    </w:p>
  </w:footnote>
  <w:footnote w:id="85">
    <w:p w:rsidR="00FE4F2B" w:rsidP="00D6515C" w14:paraId="6D96AA3D" w14:textId="58331590">
      <w:pPr>
        <w:pStyle w:val="FootnoteText"/>
      </w:pPr>
      <w:r>
        <w:rPr>
          <w:rStyle w:val="FootnoteReference"/>
        </w:rPr>
        <w:footnoteRef/>
      </w:r>
      <w:r>
        <w:t xml:space="preserve"> </w:t>
      </w:r>
      <w:r>
        <w:rPr>
          <w:i/>
          <w:iCs/>
        </w:rPr>
        <w:t xml:space="preserve">See </w:t>
      </w:r>
      <w:r>
        <w:rPr>
          <w:i/>
        </w:rPr>
        <w:t xml:space="preserve">Updating Part 1 Report and </w:t>
      </w:r>
      <w:r w:rsidRPr="00D764A7">
        <w:rPr>
          <w:i/>
        </w:rPr>
        <w:t>O</w:t>
      </w:r>
      <w:r>
        <w:rPr>
          <w:i/>
        </w:rPr>
        <w:t>rder</w:t>
      </w:r>
      <w:r w:rsidRPr="00D764A7">
        <w:t>, 30 FCC Rcd</w:t>
      </w:r>
      <w:r>
        <w:t xml:space="preserve"> at 7571, para. 140 &amp; n.596; </w:t>
      </w:r>
      <w:r>
        <w:rPr>
          <w:i/>
        </w:rPr>
        <w:t>s</w:t>
      </w:r>
      <w:r w:rsidRPr="00D764A7">
        <w:rPr>
          <w:i/>
        </w:rPr>
        <w:t>ee</w:t>
      </w:r>
      <w:r>
        <w:rPr>
          <w:i/>
        </w:rPr>
        <w:t xml:space="preserve"> also </w:t>
      </w:r>
      <w:r>
        <w:t>section</w:t>
      </w:r>
      <w:r w:rsidRPr="00D764A7">
        <w:t xml:space="preserve"> </w:t>
      </w:r>
      <w:r>
        <w:t>II.C</w:t>
      </w:r>
      <w:r w:rsidRPr="00D764A7">
        <w:t xml:space="preserve"> (Disclosure of Agreements and Bidding Arrangements)</w:t>
      </w:r>
      <w:r>
        <w:t>, above; note 51, above</w:t>
      </w:r>
      <w:r w:rsidRPr="00D764A7">
        <w:t>.</w:t>
      </w:r>
    </w:p>
  </w:footnote>
  <w:footnote w:id="86">
    <w:p w:rsidR="00FE4F2B" w:rsidRPr="00D764A7" w:rsidP="00D6515C" w14:paraId="5391260D" w14:textId="77777777">
      <w:pPr>
        <w:pStyle w:val="FootnoteText"/>
      </w:pPr>
      <w:r w:rsidRPr="00D764A7">
        <w:rPr>
          <w:rStyle w:val="FootnoteReference"/>
        </w:rPr>
        <w:footnoteRef/>
      </w:r>
      <w:r w:rsidRPr="00D764A7">
        <w:t xml:space="preserve"> 47 CFR § 1.2105(c)(1).</w:t>
      </w:r>
    </w:p>
  </w:footnote>
  <w:footnote w:id="87">
    <w:p w:rsidR="00FE4F2B" w:rsidRPr="00D764A7" w:rsidP="00D6515C" w14:paraId="4C5C9C11" w14:textId="60678E88">
      <w:pPr>
        <w:pStyle w:val="FootnoteText"/>
      </w:pPr>
      <w:r w:rsidRPr="00D764A7">
        <w:rPr>
          <w:rStyle w:val="FootnoteReference"/>
        </w:rPr>
        <w:footnoteRef/>
      </w:r>
      <w:r w:rsidRPr="00D764A7">
        <w:t xml:space="preserve"> </w:t>
      </w:r>
      <w:r w:rsidRPr="003F7685">
        <w:rPr>
          <w:i/>
        </w:rPr>
        <w:t>See</w:t>
      </w:r>
      <w:r w:rsidRPr="00D764A7">
        <w:t xml:space="preserve"> </w:t>
      </w:r>
      <w:r>
        <w:rPr>
          <w:i/>
        </w:rPr>
        <w:t>Upd</w:t>
      </w:r>
      <w:r>
        <w:rPr>
          <w:i/>
        </w:rPr>
        <w:t>ating Part 1 Report</w:t>
      </w:r>
      <w:r w:rsidRPr="00D764A7">
        <w:rPr>
          <w:i/>
        </w:rPr>
        <w:t xml:space="preserve"> and Order</w:t>
      </w:r>
      <w:r w:rsidRPr="00D764A7">
        <w:t>,</w:t>
      </w:r>
      <w:r w:rsidRPr="00D764A7">
        <w:rPr>
          <w:i/>
        </w:rPr>
        <w:t xml:space="preserve"> </w:t>
      </w:r>
      <w:r w:rsidRPr="00D764A7">
        <w:t>30 FCC Rcd at 7577, para. 199; 47 CFR § 1.2105(a)(2)(ix), (c)(1).</w:t>
      </w:r>
    </w:p>
  </w:footnote>
  <w:footnote w:id="88">
    <w:p w:rsidR="00FE4F2B" w:rsidRPr="00D764A7" w:rsidP="00D6515C" w14:paraId="17DC1F94" w14:textId="0FC178FF">
      <w:pPr>
        <w:pStyle w:val="FootnoteText"/>
      </w:pPr>
      <w:r w:rsidRPr="00D764A7">
        <w:rPr>
          <w:rStyle w:val="FootnoteReference"/>
        </w:rPr>
        <w:footnoteRef/>
      </w:r>
      <w:r w:rsidRPr="00D764A7">
        <w:t xml:space="preserve"> 47 CFR § 1.2105(c)(1)</w:t>
      </w:r>
      <w:r>
        <w:t xml:space="preserve">; </w:t>
      </w:r>
      <w:r w:rsidRPr="007803A9">
        <w:rPr>
          <w:i/>
        </w:rPr>
        <w:t>see</w:t>
      </w:r>
      <w:r>
        <w:t xml:space="preserve"> </w:t>
      </w:r>
      <w:r>
        <w:rPr>
          <w:i/>
        </w:rPr>
        <w:t>also</w:t>
      </w:r>
      <w:r w:rsidRPr="00925FC2">
        <w:rPr>
          <w:i/>
        </w:rPr>
        <w:t xml:space="preserve"> </w:t>
      </w:r>
      <w:r>
        <w:rPr>
          <w:i/>
        </w:rPr>
        <w:t>Updating Part 1 Report</w:t>
      </w:r>
      <w:r w:rsidRPr="00D764A7">
        <w:rPr>
          <w:i/>
        </w:rPr>
        <w:t xml:space="preserve"> and Order</w:t>
      </w:r>
      <w:r w:rsidRPr="00D764A7">
        <w:t>,</w:t>
      </w:r>
      <w:r w:rsidRPr="00D764A7">
        <w:rPr>
          <w:i/>
        </w:rPr>
        <w:t xml:space="preserve"> </w:t>
      </w:r>
      <w:r w:rsidRPr="00D764A7">
        <w:t xml:space="preserve">30 FCC Rcd at 7577, para. 199.  </w:t>
      </w:r>
    </w:p>
  </w:footnote>
  <w:footnote w:id="89">
    <w:p w:rsidR="00FE4F2B" w:rsidRPr="00D764A7" w:rsidP="00D6515C" w14:paraId="72B43DB7" w14:textId="4846FEA5">
      <w:pPr>
        <w:pStyle w:val="FootnoteText"/>
      </w:pPr>
      <w:r w:rsidRPr="00D764A7">
        <w:rPr>
          <w:rStyle w:val="FootnoteReference"/>
        </w:rPr>
        <w:footnoteRef/>
      </w:r>
      <w:r w:rsidRPr="00D764A7">
        <w:t xml:space="preserve"> </w:t>
      </w:r>
      <w:r w:rsidRPr="007803A9">
        <w:rPr>
          <w:i/>
        </w:rPr>
        <w:t>See</w:t>
      </w:r>
      <w:r>
        <w:t xml:space="preserve"> </w:t>
      </w:r>
      <w:r w:rsidRPr="00D764A7">
        <w:t>47 CFR § 1.2105(a)(2)(ix)</w:t>
      </w:r>
      <w:r>
        <w:t xml:space="preserve">; </w:t>
      </w:r>
      <w:r>
        <w:rPr>
          <w:i/>
        </w:rPr>
        <w:t xml:space="preserve">Updating Part 1 </w:t>
      </w:r>
      <w:r>
        <w:rPr>
          <w:i/>
        </w:rPr>
        <w:t>Report</w:t>
      </w:r>
      <w:r w:rsidRPr="00D764A7">
        <w:rPr>
          <w:i/>
        </w:rPr>
        <w:t xml:space="preserve"> and Order</w:t>
      </w:r>
      <w:r w:rsidRPr="00D764A7">
        <w:t xml:space="preserve">, 30 FCC Rcd at 7575-76, para. 195.  </w:t>
      </w:r>
    </w:p>
  </w:footnote>
  <w:footnote w:id="90">
    <w:p w:rsidR="00FE4F2B" w:rsidRPr="00D764A7" w:rsidP="00D6515C" w14:paraId="07B0843A" w14:textId="7FD3E180">
      <w:pPr>
        <w:pStyle w:val="FootnoteText"/>
      </w:pPr>
      <w:r w:rsidRPr="00D764A7">
        <w:rPr>
          <w:rStyle w:val="FootnoteReference"/>
        </w:rPr>
        <w:footnoteRef/>
      </w:r>
      <w:r w:rsidRPr="00D764A7">
        <w:t xml:space="preserve"> </w:t>
      </w:r>
      <w:r w:rsidRPr="007803A9">
        <w:rPr>
          <w:i/>
        </w:rPr>
        <w:t>See</w:t>
      </w:r>
      <w:r>
        <w:t xml:space="preserve"> </w:t>
      </w:r>
      <w:r w:rsidRPr="00D764A7">
        <w:t>47 CFR § 1.2105(a)(2)</w:t>
      </w:r>
      <w:r>
        <w:t xml:space="preserve">(viii), </w:t>
      </w:r>
      <w:r w:rsidRPr="00D764A7">
        <w:t>(ix)</w:t>
      </w:r>
      <w:r>
        <w:t xml:space="preserve">(A)-(C); </w:t>
      </w:r>
      <w:r>
        <w:rPr>
          <w:i/>
        </w:rPr>
        <w:t>Updating Part 1 Report</w:t>
      </w:r>
      <w:r w:rsidRPr="00D764A7">
        <w:rPr>
          <w:i/>
        </w:rPr>
        <w:t xml:space="preserve"> and Order</w:t>
      </w:r>
      <w:r w:rsidRPr="00D764A7">
        <w:t xml:space="preserve">, 30 FCC Rcd at 7576-77, paras. 197-99.    </w:t>
      </w:r>
    </w:p>
  </w:footnote>
  <w:footnote w:id="91">
    <w:p w:rsidR="00FE4F2B" w:rsidRPr="00D764A7" w:rsidP="00D6515C" w14:paraId="19CD6A88" w14:textId="7E7EF37E">
      <w:pPr>
        <w:pStyle w:val="FootnoteText"/>
      </w:pPr>
      <w:r w:rsidRPr="00D764A7">
        <w:rPr>
          <w:rStyle w:val="FootnoteReference"/>
        </w:rPr>
        <w:footnoteRef/>
      </w:r>
      <w:r w:rsidRPr="00D764A7">
        <w:t xml:space="preserve"> </w:t>
      </w:r>
      <w:r w:rsidRPr="004A27F6">
        <w:rPr>
          <w:i/>
          <w:iCs/>
        </w:rPr>
        <w:t>See</w:t>
      </w:r>
      <w:r>
        <w:t xml:space="preserve"> </w:t>
      </w:r>
      <w:r w:rsidRPr="00D764A7">
        <w:t>47 CFR § 1.2105(a)(2)(ix)</w:t>
      </w:r>
      <w:r>
        <w:t>(A)-(C)</w:t>
      </w:r>
      <w:r w:rsidRPr="00D764A7">
        <w:t xml:space="preserve">; </w:t>
      </w:r>
      <w:r w:rsidRPr="00D764A7">
        <w:rPr>
          <w:i/>
        </w:rPr>
        <w:t xml:space="preserve">see </w:t>
      </w:r>
      <w:r>
        <w:rPr>
          <w:i/>
        </w:rPr>
        <w:t>generally</w:t>
      </w:r>
      <w:r w:rsidRPr="00D764A7">
        <w:rPr>
          <w:i/>
        </w:rPr>
        <w:t xml:space="preserve"> Prohibited Communications </w:t>
      </w:r>
      <w:r>
        <w:rPr>
          <w:i/>
        </w:rPr>
        <w:t xml:space="preserve">Guidance </w:t>
      </w:r>
      <w:r w:rsidRPr="00D764A7">
        <w:rPr>
          <w:i/>
        </w:rPr>
        <w:t>Public Notice</w:t>
      </w:r>
      <w:r>
        <w:t xml:space="preserve">, </w:t>
      </w:r>
      <w:r w:rsidRPr="00D764A7">
        <w:t>30 FCC Rcd 10794.</w:t>
      </w:r>
    </w:p>
  </w:footnote>
  <w:footnote w:id="92">
    <w:p w:rsidR="00FE4F2B" w:rsidRPr="00D764A7" w:rsidP="00D6515C" w14:paraId="787CA57D" w14:textId="27F82AFA">
      <w:pPr>
        <w:pStyle w:val="FootnoteText"/>
      </w:pPr>
      <w:r w:rsidRPr="00D764A7">
        <w:rPr>
          <w:rStyle w:val="FootnoteReference"/>
        </w:rPr>
        <w:footnoteRef/>
      </w:r>
      <w:r w:rsidRPr="00D764A7">
        <w:t xml:space="preserve"> </w:t>
      </w:r>
      <w:r w:rsidRPr="00D764A7">
        <w:rPr>
          <w:i/>
        </w:rPr>
        <w:t xml:space="preserve">See </w:t>
      </w:r>
      <w:r>
        <w:rPr>
          <w:i/>
        </w:rPr>
        <w:t>Updating Part 1 Report</w:t>
      </w:r>
      <w:r w:rsidRPr="00D764A7">
        <w:rPr>
          <w:i/>
        </w:rPr>
        <w:t xml:space="preserve"> and Order</w:t>
      </w:r>
      <w:r w:rsidRPr="00D764A7">
        <w:t>,</w:t>
      </w:r>
      <w:r w:rsidRPr="00D764A7">
        <w:rPr>
          <w:i/>
        </w:rPr>
        <w:t xml:space="preserve"> </w:t>
      </w:r>
      <w:r w:rsidRPr="00D764A7">
        <w:t xml:space="preserve">30 FCC Rcd at 7577, para. 199; </w:t>
      </w:r>
      <w:r w:rsidRPr="00D764A7">
        <w:rPr>
          <w:i/>
        </w:rPr>
        <w:t>Cascade Access, LLC</w:t>
      </w:r>
      <w:r w:rsidRPr="00925FC2">
        <w:t>,</w:t>
      </w:r>
      <w:r w:rsidRPr="00D764A7">
        <w:t xml:space="preserve"> Forfeiture Order, 28 FCC Rcd 141, 144, para. 7 (EB 2013) (rejecting argument that the communica</w:t>
      </w:r>
      <w:r w:rsidRPr="00D764A7">
        <w:t>tion was not prohibited because it did not reveal the “substance” of Cascade’s bids or bidding strategies).</w:t>
      </w:r>
    </w:p>
  </w:footnote>
  <w:footnote w:id="93">
    <w:p w:rsidR="00FE4F2B" w:rsidRPr="00D764A7" w:rsidP="00D6515C" w14:paraId="60E5B48E" w14:textId="77777777">
      <w:pPr>
        <w:pStyle w:val="FootnoteText"/>
      </w:pPr>
      <w:r w:rsidRPr="00D764A7">
        <w:rPr>
          <w:rStyle w:val="FootnoteReference"/>
        </w:rPr>
        <w:footnoteRef/>
      </w:r>
      <w:r w:rsidRPr="00D764A7">
        <w:t xml:space="preserve"> We remind applicants that they must determine whether </w:t>
      </w:r>
      <w:r>
        <w:t xml:space="preserve">their communications with other </w:t>
      </w:r>
      <w:r w:rsidRPr="00D764A7">
        <w:t xml:space="preserve">parties are </w:t>
      </w:r>
      <w:r>
        <w:t xml:space="preserve">permissible under </w:t>
      </w:r>
      <w:r w:rsidRPr="00D764A7">
        <w:t xml:space="preserve">the rule once the prohibition </w:t>
      </w:r>
      <w:r w:rsidRPr="00D764A7">
        <w:t>begins at the deadline for submitting applications, even before the public notice identifying applicants is released.</w:t>
      </w:r>
    </w:p>
  </w:footnote>
  <w:footnote w:id="94">
    <w:p w:rsidR="00FE4F2B" w:rsidRPr="003F6345" w:rsidP="00BE57A2" w14:paraId="674C8712" w14:textId="3DCD8C2F">
      <w:pPr>
        <w:pStyle w:val="FootnoteText"/>
      </w:pPr>
      <w:r w:rsidRPr="00281D24">
        <w:rPr>
          <w:rStyle w:val="FootnoteReference"/>
          <w:sz w:val="20"/>
        </w:rPr>
        <w:footnoteRef/>
      </w:r>
      <w:r w:rsidRPr="005B34EF">
        <w:rPr>
          <w:i/>
        </w:rPr>
        <w:t xml:space="preserve"> See, e.g</w:t>
      </w:r>
      <w:r w:rsidRPr="00CB7E10">
        <w:t>.</w:t>
      </w:r>
      <w:r w:rsidRPr="007376D3">
        <w:rPr>
          <w:i/>
          <w:iCs/>
        </w:rPr>
        <w:t>,</w:t>
      </w:r>
      <w:r w:rsidRPr="00CB7E10">
        <w:rPr>
          <w:i/>
        </w:rPr>
        <w:t xml:space="preserve"> </w:t>
      </w:r>
      <w:r w:rsidRPr="00281D24">
        <w:rPr>
          <w:i/>
          <w:iCs/>
        </w:rPr>
        <w:t xml:space="preserve">Low Power Television-Television Translator Auction No. 81 TCCSA, Inc., d/b/a Trinity Broadcasting Network National </w:t>
      </w:r>
      <w:r w:rsidRPr="00281D24">
        <w:rPr>
          <w:i/>
          <w:iCs/>
        </w:rPr>
        <w:t>Minority TV, Inc</w:t>
      </w:r>
      <w:r w:rsidRPr="00281D24">
        <w:t xml:space="preserve">., </w:t>
      </w:r>
      <w:r w:rsidRPr="005B34EF">
        <w:t xml:space="preserve">Letter Order, 20 FCC Rcd </w:t>
      </w:r>
      <w:r w:rsidRPr="00CB7E10">
        <w:t xml:space="preserve">14648, 14648-49 (2005) (finding apparent violation of communication prohibitions of </w:t>
      </w:r>
      <w:r w:rsidRPr="00AC45D3">
        <w:t>section 1.2105(c) where applicants with mutually exclusive applications reported sharing same individual as an officer and direc</w:t>
      </w:r>
      <w:r w:rsidRPr="00AC45D3">
        <w:t>tor and reported having no bidding agreement</w:t>
      </w:r>
      <w:r w:rsidRPr="000F2A11">
        <w:t>, which under the rule then in effect would have made an exception to the prohibition applicable</w:t>
      </w:r>
      <w:r w:rsidRPr="00521D24">
        <w:t>).</w:t>
      </w:r>
    </w:p>
  </w:footnote>
  <w:footnote w:id="95">
    <w:p w:rsidR="00FE4F2B" w:rsidRPr="00D764A7" w:rsidP="00D6515C" w14:paraId="7DE6B56C" w14:textId="77777777">
      <w:pPr>
        <w:pStyle w:val="FootnoteText"/>
      </w:pPr>
      <w:r w:rsidRPr="00D764A7">
        <w:rPr>
          <w:rStyle w:val="FootnoteReference"/>
        </w:rPr>
        <w:footnoteRef/>
      </w:r>
      <w:r w:rsidRPr="00D764A7">
        <w:t xml:space="preserve"> 47 CFR § 1.2105(c)(1).</w:t>
      </w:r>
    </w:p>
  </w:footnote>
  <w:footnote w:id="96">
    <w:p w:rsidR="00FE4F2B" w:rsidP="00D6515C" w14:paraId="16CAE20E" w14:textId="5049EDD1">
      <w:pPr>
        <w:pStyle w:val="FootnoteText"/>
      </w:pPr>
      <w:r>
        <w:rPr>
          <w:rStyle w:val="FootnoteReference"/>
        </w:rPr>
        <w:footnoteRef/>
      </w:r>
      <w:r>
        <w:t xml:space="preserve"> </w:t>
      </w:r>
      <w:r>
        <w:rPr>
          <w:i/>
        </w:rPr>
        <w:t xml:space="preserve">See generally </w:t>
      </w:r>
      <w:r w:rsidRPr="00D764A7">
        <w:rPr>
          <w:i/>
        </w:rPr>
        <w:t xml:space="preserve">Prohibited Communications </w:t>
      </w:r>
      <w:r>
        <w:rPr>
          <w:i/>
        </w:rPr>
        <w:t xml:space="preserve">Guidance </w:t>
      </w:r>
      <w:r w:rsidRPr="00D764A7">
        <w:rPr>
          <w:i/>
        </w:rPr>
        <w:t xml:space="preserve">Public </w:t>
      </w:r>
      <w:r w:rsidRPr="009C4579">
        <w:rPr>
          <w:i/>
        </w:rPr>
        <w:t>Notice</w:t>
      </w:r>
      <w:r>
        <w:rPr>
          <w:iCs/>
        </w:rPr>
        <w:t>, 30 FCC Rcd 10794</w:t>
      </w:r>
      <w:r>
        <w:rPr>
          <w:rStyle w:val="FootnoteTextChar"/>
        </w:rPr>
        <w:t>.</w:t>
      </w:r>
    </w:p>
  </w:footnote>
  <w:footnote w:id="97">
    <w:p w:rsidR="00FE4F2B" w:rsidRPr="00D764A7" w:rsidP="00D6515C" w14:paraId="004EE345" w14:textId="2E8A998B">
      <w:pPr>
        <w:pStyle w:val="FootnoteText"/>
      </w:pPr>
      <w:r w:rsidRPr="00D764A7">
        <w:rPr>
          <w:rStyle w:val="FootnoteReference"/>
        </w:rPr>
        <w:footnoteRef/>
      </w:r>
      <w:r w:rsidRPr="00D764A7">
        <w:t xml:space="preserve"> </w:t>
      </w:r>
      <w:r>
        <w:rPr>
          <w:i/>
        </w:rPr>
        <w:t>Id</w:t>
      </w:r>
      <w:r>
        <w:rPr>
          <w:iCs/>
        </w:rPr>
        <w:t>.</w:t>
      </w:r>
      <w:r w:rsidRPr="00D764A7">
        <w:t xml:space="preserve"> at 10806, para. 3</w:t>
      </w:r>
      <w:r>
        <w:t>3</w:t>
      </w:r>
      <w:r w:rsidRPr="00D764A7">
        <w:t>.</w:t>
      </w:r>
    </w:p>
  </w:footnote>
  <w:footnote w:id="98">
    <w:p w:rsidR="00FE4F2B" w:rsidRPr="006B5498" w:rsidP="00D6515C" w14:paraId="6D7179AC" w14:textId="4F43957F">
      <w:pPr>
        <w:pStyle w:val="FootnoteText"/>
        <w:rPr>
          <w:i/>
        </w:rPr>
      </w:pPr>
      <w:r>
        <w:rPr>
          <w:rStyle w:val="FootnoteReference"/>
        </w:rPr>
        <w:footnoteRef/>
      </w:r>
      <w:r>
        <w:t xml:space="preserve"> </w:t>
      </w:r>
      <w:r>
        <w:rPr>
          <w:i/>
        </w:rPr>
        <w:t>See, e.g.,</w:t>
      </w:r>
      <w:r w:rsidRPr="006B5498">
        <w:rPr>
          <w:i/>
        </w:rPr>
        <w:t xml:space="preserve"> Expanding the</w:t>
      </w:r>
      <w:r>
        <w:rPr>
          <w:i/>
        </w:rPr>
        <w:t xml:space="preserve"> </w:t>
      </w:r>
      <w:r w:rsidRPr="006B5498">
        <w:rPr>
          <w:i/>
        </w:rPr>
        <w:t>Economic and Innovation Opportunities of Spectrum Through Incentive Auctions</w:t>
      </w:r>
      <w:r w:rsidRPr="006B5498">
        <w:t xml:space="preserve">, </w:t>
      </w:r>
      <w:r>
        <w:t xml:space="preserve">GN Docket No. 12-268, </w:t>
      </w:r>
      <w:r w:rsidRPr="006B5498">
        <w:t>Report and Order, 29 FCC Rcd 6567, 6770-71, para. 492 (2014) (citing</w:t>
      </w:r>
      <w:r w:rsidRPr="006B5498">
        <w:rPr>
          <w:i/>
        </w:rPr>
        <w:t xml:space="preserve"> Application of Todd Stuart Noordyk for</w:t>
      </w:r>
      <w:r w:rsidRPr="006B5498">
        <w:rPr>
          <w:i/>
        </w:rPr>
        <w:t xml:space="preserve"> a New</w:t>
      </w:r>
      <w:r>
        <w:rPr>
          <w:i/>
        </w:rPr>
        <w:t xml:space="preserve"> </w:t>
      </w:r>
      <w:r w:rsidRPr="006B5498">
        <w:rPr>
          <w:i/>
        </w:rPr>
        <w:t>FM Station on Channel 260A at Manistique, Michigan</w:t>
      </w:r>
      <w:r w:rsidRPr="00A96793">
        <w:t>,</w:t>
      </w:r>
      <w:r w:rsidRPr="006B5498">
        <w:rPr>
          <w:i/>
        </w:rPr>
        <w:t xml:space="preserve"> </w:t>
      </w:r>
      <w:r w:rsidRPr="006B5498">
        <w:t>Memorandum Opinion and Order, 16 FCC Rcd 18113, 18116–17, para. 12 (2001) (“Our rules do not require the suspension of all relations among auction participants while an auction is pending.”)).</w:t>
      </w:r>
    </w:p>
  </w:footnote>
  <w:footnote w:id="99">
    <w:p w:rsidR="00FE4F2B" w:rsidRPr="006B5498" w:rsidP="00D6515C" w14:paraId="3555B0C0" w14:textId="0E81E555">
      <w:pPr>
        <w:pStyle w:val="FootnoteText"/>
      </w:pPr>
      <w:r>
        <w:rPr>
          <w:rStyle w:val="FootnoteReference"/>
        </w:rPr>
        <w:footnoteRef/>
      </w:r>
      <w:r>
        <w:t xml:space="preserve"> </w:t>
      </w:r>
      <w:r>
        <w:rPr>
          <w:i/>
        </w:rPr>
        <w:t>Pr</w:t>
      </w:r>
      <w:r>
        <w:rPr>
          <w:i/>
        </w:rPr>
        <w:t>ohibited Communications Guidance Public Notice</w:t>
      </w:r>
      <w:r>
        <w:t>, 30 FCC Rcd at 10806-07, paras. 33-34.</w:t>
      </w:r>
    </w:p>
  </w:footnote>
  <w:footnote w:id="100">
    <w:p w:rsidR="00FE4F2B" w:rsidRPr="00D764A7" w:rsidP="00D6515C" w14:paraId="336A81F4" w14:textId="4BA950F5">
      <w:pPr>
        <w:pStyle w:val="FootnoteText"/>
      </w:pPr>
      <w:r w:rsidRPr="00D764A7">
        <w:rPr>
          <w:rStyle w:val="FootnoteReference"/>
        </w:rPr>
        <w:footnoteRef/>
      </w:r>
      <w:r w:rsidRPr="00D764A7">
        <w:t xml:space="preserve"> </w:t>
      </w:r>
      <w:r w:rsidRPr="0078098C">
        <w:rPr>
          <w:i/>
        </w:rPr>
        <w:t>Id</w:t>
      </w:r>
      <w:r w:rsidRPr="00D27B0D">
        <w:t>.</w:t>
      </w:r>
      <w:r w:rsidRPr="00D764A7">
        <w:t xml:space="preserve"> </w:t>
      </w:r>
      <w:r>
        <w:t xml:space="preserve">at 10806, para. 32.  </w:t>
      </w:r>
      <w:r w:rsidRPr="005D098E">
        <w:t xml:space="preserve">CTIA </w:t>
      </w:r>
      <w:r>
        <w:t>encourages</w:t>
      </w:r>
      <w:r w:rsidRPr="005D098E">
        <w:t xml:space="preserve"> the Commission to </w:t>
      </w:r>
      <w:r>
        <w:t>“</w:t>
      </w:r>
      <w:r w:rsidRPr="005D098E">
        <w:t xml:space="preserve">provide additional guidance related to its prohibited communications rules to ensure nationwide </w:t>
      </w:r>
      <w:r w:rsidRPr="005D098E">
        <w:t>providers and auction applicants are able to meaningfully participate in technical working group efforts envisioned by the Commission in the C-Band Order.”</w:t>
      </w:r>
      <w:r>
        <w:t xml:space="preserve">  CTIA Reply at 2.  As CTIA acknowledges, however, the Commission has previously clarified that, “a</w:t>
      </w:r>
      <w:r w:rsidRPr="008C40B9">
        <w:t>bs</w:t>
      </w:r>
      <w:r w:rsidRPr="008C40B9">
        <w:t>ent communication both relating to the licenses being auctioned and communicating or addressing bids or bidding strategies or post-auction market structure, broad industry discussions regarding setting technical standards for the spectrum band for which li</w:t>
      </w:r>
      <w:r w:rsidRPr="008C40B9">
        <w:t xml:space="preserve">censes will be auctioned do not constitute </w:t>
      </w:r>
      <w:r>
        <w:t xml:space="preserve">communications prohibited by Section 1.2105(c).”  </w:t>
      </w:r>
      <w:r>
        <w:rPr>
          <w:i/>
        </w:rPr>
        <w:t>Prohibited Communications Guidance Public Notice</w:t>
      </w:r>
      <w:r>
        <w:t>, 30 FCC Rcd at 10807, para. 35.</w:t>
      </w:r>
    </w:p>
  </w:footnote>
  <w:footnote w:id="101">
    <w:p w:rsidR="00FE4F2B" w:rsidP="00D6515C" w14:paraId="18083D11" w14:textId="2E682AC0">
      <w:pPr>
        <w:pStyle w:val="FootnoteText"/>
      </w:pPr>
      <w:r>
        <w:rPr>
          <w:rStyle w:val="FootnoteReference"/>
        </w:rPr>
        <w:footnoteRef/>
      </w:r>
      <w:r>
        <w:t xml:space="preserve"> </w:t>
      </w:r>
      <w:r>
        <w:rPr>
          <w:i/>
        </w:rPr>
        <w:t>Prohibited Communications Guidance Public Notice</w:t>
      </w:r>
      <w:r>
        <w:t>, 30 FCC Rcd at</w:t>
      </w:r>
      <w:r w:rsidRPr="00D764A7">
        <w:t xml:space="preserve"> 10796, paras. 6-</w:t>
      </w:r>
      <w:r>
        <w:t>7.</w:t>
      </w:r>
    </w:p>
  </w:footnote>
  <w:footnote w:id="102">
    <w:p w:rsidR="00FE4F2B" w:rsidRPr="00D764A7" w:rsidP="00D6515C" w14:paraId="0F1B7D56" w14:textId="77777777">
      <w:pPr>
        <w:pStyle w:val="FootnoteText"/>
        <w:rPr>
          <w:i/>
        </w:rPr>
      </w:pPr>
      <w:r w:rsidRPr="00D764A7">
        <w:rPr>
          <w:rStyle w:val="FootnoteReference"/>
        </w:rPr>
        <w:footnoteRef/>
      </w:r>
      <w:r w:rsidRPr="00D764A7">
        <w:t xml:space="preserve"> </w:t>
      </w:r>
      <w:r>
        <w:rPr>
          <w:i/>
        </w:rPr>
        <w:t>Id.</w:t>
      </w:r>
      <w:r w:rsidRPr="00D764A7">
        <w:rPr>
          <w:i/>
        </w:rPr>
        <w:t xml:space="preserve"> </w:t>
      </w:r>
      <w:r w:rsidRPr="00D764A7">
        <w:t xml:space="preserve">at 10796-97, paras. </w:t>
      </w:r>
      <w:r>
        <w:t>8</w:t>
      </w:r>
      <w:r w:rsidRPr="00D764A7">
        <w:t>-9.</w:t>
      </w:r>
    </w:p>
  </w:footnote>
  <w:footnote w:id="103">
    <w:p w:rsidR="00FE4F2B" w:rsidRPr="00D764A7" w:rsidP="00D6515C" w14:paraId="2CA3FCA6" w14:textId="6DFD7934">
      <w:pPr>
        <w:pStyle w:val="FootnoteText"/>
      </w:pPr>
      <w:r w:rsidRPr="00D764A7">
        <w:rPr>
          <w:rStyle w:val="FootnoteReference"/>
        </w:rPr>
        <w:footnoteRef/>
      </w:r>
      <w:r w:rsidRPr="00D764A7">
        <w:t xml:space="preserve"> </w:t>
      </w:r>
      <w:r w:rsidRPr="00D764A7">
        <w:rPr>
          <w:i/>
        </w:rPr>
        <w:t>Implementation of Section 309(j) of the Communications Act–Competitive Bidding</w:t>
      </w:r>
      <w:r w:rsidRPr="00D764A7">
        <w:t xml:space="preserve">, </w:t>
      </w:r>
      <w:r>
        <w:t xml:space="preserve">PP Docket No. 93-253, </w:t>
      </w:r>
      <w:r w:rsidRPr="00D764A7">
        <w:t>Memorandum Opinion and Order, 9 FCC Rcd 7684, 7689, para. 12 (1994) (</w:t>
      </w:r>
      <w:r w:rsidRPr="00D764A7">
        <w:rPr>
          <w:i/>
        </w:rPr>
        <w:t>Competitive Bidding Memorandum Opinion and Order</w:t>
      </w:r>
      <w:r w:rsidRPr="00D764A7">
        <w:t>)</w:t>
      </w:r>
      <w:r w:rsidRPr="00D764A7">
        <w:t>.</w:t>
      </w:r>
    </w:p>
  </w:footnote>
  <w:footnote w:id="104">
    <w:p w:rsidR="00FE4F2B" w:rsidRPr="00D764A7" w:rsidP="00D6515C" w14:paraId="2A202CD2" w14:textId="77777777">
      <w:pPr>
        <w:pStyle w:val="FootnoteText"/>
      </w:pPr>
      <w:r w:rsidRPr="00D764A7">
        <w:rPr>
          <w:rStyle w:val="FootnoteReference"/>
        </w:rPr>
        <w:footnoteRef/>
      </w:r>
      <w:r w:rsidRPr="00D764A7">
        <w:t xml:space="preserve"> </w:t>
      </w:r>
      <w:r w:rsidRPr="00D764A7">
        <w:rPr>
          <w:i/>
        </w:rPr>
        <w:t>Mercury PCS II, LLC</w:t>
      </w:r>
      <w:r w:rsidRPr="00D764A7">
        <w:t xml:space="preserve">, Notice of Apparent Liability for Forfeiture, 12 FCC Rcd 17970, 17976, para. 17 (1997).  </w:t>
      </w:r>
    </w:p>
  </w:footnote>
  <w:footnote w:id="105">
    <w:p w:rsidR="00FE4F2B" w:rsidRPr="00D764A7" w:rsidP="00D6515C" w14:paraId="2F6436D4" w14:textId="77777777">
      <w:pPr>
        <w:pStyle w:val="FootnoteText"/>
      </w:pPr>
      <w:r w:rsidRPr="00D764A7">
        <w:rPr>
          <w:rStyle w:val="FootnoteReference"/>
        </w:rPr>
        <w:footnoteRef/>
      </w:r>
      <w:r w:rsidRPr="00D764A7">
        <w:t xml:space="preserve"> </w:t>
      </w:r>
      <w:r w:rsidRPr="00D764A7">
        <w:rPr>
          <w:i/>
        </w:rPr>
        <w:t>Mercury PCS II, LLC</w:t>
      </w:r>
      <w:r w:rsidRPr="00D764A7">
        <w:t xml:space="preserve">, Memorandum Opinion and Order, 13 FCC Rcd 23755, 23760, para. 11 (1998).  </w:t>
      </w:r>
    </w:p>
  </w:footnote>
  <w:footnote w:id="106">
    <w:p w:rsidR="00FE4F2B" w:rsidRPr="00D764A7" w:rsidP="001C2365" w14:paraId="329821E2" w14:textId="77777777">
      <w:pPr>
        <w:pStyle w:val="FootnoteText"/>
      </w:pPr>
      <w:r w:rsidRPr="00D764A7">
        <w:rPr>
          <w:rStyle w:val="FootnoteReference"/>
        </w:rPr>
        <w:footnoteRef/>
      </w:r>
      <w:r w:rsidRPr="00D764A7">
        <w:t xml:space="preserve"> </w:t>
      </w:r>
      <w:r w:rsidRPr="00D764A7">
        <w:rPr>
          <w:i/>
        </w:rPr>
        <w:t>See, e.</w:t>
      </w:r>
      <w:r w:rsidRPr="00374A32">
        <w:rPr>
          <w:i/>
        </w:rPr>
        <w:t>g.</w:t>
      </w:r>
      <w:r w:rsidRPr="007376D3">
        <w:rPr>
          <w:i/>
          <w:iCs/>
        </w:rPr>
        <w:t>,</w:t>
      </w:r>
      <w:r w:rsidRPr="00D764A7">
        <w:rPr>
          <w:i/>
        </w:rPr>
        <w:t xml:space="preserve"> Prohibited Communications </w:t>
      </w:r>
      <w:r>
        <w:rPr>
          <w:i/>
        </w:rPr>
        <w:t>Guidan</w:t>
      </w:r>
      <w:r>
        <w:rPr>
          <w:i/>
        </w:rPr>
        <w:t xml:space="preserve">ce </w:t>
      </w:r>
      <w:r w:rsidRPr="00D764A7">
        <w:rPr>
          <w:i/>
        </w:rPr>
        <w:t>Public Notice</w:t>
      </w:r>
      <w:r w:rsidRPr="00D764A7">
        <w:t xml:space="preserve">, 30 FCC Rcd at 10798, para. 13 (describing the use of non-disclosure agreements and, for third parties that may be advising multiple </w:t>
      </w:r>
      <w:r>
        <w:t>applicants</w:t>
      </w:r>
      <w:r w:rsidRPr="00D764A7">
        <w:t>, firewalls).</w:t>
      </w:r>
    </w:p>
  </w:footnote>
  <w:footnote w:id="107">
    <w:p w:rsidR="00FE4F2B" w:rsidRPr="00D764A7" w:rsidP="00D6515C" w14:paraId="11589DCA" w14:textId="77777777">
      <w:pPr>
        <w:pStyle w:val="FootnoteText"/>
      </w:pPr>
      <w:r w:rsidRPr="00D764A7">
        <w:rPr>
          <w:rStyle w:val="FootnoteReference"/>
        </w:rPr>
        <w:footnoteRef/>
      </w:r>
      <w:r w:rsidRPr="00D764A7">
        <w:t xml:space="preserve"> </w:t>
      </w:r>
      <w:r w:rsidRPr="00D764A7">
        <w:rPr>
          <w:i/>
        </w:rPr>
        <w:t>Id.</w:t>
      </w:r>
      <w:r w:rsidRPr="00D764A7">
        <w:t xml:space="preserve"> </w:t>
      </w:r>
    </w:p>
  </w:footnote>
  <w:footnote w:id="108">
    <w:p w:rsidR="00FE4F2B" w:rsidRPr="00D764A7" w:rsidP="00D6515C" w14:paraId="0FAA1B30" w14:textId="7E0A194E">
      <w:pPr>
        <w:pStyle w:val="FootnoteText"/>
      </w:pPr>
      <w:r w:rsidRPr="00D764A7">
        <w:rPr>
          <w:rStyle w:val="FootnoteReference"/>
        </w:rPr>
        <w:footnoteRef/>
      </w:r>
      <w:r w:rsidRPr="00D764A7">
        <w:t xml:space="preserve"> </w:t>
      </w:r>
      <w:r>
        <w:rPr>
          <w:i/>
        </w:rPr>
        <w:t>I</w:t>
      </w:r>
      <w:r w:rsidRPr="00D764A7">
        <w:rPr>
          <w:i/>
        </w:rPr>
        <w:t>d.</w:t>
      </w:r>
      <w:r w:rsidRPr="00D764A7">
        <w:t xml:space="preserve">; </w:t>
      </w:r>
      <w:r w:rsidRPr="007C010B">
        <w:rPr>
          <w:i/>
        </w:rPr>
        <w:t>see also</w:t>
      </w:r>
      <w:r>
        <w:t xml:space="preserve"> </w:t>
      </w:r>
      <w:r w:rsidRPr="00D764A7">
        <w:rPr>
          <w:i/>
        </w:rPr>
        <w:t>Application of Nevada Wireless</w:t>
      </w:r>
      <w:r>
        <w:rPr>
          <w:i/>
        </w:rPr>
        <w:t xml:space="preserve"> for a License to Provide 800 MHz Specialized Mobile Radio Service in the Farmington, NM-CO Economic Area (EA 155) Frequency Band A</w:t>
      </w:r>
      <w:r w:rsidRPr="00D764A7">
        <w:t>, Memorandum Opinion and Order,</w:t>
      </w:r>
      <w:r w:rsidRPr="00D764A7">
        <w:rPr>
          <w:i/>
        </w:rPr>
        <w:t xml:space="preserve"> </w:t>
      </w:r>
      <w:r w:rsidRPr="00D764A7">
        <w:t>13 FCC Rcd 11973, 11978, para. 12 (1998) (</w:t>
      </w:r>
      <w:r w:rsidRPr="00D764A7">
        <w:rPr>
          <w:i/>
        </w:rPr>
        <w:t>Nevada Wireless Order</w:t>
      </w:r>
      <w:r w:rsidRPr="00D764A7">
        <w:t>) (strongly encouraging applic</w:t>
      </w:r>
      <w:r w:rsidRPr="00D764A7">
        <w:t xml:space="preserve">ants to implement any firewall procedures necessary and to provide information in their auction applications regarding the procedures).  </w:t>
      </w:r>
    </w:p>
  </w:footnote>
  <w:footnote w:id="109">
    <w:p w:rsidR="00FE4F2B" w:rsidRPr="00D764A7" w:rsidP="00D6515C" w14:paraId="0BE1BAE3" w14:textId="77777777">
      <w:pPr>
        <w:pStyle w:val="FootnoteText"/>
      </w:pPr>
      <w:r w:rsidRPr="00D764A7">
        <w:rPr>
          <w:rStyle w:val="FootnoteReference"/>
        </w:rPr>
        <w:footnoteRef/>
      </w:r>
      <w:r w:rsidRPr="00D764A7">
        <w:t xml:space="preserve"> </w:t>
      </w:r>
      <w:r w:rsidRPr="00D764A7">
        <w:rPr>
          <w:i/>
        </w:rPr>
        <w:t xml:space="preserve">See Prohibited Communications </w:t>
      </w:r>
      <w:r>
        <w:rPr>
          <w:i/>
        </w:rPr>
        <w:t xml:space="preserve">Guidance </w:t>
      </w:r>
      <w:r w:rsidRPr="00D764A7">
        <w:rPr>
          <w:i/>
        </w:rPr>
        <w:t>Public Notice</w:t>
      </w:r>
      <w:r w:rsidRPr="00D764A7">
        <w:t>, 30 FCC Rcd at 10799,</w:t>
      </w:r>
      <w:r w:rsidRPr="00D764A7">
        <w:rPr>
          <w:i/>
        </w:rPr>
        <w:t xml:space="preserve"> </w:t>
      </w:r>
      <w:r w:rsidRPr="00D764A7">
        <w:t xml:space="preserve">para. 14; </w:t>
      </w:r>
      <w:r w:rsidRPr="00D764A7">
        <w:rPr>
          <w:i/>
        </w:rPr>
        <w:t>Nevada Wireless Order</w:t>
      </w:r>
      <w:r w:rsidRPr="00D764A7">
        <w:t>, 13 FCC R</w:t>
      </w:r>
      <w:r w:rsidRPr="00D764A7">
        <w:t>cd at 11978, para. 13.</w:t>
      </w:r>
    </w:p>
  </w:footnote>
  <w:footnote w:id="110">
    <w:p w:rsidR="00FE4F2B" w:rsidRPr="00D764A7" w:rsidP="00D6515C" w14:paraId="6DCB3DA6" w14:textId="67501CAF">
      <w:pPr>
        <w:pStyle w:val="FootnoteText"/>
      </w:pPr>
      <w:r w:rsidRPr="00D764A7">
        <w:rPr>
          <w:rStyle w:val="FootnoteReference"/>
        </w:rPr>
        <w:footnoteRef/>
      </w:r>
      <w:r w:rsidRPr="00D764A7">
        <w:t xml:space="preserve"> </w:t>
      </w:r>
      <w:r>
        <w:rPr>
          <w:i/>
        </w:rPr>
        <w:t>See, e.g., Auction 101 and 102 Procedures Public Notice</w:t>
      </w:r>
      <w:r>
        <w:rPr>
          <w:iCs/>
        </w:rPr>
        <w:t>,</w:t>
      </w:r>
      <w:r>
        <w:t xml:space="preserve"> </w:t>
      </w:r>
      <w:r w:rsidRPr="00D7071C">
        <w:t xml:space="preserve">33 FCC Rcd </w:t>
      </w:r>
      <w:r>
        <w:t>at 7602, para. 72 (</w:t>
      </w:r>
      <w:r w:rsidRPr="007376D3">
        <w:rPr>
          <w:iCs/>
        </w:rPr>
        <w:t>citing</w:t>
      </w:r>
      <w:r>
        <w:rPr>
          <w:i/>
        </w:rPr>
        <w:t xml:space="preserve"> </w:t>
      </w:r>
      <w:r w:rsidRPr="00D764A7">
        <w:rPr>
          <w:i/>
        </w:rPr>
        <w:t xml:space="preserve">Prohibited Communications </w:t>
      </w:r>
      <w:r>
        <w:rPr>
          <w:i/>
        </w:rPr>
        <w:t xml:space="preserve">Guidance </w:t>
      </w:r>
      <w:r w:rsidRPr="00D764A7">
        <w:rPr>
          <w:i/>
        </w:rPr>
        <w:t>Public Notice</w:t>
      </w:r>
      <w:r w:rsidRPr="00D764A7">
        <w:t>, 30 FCC Rcd at 10800, para. 15</w:t>
      </w:r>
      <w:r>
        <w:t>)</w:t>
      </w:r>
      <w:r w:rsidRPr="00D764A7">
        <w:t>.</w:t>
      </w:r>
    </w:p>
  </w:footnote>
  <w:footnote w:id="111">
    <w:p w:rsidR="00FE4F2B" w:rsidRPr="004D27BC" w:rsidP="00D6515C" w14:paraId="2909096F" w14:textId="717254F6">
      <w:pPr>
        <w:pStyle w:val="FootnoteText"/>
        <w:rPr>
          <w:i/>
        </w:rPr>
      </w:pPr>
      <w:r w:rsidRPr="00D764A7">
        <w:rPr>
          <w:rStyle w:val="FootnoteReference"/>
        </w:rPr>
        <w:footnoteRef/>
      </w:r>
      <w:r w:rsidRPr="00D764A7">
        <w:t xml:space="preserve"> </w:t>
      </w:r>
      <w:r w:rsidRPr="00D764A7">
        <w:rPr>
          <w:i/>
        </w:rPr>
        <w:t xml:space="preserve">Prohibited Communications </w:t>
      </w:r>
      <w:r>
        <w:rPr>
          <w:i/>
        </w:rPr>
        <w:t xml:space="preserve">Guidance </w:t>
      </w:r>
      <w:r w:rsidRPr="00D764A7">
        <w:rPr>
          <w:i/>
        </w:rPr>
        <w:t>Public Notice</w:t>
      </w:r>
      <w:r w:rsidRPr="00D764A7">
        <w:t xml:space="preserve">, 30 </w:t>
      </w:r>
      <w:r w:rsidRPr="00D764A7">
        <w:t>FCC Rcd at 10800, para. 15</w:t>
      </w:r>
      <w:r>
        <w:t>.</w:t>
      </w:r>
    </w:p>
  </w:footnote>
  <w:footnote w:id="112">
    <w:p w:rsidR="00FE4F2B" w:rsidRPr="0079153C" w:rsidP="00D6515C" w14:paraId="5ABBB22D" w14:textId="0C9C133C">
      <w:pPr>
        <w:pStyle w:val="FootnoteText"/>
        <w:rPr>
          <w:iCs/>
        </w:rPr>
      </w:pPr>
      <w:r w:rsidRPr="00D764A7">
        <w:rPr>
          <w:rStyle w:val="FootnoteReference"/>
        </w:rPr>
        <w:footnoteRef/>
      </w:r>
      <w:r w:rsidRPr="00D764A7">
        <w:t xml:space="preserve"> </w:t>
      </w:r>
      <w:r w:rsidRPr="007C010B">
        <w:rPr>
          <w:i/>
        </w:rPr>
        <w:t>See</w:t>
      </w:r>
      <w:r>
        <w:t xml:space="preserve"> </w:t>
      </w:r>
      <w:r>
        <w:rPr>
          <w:i/>
        </w:rPr>
        <w:t>i</w:t>
      </w:r>
      <w:r w:rsidRPr="00D764A7">
        <w:rPr>
          <w:i/>
        </w:rPr>
        <w:t>d.</w:t>
      </w:r>
      <w:r>
        <w:rPr>
          <w:iCs/>
        </w:rPr>
        <w:t xml:space="preserve">  </w:t>
      </w:r>
    </w:p>
  </w:footnote>
  <w:footnote w:id="113">
    <w:p w:rsidR="00FE4F2B" w:rsidRPr="00D764A7" w:rsidP="00D6515C" w14:paraId="6DAF53CB" w14:textId="59B65708">
      <w:pPr>
        <w:pStyle w:val="FootnoteText"/>
      </w:pPr>
      <w:r w:rsidRPr="00D764A7">
        <w:rPr>
          <w:rStyle w:val="FootnoteReference"/>
        </w:rPr>
        <w:footnoteRef/>
      </w:r>
      <w:r w:rsidRPr="00D764A7">
        <w:t xml:space="preserve"> </w:t>
      </w:r>
      <w:r w:rsidRPr="00D764A7">
        <w:rPr>
          <w:i/>
        </w:rPr>
        <w:t xml:space="preserve">Prohibited Communications </w:t>
      </w:r>
      <w:r>
        <w:rPr>
          <w:i/>
        </w:rPr>
        <w:t xml:space="preserve">Guidance </w:t>
      </w:r>
      <w:r w:rsidRPr="00D764A7">
        <w:rPr>
          <w:i/>
        </w:rPr>
        <w:t>Public Notice</w:t>
      </w:r>
      <w:r w:rsidRPr="00D764A7">
        <w:t>, 30 FCC Rcd at 10802, para. 20.</w:t>
      </w:r>
    </w:p>
  </w:footnote>
  <w:footnote w:id="114">
    <w:p w:rsidR="00FE4F2B" w14:paraId="5E4531E7" w14:textId="5E652A23">
      <w:pPr>
        <w:pStyle w:val="FootnoteText"/>
      </w:pPr>
      <w:r>
        <w:rPr>
          <w:rStyle w:val="FootnoteReference"/>
        </w:rPr>
        <w:footnoteRef/>
      </w:r>
      <w:r>
        <w:t xml:space="preserve"> We decline SES’s request to “</w:t>
      </w:r>
      <w:r w:rsidRPr="008F191D">
        <w:t>clarify that Auction 107 bidders will not violate the Commission’s anti-collusion rules by entering in</w:t>
      </w:r>
      <w:r w:rsidRPr="008F191D">
        <w:t xml:space="preserve">to discussions with the </w:t>
      </w:r>
      <w:r>
        <w:t xml:space="preserve">[Relocation Payment] </w:t>
      </w:r>
      <w:r w:rsidRPr="008F191D">
        <w:t xml:space="preserve">Clearinghouse </w:t>
      </w:r>
      <w:r>
        <w:t>about . . . repayment</w:t>
      </w:r>
      <w:r w:rsidRPr="008F191D">
        <w:t xml:space="preserve"> obligations.</w:t>
      </w:r>
      <w:r>
        <w:t>”  SES Comments at 5.  As noted above, application of the rule prohibiting certain communications requires a case-by-case determination based on the details of a s</w:t>
      </w:r>
      <w:r>
        <w:t xml:space="preserve">pecific communication.  </w:t>
      </w:r>
      <w:r w:rsidRPr="00082909">
        <w:rPr>
          <w:i/>
          <w:iCs/>
        </w:rPr>
        <w:t xml:space="preserve">See </w:t>
      </w:r>
      <w:r w:rsidRPr="00D764A7">
        <w:rPr>
          <w:i/>
        </w:rPr>
        <w:t xml:space="preserve">Prohibited Communications </w:t>
      </w:r>
      <w:r>
        <w:rPr>
          <w:i/>
        </w:rPr>
        <w:t xml:space="preserve">Guidance </w:t>
      </w:r>
      <w:r w:rsidRPr="00D764A7">
        <w:rPr>
          <w:i/>
        </w:rPr>
        <w:t xml:space="preserve">Public </w:t>
      </w:r>
      <w:r w:rsidRPr="00DC5ED9">
        <w:rPr>
          <w:iCs/>
        </w:rPr>
        <w:t>Notice</w:t>
      </w:r>
      <w:r>
        <w:rPr>
          <w:iCs/>
        </w:rPr>
        <w:t>, 30 FCC Rcd at 10800, para. 15</w:t>
      </w:r>
      <w:r>
        <w:t xml:space="preserve">; </w:t>
      </w:r>
      <w:r w:rsidRPr="001448F7">
        <w:rPr>
          <w:i/>
          <w:iCs/>
        </w:rPr>
        <w:t>see also</w:t>
      </w:r>
      <w:r>
        <w:t xml:space="preserve"> </w:t>
      </w:r>
      <w:r w:rsidRPr="001448F7">
        <w:rPr>
          <w:i/>
          <w:iCs/>
        </w:rPr>
        <w:t>3.7 GHz Report and Order</w:t>
      </w:r>
      <w:r w:rsidRPr="00860529">
        <w:t>,</w:t>
      </w:r>
      <w:r>
        <w:t xml:space="preserve"> 35 FCC Rcd at 2452,</w:t>
      </w:r>
      <w:r w:rsidRPr="00860529">
        <w:t xml:space="preserve"> para. </w:t>
      </w:r>
      <w:r>
        <w:t>282 n.666 (“</w:t>
      </w:r>
      <w:r w:rsidRPr="0048171D">
        <w:t xml:space="preserve">Because all applicants’ communications with the Clearinghouse will be public </w:t>
      </w:r>
      <w:r>
        <w:t>. . .</w:t>
      </w:r>
      <w:r w:rsidRPr="0048171D">
        <w:t xml:space="preserve"> applicants must take care that their communications with the Clearinghouse do not violate the prohibition against communications by revealing bids or bidding strategies.</w:t>
      </w:r>
      <w:r>
        <w:t>”).</w:t>
      </w:r>
      <w:r w:rsidRPr="0048171D">
        <w:t xml:space="preserve"> </w:t>
      </w:r>
      <w:r w:rsidRPr="0048171D">
        <w:t xml:space="preserve"> </w:t>
      </w:r>
    </w:p>
  </w:footnote>
  <w:footnote w:id="115">
    <w:p w:rsidR="00FE4F2B" w:rsidRPr="00D764A7" w:rsidP="00D6515C" w14:paraId="7A2E7EB7" w14:textId="77777777">
      <w:pPr>
        <w:pStyle w:val="FootnoteText"/>
      </w:pPr>
      <w:r w:rsidRPr="00D764A7">
        <w:rPr>
          <w:rStyle w:val="FootnoteReference"/>
        </w:rPr>
        <w:footnoteRef/>
      </w:r>
      <w:r w:rsidRPr="00D764A7">
        <w:t xml:space="preserve"> </w:t>
      </w:r>
      <w:r w:rsidRPr="00D764A7">
        <w:rPr>
          <w:i/>
        </w:rPr>
        <w:t>Cf.</w:t>
      </w:r>
      <w:r w:rsidRPr="00D764A7">
        <w:t xml:space="preserve"> </w:t>
      </w:r>
      <w:r w:rsidRPr="00D764A7">
        <w:rPr>
          <w:i/>
        </w:rPr>
        <w:t>Wireless Telecommunications Bureau Responds to Questions About the Local Multipoint Distribution Service Auction</w:t>
      </w:r>
      <w:r w:rsidRPr="00D764A7">
        <w:t>, Public Notice, 13 FCC Rcd 341, 347-48 (WTB 1998) (“Public statements can give rise to collusion concerns.  This has occurred in the an</w:t>
      </w:r>
      <w:r w:rsidRPr="00D764A7">
        <w:t xml:space="preserve">titrust context, where certain public statements can support other evidence which tends to indicate the existence of a conspiracy.”).  </w:t>
      </w:r>
    </w:p>
  </w:footnote>
  <w:footnote w:id="116">
    <w:p w:rsidR="00FE4F2B" w:rsidRPr="00D764A7" w:rsidP="007376D3" w14:paraId="3AEF8622" w14:textId="021FA0E3">
      <w:pPr>
        <w:widowControl/>
        <w:autoSpaceDE w:val="0"/>
        <w:autoSpaceDN w:val="0"/>
        <w:adjustRightInd w:val="0"/>
        <w:spacing w:after="120"/>
        <w:rPr>
          <w:i/>
          <w:sz w:val="20"/>
        </w:rPr>
      </w:pPr>
      <w:r w:rsidRPr="00D764A7">
        <w:rPr>
          <w:rStyle w:val="FootnoteReference"/>
        </w:rPr>
        <w:footnoteRef/>
      </w:r>
      <w:r w:rsidRPr="00D764A7">
        <w:rPr>
          <w:sz w:val="20"/>
        </w:rPr>
        <w:t xml:space="preserve"> </w:t>
      </w:r>
      <w:r w:rsidRPr="00794DCB">
        <w:rPr>
          <w:i/>
          <w:iCs/>
          <w:sz w:val="20"/>
        </w:rPr>
        <w:t xml:space="preserve">See </w:t>
      </w:r>
      <w:r w:rsidRPr="00D764A7">
        <w:rPr>
          <w:sz w:val="20"/>
        </w:rPr>
        <w:t xml:space="preserve">47 CFR § 1.2105(a)(2)(ix).  In accordance with the </w:t>
      </w:r>
      <w:r>
        <w:rPr>
          <w:i/>
          <w:sz w:val="20"/>
        </w:rPr>
        <w:t>Updating Part 1 Report and Order</w:t>
      </w:r>
      <w:r w:rsidRPr="00D764A7">
        <w:rPr>
          <w:sz w:val="20"/>
        </w:rPr>
        <w:t xml:space="preserve">, </w:t>
      </w:r>
      <w:r w:rsidRPr="00D764A7">
        <w:rPr>
          <w:snapToGrid/>
          <w:kern w:val="0"/>
          <w:sz w:val="20"/>
        </w:rPr>
        <w:t xml:space="preserve">if an applicant has a </w:t>
      </w:r>
      <w:r w:rsidRPr="00D764A7">
        <w:rPr>
          <w:snapToGrid/>
          <w:kern w:val="0"/>
          <w:sz w:val="20"/>
        </w:rPr>
        <w:t>non-controlling interest with</w:t>
      </w:r>
      <w:r>
        <w:rPr>
          <w:snapToGrid/>
          <w:kern w:val="0"/>
          <w:sz w:val="20"/>
        </w:rPr>
        <w:t xml:space="preserve"> </w:t>
      </w:r>
      <w:r w:rsidRPr="00D764A7">
        <w:rPr>
          <w:snapToGrid/>
          <w:kern w:val="0"/>
          <w:sz w:val="20"/>
        </w:rPr>
        <w:t>respect to more than one application, the</w:t>
      </w:r>
      <w:r>
        <w:rPr>
          <w:snapToGrid/>
          <w:kern w:val="0"/>
          <w:sz w:val="20"/>
        </w:rPr>
        <w:t>n the</w:t>
      </w:r>
      <w:r w:rsidRPr="00D764A7">
        <w:rPr>
          <w:snapToGrid/>
          <w:kern w:val="0"/>
          <w:sz w:val="20"/>
        </w:rPr>
        <w:t xml:space="preserve"> applicant</w:t>
      </w:r>
      <w:r>
        <w:rPr>
          <w:snapToGrid/>
          <w:kern w:val="0"/>
          <w:sz w:val="20"/>
        </w:rPr>
        <w:t xml:space="preserve"> must</w:t>
      </w:r>
      <w:r w:rsidRPr="00D764A7">
        <w:rPr>
          <w:snapToGrid/>
          <w:kern w:val="0"/>
          <w:sz w:val="20"/>
        </w:rPr>
        <w:t xml:space="preserve"> certify that it has established internal</w:t>
      </w:r>
      <w:r>
        <w:rPr>
          <w:snapToGrid/>
          <w:kern w:val="0"/>
          <w:sz w:val="20"/>
        </w:rPr>
        <w:t xml:space="preserve"> </w:t>
      </w:r>
      <w:r w:rsidRPr="00D764A7">
        <w:rPr>
          <w:snapToGrid/>
          <w:kern w:val="0"/>
          <w:sz w:val="20"/>
        </w:rPr>
        <w:t>control procedures to preclude any person acting on behalf of the applicant from possessing information</w:t>
      </w:r>
      <w:r>
        <w:rPr>
          <w:snapToGrid/>
          <w:kern w:val="0"/>
          <w:sz w:val="20"/>
        </w:rPr>
        <w:t xml:space="preserve"> </w:t>
      </w:r>
      <w:r w:rsidRPr="00D764A7">
        <w:rPr>
          <w:snapToGrid/>
          <w:kern w:val="0"/>
          <w:sz w:val="20"/>
        </w:rPr>
        <w:t>about the bids or b</w:t>
      </w:r>
      <w:r w:rsidRPr="00D764A7">
        <w:rPr>
          <w:snapToGrid/>
          <w:kern w:val="0"/>
          <w:sz w:val="20"/>
        </w:rPr>
        <w:t>idding strategies of more than one applicant or communicating such information with</w:t>
      </w:r>
      <w:r>
        <w:rPr>
          <w:snapToGrid/>
          <w:kern w:val="0"/>
          <w:sz w:val="20"/>
        </w:rPr>
        <w:t xml:space="preserve"> </w:t>
      </w:r>
      <w:r w:rsidRPr="00D764A7">
        <w:rPr>
          <w:snapToGrid/>
          <w:kern w:val="0"/>
          <w:sz w:val="20"/>
        </w:rPr>
        <w:t>respect to either applicant to another person acting on behalf of and possessing such information</w:t>
      </w:r>
      <w:r>
        <w:rPr>
          <w:snapToGrid/>
          <w:kern w:val="0"/>
          <w:sz w:val="20"/>
        </w:rPr>
        <w:t xml:space="preserve"> </w:t>
      </w:r>
      <w:r w:rsidRPr="00D764A7">
        <w:rPr>
          <w:snapToGrid/>
          <w:kern w:val="0"/>
          <w:sz w:val="20"/>
        </w:rPr>
        <w:t>regarding another applicant.</w:t>
      </w:r>
      <w:r>
        <w:rPr>
          <w:snapToGrid/>
          <w:kern w:val="0"/>
          <w:sz w:val="20"/>
        </w:rPr>
        <w:t xml:space="preserve">  </w:t>
      </w:r>
      <w:r>
        <w:rPr>
          <w:i/>
          <w:snapToGrid/>
          <w:kern w:val="0"/>
          <w:sz w:val="20"/>
        </w:rPr>
        <w:t>Updating Part 1 Report and Order</w:t>
      </w:r>
      <w:r>
        <w:rPr>
          <w:snapToGrid/>
          <w:kern w:val="0"/>
          <w:sz w:val="20"/>
        </w:rPr>
        <w:t>, 30 FCC Rcd</w:t>
      </w:r>
      <w:r>
        <w:rPr>
          <w:snapToGrid/>
          <w:kern w:val="0"/>
          <w:sz w:val="20"/>
        </w:rPr>
        <w:t xml:space="preserve"> at 7577, para. 199. </w:t>
      </w:r>
      <w:r w:rsidRPr="00D764A7">
        <w:rPr>
          <w:sz w:val="20"/>
        </w:rPr>
        <w:t xml:space="preserve">  </w:t>
      </w:r>
    </w:p>
  </w:footnote>
  <w:footnote w:id="117">
    <w:p w:rsidR="00FE4F2B" w:rsidRPr="00D764A7" w:rsidP="00D6515C" w14:paraId="11F9A55D" w14:textId="77777777">
      <w:pPr>
        <w:pStyle w:val="FootnoteText"/>
      </w:pPr>
      <w:r w:rsidRPr="00D764A7">
        <w:rPr>
          <w:rStyle w:val="FootnoteReference"/>
        </w:rPr>
        <w:footnoteRef/>
      </w:r>
      <w:r w:rsidRPr="00D764A7">
        <w:t xml:space="preserve"> </w:t>
      </w:r>
      <w:r w:rsidRPr="00D764A7">
        <w:rPr>
          <w:i/>
        </w:rPr>
        <w:t>Nevada Wireless</w:t>
      </w:r>
      <w:r>
        <w:rPr>
          <w:i/>
        </w:rPr>
        <w:t xml:space="preserve"> Order</w:t>
      </w:r>
      <w:r w:rsidRPr="00D764A7">
        <w:t xml:space="preserve">, 13 FCC Rcd </w:t>
      </w:r>
      <w:r>
        <w:t>at</w:t>
      </w:r>
      <w:r w:rsidRPr="00D764A7">
        <w:t xml:space="preserve"> 11978</w:t>
      </w:r>
      <w:r>
        <w:t>,</w:t>
      </w:r>
      <w:r w:rsidRPr="00D764A7">
        <w:t xml:space="preserve"> para. 13</w:t>
      </w:r>
      <w:r>
        <w:t>;</w:t>
      </w:r>
      <w:r w:rsidRPr="00D764A7">
        <w:t xml:space="preserve"> </w:t>
      </w:r>
      <w:r>
        <w:rPr>
          <w:i/>
        </w:rPr>
        <w:t>s</w:t>
      </w:r>
      <w:r w:rsidRPr="00D764A7">
        <w:rPr>
          <w:i/>
        </w:rPr>
        <w:t>ee also</w:t>
      </w:r>
      <w:r w:rsidRPr="00D764A7">
        <w:t xml:space="preserve"> </w:t>
      </w:r>
      <w:r w:rsidRPr="00D764A7">
        <w:rPr>
          <w:i/>
        </w:rPr>
        <w:t>Competitive Bidding Memorandum Opinion and Order</w:t>
      </w:r>
      <w:r w:rsidRPr="00D764A7">
        <w:t xml:space="preserve">, 9 FCC Rcd </w:t>
      </w:r>
      <w:r>
        <w:t>at</w:t>
      </w:r>
      <w:r w:rsidRPr="00D764A7">
        <w:t xml:space="preserve"> 7689</w:t>
      </w:r>
      <w:r>
        <w:t>,</w:t>
      </w:r>
      <w:r w:rsidRPr="00D764A7">
        <w:t xml:space="preserve"> para. 12.</w:t>
      </w:r>
    </w:p>
  </w:footnote>
  <w:footnote w:id="118">
    <w:p w:rsidR="00FE4F2B" w:rsidRPr="00D764A7" w:rsidP="00D6515C" w14:paraId="3149A08D" w14:textId="77777777">
      <w:pPr>
        <w:pStyle w:val="FootnoteText"/>
      </w:pPr>
      <w:r w:rsidRPr="00D764A7">
        <w:rPr>
          <w:rStyle w:val="FootnoteReference"/>
        </w:rPr>
        <w:footnoteRef/>
      </w:r>
      <w:r w:rsidRPr="00D764A7">
        <w:t xml:space="preserve"> </w:t>
      </w:r>
      <w:r w:rsidRPr="00D764A7">
        <w:rPr>
          <w:i/>
        </w:rPr>
        <w:t>See</w:t>
      </w:r>
      <w:r w:rsidRPr="00D764A7">
        <w:t xml:space="preserve"> 47 CFR §§ 1.2105(c), 1.2107(d), 1.2109(d).  </w:t>
      </w:r>
    </w:p>
  </w:footnote>
  <w:footnote w:id="119">
    <w:p w:rsidR="00FE4F2B" w:rsidRPr="00D764A7" w:rsidP="00D6515C" w14:paraId="70A10ACD" w14:textId="51CE6D4D">
      <w:pPr>
        <w:pStyle w:val="FootnoteText"/>
      </w:pPr>
      <w:r w:rsidRPr="00D764A7">
        <w:rPr>
          <w:rStyle w:val="FootnoteReference"/>
        </w:rPr>
        <w:footnoteRef/>
      </w:r>
      <w:r w:rsidRPr="00D764A7">
        <w:t xml:space="preserve"> </w:t>
      </w:r>
      <w:r w:rsidRPr="007803A9">
        <w:rPr>
          <w:i/>
        </w:rPr>
        <w:t>Id.</w:t>
      </w:r>
      <w:r w:rsidRPr="00D764A7">
        <w:t xml:space="preserve"> § 1.2105(c)(4); </w:t>
      </w:r>
      <w:r w:rsidRPr="00D764A7">
        <w:rPr>
          <w:i/>
        </w:rPr>
        <w:t>see also</w:t>
      </w:r>
      <w:r w:rsidRPr="00D764A7">
        <w:t xml:space="preserve"> </w:t>
      </w:r>
      <w:r w:rsidRPr="00D764A7">
        <w:rPr>
          <w:i/>
        </w:rPr>
        <w:t>Part 1 Seventh Report and Order</w:t>
      </w:r>
      <w:r w:rsidRPr="00D764A7">
        <w:t>, 16 FCC Rcd at 17553-55</w:t>
      </w:r>
      <w:r>
        <w:t>,</w:t>
      </w:r>
      <w:r w:rsidRPr="00D764A7">
        <w:t xml:space="preserve"> paras. 13-17.</w:t>
      </w:r>
    </w:p>
  </w:footnote>
  <w:footnote w:id="120">
    <w:p w:rsidR="00FE4F2B" w:rsidRPr="00D764A7" w:rsidP="00D6515C" w14:paraId="6D28428C" w14:textId="7F7EF8E1">
      <w:pPr>
        <w:pStyle w:val="FootnoteText"/>
      </w:pPr>
      <w:r w:rsidRPr="00D764A7">
        <w:rPr>
          <w:rStyle w:val="FootnoteReference"/>
        </w:rPr>
        <w:footnoteRef/>
      </w:r>
      <w:r w:rsidRPr="00D764A7">
        <w:t xml:space="preserve"> </w:t>
      </w:r>
      <w:r w:rsidRPr="0055570D">
        <w:rPr>
          <w:i/>
        </w:rPr>
        <w:t>S</w:t>
      </w:r>
      <w:r>
        <w:rPr>
          <w:i/>
        </w:rPr>
        <w:t>ee S</w:t>
      </w:r>
      <w:r w:rsidRPr="0055570D">
        <w:rPr>
          <w:i/>
        </w:rPr>
        <w:t xml:space="preserve">ervice Rules for the 698-746, 747-762 and 777-792 MHz </w:t>
      </w:r>
      <w:r>
        <w:rPr>
          <w:i/>
        </w:rPr>
        <w:t>B</w:t>
      </w:r>
      <w:r w:rsidRPr="0055570D">
        <w:rPr>
          <w:i/>
        </w:rPr>
        <w:t>ands et al</w:t>
      </w:r>
      <w:r w:rsidRPr="00DC5ED9">
        <w:rPr>
          <w:iCs/>
        </w:rPr>
        <w:t>.</w:t>
      </w:r>
      <w:r w:rsidRPr="00D764A7">
        <w:t xml:space="preserve">, </w:t>
      </w:r>
      <w:r>
        <w:t>WT Docket No. 06-150</w:t>
      </w:r>
      <w:r w:rsidRPr="00B20AE3">
        <w:t xml:space="preserve"> </w:t>
      </w:r>
      <w:r w:rsidRPr="007376D3">
        <w:t>et al</w:t>
      </w:r>
      <w:r w:rsidRPr="00B20AE3">
        <w:t>.</w:t>
      </w:r>
      <w:r>
        <w:t>, Seco</w:t>
      </w:r>
      <w:r>
        <w:t xml:space="preserve">nd Report and Order, </w:t>
      </w:r>
      <w:r w:rsidRPr="00D764A7">
        <w:t xml:space="preserve">22 FCC Rcd </w:t>
      </w:r>
      <w:r>
        <w:t>15289,</w:t>
      </w:r>
      <w:r w:rsidRPr="00D764A7">
        <w:t xml:space="preserve"> 15395</w:t>
      </w:r>
      <w:r>
        <w:t>,</w:t>
      </w:r>
      <w:r w:rsidRPr="00D764A7">
        <w:t xml:space="preserve"> paras. 285-86</w:t>
      </w:r>
      <w:r>
        <w:t xml:space="preserve"> (2007)</w:t>
      </w:r>
      <w:r w:rsidRPr="00D764A7">
        <w:t xml:space="preserve">; </w:t>
      </w:r>
      <w:r w:rsidRPr="00D764A7">
        <w:rPr>
          <w:i/>
        </w:rPr>
        <w:t>Procedural Amendments to Commission Part 1 Competitive Bidding Rules</w:t>
      </w:r>
      <w:r w:rsidRPr="00D764A7">
        <w:t xml:space="preserve">, </w:t>
      </w:r>
      <w:r>
        <w:t xml:space="preserve">WT Docket No. 10-18, </w:t>
      </w:r>
      <w:r w:rsidRPr="00D764A7">
        <w:t>Order, 25 FCC Rcd 521</w:t>
      </w:r>
      <w:r>
        <w:t>, 523, para. 8</w:t>
      </w:r>
      <w:r w:rsidRPr="00D764A7">
        <w:t xml:space="preserve"> (2010) (</w:t>
      </w:r>
      <w:r w:rsidRPr="00D764A7">
        <w:rPr>
          <w:i/>
        </w:rPr>
        <w:t>Part 1 Procedural Amendments Order</w:t>
      </w:r>
      <w:r w:rsidRPr="00D764A7">
        <w:t xml:space="preserve">); </w:t>
      </w:r>
      <w:r w:rsidRPr="00D764A7">
        <w:rPr>
          <w:i/>
        </w:rPr>
        <w:t xml:space="preserve">see also </w:t>
      </w:r>
      <w:r w:rsidRPr="00D764A7">
        <w:t xml:space="preserve">47 CFR </w:t>
      </w:r>
      <w:r w:rsidRPr="00D764A7">
        <w:t xml:space="preserve">§ 1.65; </w:t>
      </w:r>
      <w:r w:rsidRPr="00D764A7">
        <w:rPr>
          <w:i/>
        </w:rPr>
        <w:t>Part 1 Seventh Report and Order</w:t>
      </w:r>
      <w:r w:rsidRPr="00D764A7">
        <w:t>, 16 FCC Rcd at 17550-51</w:t>
      </w:r>
      <w:r>
        <w:t>,</w:t>
      </w:r>
      <w:r w:rsidRPr="00D764A7">
        <w:t xml:space="preserve"> para. 9.</w:t>
      </w:r>
    </w:p>
  </w:footnote>
  <w:footnote w:id="121">
    <w:p w:rsidR="00FE4F2B" w:rsidRPr="00D764A7" w:rsidP="00D6515C" w14:paraId="3C8DDA3D" w14:textId="77777777">
      <w:pPr>
        <w:pStyle w:val="FootnoteText"/>
      </w:pPr>
      <w:r w:rsidRPr="00D764A7">
        <w:rPr>
          <w:rStyle w:val="FootnoteReference"/>
        </w:rPr>
        <w:footnoteRef/>
      </w:r>
      <w:r w:rsidRPr="00D764A7">
        <w:t xml:space="preserve"> </w:t>
      </w:r>
      <w:r w:rsidRPr="00D764A7">
        <w:rPr>
          <w:i/>
        </w:rPr>
        <w:t>Part 1 Procedural Amendments Order</w:t>
      </w:r>
      <w:r w:rsidRPr="00D764A7">
        <w:t>, 25 FCC Rcd at 522, para. 4.  This process differs from filing procedures used in connection with other Commission rules and processes, which may</w:t>
      </w:r>
      <w:r w:rsidRPr="00D764A7">
        <w:t xml:space="preserve"> call for submission of filings to the Commission’s Office of the Secretary or ECFS.  Filing through the Office of Secretary or ECFS could allow the report to become publicly available and might result in the communication of prohibited information to othe</w:t>
      </w:r>
      <w:r w:rsidRPr="00D764A7">
        <w:t>r auction applicants.</w:t>
      </w:r>
    </w:p>
  </w:footnote>
  <w:footnote w:id="122">
    <w:p w:rsidR="00FE4F2B" w:rsidRPr="00D764A7" w:rsidP="00D6515C" w14:paraId="28FA26DC" w14:textId="77777777">
      <w:pPr>
        <w:pStyle w:val="FootnoteText"/>
      </w:pPr>
      <w:r w:rsidRPr="00D764A7">
        <w:rPr>
          <w:rStyle w:val="FootnoteReference"/>
        </w:rPr>
        <w:footnoteRef/>
      </w:r>
      <w:r w:rsidRPr="00D764A7">
        <w:t xml:space="preserve"> </w:t>
      </w:r>
      <w:r w:rsidRPr="00D764A7">
        <w:rPr>
          <w:i/>
        </w:rPr>
        <w:t>Id</w:t>
      </w:r>
      <w:r w:rsidRPr="00D764A7">
        <w:t>.</w:t>
      </w:r>
    </w:p>
  </w:footnote>
  <w:footnote w:id="123">
    <w:p w:rsidR="00FE4F2B" w:rsidRPr="00706C67" w:rsidP="002F3758" w14:paraId="78049E8A" w14:textId="57F13C3E">
      <w:pPr>
        <w:pStyle w:val="FootnoteText"/>
        <w:rPr>
          <w:i/>
          <w:iCs/>
        </w:rPr>
      </w:pPr>
      <w:r w:rsidRPr="00D764A7">
        <w:rPr>
          <w:rStyle w:val="FootnoteReference"/>
        </w:rPr>
        <w:footnoteRef/>
      </w:r>
      <w:r w:rsidRPr="00D764A7">
        <w:t xml:space="preserve"> </w:t>
      </w:r>
      <w:r w:rsidRPr="00D764A7">
        <w:rPr>
          <w:i/>
        </w:rPr>
        <w:t xml:space="preserve">See </w:t>
      </w:r>
      <w:r w:rsidRPr="00D764A7">
        <w:t>47 CFR § 0.459.  Filers requesting confidential treatment of documents must be sure that the cover page of the filing prominently displays that the documents seek confidential treatment.  For example, a filing might includ</w:t>
      </w:r>
      <w:r w:rsidRPr="00D764A7">
        <w:t xml:space="preserve">e a cover page stamped with “Request for Confidential Treatment Attached” or “Not for Public Inspection.”  Any such request must cover all the material to which the request applies.  </w:t>
      </w:r>
      <w:r>
        <w:rPr>
          <w:i/>
        </w:rPr>
        <w:t>I</w:t>
      </w:r>
      <w:r w:rsidRPr="00D764A7">
        <w:rPr>
          <w:i/>
        </w:rPr>
        <w:t>d.</w:t>
      </w:r>
      <w:r w:rsidRPr="00D764A7">
        <w:t xml:space="preserve"> § 0.459(a)</w:t>
      </w:r>
      <w:r>
        <w:t>(1</w:t>
      </w:r>
      <w:r w:rsidRPr="00D764A7">
        <w:t xml:space="preserve">).  </w:t>
      </w:r>
      <w:r w:rsidRPr="00283F61">
        <w:t xml:space="preserve">On </w:t>
      </w:r>
      <w:r>
        <w:t>July 7</w:t>
      </w:r>
      <w:r w:rsidRPr="00283F61">
        <w:t>, 2020,</w:t>
      </w:r>
      <w:r>
        <w:t xml:space="preserve"> the Commission</w:t>
      </w:r>
      <w:r w:rsidRPr="00283F61">
        <w:t xml:space="preserve"> announced that</w:t>
      </w:r>
      <w:r>
        <w:t xml:space="preserve"> </w:t>
      </w:r>
      <w:r w:rsidRPr="00283F61">
        <w:t xml:space="preserve">the hand-delivery filing location at FCC Headquarters: </w:t>
      </w:r>
      <w:r>
        <w:t xml:space="preserve"> </w:t>
      </w:r>
      <w:r w:rsidRPr="00283F61">
        <w:t>Open Window Counter, 445 12</w:t>
      </w:r>
      <w:r w:rsidRPr="00283F61">
        <w:rPr>
          <w:vertAlign w:val="superscript"/>
        </w:rPr>
        <w:t>th</w:t>
      </w:r>
      <w:r w:rsidRPr="00283F61">
        <w:t xml:space="preserve"> Street, S.W., Room TW-A325, Washington, D.C. 20554, was </w:t>
      </w:r>
      <w:r>
        <w:t xml:space="preserve">permanently </w:t>
      </w:r>
      <w:r w:rsidRPr="00283F61">
        <w:t>closed, effective immediately.</w:t>
      </w:r>
      <w:r>
        <w:t xml:space="preserve">  </w:t>
      </w:r>
      <w:r w:rsidRPr="00C83702">
        <w:rPr>
          <w:i/>
          <w:iCs/>
        </w:rPr>
        <w:t xml:space="preserve">FCC Announces Closure of </w:t>
      </w:r>
      <w:r>
        <w:rPr>
          <w:i/>
          <w:iCs/>
        </w:rPr>
        <w:t>Filing Window at FCC Headquar</w:t>
      </w:r>
      <w:r>
        <w:rPr>
          <w:i/>
          <w:iCs/>
        </w:rPr>
        <w:t>ters</w:t>
      </w:r>
      <w:r w:rsidRPr="00C83702">
        <w:rPr>
          <w:i/>
          <w:iCs/>
        </w:rPr>
        <w:t xml:space="preserve"> and </w:t>
      </w:r>
      <w:r>
        <w:rPr>
          <w:i/>
          <w:iCs/>
        </w:rPr>
        <w:t xml:space="preserve">Permanent </w:t>
      </w:r>
      <w:r w:rsidRPr="00C83702">
        <w:rPr>
          <w:i/>
          <w:iCs/>
        </w:rPr>
        <w:t xml:space="preserve">Change in </w:t>
      </w:r>
      <w:r>
        <w:rPr>
          <w:i/>
          <w:iCs/>
        </w:rPr>
        <w:t xml:space="preserve">the Location and Hours for Receiving </w:t>
      </w:r>
      <w:r w:rsidRPr="00C83702">
        <w:rPr>
          <w:i/>
          <w:iCs/>
        </w:rPr>
        <w:t>Hand-</w:t>
      </w:r>
      <w:r>
        <w:rPr>
          <w:i/>
          <w:iCs/>
        </w:rPr>
        <w:t>Carried Filings</w:t>
      </w:r>
      <w:r w:rsidRPr="00C83702">
        <w:t>, Public Notice</w:t>
      </w:r>
      <w:r>
        <w:t xml:space="preserve"> </w:t>
      </w:r>
      <w:r w:rsidRPr="00C83702">
        <w:t>(</w:t>
      </w:r>
      <w:r>
        <w:t>OMD July 7</w:t>
      </w:r>
      <w:r w:rsidRPr="00BD60B5">
        <w:t xml:space="preserve">, 2020).  Because hand-delivery of confidential materials is no longer possible, the public is directed to submit such materials in accordance </w:t>
      </w:r>
      <w:r w:rsidRPr="00BD60B5">
        <w:t xml:space="preserve">with the procedures described in </w:t>
      </w:r>
      <w:r>
        <w:t xml:space="preserve">that public notice and in </w:t>
      </w:r>
      <w:r w:rsidRPr="00A92463">
        <w:rPr>
          <w:i/>
          <w:iCs/>
        </w:rPr>
        <w:t>Amendment of the Commission’s Rules of Practice and Procedure</w:t>
      </w:r>
      <w:r w:rsidRPr="00A92463">
        <w:t>, Order, DA 20-562 (OMD May 28, 2020).</w:t>
      </w:r>
    </w:p>
  </w:footnote>
  <w:footnote w:id="124">
    <w:p w:rsidR="00FE4F2B" w:rsidRPr="00D764A7" w:rsidP="00D6515C" w14:paraId="7A25C636" w14:textId="24321CF8">
      <w:pPr>
        <w:pStyle w:val="FootnoteText"/>
      </w:pPr>
      <w:r w:rsidRPr="00D764A7">
        <w:rPr>
          <w:rStyle w:val="FootnoteReference"/>
        </w:rPr>
        <w:footnoteRef/>
      </w:r>
      <w:r w:rsidRPr="00D764A7">
        <w:t xml:space="preserve"> </w:t>
      </w:r>
      <w:r w:rsidRPr="00D764A7">
        <w:rPr>
          <w:i/>
        </w:rPr>
        <w:t>See</w:t>
      </w:r>
      <w:r>
        <w:rPr>
          <w:i/>
        </w:rPr>
        <w:t xml:space="preserve"> </w:t>
      </w:r>
      <w:r>
        <w:t>section VI</w:t>
      </w:r>
      <w:r w:rsidRPr="00D764A7">
        <w:t xml:space="preserve"> (</w:t>
      </w:r>
      <w:r>
        <w:t>Procedural Matters</w:t>
      </w:r>
      <w:r w:rsidRPr="00D764A7">
        <w:t>)</w:t>
      </w:r>
      <w:r>
        <w:t>, below</w:t>
      </w:r>
      <w:r w:rsidRPr="00D764A7">
        <w:t>.</w:t>
      </w:r>
    </w:p>
  </w:footnote>
  <w:footnote w:id="125">
    <w:p w:rsidR="00FE4F2B" w:rsidRPr="00D764A7" w:rsidP="00D6515C" w14:paraId="1631F2DE" w14:textId="3439B35F">
      <w:pPr>
        <w:pStyle w:val="FootnoteText"/>
      </w:pPr>
      <w:r w:rsidRPr="00D764A7">
        <w:rPr>
          <w:rStyle w:val="FootnoteReference"/>
        </w:rPr>
        <w:footnoteRef/>
      </w:r>
      <w:r w:rsidRPr="00D764A7">
        <w:t xml:space="preserve"> </w:t>
      </w:r>
      <w:r w:rsidRPr="007C010B">
        <w:t xml:space="preserve">47 CFR </w:t>
      </w:r>
      <w:r w:rsidRPr="00811B07">
        <w:t>§ 1.2107</w:t>
      </w:r>
      <w:r>
        <w:t xml:space="preserve">(d); </w:t>
      </w:r>
      <w:r w:rsidRPr="004E4F46">
        <w:rPr>
          <w:i/>
        </w:rPr>
        <w:t>see also</w:t>
      </w:r>
      <w:r>
        <w:t xml:space="preserve"> section V.C (Long-Fo</w:t>
      </w:r>
      <w:r>
        <w:t>rm Application (FCC Form 601)), below</w:t>
      </w:r>
      <w:r w:rsidRPr="00D764A7">
        <w:t>.</w:t>
      </w:r>
      <w:r>
        <w:t xml:space="preserve">  Such agreements must have been entered into prior to the filing of short-form applications pursuant to section 1.2105</w:t>
      </w:r>
      <w:r w:rsidRPr="00D764A7">
        <w:t>.</w:t>
      </w:r>
      <w:r>
        <w:t xml:space="preserve">  </w:t>
      </w:r>
      <w:r w:rsidRPr="004E4F46">
        <w:t xml:space="preserve">47 CFR </w:t>
      </w:r>
      <w:r w:rsidRPr="006862FC">
        <w:t>§</w:t>
      </w:r>
      <w:r>
        <w:t> </w:t>
      </w:r>
      <w:r w:rsidRPr="00811B07">
        <w:t>1.2107</w:t>
      </w:r>
      <w:r>
        <w:t xml:space="preserve">(d); </w:t>
      </w:r>
      <w:r w:rsidRPr="00A65E25">
        <w:rPr>
          <w:i/>
        </w:rPr>
        <w:t xml:space="preserve">see </w:t>
      </w:r>
      <w:r w:rsidRPr="007C010B">
        <w:rPr>
          <w:i/>
        </w:rPr>
        <w:t>id.</w:t>
      </w:r>
      <w:r>
        <w:t xml:space="preserve"> </w:t>
      </w:r>
      <w:r w:rsidRPr="00811B07">
        <w:t>§</w:t>
      </w:r>
      <w:r>
        <w:t xml:space="preserve"> 1.2105.</w:t>
      </w:r>
    </w:p>
  </w:footnote>
  <w:footnote w:id="126">
    <w:p w:rsidR="00FE4F2B" w:rsidRPr="00D764A7" w:rsidP="00D6515C" w14:paraId="153EDBD5" w14:textId="77777777">
      <w:pPr>
        <w:pStyle w:val="FootnoteText"/>
      </w:pPr>
      <w:r w:rsidRPr="00D764A7">
        <w:rPr>
          <w:rStyle w:val="FootnoteReference"/>
        </w:rPr>
        <w:footnoteRef/>
      </w:r>
      <w:r w:rsidRPr="00D764A7">
        <w:t xml:space="preserve"> </w:t>
      </w:r>
      <w:r w:rsidRPr="007C010B">
        <w:t xml:space="preserve">47 CFR </w:t>
      </w:r>
      <w:r w:rsidRPr="00D764A7">
        <w:t>§ 1.2107(d).</w:t>
      </w:r>
    </w:p>
  </w:footnote>
  <w:footnote w:id="127">
    <w:p w:rsidR="00FE4F2B" w:rsidRPr="00D764A7" w:rsidP="00D6515C" w14:paraId="27844229" w14:textId="500F22CE">
      <w:pPr>
        <w:pStyle w:val="FootnoteText"/>
      </w:pPr>
      <w:r w:rsidRPr="00D764A7">
        <w:rPr>
          <w:rStyle w:val="FootnoteReference"/>
        </w:rPr>
        <w:footnoteRef/>
      </w:r>
      <w:r w:rsidRPr="00D764A7">
        <w:t xml:space="preserve"> </w:t>
      </w:r>
      <w:r w:rsidRPr="00D764A7">
        <w:rPr>
          <w:i/>
        </w:rPr>
        <w:t xml:space="preserve">See Amendment of Part 1 of the </w:t>
      </w:r>
      <w:r w:rsidRPr="00D764A7">
        <w:rPr>
          <w:i/>
        </w:rPr>
        <w:t>Commission’s Rules–Competitive Bidding Procedures</w:t>
      </w:r>
      <w:r w:rsidRPr="00D764A7">
        <w:t xml:space="preserve">, </w:t>
      </w:r>
      <w:r>
        <w:t xml:space="preserve">WT Docket No. 97-82, </w:t>
      </w:r>
      <w:r w:rsidRPr="00D764A7">
        <w:t xml:space="preserve">Third Further Notice of Proposed Rulemaking, 14 FCC Rcd 21558, 21560-61, para. 4 &amp; n.17 (1999) (quoting </w:t>
      </w:r>
      <w:r w:rsidRPr="00D764A7">
        <w:rPr>
          <w:i/>
        </w:rPr>
        <w:t>Competitive Bidding Memorandum Opinion and Order</w:t>
      </w:r>
      <w:r w:rsidRPr="00D764A7">
        <w:t>, 9 FCC Rcd at 7689, para. 12) (</w:t>
      </w:r>
      <w:r w:rsidRPr="00D764A7">
        <w:t xml:space="preserve">“[W]e wish to emphasize that all applicants and their owners continue to be subject to existing antitrust laws.  Applicants should note that conduct that is permissible under the Commission’s Rules may be prohibited by the antitrust laws.”); </w:t>
      </w:r>
      <w:r w:rsidRPr="00D764A7">
        <w:rPr>
          <w:i/>
        </w:rPr>
        <w:t>Implementation</w:t>
      </w:r>
      <w:r w:rsidRPr="00D764A7">
        <w:rPr>
          <w:i/>
        </w:rPr>
        <w:t xml:space="preserve"> of Section 309(j) of the Communications Act–Competitive Bidding</w:t>
      </w:r>
      <w:r w:rsidRPr="00D764A7">
        <w:t xml:space="preserve">, </w:t>
      </w:r>
      <w:r>
        <w:t xml:space="preserve">PP Docket No. 93-253, </w:t>
      </w:r>
      <w:r w:rsidRPr="00D764A7">
        <w:t>Fourth Memorandum Opinion and Order, 9 FCC Rcd 6858, 6869</w:t>
      </w:r>
      <w:r>
        <w:t>, para. 59 &amp;</w:t>
      </w:r>
      <w:r w:rsidRPr="00D764A7">
        <w:t xml:space="preserve"> n.134 (1994) (“[A]pplicants will also be subject to existing antitrust laws.”) (</w:t>
      </w:r>
      <w:r w:rsidRPr="00D764A7">
        <w:rPr>
          <w:i/>
        </w:rPr>
        <w:t xml:space="preserve">Fourth Memorandum </w:t>
      </w:r>
      <w:r w:rsidRPr="00D764A7">
        <w:rPr>
          <w:i/>
        </w:rPr>
        <w:t>Opinion and Order</w:t>
      </w:r>
      <w:r w:rsidRPr="00D764A7">
        <w:t>).</w:t>
      </w:r>
      <w:r w:rsidRPr="00D764A7">
        <w:rPr>
          <w:i/>
        </w:rPr>
        <w:t xml:space="preserve">  </w:t>
      </w:r>
    </w:p>
  </w:footnote>
  <w:footnote w:id="128">
    <w:p w:rsidR="00FE4F2B" w:rsidRPr="00D764A7" w:rsidP="00D6515C" w14:paraId="17EAF930" w14:textId="7233C266">
      <w:pPr>
        <w:pStyle w:val="FootnoteText"/>
      </w:pPr>
      <w:r w:rsidRPr="00D764A7">
        <w:rPr>
          <w:rStyle w:val="FootnoteReference"/>
        </w:rPr>
        <w:footnoteRef/>
      </w:r>
      <w:r w:rsidRPr="00D764A7">
        <w:t xml:space="preserve"> </w:t>
      </w:r>
      <w:r w:rsidRPr="00D764A7">
        <w:rPr>
          <w:i/>
        </w:rPr>
        <w:t>See Competitive Bidding Memorandum Opinion and Order</w:t>
      </w:r>
      <w:r w:rsidRPr="00D764A7">
        <w:t>, 9 FCC Rcd at 7689, para. 12</w:t>
      </w:r>
      <w:r>
        <w:t>;</w:t>
      </w:r>
      <w:r w:rsidRPr="00D764A7">
        <w:t xml:space="preserve"> </w:t>
      </w:r>
      <w:r w:rsidRPr="00AA3E71">
        <w:rPr>
          <w:i/>
        </w:rPr>
        <w:t>s</w:t>
      </w:r>
      <w:r w:rsidRPr="00D764A7">
        <w:rPr>
          <w:i/>
        </w:rPr>
        <w:t>ee also</w:t>
      </w:r>
      <w:r w:rsidRPr="00D764A7">
        <w:t xml:space="preserve"> Press Release, Dep’t of Justice, Justice Department Sues Three Firms Over FCC Auction Practices (Nov. 10, 1998)</w:t>
      </w:r>
      <w:r>
        <w:t xml:space="preserve">, </w:t>
      </w:r>
      <w:hyperlink r:id="rId5" w:history="1">
        <w:r w:rsidRPr="004B5EC9">
          <w:rPr>
            <w:rStyle w:val="Hyperlink"/>
          </w:rPr>
          <w:t>https://www.justice.gov/archive/atr/public/press_releases/1998/2068.htm</w:t>
        </w:r>
      </w:hyperlink>
      <w:r w:rsidRPr="00D764A7">
        <w:t xml:space="preserve">. </w:t>
      </w:r>
    </w:p>
  </w:footnote>
  <w:footnote w:id="129">
    <w:p w:rsidR="00FE4F2B" w:rsidRPr="00D764A7" w:rsidP="00D6515C" w14:paraId="2C665532" w14:textId="63BCD344">
      <w:pPr>
        <w:pStyle w:val="FootnoteText"/>
      </w:pPr>
      <w:r w:rsidRPr="00D764A7">
        <w:rPr>
          <w:rStyle w:val="FootnoteReference"/>
        </w:rPr>
        <w:footnoteRef/>
      </w:r>
      <w:r w:rsidRPr="00D764A7">
        <w:t xml:space="preserve"> </w:t>
      </w:r>
      <w:r w:rsidRPr="00D764A7">
        <w:rPr>
          <w:i/>
        </w:rPr>
        <w:t>See, e.g</w:t>
      </w:r>
      <w:r w:rsidRPr="00D764A7">
        <w:t>.</w:t>
      </w:r>
      <w:r w:rsidRPr="0066488F">
        <w:rPr>
          <w:i/>
          <w:iCs/>
        </w:rPr>
        <w:t>,</w:t>
      </w:r>
      <w:r w:rsidRPr="00925FC2">
        <w:rPr>
          <w:i/>
        </w:rPr>
        <w:t xml:space="preserve"> </w:t>
      </w:r>
      <w:r w:rsidRPr="00D764A7">
        <w:rPr>
          <w:i/>
        </w:rPr>
        <w:t>Fourth Memorandum Opinion and Order</w:t>
      </w:r>
      <w:r w:rsidRPr="00D764A7">
        <w:t>, 9 FCC Rcd at 6869</w:t>
      </w:r>
      <w:r>
        <w:t>, para. 59 &amp;</w:t>
      </w:r>
      <w:r w:rsidRPr="00D764A7">
        <w:t xml:space="preserve"> n.134.    </w:t>
      </w:r>
    </w:p>
  </w:footnote>
  <w:footnote w:id="130">
    <w:p w:rsidR="00FE4F2B" w:rsidRPr="00D764A7" w:rsidP="00D6515C" w14:paraId="6CDF1FD3" w14:textId="77777777">
      <w:pPr>
        <w:pStyle w:val="FootnoteText"/>
      </w:pPr>
      <w:r w:rsidRPr="00D764A7">
        <w:rPr>
          <w:rStyle w:val="FootnoteReference"/>
        </w:rPr>
        <w:footnoteRef/>
      </w:r>
      <w:r w:rsidRPr="00D764A7">
        <w:t xml:space="preserve"> </w:t>
      </w:r>
      <w:r w:rsidRPr="00D764A7">
        <w:rPr>
          <w:i/>
        </w:rPr>
        <w:t>Id.</w:t>
      </w:r>
      <w:r w:rsidRPr="00D764A7">
        <w:t xml:space="preserve">  </w:t>
      </w:r>
    </w:p>
  </w:footnote>
  <w:footnote w:id="131">
    <w:p w:rsidR="00FE4F2B" w:rsidRPr="00D764A7" w:rsidP="00D6515C" w14:paraId="46D4D87D" w14:textId="77777777">
      <w:pPr>
        <w:pStyle w:val="FootnoteText"/>
      </w:pPr>
      <w:r w:rsidRPr="00D764A7">
        <w:rPr>
          <w:rStyle w:val="FootnoteReference"/>
        </w:rPr>
        <w:footnoteRef/>
      </w:r>
      <w:r w:rsidRPr="00D764A7">
        <w:t xml:space="preserve"> </w:t>
      </w:r>
      <w:r w:rsidRPr="00D764A7">
        <w:rPr>
          <w:i/>
        </w:rPr>
        <w:t>Competitive Bidding</w:t>
      </w:r>
      <w:r w:rsidRPr="00D764A7">
        <w:t xml:space="preserve"> </w:t>
      </w:r>
      <w:r w:rsidRPr="007C010B">
        <w:rPr>
          <w:i/>
        </w:rPr>
        <w:t>Second Report and Order</w:t>
      </w:r>
      <w:r w:rsidRPr="00D764A7">
        <w:t xml:space="preserve">, 9 FCC Rcd </w:t>
      </w:r>
      <w:r>
        <w:t>at</w:t>
      </w:r>
      <w:r w:rsidRPr="00D764A7">
        <w:t xml:space="preserve"> 2388,</w:t>
      </w:r>
      <w:r w:rsidRPr="00D764A7">
        <w:rPr>
          <w:i/>
        </w:rPr>
        <w:t xml:space="preserve"> </w:t>
      </w:r>
      <w:r w:rsidRPr="00D764A7">
        <w:t xml:space="preserve">para. 226.  </w:t>
      </w:r>
    </w:p>
  </w:footnote>
  <w:footnote w:id="132">
    <w:p w:rsidR="00FE4F2B" w:rsidRPr="00D764A7" w:rsidP="00D6515C" w14:paraId="6E82108B" w14:textId="77777777">
      <w:pPr>
        <w:pStyle w:val="FootnoteText"/>
      </w:pPr>
      <w:r w:rsidRPr="00D764A7">
        <w:rPr>
          <w:rStyle w:val="FootnoteReference"/>
        </w:rPr>
        <w:footnoteRef/>
      </w:r>
      <w:r w:rsidRPr="00D764A7">
        <w:t xml:space="preserve"> </w:t>
      </w:r>
      <w:r w:rsidRPr="00D764A7">
        <w:rPr>
          <w:i/>
        </w:rPr>
        <w:t>See id.</w:t>
      </w:r>
      <w:r w:rsidRPr="00D764A7">
        <w:t>; 47 CFR § 1.2109(d).</w:t>
      </w:r>
    </w:p>
  </w:footnote>
  <w:footnote w:id="133">
    <w:p w:rsidR="00FE4F2B" w:rsidRPr="00D764A7" w:rsidP="00691BC8" w14:paraId="7982F548" w14:textId="5D3DF21E">
      <w:pPr>
        <w:pStyle w:val="FootnoteText"/>
      </w:pPr>
      <w:r w:rsidRPr="00D764A7">
        <w:rPr>
          <w:rStyle w:val="FootnoteReference"/>
        </w:rPr>
        <w:footnoteRef/>
      </w:r>
      <w:r w:rsidRPr="00D764A7">
        <w:t xml:space="preserve"> </w:t>
      </w:r>
      <w:r w:rsidRPr="00D764A7">
        <w:rPr>
          <w:i/>
        </w:rPr>
        <w:t>See</w:t>
      </w:r>
      <w:r>
        <w:rPr>
          <w:i/>
        </w:rPr>
        <w:t xml:space="preserve"> generally</w:t>
      </w:r>
      <w:r w:rsidRPr="00D764A7">
        <w:t xml:space="preserve"> </w:t>
      </w:r>
      <w:r>
        <w:rPr>
          <w:i/>
        </w:rPr>
        <w:t>Updating Part 1 Report and</w:t>
      </w:r>
      <w:r w:rsidRPr="00D764A7">
        <w:rPr>
          <w:i/>
        </w:rPr>
        <w:t xml:space="preserve"> Order</w:t>
      </w:r>
      <w:r>
        <w:t>, 30 FCC Rcd 7493</w:t>
      </w:r>
      <w:r w:rsidRPr="00D764A7">
        <w:t xml:space="preserve">.  </w:t>
      </w:r>
    </w:p>
  </w:footnote>
  <w:footnote w:id="134">
    <w:p w:rsidR="00FE4F2B" w:rsidRPr="00D764A7" w:rsidP="00D6515C" w14:paraId="0EC19C3C" w14:textId="2CF04395">
      <w:pPr>
        <w:pStyle w:val="FootnoteText"/>
        <w:widowControl w:val="0"/>
      </w:pPr>
      <w:r w:rsidRPr="00D764A7">
        <w:rPr>
          <w:rStyle w:val="FootnoteReference"/>
        </w:rPr>
        <w:footnoteRef/>
      </w:r>
      <w:r w:rsidRPr="00D764A7">
        <w:t xml:space="preserve"> </w:t>
      </w:r>
      <w:r w:rsidRPr="00D764A7">
        <w:rPr>
          <w:snapToGrid w:val="0"/>
        </w:rPr>
        <w:t xml:space="preserve">Applicants should note that all references to a “winning bid” discussed herein in the context of designated entity bidding credits for </w:t>
      </w:r>
      <w:r>
        <w:rPr>
          <w:snapToGrid w:val="0"/>
        </w:rPr>
        <w:t xml:space="preserve">Auction 107 </w:t>
      </w:r>
      <w:r w:rsidRPr="00D764A7">
        <w:rPr>
          <w:snapToGrid w:val="0"/>
        </w:rPr>
        <w:t xml:space="preserve">(e.g., the application of a small business discount to an applicant’s winning bid) refer to the </w:t>
      </w:r>
      <w:r w:rsidRPr="00D764A7">
        <w:rPr>
          <w:snapToGrid w:val="0"/>
          <w:color w:val="000000"/>
        </w:rPr>
        <w:t>calculated li</w:t>
      </w:r>
      <w:r w:rsidRPr="00D764A7">
        <w:rPr>
          <w:snapToGrid w:val="0"/>
          <w:color w:val="000000"/>
        </w:rPr>
        <w:t xml:space="preserve">cense </w:t>
      </w:r>
      <w:r w:rsidRPr="00D764A7">
        <w:rPr>
          <w:snapToGrid w:val="0"/>
        </w:rPr>
        <w:t xml:space="preserve">price discussed in </w:t>
      </w:r>
      <w:r>
        <w:rPr>
          <w:snapToGrid w:val="0"/>
        </w:rPr>
        <w:t>section</w:t>
      </w:r>
      <w:r w:rsidRPr="00D764A7">
        <w:rPr>
          <w:snapToGrid w:val="0"/>
        </w:rPr>
        <w:t xml:space="preserve"> </w:t>
      </w:r>
      <w:r w:rsidRPr="00DB0ABB">
        <w:rPr>
          <w:snapToGrid w:val="0"/>
        </w:rPr>
        <w:t>IV.</w:t>
      </w:r>
      <w:r>
        <w:rPr>
          <w:snapToGrid w:val="0"/>
        </w:rPr>
        <w:t>D</w:t>
      </w:r>
      <w:r w:rsidRPr="00D764A7">
        <w:rPr>
          <w:snapToGrid w:val="0"/>
        </w:rPr>
        <w:t xml:space="preserve"> (</w:t>
      </w:r>
      <w:r>
        <w:rPr>
          <w:snapToGrid w:val="0"/>
        </w:rPr>
        <w:t>Calculating Individual “Per-License” Prices</w:t>
      </w:r>
      <w:r w:rsidRPr="00D764A7">
        <w:rPr>
          <w:snapToGrid w:val="0"/>
        </w:rPr>
        <w:t>)</w:t>
      </w:r>
      <w:r>
        <w:rPr>
          <w:snapToGrid w:val="0"/>
        </w:rPr>
        <w:t>, below</w:t>
      </w:r>
      <w:r w:rsidRPr="00D764A7">
        <w:rPr>
          <w:snapToGrid w:val="0"/>
        </w:rPr>
        <w:t>.</w:t>
      </w:r>
      <w:r w:rsidRPr="00D764A7">
        <w:t xml:space="preserve"> </w:t>
      </w:r>
    </w:p>
  </w:footnote>
  <w:footnote w:id="135">
    <w:p w:rsidR="00FE4F2B" w:rsidRPr="00D764A7" w:rsidP="00D6515C" w14:paraId="34936777" w14:textId="77777777">
      <w:pPr>
        <w:pStyle w:val="FootnoteText"/>
        <w:widowControl w:val="0"/>
      </w:pPr>
      <w:r w:rsidRPr="00D764A7">
        <w:rPr>
          <w:rStyle w:val="FootnoteReference"/>
        </w:rPr>
        <w:footnoteRef/>
      </w:r>
      <w:r w:rsidRPr="00D764A7">
        <w:t xml:space="preserve"> 47 CFR § 1.2110.</w:t>
      </w:r>
    </w:p>
  </w:footnote>
  <w:footnote w:id="136">
    <w:p w:rsidR="00FE4F2B" w:rsidRPr="00D764A7" w:rsidP="00D6515C" w14:paraId="15F50684" w14:textId="01F6BFCF">
      <w:pPr>
        <w:pStyle w:val="FootnoteText"/>
        <w:widowControl w:val="0"/>
      </w:pPr>
      <w:r w:rsidRPr="00D764A7">
        <w:rPr>
          <w:rStyle w:val="FootnoteReference"/>
        </w:rPr>
        <w:footnoteRef/>
      </w:r>
      <w:r w:rsidRPr="00D764A7">
        <w:t xml:space="preserve"> </w:t>
      </w:r>
      <w:r w:rsidRPr="007C010B">
        <w:rPr>
          <w:i/>
        </w:rPr>
        <w:t>Id.</w:t>
      </w:r>
      <w:r w:rsidRPr="00D764A7">
        <w:t xml:space="preserve"> § 1.2110(b)(3); </w:t>
      </w:r>
      <w:r w:rsidRPr="007803A9">
        <w:rPr>
          <w:i/>
        </w:rPr>
        <w:t>see</w:t>
      </w:r>
      <w:r>
        <w:t xml:space="preserve"> </w:t>
      </w:r>
      <w:r>
        <w:rPr>
          <w:i/>
        </w:rPr>
        <w:t>Updating Part 1 Report and Order</w:t>
      </w:r>
      <w:r w:rsidRPr="00D764A7">
        <w:t>, 30 FCC Rcd at 750</w:t>
      </w:r>
      <w:r>
        <w:t>7</w:t>
      </w:r>
      <w:r w:rsidRPr="00D764A7">
        <w:t xml:space="preserve">-10, paras. </w:t>
      </w:r>
      <w:r>
        <w:t>29</w:t>
      </w:r>
      <w:r w:rsidRPr="00D764A7">
        <w:t>-34.</w:t>
      </w:r>
    </w:p>
  </w:footnote>
  <w:footnote w:id="137">
    <w:p w:rsidR="00FE4F2B" w:rsidRPr="00D764A7" w:rsidP="00D6515C" w14:paraId="7407B7F6" w14:textId="72292BDB">
      <w:pPr>
        <w:pStyle w:val="FootnoteText"/>
        <w:widowControl w:val="0"/>
      </w:pPr>
      <w:r w:rsidRPr="00D764A7">
        <w:rPr>
          <w:rStyle w:val="FootnoteReference"/>
        </w:rPr>
        <w:footnoteRef/>
      </w:r>
      <w:r w:rsidRPr="00D764A7">
        <w:t xml:space="preserve"> 47 CFR § 1.2110(c)(2)(ii)(J); </w:t>
      </w:r>
      <w:r w:rsidRPr="007803A9">
        <w:rPr>
          <w:i/>
        </w:rPr>
        <w:t>see</w:t>
      </w:r>
      <w:r>
        <w:t xml:space="preserve"> </w:t>
      </w:r>
      <w:r>
        <w:rPr>
          <w:i/>
        </w:rPr>
        <w:t>Updating Pa</w:t>
      </w:r>
      <w:r>
        <w:rPr>
          <w:i/>
        </w:rPr>
        <w:t>rt 1 Report and Order</w:t>
      </w:r>
      <w:r w:rsidRPr="00D764A7">
        <w:t>, 30 FCC Rcd at 7512-16, paras. 42-5</w:t>
      </w:r>
      <w:r>
        <w:t>2</w:t>
      </w:r>
      <w:r w:rsidRPr="00D764A7">
        <w:t xml:space="preserve">.  For purposes of this rule, a disclosable interest holder of an applicant seeking designated entity benefits is defined as any individual or entity holding a </w:t>
      </w:r>
      <w:r>
        <w:t>10%</w:t>
      </w:r>
      <w:r w:rsidRPr="00D764A7">
        <w:t xml:space="preserve"> or greater interest of any kind in</w:t>
      </w:r>
      <w:r w:rsidRPr="00D764A7">
        <w:t xml:space="preserve"> the applicant, including but not limited to, a </w:t>
      </w:r>
      <w:r>
        <w:t>10%</w:t>
      </w:r>
      <w:r w:rsidRPr="00D764A7">
        <w:t xml:space="preserve"> or greater interest in any class of stock, warrants, options</w:t>
      </w:r>
      <w:r>
        <w:t>,</w:t>
      </w:r>
      <w:r w:rsidRPr="00D764A7">
        <w:t xml:space="preserve"> or debt securities in the applicant or licensee.  47 CFR § 1.2110(c)(2)(ii)(J).  The Commission also clarified its designated entity reporting</w:t>
      </w:r>
      <w:r w:rsidRPr="00D764A7">
        <w:t xml:space="preserve"> requirements under 47 CFR § 1.2110(n).  </w:t>
      </w:r>
      <w:r>
        <w:rPr>
          <w:i/>
        </w:rPr>
        <w:t>S</w:t>
      </w:r>
      <w:r w:rsidRPr="007803A9">
        <w:rPr>
          <w:i/>
        </w:rPr>
        <w:t>ee</w:t>
      </w:r>
      <w:r>
        <w:t xml:space="preserve"> </w:t>
      </w:r>
      <w:r>
        <w:rPr>
          <w:i/>
        </w:rPr>
        <w:t>Updating Part 1 Report and Order</w:t>
      </w:r>
      <w:r w:rsidRPr="00D764A7">
        <w:t>, 30 FCC Rcd at 75</w:t>
      </w:r>
      <w:r>
        <w:t>6</w:t>
      </w:r>
      <w:r w:rsidRPr="00D764A7">
        <w:t>2-6</w:t>
      </w:r>
      <w:r>
        <w:t>3</w:t>
      </w:r>
      <w:r w:rsidRPr="00D764A7">
        <w:t xml:space="preserve">, paras. </w:t>
      </w:r>
      <w:r>
        <w:t>16</w:t>
      </w:r>
      <w:r w:rsidRPr="00D764A7">
        <w:t>2-</w:t>
      </w:r>
      <w:r>
        <w:t>67</w:t>
      </w:r>
      <w:r w:rsidRPr="00D764A7">
        <w:t xml:space="preserve">.    </w:t>
      </w:r>
    </w:p>
  </w:footnote>
  <w:footnote w:id="138">
    <w:p w:rsidR="00FE4F2B" w:rsidRPr="00D764A7" w:rsidP="00D6515C" w14:paraId="6729598B" w14:textId="220F8101">
      <w:pPr>
        <w:pStyle w:val="FootnoteText"/>
        <w:widowControl w:val="0"/>
      </w:pPr>
      <w:r w:rsidRPr="00D764A7">
        <w:rPr>
          <w:rStyle w:val="FootnoteReference"/>
        </w:rPr>
        <w:footnoteRef/>
      </w:r>
      <w:r w:rsidRPr="00D764A7">
        <w:t xml:space="preserve"> 47 CFR § 1.2110(f)(2); </w:t>
      </w:r>
      <w:r w:rsidRPr="007803A9">
        <w:rPr>
          <w:i/>
        </w:rPr>
        <w:t>see</w:t>
      </w:r>
      <w:r>
        <w:t xml:space="preserve"> </w:t>
      </w:r>
      <w:r>
        <w:rPr>
          <w:i/>
        </w:rPr>
        <w:t>Updating Part 1 Report and Order</w:t>
      </w:r>
      <w:r w:rsidRPr="00D764A7">
        <w:t>, 30 FCC Rcd at 7523-25, paras. 72-75.</w:t>
      </w:r>
    </w:p>
  </w:footnote>
  <w:footnote w:id="139">
    <w:p w:rsidR="00FE4F2B" w:rsidRPr="00D764A7" w:rsidP="00D6515C" w14:paraId="385D0908" w14:textId="4A681A62">
      <w:pPr>
        <w:pStyle w:val="FootnoteText"/>
        <w:widowControl w:val="0"/>
      </w:pPr>
      <w:r w:rsidRPr="00D764A7">
        <w:rPr>
          <w:rStyle w:val="FootnoteReference"/>
        </w:rPr>
        <w:footnoteRef/>
      </w:r>
      <w:r w:rsidRPr="00D764A7">
        <w:t xml:space="preserve"> 47 CFR § 1.2110(f)(4); </w:t>
      </w:r>
      <w:r w:rsidRPr="007803A9">
        <w:rPr>
          <w:i/>
        </w:rPr>
        <w:t>see</w:t>
      </w:r>
      <w:r>
        <w:t xml:space="preserve"> </w:t>
      </w:r>
      <w:r>
        <w:rPr>
          <w:i/>
        </w:rPr>
        <w:t>Updating Part 1 Report and Order</w:t>
      </w:r>
      <w:r w:rsidRPr="00D764A7">
        <w:t>, 30 FCC Rcd at 7530-38, paras. 88-108.</w:t>
      </w:r>
    </w:p>
  </w:footnote>
  <w:footnote w:id="140">
    <w:p w:rsidR="00FE4F2B" w:rsidRPr="00D764A7" w:rsidP="00D6515C" w14:paraId="64304215" w14:textId="17E2532F">
      <w:pPr>
        <w:pStyle w:val="FootnoteText"/>
        <w:widowControl w:val="0"/>
      </w:pPr>
      <w:r w:rsidRPr="00D764A7">
        <w:rPr>
          <w:rStyle w:val="FootnoteReference"/>
        </w:rPr>
        <w:footnoteRef/>
      </w:r>
      <w:r w:rsidRPr="00D764A7">
        <w:t xml:space="preserve"> </w:t>
      </w:r>
      <w:r w:rsidRPr="00D764A7">
        <w:rPr>
          <w:i/>
        </w:rPr>
        <w:t>See</w:t>
      </w:r>
      <w:r w:rsidRPr="00D764A7">
        <w:t xml:space="preserve"> 47 CFR § 1.2110(f)(2)(ii), (f)(4)(ii); </w:t>
      </w:r>
      <w:r w:rsidRPr="00D764A7">
        <w:rPr>
          <w:i/>
        </w:rPr>
        <w:t xml:space="preserve">see also </w:t>
      </w:r>
      <w:r>
        <w:rPr>
          <w:i/>
        </w:rPr>
        <w:t xml:space="preserve">Updating Part 1 Report and </w:t>
      </w:r>
      <w:r w:rsidRPr="00D764A7">
        <w:rPr>
          <w:i/>
        </w:rPr>
        <w:t>O</w:t>
      </w:r>
      <w:r>
        <w:rPr>
          <w:i/>
        </w:rPr>
        <w:t>rder</w:t>
      </w:r>
      <w:r w:rsidRPr="00D764A7">
        <w:t xml:space="preserve">, 30 FCC Rcd at 7539-48, paras. 110-30. </w:t>
      </w:r>
    </w:p>
  </w:footnote>
  <w:footnote w:id="141">
    <w:p w:rsidR="00FE4F2B" w:rsidRPr="00D764A7" w:rsidP="00D6515C" w14:paraId="2A641917" w14:textId="70FF003D">
      <w:pPr>
        <w:pStyle w:val="FootnoteText"/>
        <w:widowControl w:val="0"/>
      </w:pPr>
      <w:r w:rsidRPr="00D764A7">
        <w:rPr>
          <w:rStyle w:val="FootnoteReference"/>
        </w:rPr>
        <w:footnoteRef/>
      </w:r>
      <w:r w:rsidRPr="00D764A7">
        <w:t xml:space="preserve"> </w:t>
      </w:r>
      <w:r w:rsidRPr="00D764A7">
        <w:rPr>
          <w:i/>
        </w:rPr>
        <w:t xml:space="preserve">See </w:t>
      </w:r>
      <w:r>
        <w:rPr>
          <w:i/>
        </w:rPr>
        <w:t xml:space="preserve">Updating Part 1 </w:t>
      </w:r>
      <w:r>
        <w:rPr>
          <w:i/>
        </w:rPr>
        <w:t>Report and Order</w:t>
      </w:r>
      <w:r w:rsidRPr="00D764A7">
        <w:t>, 30 FCC Rcd at 7538, para. 108</w:t>
      </w:r>
      <w:r>
        <w:t xml:space="preserve">; </w:t>
      </w:r>
      <w:r w:rsidRPr="00D85191">
        <w:rPr>
          <w:i/>
          <w:iCs/>
        </w:rPr>
        <w:t>see also</w:t>
      </w:r>
      <w:r>
        <w:t xml:space="preserve"> 47 CFR </w:t>
      </w:r>
      <w:r w:rsidRPr="00D764A7">
        <w:t>§</w:t>
      </w:r>
      <w:r>
        <w:t xml:space="preserve"> 1.2110(f)(4)(i)</w:t>
      </w:r>
      <w:r w:rsidRPr="00D764A7">
        <w:t>.</w:t>
      </w:r>
    </w:p>
  </w:footnote>
  <w:footnote w:id="142">
    <w:p w:rsidR="00FE4F2B" w:rsidRPr="00D764A7" w:rsidP="00D6515C" w14:paraId="5D234BB0" w14:textId="27CD9E0E">
      <w:pPr>
        <w:pStyle w:val="FootnoteText"/>
        <w:widowControl w:val="0"/>
      </w:pPr>
      <w:r w:rsidRPr="00D764A7">
        <w:rPr>
          <w:rStyle w:val="FootnoteReference"/>
        </w:rPr>
        <w:footnoteRef/>
      </w:r>
      <w:r w:rsidRPr="00D764A7">
        <w:t xml:space="preserve"> </w:t>
      </w:r>
      <w:r w:rsidRPr="00D764A7">
        <w:rPr>
          <w:i/>
        </w:rPr>
        <w:t xml:space="preserve">See </w:t>
      </w:r>
      <w:r>
        <w:rPr>
          <w:i/>
        </w:rPr>
        <w:t>generally</w:t>
      </w:r>
      <w:r w:rsidRPr="00D764A7">
        <w:rPr>
          <w:i/>
        </w:rPr>
        <w:t xml:space="preserve"> </w:t>
      </w:r>
      <w:r>
        <w:rPr>
          <w:i/>
        </w:rPr>
        <w:t>Updating Part 1 Report and Order</w:t>
      </w:r>
      <w:r w:rsidRPr="00D764A7">
        <w:t xml:space="preserve">, 30 FCC Rcd 7493; </w:t>
      </w:r>
      <w:r w:rsidRPr="00D764A7">
        <w:rPr>
          <w:i/>
        </w:rPr>
        <w:t>see also, e.</w:t>
      </w:r>
      <w:r w:rsidRPr="00374A32">
        <w:rPr>
          <w:i/>
        </w:rPr>
        <w:t>g.</w:t>
      </w:r>
      <w:r w:rsidRPr="0066488F">
        <w:rPr>
          <w:i/>
          <w:iCs/>
        </w:rPr>
        <w:t>,</w:t>
      </w:r>
      <w:r w:rsidRPr="00D764A7">
        <w:t xml:space="preserve"> </w:t>
      </w:r>
      <w:r w:rsidRPr="00D764A7">
        <w:rPr>
          <w:i/>
        </w:rPr>
        <w:t>Implementation of the Commercial Spectrum Enhancement Act and Modernization of the Commis</w:t>
      </w:r>
      <w:r w:rsidRPr="00D764A7">
        <w:rPr>
          <w:i/>
        </w:rPr>
        <w:t>sion’s Competitive Bidding Rules and Procedures</w:t>
      </w:r>
      <w:r w:rsidRPr="00D764A7">
        <w:t xml:space="preserve">, </w:t>
      </w:r>
      <w:r>
        <w:t xml:space="preserve">WT Docket No. 05-24, </w:t>
      </w:r>
      <w:r w:rsidRPr="00D764A7">
        <w:t>Report and Order, 21 FCC Rcd 891 (2006)</w:t>
      </w:r>
      <w:r w:rsidRPr="00D764A7">
        <w:rPr>
          <w:i/>
        </w:rPr>
        <w:t xml:space="preserve"> </w:t>
      </w:r>
      <w:r w:rsidRPr="00D764A7">
        <w:t>(</w:t>
      </w:r>
      <w:r w:rsidRPr="00D764A7">
        <w:rPr>
          <w:i/>
        </w:rPr>
        <w:t>CSEA/Part 1 Report and Order</w:t>
      </w:r>
      <w:r w:rsidRPr="00D764A7">
        <w:t xml:space="preserve">); </w:t>
      </w:r>
      <w:r w:rsidRPr="00925FC2">
        <w:t>Second Report and Order and Second Further Notice of Proposed Rule Making</w:t>
      </w:r>
      <w:r w:rsidRPr="00D764A7">
        <w:t xml:space="preserve">, 21 FCC Rcd 4753 (2006); </w:t>
      </w:r>
      <w:r w:rsidRPr="00925FC2">
        <w:t>Order on Recons</w:t>
      </w:r>
      <w:r w:rsidRPr="00925FC2">
        <w:t>ideration of the Second Report and Order</w:t>
      </w:r>
      <w:r w:rsidRPr="00D764A7">
        <w:t>, 21 FCC Rcd 6703 (2006).</w:t>
      </w:r>
    </w:p>
  </w:footnote>
  <w:footnote w:id="143">
    <w:p w:rsidR="00FE4F2B" w:rsidRPr="00D764A7" w:rsidP="00D6515C" w14:paraId="2E1B91F4" w14:textId="609E00F9">
      <w:pPr>
        <w:pStyle w:val="FootnoteText"/>
      </w:pPr>
      <w:r w:rsidRPr="00D764A7">
        <w:rPr>
          <w:rStyle w:val="FootnoteReference"/>
        </w:rPr>
        <w:footnoteRef/>
      </w:r>
      <w:r w:rsidRPr="00D764A7">
        <w:t xml:space="preserve"> </w:t>
      </w:r>
      <w:r w:rsidRPr="00D764A7">
        <w:rPr>
          <w:i/>
        </w:rPr>
        <w:t>See</w:t>
      </w:r>
      <w:r w:rsidRPr="00C015C5">
        <w:rPr>
          <w:i/>
        </w:rPr>
        <w:t>,</w:t>
      </w:r>
      <w:r w:rsidRPr="00D764A7">
        <w:t xml:space="preserve"> </w:t>
      </w:r>
      <w:r w:rsidRPr="00D764A7">
        <w:rPr>
          <w:i/>
        </w:rPr>
        <w:t>e.g.</w:t>
      </w:r>
      <w:r w:rsidRPr="00D764A7">
        <w:t>, 47 CFR §§ 1.2110</w:t>
      </w:r>
      <w:r>
        <w:t>, 1.21</w:t>
      </w:r>
      <w:r w:rsidRPr="00D764A7">
        <w:t xml:space="preserve">11.  </w:t>
      </w:r>
    </w:p>
  </w:footnote>
  <w:footnote w:id="144">
    <w:p w:rsidR="00FE4F2B" w:rsidRPr="00D764A7" w:rsidP="00D6515C" w14:paraId="72BB1082" w14:textId="1AEA8992">
      <w:pPr>
        <w:pStyle w:val="FootnoteText"/>
      </w:pPr>
      <w:r w:rsidRPr="00D764A7">
        <w:rPr>
          <w:rStyle w:val="FootnoteReference"/>
        </w:rPr>
        <w:footnoteRef/>
      </w:r>
      <w:r w:rsidRPr="00D764A7">
        <w:t xml:space="preserve"> </w:t>
      </w:r>
      <w:r w:rsidRPr="00D764A7">
        <w:rPr>
          <w:i/>
        </w:rPr>
        <w:t>Id</w:t>
      </w:r>
      <w:r w:rsidRPr="00D764A7">
        <w:t xml:space="preserve">. § 1.2105(b)(2).  Pursuant to 47 CFR § 1.929(a)(2), any substantial change in ownership or control is classified as a major amendment.  </w:t>
      </w:r>
      <w:r w:rsidRPr="00D764A7">
        <w:rPr>
          <w:i/>
        </w:rPr>
        <w:t>See id</w:t>
      </w:r>
      <w:r w:rsidRPr="00D764A7">
        <w:t xml:space="preserve">. </w:t>
      </w:r>
      <w:r w:rsidRPr="00D764A7">
        <w:t xml:space="preserve">§ 1.927(a)-(b), (h). </w:t>
      </w:r>
    </w:p>
  </w:footnote>
  <w:footnote w:id="145">
    <w:p w:rsidR="00FE4F2B" w:rsidRPr="00D764A7" w:rsidP="00D6515C" w14:paraId="0D754763" w14:textId="5839AF9E">
      <w:pPr>
        <w:pStyle w:val="FootnoteText"/>
      </w:pPr>
      <w:r w:rsidRPr="00D764A7">
        <w:rPr>
          <w:rStyle w:val="FootnoteReference"/>
        </w:rPr>
        <w:footnoteRef/>
      </w:r>
      <w:r w:rsidRPr="00D764A7">
        <w:t xml:space="preserve"> The Commission’s objectives when awarding licenses through competitive bidding include “the development and rapid deployment of new technologies, products, and services for the benefit of the public . . . without administrative or j</w:t>
      </w:r>
      <w:r w:rsidRPr="00D764A7">
        <w:t>udicial delays” and “promoting economic opportunity and competition and ensuring that new and innovative technologies are readily accessible to the American people by avoiding excessive concentration of licenses and by disseminating licenses among a wide v</w:t>
      </w:r>
      <w:r w:rsidRPr="00D764A7">
        <w:t>ariety of applicants, including small businesses.”  47 U.S.C. § 309(j)</w:t>
      </w:r>
      <w:r>
        <w:t>(3)(A)-(B</w:t>
      </w:r>
      <w:r w:rsidRPr="00D764A7">
        <w:t xml:space="preserve">); </w:t>
      </w:r>
      <w:r w:rsidRPr="00D764A7">
        <w:rPr>
          <w:i/>
        </w:rPr>
        <w:t>see also</w:t>
      </w:r>
      <w:r w:rsidRPr="00D764A7">
        <w:t xml:space="preserve"> </w:t>
      </w:r>
      <w:r w:rsidRPr="003C3297">
        <w:rPr>
          <w:i/>
          <w:iCs/>
        </w:rPr>
        <w:t>3.7 GHz Report and Order</w:t>
      </w:r>
      <w:r>
        <w:t>, 35 FCC Rcd at 2373-76, paras. 64-70</w:t>
      </w:r>
      <w:r w:rsidRPr="00D764A7">
        <w:t>.</w:t>
      </w:r>
    </w:p>
  </w:footnote>
  <w:footnote w:id="146">
    <w:p w:rsidR="00FE4F2B" w14:paraId="29363CB4" w14:textId="4B8DBB33">
      <w:pPr>
        <w:pStyle w:val="FootnoteText"/>
      </w:pPr>
      <w:r>
        <w:rPr>
          <w:rStyle w:val="FootnoteReference"/>
        </w:rPr>
        <w:footnoteRef/>
      </w:r>
      <w:r>
        <w:t xml:space="preserve"> </w:t>
      </w:r>
      <w:r w:rsidRPr="00DA7D4A">
        <w:rPr>
          <w:i/>
          <w:iCs/>
        </w:rPr>
        <w:t>See</w:t>
      </w:r>
      <w:r>
        <w:t xml:space="preserve"> Letter from Jovita Carranza, Administrator, U.S. Small Business Administration, to Gary D. Michaels, Deputy Chief, Auctions Division, FCC (May 19, 2020) (approving the Commission’s proposed small business size standards for the auction of licenses in the </w:t>
      </w:r>
      <w:r>
        <w:t>3.7 GHz Service).</w:t>
      </w:r>
    </w:p>
  </w:footnote>
  <w:footnote w:id="147">
    <w:p w:rsidR="00FE4F2B" w:rsidRPr="00D764A7" w:rsidP="006D4F81" w14:paraId="4979038B" w14:textId="09708E0F">
      <w:pPr>
        <w:pStyle w:val="FootnoteText"/>
        <w:widowControl w:val="0"/>
      </w:pPr>
      <w:r w:rsidRPr="00D764A7">
        <w:rPr>
          <w:rStyle w:val="FootnoteReference"/>
        </w:rPr>
        <w:footnoteRef/>
      </w:r>
      <w:r w:rsidRPr="00D764A7">
        <w:t xml:space="preserve"> </w:t>
      </w:r>
      <w:r>
        <w:t>47 CFR § 27.1402(a)(1)(i)</w:t>
      </w:r>
      <w:r>
        <w:rPr>
          <w:iCs/>
        </w:rPr>
        <w:t xml:space="preserve">; </w:t>
      </w:r>
      <w:r>
        <w:rPr>
          <w:i/>
        </w:rPr>
        <w:t>cf. id.</w:t>
      </w:r>
      <w:r w:rsidRPr="00D764A7">
        <w:t xml:space="preserve"> § 1.2110(f)(2)(i)(C)</w:t>
      </w:r>
      <w:r>
        <w:t>.</w:t>
      </w:r>
    </w:p>
  </w:footnote>
  <w:footnote w:id="148">
    <w:p w:rsidR="00FE4F2B" w:rsidRPr="006D4F81" w14:paraId="787D4800" w14:textId="04BB4633">
      <w:pPr>
        <w:pStyle w:val="FootnoteText"/>
      </w:pPr>
      <w:r>
        <w:rPr>
          <w:rStyle w:val="FootnoteReference"/>
        </w:rPr>
        <w:footnoteRef/>
      </w:r>
      <w:r>
        <w:t xml:space="preserve"> </w:t>
      </w:r>
      <w:r>
        <w:rPr>
          <w:i/>
        </w:rPr>
        <w:t>Id.</w:t>
      </w:r>
      <w:r w:rsidRPr="00D4734E">
        <w:t xml:space="preserve"> </w:t>
      </w:r>
      <w:r>
        <w:t>§ 27.1402(a)(2).</w:t>
      </w:r>
    </w:p>
  </w:footnote>
  <w:footnote w:id="149">
    <w:p w:rsidR="00FE4F2B" w:rsidRPr="00D764A7" w:rsidP="006D4F81" w14:paraId="48B8557C" w14:textId="718B546D">
      <w:pPr>
        <w:pStyle w:val="FootnoteText"/>
        <w:widowControl w:val="0"/>
      </w:pPr>
      <w:r w:rsidRPr="00D764A7">
        <w:rPr>
          <w:rStyle w:val="FootnoteReference"/>
        </w:rPr>
        <w:footnoteRef/>
      </w:r>
      <w:r w:rsidRPr="00D764A7">
        <w:t xml:space="preserve"> </w:t>
      </w:r>
      <w:r>
        <w:rPr>
          <w:i/>
        </w:rPr>
        <w:t xml:space="preserve">Id. </w:t>
      </w:r>
      <w:r>
        <w:t xml:space="preserve">§ 27.1402(a)(1)(ii); </w:t>
      </w:r>
      <w:r w:rsidRPr="0066488F">
        <w:rPr>
          <w:i/>
          <w:iCs/>
        </w:rPr>
        <w:t>cf</w:t>
      </w:r>
      <w:r>
        <w:t>.</w:t>
      </w:r>
      <w:r w:rsidRPr="00D764A7">
        <w:t xml:space="preserve"> </w:t>
      </w:r>
      <w:r w:rsidRPr="008306EC">
        <w:rPr>
          <w:i/>
          <w:iCs/>
        </w:rPr>
        <w:t>id.</w:t>
      </w:r>
      <w:r w:rsidRPr="00D764A7">
        <w:t xml:space="preserve"> § 1.2110(f)(2)(i)</w:t>
      </w:r>
      <w:r>
        <w:t>(B).</w:t>
      </w:r>
      <w:r w:rsidRPr="00D764A7">
        <w:t xml:space="preserve">  </w:t>
      </w:r>
    </w:p>
  </w:footnote>
  <w:footnote w:id="150">
    <w:p w:rsidR="00FE4F2B" w:rsidRPr="00D764A7" w:rsidP="00D6515C" w14:paraId="6A2A4C42" w14:textId="018305C1">
      <w:pPr>
        <w:pStyle w:val="FootnoteText"/>
        <w:widowControl w:val="0"/>
      </w:pPr>
      <w:r w:rsidRPr="00D764A7">
        <w:rPr>
          <w:rStyle w:val="FootnoteReference"/>
        </w:rPr>
        <w:footnoteRef/>
      </w:r>
      <w:r w:rsidRPr="00D764A7">
        <w:t xml:space="preserve"> </w:t>
      </w:r>
      <w:r>
        <w:rPr>
          <w:i/>
        </w:rPr>
        <w:t>Id.</w:t>
      </w:r>
      <w:r w:rsidRPr="00D4734E">
        <w:t xml:space="preserve"> </w:t>
      </w:r>
      <w:r>
        <w:t>§ 27.1402(a)(2).</w:t>
      </w:r>
    </w:p>
  </w:footnote>
  <w:footnote w:id="151">
    <w:p w:rsidR="00FE4F2B" w14:paraId="0376ACD1" w14:textId="3171DD07">
      <w:pPr>
        <w:pStyle w:val="FootnoteText"/>
      </w:pPr>
      <w:r>
        <w:rPr>
          <w:rStyle w:val="FootnoteReference"/>
        </w:rPr>
        <w:footnoteRef/>
      </w:r>
      <w:r>
        <w:t xml:space="preserve"> </w:t>
      </w:r>
      <w:r w:rsidRPr="005C6485">
        <w:rPr>
          <w:i/>
          <w:iCs/>
        </w:rPr>
        <w:t>3.7 GHz Report and Order</w:t>
      </w:r>
      <w:r>
        <w:t>, 35 FCC Rcd at 2376, para. 68.</w:t>
      </w:r>
    </w:p>
  </w:footnote>
  <w:footnote w:id="152">
    <w:p w:rsidR="00FE4F2B" w:rsidRPr="00D764A7" w:rsidP="00D6515C" w14:paraId="3B6A1D62" w14:textId="551982E8">
      <w:pPr>
        <w:pStyle w:val="FootnoteText"/>
        <w:widowControl w:val="0"/>
      </w:pPr>
      <w:r w:rsidRPr="00D764A7">
        <w:rPr>
          <w:rStyle w:val="FootnoteReference"/>
        </w:rPr>
        <w:footnoteRef/>
      </w:r>
      <w:r w:rsidRPr="00D764A7">
        <w:t xml:space="preserve"> </w:t>
      </w:r>
      <w:r w:rsidRPr="00BA2176">
        <w:rPr>
          <w:iCs/>
        </w:rPr>
        <w:t>47 CFR</w:t>
      </w:r>
      <w:r w:rsidRPr="00D764A7">
        <w:t xml:space="preserve"> § 1.211</w:t>
      </w:r>
      <w:r w:rsidRPr="00D764A7">
        <w:t>1.</w:t>
      </w:r>
      <w:r>
        <w:t xml:space="preserve">  Thus, for example, the Commission’s unjust enrichment provisions would not apply to a winning bidder that </w:t>
      </w:r>
      <w:r w:rsidRPr="00C60499">
        <w:t>u</w:t>
      </w:r>
      <w:r>
        <w:t>s</w:t>
      </w:r>
      <w:r w:rsidRPr="00C60499">
        <w:t>es</w:t>
      </w:r>
      <w:r>
        <w:t xml:space="preserve"> the 15% small business bidding credit and seeks to transfer control of its license to an entity that qualifies for either the 15% small busin</w:t>
      </w:r>
      <w:r>
        <w:t xml:space="preserve">ess bidding credit or the rural service provider bidding credit.  </w:t>
      </w:r>
      <w:r>
        <w:rPr>
          <w:i/>
        </w:rPr>
        <w:t>S</w:t>
      </w:r>
      <w:r w:rsidRPr="00313AEA">
        <w:rPr>
          <w:i/>
        </w:rPr>
        <w:t>ee</w:t>
      </w:r>
      <w:r>
        <w:t xml:space="preserve"> section II.H.2 (Rural Service Provider Bidding Credit), below.  The provisions would apply, however, if that same winning bidder </w:t>
      </w:r>
      <w:r w:rsidRPr="00C60499">
        <w:t>u</w:t>
      </w:r>
      <w:r>
        <w:t>s</w:t>
      </w:r>
      <w:r w:rsidRPr="00C60499">
        <w:t>es</w:t>
      </w:r>
      <w:r>
        <w:t xml:space="preserve"> the 25% small business bidding credit, unless the pr</w:t>
      </w:r>
      <w:r>
        <w:t>oposed transferee also qualifies for the 25% small business bidding credit.</w:t>
      </w:r>
    </w:p>
  </w:footnote>
  <w:footnote w:id="153">
    <w:p w:rsidR="00FE4F2B" w:rsidRPr="00D764A7" w:rsidP="00D6515C" w14:paraId="70F614FC" w14:textId="77777777">
      <w:pPr>
        <w:pStyle w:val="FootnoteText"/>
        <w:widowControl w:val="0"/>
      </w:pPr>
      <w:r w:rsidRPr="00D764A7">
        <w:rPr>
          <w:rStyle w:val="FootnoteReference"/>
        </w:rPr>
        <w:footnoteRef/>
      </w:r>
      <w:r w:rsidRPr="00D764A7">
        <w:t xml:space="preserve"> 47 CFR §§ 1.2110(b)(1)(i), 1.2112(b)(1)(iv).</w:t>
      </w:r>
    </w:p>
  </w:footnote>
  <w:footnote w:id="154">
    <w:p w:rsidR="00FE4F2B" w:rsidRPr="00D764A7" w:rsidP="00D6515C" w14:paraId="2B900654" w14:textId="77777777">
      <w:pPr>
        <w:pStyle w:val="FootnoteText"/>
        <w:widowControl w:val="0"/>
      </w:pPr>
      <w:r w:rsidRPr="00D764A7">
        <w:rPr>
          <w:rStyle w:val="FootnoteReference"/>
        </w:rPr>
        <w:footnoteRef/>
      </w:r>
      <w:r w:rsidRPr="00D764A7">
        <w:t xml:space="preserve"> </w:t>
      </w:r>
      <w:r w:rsidRPr="00D764A7">
        <w:rPr>
          <w:i/>
        </w:rPr>
        <w:t xml:space="preserve">See </w:t>
      </w:r>
      <w:r w:rsidRPr="007C010B">
        <w:rPr>
          <w:i/>
        </w:rPr>
        <w:t xml:space="preserve">id. </w:t>
      </w:r>
      <w:r w:rsidRPr="00D764A7">
        <w:t xml:space="preserve">§ 1.2112(b)(1)(iii).  </w:t>
      </w:r>
    </w:p>
  </w:footnote>
  <w:footnote w:id="155">
    <w:p w:rsidR="00FE4F2B" w:rsidRPr="00D764A7" w:rsidP="005F3C27" w14:paraId="2F5B0B89" w14:textId="77777777">
      <w:pPr>
        <w:pStyle w:val="FootnoteText"/>
        <w:widowControl w:val="0"/>
      </w:pPr>
      <w:r w:rsidRPr="00D764A7">
        <w:rPr>
          <w:rStyle w:val="FootnoteReference"/>
        </w:rPr>
        <w:footnoteRef/>
      </w:r>
      <w:r>
        <w:t xml:space="preserve"> </w:t>
      </w:r>
      <w:r w:rsidRPr="00D764A7">
        <w:rPr>
          <w:i/>
        </w:rPr>
        <w:t>See</w:t>
      </w:r>
      <w:r w:rsidRPr="00D764A7">
        <w:t xml:space="preserve"> </w:t>
      </w:r>
      <w:r w:rsidRPr="007C010B">
        <w:rPr>
          <w:i/>
        </w:rPr>
        <w:t>id.</w:t>
      </w:r>
      <w:r w:rsidRPr="00D764A7">
        <w:t xml:space="preserve"> § 1.2110(c)(2)(ii)(J).</w:t>
      </w:r>
    </w:p>
  </w:footnote>
  <w:footnote w:id="156">
    <w:p w:rsidR="00FE4F2B" w:rsidRPr="00D764A7" w:rsidP="00D6515C" w14:paraId="4F4F84E1" w14:textId="33F9CCEE">
      <w:pPr>
        <w:pStyle w:val="FootnoteText"/>
        <w:widowControl w:val="0"/>
      </w:pPr>
      <w:r w:rsidRPr="00D764A7">
        <w:rPr>
          <w:rStyle w:val="FootnoteReference"/>
        </w:rPr>
        <w:footnoteRef/>
      </w:r>
      <w:r>
        <w:t xml:space="preserve"> </w:t>
      </w:r>
      <w:r>
        <w:rPr>
          <w:i/>
        </w:rPr>
        <w:t>I</w:t>
      </w:r>
      <w:r w:rsidRPr="007C010B">
        <w:rPr>
          <w:i/>
        </w:rPr>
        <w:t>d.</w:t>
      </w:r>
    </w:p>
  </w:footnote>
  <w:footnote w:id="157">
    <w:p w:rsidR="00FE4F2B" w:rsidP="00D6515C" w14:paraId="38A986B4" w14:textId="77777777">
      <w:pPr>
        <w:pStyle w:val="FootnoteText"/>
      </w:pPr>
      <w:r>
        <w:rPr>
          <w:rStyle w:val="FootnoteReference"/>
        </w:rPr>
        <w:footnoteRef/>
      </w:r>
      <w:r>
        <w:t xml:space="preserve"> </w:t>
      </w:r>
      <w:r w:rsidRPr="00D764A7">
        <w:rPr>
          <w:i/>
        </w:rPr>
        <w:t>See id.</w:t>
      </w:r>
    </w:p>
  </w:footnote>
  <w:footnote w:id="158">
    <w:p w:rsidR="00FE4F2B" w:rsidRPr="00D764A7" w:rsidP="00D6515C" w14:paraId="5AA16E7F" w14:textId="1137851B">
      <w:pPr>
        <w:pStyle w:val="FootnoteText"/>
        <w:widowControl w:val="0"/>
      </w:pPr>
      <w:r w:rsidRPr="00D764A7">
        <w:rPr>
          <w:rStyle w:val="FootnoteReference"/>
        </w:rPr>
        <w:footnoteRef/>
      </w:r>
      <w:r w:rsidRPr="00D764A7">
        <w:t xml:space="preserve"> </w:t>
      </w:r>
      <w:r w:rsidRPr="001D5AFD">
        <w:rPr>
          <w:i/>
          <w:iCs/>
        </w:rPr>
        <w:t>See</w:t>
      </w:r>
      <w:r>
        <w:t xml:space="preserve"> </w:t>
      </w:r>
      <w:r>
        <w:rPr>
          <w:i/>
        </w:rPr>
        <w:t>i</w:t>
      </w:r>
      <w:r w:rsidRPr="007C010B">
        <w:rPr>
          <w:i/>
        </w:rPr>
        <w:t>d.</w:t>
      </w:r>
      <w:r w:rsidRPr="00D764A7">
        <w:t xml:space="preserve"> §§ 1.2110(b)(4)(i), 1.2110(c)(6), 1.2110(k), 1.2112(b)(1)(vi).</w:t>
      </w:r>
    </w:p>
  </w:footnote>
  <w:footnote w:id="159">
    <w:p w:rsidR="00FE4F2B" w:rsidRPr="00D764A7" w:rsidP="00D6515C" w14:paraId="7E18E66F" w14:textId="040D15EE">
      <w:pPr>
        <w:pStyle w:val="FootnoteText"/>
        <w:widowControl w:val="0"/>
      </w:pPr>
      <w:r w:rsidRPr="00D764A7">
        <w:rPr>
          <w:rStyle w:val="FootnoteReference"/>
        </w:rPr>
        <w:footnoteRef/>
      </w:r>
      <w:r w:rsidRPr="00D764A7">
        <w:t xml:space="preserve"> </w:t>
      </w:r>
      <w:r w:rsidRPr="001835D9">
        <w:rPr>
          <w:i/>
          <w:iCs/>
        </w:rPr>
        <w:t>See</w:t>
      </w:r>
      <w:r>
        <w:t xml:space="preserve"> </w:t>
      </w:r>
      <w:r>
        <w:rPr>
          <w:i/>
        </w:rPr>
        <w:t>3.7 GHz Report and Order</w:t>
      </w:r>
      <w:r>
        <w:t>, 35 FCC Rcd at 2376, paras. 69-70</w:t>
      </w:r>
      <w:r w:rsidRPr="00D764A7">
        <w:t xml:space="preserve">; </w:t>
      </w:r>
      <w:r w:rsidRPr="00D764A7">
        <w:rPr>
          <w:i/>
        </w:rPr>
        <w:t>see also</w:t>
      </w:r>
      <w:r w:rsidRPr="00D764A7">
        <w:t xml:space="preserve"> 47 CFR § </w:t>
      </w:r>
      <w:r>
        <w:t>27.1402(b)</w:t>
      </w:r>
      <w:r w:rsidRPr="00D764A7">
        <w:t>.  The Commission determines eligibility for bidding credits, including the rural service provider</w:t>
      </w:r>
      <w:r w:rsidRPr="00D764A7">
        <w:t xml:space="preserve"> bidding credit, on a service-by-service basis.  </w:t>
      </w:r>
      <w:r w:rsidRPr="00D764A7">
        <w:rPr>
          <w:i/>
        </w:rPr>
        <w:t>See</w:t>
      </w:r>
      <w:r w:rsidRPr="00D764A7">
        <w:t xml:space="preserve"> 47 CFR § 1.2110(f)(1); </w:t>
      </w:r>
      <w:r w:rsidRPr="00D764A7">
        <w:rPr>
          <w:i/>
        </w:rPr>
        <w:t>see also</w:t>
      </w:r>
      <w:r w:rsidRPr="00D764A7">
        <w:t xml:space="preserve"> </w:t>
      </w:r>
      <w:r>
        <w:rPr>
          <w:i/>
        </w:rPr>
        <w:t>Updating Part 1 Report</w:t>
      </w:r>
      <w:r w:rsidRPr="00D764A7">
        <w:rPr>
          <w:i/>
        </w:rPr>
        <w:t xml:space="preserve"> and Order</w:t>
      </w:r>
      <w:r w:rsidRPr="00D764A7">
        <w:t xml:space="preserve">, 30 FCC Rcd at 7529, para. 85.    </w:t>
      </w:r>
    </w:p>
  </w:footnote>
  <w:footnote w:id="160">
    <w:p w:rsidR="00FE4F2B" w:rsidRPr="00D764A7" w:rsidP="00531CB5" w14:paraId="2526DE4C" w14:textId="124BC59E">
      <w:pPr>
        <w:pStyle w:val="FootnoteText"/>
        <w:widowControl w:val="0"/>
      </w:pPr>
      <w:r w:rsidRPr="00D764A7">
        <w:rPr>
          <w:rStyle w:val="FootnoteReference"/>
        </w:rPr>
        <w:footnoteRef/>
      </w:r>
      <w:r w:rsidRPr="00D764A7">
        <w:t xml:space="preserve"> 47 CFR § 1.2110(f)(4)(i)</w:t>
      </w:r>
      <w:r>
        <w:t>(A)-(B)</w:t>
      </w:r>
      <w:r>
        <w:rPr>
          <w:color w:val="000000"/>
        </w:rPr>
        <w:t xml:space="preserve">.  </w:t>
      </w:r>
    </w:p>
  </w:footnote>
  <w:footnote w:id="161">
    <w:p w:rsidR="00FE4F2B" w:rsidRPr="00D764A7" w:rsidP="00D6515C" w14:paraId="71ACE400" w14:textId="2EFCC01F">
      <w:pPr>
        <w:pStyle w:val="FootnoteText"/>
        <w:widowControl w:val="0"/>
      </w:pPr>
      <w:r w:rsidRPr="00D764A7">
        <w:rPr>
          <w:rStyle w:val="FootnoteReference"/>
        </w:rPr>
        <w:footnoteRef/>
      </w:r>
      <w:r w:rsidRPr="00D764A7">
        <w:t xml:space="preserve"> </w:t>
      </w:r>
      <w:r w:rsidRPr="00402733">
        <w:rPr>
          <w:i/>
          <w:iCs/>
        </w:rPr>
        <w:t xml:space="preserve">Id. </w:t>
      </w:r>
      <w:r w:rsidRPr="00D764A7">
        <w:t>§ 1.2110(f)(4)(i)</w:t>
      </w:r>
      <w:r>
        <w:t>(B)</w:t>
      </w:r>
      <w:r w:rsidRPr="00D764A7">
        <w:t xml:space="preserve">; </w:t>
      </w:r>
      <w:r w:rsidRPr="00197330">
        <w:rPr>
          <w:i/>
          <w:iCs/>
        </w:rPr>
        <w:t>see also</w:t>
      </w:r>
      <w:r>
        <w:t xml:space="preserve"> </w:t>
      </w:r>
      <w:r>
        <w:rPr>
          <w:i/>
        </w:rPr>
        <w:t>Updating Part 1 Report</w:t>
      </w:r>
      <w:r w:rsidRPr="00D764A7">
        <w:rPr>
          <w:i/>
        </w:rPr>
        <w:t xml:space="preserve"> and Or</w:t>
      </w:r>
      <w:r w:rsidRPr="00D764A7">
        <w:rPr>
          <w:i/>
        </w:rPr>
        <w:t>der</w:t>
      </w:r>
      <w:r w:rsidRPr="00D764A7">
        <w:t>, 30 FCC Rcd at 7536-37, para. 104.</w:t>
      </w:r>
    </w:p>
  </w:footnote>
  <w:footnote w:id="162">
    <w:p w:rsidR="00FE4F2B" w:rsidRPr="00D764A7" w:rsidP="00B23FF6" w14:paraId="7CD4A79D" w14:textId="4E3D7DDE">
      <w:pPr>
        <w:pStyle w:val="FootnoteText"/>
        <w:widowControl w:val="0"/>
      </w:pPr>
      <w:r w:rsidRPr="00D764A7">
        <w:rPr>
          <w:rStyle w:val="FootnoteReference"/>
        </w:rPr>
        <w:footnoteRef/>
      </w:r>
      <w:r w:rsidRPr="00D764A7">
        <w:t xml:space="preserve"> 47 CFR § 1.2110(f)(4)(i)</w:t>
      </w:r>
      <w:r>
        <w:t>(A)</w:t>
      </w:r>
      <w:r>
        <w:rPr>
          <w:color w:val="000000"/>
        </w:rPr>
        <w:t xml:space="preserve">.  </w:t>
      </w:r>
    </w:p>
  </w:footnote>
  <w:footnote w:id="163">
    <w:p w:rsidR="00FE4F2B" w:rsidRPr="00D764A7" w:rsidP="00D6515C" w14:paraId="6CFE1A7C" w14:textId="01C47CD0">
      <w:pPr>
        <w:pStyle w:val="FootnoteText"/>
        <w:widowControl w:val="0"/>
      </w:pPr>
      <w:r w:rsidRPr="00D764A7">
        <w:rPr>
          <w:rStyle w:val="FootnoteReference"/>
        </w:rPr>
        <w:footnoteRef/>
      </w:r>
      <w:r w:rsidRPr="00D764A7">
        <w:t xml:space="preserve"> For instance, a subscriber receiving both wireline and telephone service and broadband would be counted as a single subscriber.  </w:t>
      </w:r>
      <w:r>
        <w:rPr>
          <w:i/>
        </w:rPr>
        <w:t>Updating Part 1 Report and Order</w:t>
      </w:r>
      <w:r w:rsidRPr="00D764A7">
        <w:t xml:space="preserve">, 30 FCC Rcd at </w:t>
      </w:r>
      <w:r w:rsidRPr="00D764A7">
        <w:t>7534, para. 98</w:t>
      </w:r>
      <w:r>
        <w:t xml:space="preserve"> &amp;</w:t>
      </w:r>
      <w:r w:rsidRPr="00D764A7">
        <w:t xml:space="preserve"> n.326.</w:t>
      </w:r>
    </w:p>
  </w:footnote>
  <w:footnote w:id="164">
    <w:p w:rsidR="00FE4F2B" w:rsidRPr="00D764A7" w:rsidP="00D6515C" w14:paraId="6B4AFFE7" w14:textId="441A40EA">
      <w:pPr>
        <w:pStyle w:val="FootnoteText"/>
        <w:widowControl w:val="0"/>
      </w:pPr>
      <w:r w:rsidRPr="00D764A7">
        <w:rPr>
          <w:rStyle w:val="FootnoteReference"/>
        </w:rPr>
        <w:footnoteRef/>
      </w:r>
      <w:r w:rsidRPr="00D764A7">
        <w:rPr>
          <w:i/>
        </w:rPr>
        <w:t xml:space="preserve"> </w:t>
      </w:r>
      <w:r w:rsidRPr="00D764A7">
        <w:t xml:space="preserve">47 CFR § 1.2112(b)(1)(v); </w:t>
      </w:r>
      <w:r w:rsidRPr="00D764A7">
        <w:rPr>
          <w:i/>
        </w:rPr>
        <w:t>see also</w:t>
      </w:r>
      <w:r w:rsidRPr="00D764A7">
        <w:t xml:space="preserve"> </w:t>
      </w:r>
      <w:r w:rsidRPr="007803A9">
        <w:rPr>
          <w:i/>
        </w:rPr>
        <w:t>id.</w:t>
      </w:r>
      <w:r w:rsidRPr="00925FC2">
        <w:rPr>
          <w:i/>
        </w:rPr>
        <w:t xml:space="preserve"> </w:t>
      </w:r>
      <w:r w:rsidRPr="00D764A7">
        <w:t>§ 1.2110(f)(4)(i)(C).</w:t>
      </w:r>
    </w:p>
  </w:footnote>
  <w:footnote w:id="165">
    <w:p w:rsidR="00FE4F2B" w:rsidRPr="00D764A7" w:rsidP="00D6515C" w14:paraId="374840AC" w14:textId="77777777">
      <w:pPr>
        <w:pStyle w:val="FootnoteText"/>
        <w:widowControl w:val="0"/>
      </w:pPr>
      <w:r w:rsidRPr="00D764A7">
        <w:rPr>
          <w:rStyle w:val="FootnoteReference"/>
        </w:rPr>
        <w:footnoteRef/>
      </w:r>
      <w:r w:rsidRPr="00D764A7">
        <w:t xml:space="preserve"> </w:t>
      </w:r>
      <w:r w:rsidRPr="00D764A7">
        <w:rPr>
          <w:i/>
        </w:rPr>
        <w:t xml:space="preserve">See </w:t>
      </w:r>
      <w:r>
        <w:rPr>
          <w:i/>
        </w:rPr>
        <w:t>i</w:t>
      </w:r>
      <w:r w:rsidRPr="007C010B">
        <w:rPr>
          <w:i/>
        </w:rPr>
        <w:t xml:space="preserve">d. </w:t>
      </w:r>
      <w:r w:rsidRPr="00D764A7">
        <w:t xml:space="preserve">§ 1.2112(b)(1)(iii).  </w:t>
      </w:r>
    </w:p>
  </w:footnote>
  <w:footnote w:id="166">
    <w:p w:rsidR="00FE4F2B" w:rsidRPr="00D764A7" w:rsidP="00D6515C" w14:paraId="69E5D4C8" w14:textId="77777777">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B821FB">
        <w:rPr>
          <w:i/>
        </w:rPr>
        <w:t>i</w:t>
      </w:r>
      <w:r w:rsidRPr="007C010B">
        <w:rPr>
          <w:i/>
        </w:rPr>
        <w:t xml:space="preserve">d. </w:t>
      </w:r>
      <w:r w:rsidRPr="00D764A7">
        <w:t xml:space="preserve">§ 1.2110(c)(2)(ii)(J).  </w:t>
      </w:r>
    </w:p>
  </w:footnote>
  <w:footnote w:id="167">
    <w:p w:rsidR="00FE4F2B" w:rsidRPr="00D764A7" w:rsidP="00D6515C" w14:paraId="3120F5BE" w14:textId="3E393317">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i</w:t>
      </w:r>
      <w:r w:rsidRPr="007C010B">
        <w:rPr>
          <w:i/>
        </w:rPr>
        <w:t xml:space="preserve">d. </w:t>
      </w:r>
      <w:r w:rsidRPr="00D764A7">
        <w:t>§ 1.2110(b)(4)(i), (c)(6).</w:t>
      </w:r>
    </w:p>
  </w:footnote>
  <w:footnote w:id="168">
    <w:p w:rsidR="00FE4F2B" w:rsidRPr="00D764A7" w:rsidP="00D6515C" w14:paraId="588041E1" w14:textId="77777777">
      <w:pPr>
        <w:pStyle w:val="FootnoteText"/>
        <w:widowControl w:val="0"/>
      </w:pPr>
      <w:r w:rsidRPr="00D764A7">
        <w:rPr>
          <w:rStyle w:val="FootnoteReference"/>
        </w:rPr>
        <w:footnoteRef/>
      </w:r>
      <w:r w:rsidRPr="00D764A7">
        <w:t xml:space="preserve"> </w:t>
      </w:r>
      <w:r w:rsidRPr="007C010B">
        <w:rPr>
          <w:i/>
        </w:rPr>
        <w:t xml:space="preserve">Id. </w:t>
      </w:r>
      <w:r w:rsidRPr="00D764A7">
        <w:t>§ 1.2112(b)(1)(vi).</w:t>
      </w:r>
    </w:p>
  </w:footnote>
  <w:footnote w:id="169">
    <w:p w:rsidR="00FE4F2B" w:rsidRPr="00D764A7" w:rsidP="00D6515C" w14:paraId="4B6C35FF" w14:textId="3369CA47">
      <w:pPr>
        <w:pStyle w:val="FootnoteText"/>
      </w:pPr>
      <w:r w:rsidRPr="00D764A7">
        <w:rPr>
          <w:rStyle w:val="FootnoteReference"/>
        </w:rPr>
        <w:footnoteRef/>
      </w:r>
      <w:r w:rsidRPr="00D764A7">
        <w:t xml:space="preserve"> </w:t>
      </w:r>
      <w:r w:rsidRPr="00D764A7">
        <w:rPr>
          <w:i/>
        </w:rPr>
        <w:t>See</w:t>
      </w:r>
      <w:r w:rsidRPr="00D764A7">
        <w:t xml:space="preserve"> </w:t>
      </w:r>
      <w:r>
        <w:rPr>
          <w:i/>
        </w:rPr>
        <w:t>Updating Part 1 Report</w:t>
      </w:r>
      <w:r w:rsidRPr="00D764A7">
        <w:rPr>
          <w:i/>
        </w:rPr>
        <w:t xml:space="preserve"> and Order</w:t>
      </w:r>
      <w:r w:rsidRPr="00D764A7">
        <w:t xml:space="preserve">, 30 FCC Rcd at 7541, para. 114; </w:t>
      </w:r>
      <w:r w:rsidRPr="00D764A7">
        <w:rPr>
          <w:i/>
        </w:rPr>
        <w:t>see also</w:t>
      </w:r>
      <w:r w:rsidRPr="00D764A7">
        <w:t xml:space="preserve"> 47 CFR § 1.2110(f)(2)(ii), (4)(ii).</w:t>
      </w:r>
    </w:p>
  </w:footnote>
  <w:footnote w:id="170">
    <w:p w:rsidR="00FE4F2B" w:rsidP="00D6515C" w14:paraId="35CF5641" w14:textId="29289D8A">
      <w:pPr>
        <w:pStyle w:val="FootnoteText"/>
      </w:pPr>
      <w:r>
        <w:rPr>
          <w:rStyle w:val="FootnoteReference"/>
        </w:rPr>
        <w:footnoteRef/>
      </w:r>
      <w:r>
        <w:t xml:space="preserve"> </w:t>
      </w:r>
      <w:r w:rsidRPr="00D764A7">
        <w:rPr>
          <w:i/>
        </w:rPr>
        <w:t xml:space="preserve">See Auction </w:t>
      </w:r>
      <w:r>
        <w:rPr>
          <w:i/>
        </w:rPr>
        <w:t>107</w:t>
      </w:r>
      <w:r w:rsidRPr="00D764A7">
        <w:rPr>
          <w:i/>
        </w:rPr>
        <w:t xml:space="preserve"> Comment Public Notice</w:t>
      </w:r>
      <w:r>
        <w:t>, 35 FCC Rcd at 2606, paras. 13-14.</w:t>
      </w:r>
    </w:p>
  </w:footnote>
  <w:footnote w:id="171">
    <w:p w:rsidR="00FE4F2B" w:rsidRPr="00740F17" w14:paraId="317EAC08" w14:textId="10A6F4C8">
      <w:pPr>
        <w:pStyle w:val="FootnoteText"/>
      </w:pPr>
      <w:r>
        <w:rPr>
          <w:rStyle w:val="FootnoteReference"/>
        </w:rPr>
        <w:footnoteRef/>
      </w:r>
      <w:r>
        <w:t xml:space="preserve"> Bidding credit discounts of 15% are available to entities whose average gross revenues for </w:t>
      </w:r>
      <w:r>
        <w:t xml:space="preserve">the preceding five years does not exceed $55 million, and discounts of 25% are available to entities whose average gross revenues for the preceding five years does not exceed $20 million.  </w:t>
      </w:r>
      <w:r>
        <w:rPr>
          <w:i/>
        </w:rPr>
        <w:t>See 3.7 GHz Report and Order</w:t>
      </w:r>
      <w:r>
        <w:t>, 35 FCC Rcd at 2374-76, paras. 67-68.</w:t>
      </w:r>
      <w:r>
        <w:rPr>
          <w:i/>
        </w:rPr>
        <w:t xml:space="preserve"> </w:t>
      </w:r>
    </w:p>
  </w:footnote>
  <w:footnote w:id="172">
    <w:p w:rsidR="00FE4F2B" w:rsidP="00D6515C" w14:paraId="6E2CC890" w14:textId="0B4E0044">
      <w:pPr>
        <w:pStyle w:val="FootnoteText"/>
      </w:pPr>
      <w:r>
        <w:rPr>
          <w:rStyle w:val="FootnoteReference"/>
        </w:rPr>
        <w:footnoteRef/>
      </w:r>
      <w:r>
        <w:t xml:space="preserve"> </w:t>
      </w:r>
      <w:r w:rsidRPr="00D764A7">
        <w:rPr>
          <w:i/>
        </w:rPr>
        <w:t xml:space="preserve">Auction </w:t>
      </w:r>
      <w:r>
        <w:rPr>
          <w:i/>
        </w:rPr>
        <w:t>107</w:t>
      </w:r>
      <w:r w:rsidRPr="00D764A7">
        <w:rPr>
          <w:i/>
        </w:rPr>
        <w:t xml:space="preserve"> Comment Public Notice</w:t>
      </w:r>
      <w:r>
        <w:rPr>
          <w:iCs/>
        </w:rPr>
        <w:t xml:space="preserve">, 35 FCC Rcd at 2606, </w:t>
      </w:r>
      <w:r>
        <w:t xml:space="preserve">para. 14.  </w:t>
      </w:r>
      <w:r w:rsidRPr="007D4438">
        <w:t>If an applicant seeking a small business bidding credit does not claim the full $10 million in bidding credits in those smaller markets, then it may apply the remaining balance to its win</w:t>
      </w:r>
      <w:r w:rsidRPr="007D4438">
        <w:t>ning bids on licenses in larger markets, up to the aggregate $25 million cap.</w:t>
      </w:r>
      <w:r>
        <w:t xml:space="preserve"> </w:t>
      </w:r>
    </w:p>
  </w:footnote>
  <w:footnote w:id="173">
    <w:p w:rsidR="00FE4F2B" w:rsidP="00ED2A98" w14:paraId="7E7DAE5A" w14:textId="4FA3FFDC">
      <w:pPr>
        <w:pStyle w:val="FootnoteText"/>
      </w:pPr>
      <w:r>
        <w:rPr>
          <w:rStyle w:val="FootnoteReference"/>
        </w:rPr>
        <w:footnoteRef/>
      </w:r>
      <w:r>
        <w:t xml:space="preserve"> Moise Comments at 5. </w:t>
      </w:r>
    </w:p>
  </w:footnote>
  <w:footnote w:id="174">
    <w:p w:rsidR="00FE4F2B" w14:paraId="16211B90" w14:textId="4959D560">
      <w:pPr>
        <w:pStyle w:val="FootnoteText"/>
      </w:pPr>
      <w:r>
        <w:rPr>
          <w:rStyle w:val="FootnoteReference"/>
        </w:rPr>
        <w:footnoteRef/>
      </w:r>
      <w:r>
        <w:t xml:space="preserve"> </w:t>
      </w:r>
      <w:r w:rsidRPr="002C0A53">
        <w:rPr>
          <w:i/>
          <w:iCs/>
        </w:rPr>
        <w:t>See Updating Part 1 Report and Order</w:t>
      </w:r>
      <w:r>
        <w:t>, 30 FCC Rcd at 7539, para. 109 (emphasis added).</w:t>
      </w:r>
    </w:p>
  </w:footnote>
  <w:footnote w:id="175">
    <w:p w:rsidR="00FE4F2B" w14:paraId="5678C7BA" w14:textId="7A389D0C">
      <w:pPr>
        <w:pStyle w:val="FootnoteText"/>
      </w:pPr>
      <w:r>
        <w:rPr>
          <w:rStyle w:val="FootnoteReference"/>
        </w:rPr>
        <w:footnoteRef/>
      </w:r>
      <w:r>
        <w:t xml:space="preserve"> </w:t>
      </w:r>
      <w:r w:rsidRPr="002C0A53">
        <w:rPr>
          <w:i/>
          <w:iCs/>
        </w:rPr>
        <w:t>See</w:t>
      </w:r>
      <w:r>
        <w:t xml:space="preserve"> Moise Comments at 5.</w:t>
      </w:r>
    </w:p>
  </w:footnote>
  <w:footnote w:id="176">
    <w:p w:rsidR="00FE4F2B" w:rsidP="00995A09" w14:paraId="161C096F" w14:textId="6472833E">
      <w:pPr>
        <w:pStyle w:val="FootnoteText"/>
      </w:pPr>
      <w:r>
        <w:rPr>
          <w:rStyle w:val="FootnoteReference"/>
        </w:rPr>
        <w:footnoteRef/>
      </w:r>
      <w:r>
        <w:t xml:space="preserve"> </w:t>
      </w:r>
      <w:r w:rsidRPr="00D764A7">
        <w:rPr>
          <w:i/>
        </w:rPr>
        <w:t>See</w:t>
      </w:r>
      <w:r w:rsidRPr="00D764A7">
        <w:t xml:space="preserve"> </w:t>
      </w:r>
      <w:r>
        <w:rPr>
          <w:i/>
        </w:rPr>
        <w:t>Updating</w:t>
      </w:r>
      <w:r w:rsidRPr="00D764A7">
        <w:rPr>
          <w:i/>
        </w:rPr>
        <w:t xml:space="preserve"> Part 1 Report and Order</w:t>
      </w:r>
      <w:r w:rsidRPr="00D764A7">
        <w:t>, 30 FCC Rcd at 75</w:t>
      </w:r>
      <w:r>
        <w:t>39-44</w:t>
      </w:r>
      <w:r w:rsidRPr="00D764A7">
        <w:t>, para</w:t>
      </w:r>
      <w:r>
        <w:t>s</w:t>
      </w:r>
      <w:r w:rsidRPr="00D764A7">
        <w:t>. 11</w:t>
      </w:r>
      <w:r>
        <w:t xml:space="preserve">0-21.  </w:t>
      </w:r>
    </w:p>
  </w:footnote>
  <w:footnote w:id="177">
    <w:p w:rsidR="00FE4F2B" w14:paraId="0587FB32" w14:textId="02264823">
      <w:pPr>
        <w:pStyle w:val="FootnoteText"/>
      </w:pPr>
      <w:r>
        <w:rPr>
          <w:rStyle w:val="FootnoteReference"/>
        </w:rPr>
        <w:footnoteRef/>
      </w:r>
      <w:r>
        <w:t xml:space="preserve"> </w:t>
      </w:r>
      <w:r w:rsidRPr="001B636E">
        <w:rPr>
          <w:i/>
          <w:iCs/>
        </w:rPr>
        <w:t>Id.</w:t>
      </w:r>
      <w:r>
        <w:t xml:space="preserve"> at 7540, para. 111.</w:t>
      </w:r>
    </w:p>
  </w:footnote>
  <w:footnote w:id="178">
    <w:p w:rsidR="00FE4F2B" w:rsidRPr="00E046AE" w:rsidP="00995A09" w14:paraId="3B2E85CC" w14:textId="302C3670">
      <w:pPr>
        <w:pStyle w:val="FootnoteText"/>
        <w:rPr>
          <w:i/>
        </w:rPr>
      </w:pPr>
      <w:r w:rsidRPr="001755FB">
        <w:rPr>
          <w:rStyle w:val="FootnoteReference"/>
        </w:rPr>
        <w:footnoteRef/>
      </w:r>
      <w:r w:rsidRPr="001755FB">
        <w:t xml:space="preserve"> </w:t>
      </w:r>
      <w:r>
        <w:rPr>
          <w:i/>
        </w:rPr>
        <w:t>See, e.g.,</w:t>
      </w:r>
      <w:r w:rsidRPr="001755FB">
        <w:rPr>
          <w:i/>
        </w:rPr>
        <w:t xml:space="preserve"> </w:t>
      </w:r>
      <w:r>
        <w:rPr>
          <w:i/>
        </w:rPr>
        <w:t>Auction of Priority Access Licenses for the 3550–3650 MHz Band; Notice and Filing Requirements, Minimum Opening Bids, Upfront Payments, and Other Proce</w:t>
      </w:r>
      <w:r>
        <w:rPr>
          <w:i/>
        </w:rPr>
        <w:t>dures for Auction 105; Bidding in Auction 105 Scheduled to Begin June 25, 2020</w:t>
      </w:r>
      <w:r w:rsidRPr="00AB7BFB">
        <w:rPr>
          <w:iCs/>
        </w:rPr>
        <w:t>,</w:t>
      </w:r>
      <w:r>
        <w:rPr>
          <w:i/>
        </w:rPr>
        <w:t xml:space="preserve"> </w:t>
      </w:r>
      <w:r>
        <w:rPr>
          <w:iCs/>
        </w:rPr>
        <w:t xml:space="preserve">AU Docket 19-244, Public Notice, 35 FCC Rcd 2140, 2166, para. 78 (2020) (citing </w:t>
      </w:r>
      <w:r w:rsidRPr="001755FB">
        <w:rPr>
          <w:i/>
        </w:rPr>
        <w:t>Auction</w:t>
      </w:r>
      <w:r>
        <w:rPr>
          <w:i/>
        </w:rPr>
        <w:t>s 101 and 102 Procedures Public Notice</w:t>
      </w:r>
      <w:r>
        <w:rPr>
          <w:iCs/>
        </w:rPr>
        <w:t xml:space="preserve">, 33 FCC Rcd at </w:t>
      </w:r>
      <w:r>
        <w:t>4114-15, para. 32 &amp; n.61 (“We obser</w:t>
      </w:r>
      <w:r>
        <w:t>ve, for example, that a $25 million cap would have allowed 95 percent of small businesses in Auction 66, 98 percent of business in Auction 73, 73 percent of small businesses in Auction 97, and 75 percent of small businesses in the Broadcast Incentive Aucti</w:t>
      </w:r>
      <w:r>
        <w:t xml:space="preserve">on to realize the full value of their bidding credits based on gross winning bid amounts.”)).  Moreover, no bidder in Auction 103 will receive a bidding credit discount greater than approximately $9,820,572.  </w:t>
      </w:r>
      <w:r w:rsidRPr="00A9012F">
        <w:rPr>
          <w:i/>
          <w:iCs/>
        </w:rPr>
        <w:t>See</w:t>
      </w:r>
      <w:r>
        <w:t xml:space="preserve"> </w:t>
      </w:r>
      <w:r w:rsidRPr="005B0997">
        <w:rPr>
          <w:i/>
          <w:iCs/>
        </w:rPr>
        <w:t>Incentive Auction of Upper Microwave Flexib</w:t>
      </w:r>
      <w:r w:rsidRPr="005B0997">
        <w:rPr>
          <w:i/>
          <w:iCs/>
        </w:rPr>
        <w:t>le Use Service Licenses in the Upper 37 GHz, 39 GHz, and 47 GHz Bands for Next-Generation Wireless Services Closes; Winning Bidders Announced for Auction 103</w:t>
      </w:r>
      <w:r>
        <w:t xml:space="preserve">, AU Docket 19-59, Public Notice, Attach. B, 35 FCC Rcd 2015, 2032-34 (OEA/WTB 2020).  </w:t>
      </w:r>
    </w:p>
  </w:footnote>
  <w:footnote w:id="179">
    <w:p w:rsidR="00FE4F2B" w:rsidRPr="00D764A7" w:rsidP="00D94E9D" w14:paraId="54D380EE" w14:textId="206CEC36">
      <w:pPr>
        <w:pStyle w:val="FootnoteText"/>
        <w:widowControl w:val="0"/>
      </w:pPr>
      <w:r w:rsidRPr="00D764A7">
        <w:rPr>
          <w:rStyle w:val="FootnoteReference"/>
        </w:rPr>
        <w:footnoteRef/>
      </w:r>
      <w:r>
        <w:t xml:space="preserve"> 47 C</w:t>
      </w:r>
      <w:r w:rsidRPr="00D764A7">
        <w:t xml:space="preserve">FR § </w:t>
      </w:r>
      <w:r w:rsidRPr="00D764A7">
        <w:t>1.2110(</w:t>
      </w:r>
      <w:r>
        <w:t>b</w:t>
      </w:r>
      <w:r w:rsidRPr="00D764A7">
        <w:t>)(</w:t>
      </w:r>
      <w:r>
        <w:t>1), (f)(4)(i)(C)(1</w:t>
      </w:r>
      <w:r w:rsidRPr="00D764A7">
        <w:t>).</w:t>
      </w:r>
    </w:p>
  </w:footnote>
  <w:footnote w:id="180">
    <w:p w:rsidR="00FE4F2B" w:rsidRPr="00D764A7" w:rsidP="00220B8F" w14:paraId="2D23E9F8" w14:textId="7DC33B65">
      <w:pPr>
        <w:pStyle w:val="FootnoteText"/>
        <w:widowControl w:val="0"/>
      </w:pPr>
      <w:r w:rsidRPr="00D764A7">
        <w:rPr>
          <w:rStyle w:val="FootnoteReference"/>
        </w:rPr>
        <w:footnoteRef/>
      </w:r>
      <w:r>
        <w:t xml:space="preserve"> </w:t>
      </w:r>
      <w:r w:rsidRPr="00002F33">
        <w:rPr>
          <w:i/>
          <w:iCs/>
        </w:rPr>
        <w:t xml:space="preserve">Id. </w:t>
      </w:r>
      <w:r w:rsidRPr="00D764A7">
        <w:t>§ 1.2110(c)(2)</w:t>
      </w:r>
      <w:r>
        <w:t>(i</w:t>
      </w:r>
      <w:r w:rsidRPr="00D764A7">
        <w:t>).</w:t>
      </w:r>
    </w:p>
  </w:footnote>
  <w:footnote w:id="181">
    <w:p w:rsidR="00FE4F2B" w:rsidRPr="00D764A7" w:rsidP="00D6515C" w14:paraId="29C0D2F6" w14:textId="6B348BFA">
      <w:pPr>
        <w:pStyle w:val="FootnoteText"/>
        <w:widowControl w:val="0"/>
      </w:pPr>
      <w:r w:rsidRPr="00D764A7">
        <w:rPr>
          <w:rStyle w:val="FootnoteReference"/>
        </w:rPr>
        <w:footnoteRef/>
      </w:r>
      <w:r>
        <w:t xml:space="preserve"> </w:t>
      </w:r>
      <w:r>
        <w:rPr>
          <w:i/>
          <w:iCs/>
        </w:rPr>
        <w:t>Id.</w:t>
      </w:r>
    </w:p>
  </w:footnote>
  <w:footnote w:id="182">
    <w:p w:rsidR="00FE4F2B" w:rsidRPr="00D764A7" w:rsidP="00D6515C" w14:paraId="6569FD75" w14:textId="03D397FB">
      <w:pPr>
        <w:pStyle w:val="FootnoteText"/>
        <w:widowControl w:val="0"/>
      </w:pPr>
      <w:r w:rsidRPr="00D764A7">
        <w:rPr>
          <w:rStyle w:val="FootnoteReference"/>
        </w:rPr>
        <w:footnoteRef/>
      </w:r>
      <w:r w:rsidRPr="00D764A7">
        <w:rPr>
          <w:rStyle w:val="FootnoteTextChar"/>
        </w:rPr>
        <w:t xml:space="preserve"> </w:t>
      </w:r>
      <w:r w:rsidRPr="00D764A7">
        <w:rPr>
          <w:rStyle w:val="FootnoteTextChar"/>
          <w:i/>
        </w:rPr>
        <w:t>See id</w:t>
      </w:r>
      <w:r w:rsidRPr="00D764A7">
        <w:rPr>
          <w:rStyle w:val="FootnoteTextChar"/>
        </w:rPr>
        <w:t>.;</w:t>
      </w:r>
      <w:r w:rsidRPr="00D764A7">
        <w:rPr>
          <w:rStyle w:val="FootnoteTextChar"/>
          <w:i/>
          <w:color w:val="000000"/>
        </w:rPr>
        <w:t xml:space="preserve"> see also, e.</w:t>
      </w:r>
      <w:r w:rsidRPr="00374A32">
        <w:rPr>
          <w:rStyle w:val="FootnoteTextChar"/>
          <w:i/>
          <w:color w:val="000000"/>
        </w:rPr>
        <w:t>g.</w:t>
      </w:r>
      <w:r w:rsidRPr="0066488F">
        <w:rPr>
          <w:rStyle w:val="FootnoteTextChar"/>
          <w:i/>
          <w:iCs/>
          <w:color w:val="000000"/>
        </w:rPr>
        <w:t>,</w:t>
      </w:r>
      <w:r w:rsidRPr="00D764A7">
        <w:rPr>
          <w:rStyle w:val="FootnoteTextChar"/>
          <w:i/>
          <w:color w:val="000000"/>
        </w:rPr>
        <w:t xml:space="preserve"> </w:t>
      </w:r>
      <w:r w:rsidRPr="00D764A7">
        <w:rPr>
          <w:i/>
          <w:color w:val="000000"/>
        </w:rPr>
        <w:t>Implementation of Section 309(j) of the Communications Act–Competitive Bidding</w:t>
      </w:r>
      <w:r w:rsidRPr="00D764A7">
        <w:rPr>
          <w:color w:val="000000"/>
        </w:rPr>
        <w:t xml:space="preserve">, </w:t>
      </w:r>
      <w:r>
        <w:rPr>
          <w:color w:val="000000"/>
        </w:rPr>
        <w:t xml:space="preserve">PP Docket No. 93-253, </w:t>
      </w:r>
      <w:r w:rsidRPr="00D764A7">
        <w:rPr>
          <w:color w:val="000000"/>
        </w:rPr>
        <w:t xml:space="preserve">Fifth Memorandum Opinion </w:t>
      </w:r>
      <w:r>
        <w:rPr>
          <w:color w:val="000000"/>
        </w:rPr>
        <w:t>and</w:t>
      </w:r>
      <w:r w:rsidRPr="00D764A7">
        <w:rPr>
          <w:color w:val="000000"/>
        </w:rPr>
        <w:t xml:space="preserve"> Order, 10 FCC Rcd </w:t>
      </w:r>
      <w:r w:rsidRPr="00D764A7">
        <w:t xml:space="preserve">403, 447-49, </w:t>
      </w:r>
      <w:r>
        <w:t xml:space="preserve">451, 455-56, </w:t>
      </w:r>
      <w:r w:rsidRPr="00D764A7">
        <w:t xml:space="preserve">paras. 80-82, 85-86, 95-96 </w:t>
      </w:r>
      <w:r w:rsidRPr="00D764A7">
        <w:rPr>
          <w:color w:val="000000"/>
        </w:rPr>
        <w:t>(1994);</w:t>
      </w:r>
      <w:r w:rsidRPr="00D764A7">
        <w:rPr>
          <w:rStyle w:val="FootnoteTextChar"/>
          <w:i/>
          <w:color w:val="000000"/>
        </w:rPr>
        <w:t xml:space="preserve"> Intermountain Microwave</w:t>
      </w:r>
      <w:r w:rsidRPr="00D764A7">
        <w:rPr>
          <w:rStyle w:val="FootnoteTextChar"/>
          <w:color w:val="000000"/>
        </w:rPr>
        <w:t>, Public Notice, 12 FCC 2d 559</w:t>
      </w:r>
      <w:r>
        <w:rPr>
          <w:rStyle w:val="FootnoteTextChar"/>
          <w:color w:val="000000"/>
        </w:rPr>
        <w:t>, 559-60</w:t>
      </w:r>
      <w:r w:rsidRPr="00D764A7">
        <w:rPr>
          <w:rStyle w:val="FootnoteTextChar"/>
          <w:color w:val="000000"/>
        </w:rPr>
        <w:t xml:space="preserve"> (1963) (</w:t>
      </w:r>
      <w:r w:rsidRPr="00D764A7">
        <w:rPr>
          <w:rStyle w:val="FootnoteTextChar"/>
          <w:i/>
          <w:color w:val="000000"/>
        </w:rPr>
        <w:t>Intermountain Microwave</w:t>
      </w:r>
      <w:r w:rsidRPr="00D764A7">
        <w:rPr>
          <w:rStyle w:val="FootnoteTextChar"/>
          <w:color w:val="000000"/>
        </w:rPr>
        <w:t xml:space="preserve">); </w:t>
      </w:r>
      <w:r w:rsidRPr="00D764A7">
        <w:rPr>
          <w:rStyle w:val="FootnoteTextChar"/>
          <w:i/>
          <w:color w:val="000000"/>
        </w:rPr>
        <w:t>Application of Ellis Thompson Corp.</w:t>
      </w:r>
      <w:r w:rsidRPr="00D764A7">
        <w:rPr>
          <w:rStyle w:val="FootnoteTextChar"/>
          <w:color w:val="000000"/>
        </w:rPr>
        <w:t xml:space="preserve">, </w:t>
      </w:r>
      <w:r>
        <w:rPr>
          <w:rStyle w:val="FootnoteTextChar"/>
          <w:color w:val="000000"/>
        </w:rPr>
        <w:t xml:space="preserve">CC Docket No. 94-136, </w:t>
      </w:r>
      <w:r w:rsidRPr="00D764A7">
        <w:rPr>
          <w:color w:val="000000"/>
        </w:rPr>
        <w:t>Memorandum Opinion an</w:t>
      </w:r>
      <w:r w:rsidRPr="00D764A7">
        <w:rPr>
          <w:color w:val="000000"/>
        </w:rPr>
        <w:t xml:space="preserve">d Order and Hearing Designation Order, </w:t>
      </w:r>
      <w:r w:rsidRPr="00D764A7">
        <w:rPr>
          <w:rStyle w:val="FootnoteTextChar"/>
          <w:color w:val="000000"/>
        </w:rPr>
        <w:t>9 FCC Rcd 7138</w:t>
      </w:r>
      <w:r>
        <w:rPr>
          <w:rStyle w:val="FootnoteTextChar"/>
          <w:color w:val="000000"/>
        </w:rPr>
        <w:t>, 7138-39, paras. 9-11</w:t>
      </w:r>
      <w:r w:rsidRPr="00D764A7">
        <w:rPr>
          <w:rStyle w:val="FootnoteTextChar"/>
          <w:color w:val="000000"/>
        </w:rPr>
        <w:t xml:space="preserve"> (1994)</w:t>
      </w:r>
      <w:r>
        <w:rPr>
          <w:rStyle w:val="FootnoteTextChar"/>
          <w:color w:val="000000"/>
        </w:rPr>
        <w:t xml:space="preserve">; </w:t>
      </w:r>
      <w:r w:rsidRPr="00D364A4">
        <w:rPr>
          <w:i/>
        </w:rPr>
        <w:t>Baker Creek Commc’ns, L.P.</w:t>
      </w:r>
      <w:r w:rsidRPr="00E856C3">
        <w:t>, Mem</w:t>
      </w:r>
      <w:r>
        <w:t>orandum Opinion and Order, 13 FCC Rcd</w:t>
      </w:r>
      <w:r w:rsidRPr="00E856C3">
        <w:t xml:space="preserve"> 18709</w:t>
      </w:r>
      <w:r>
        <w:t xml:space="preserve">, 18713-14, paras. 7-8 </w:t>
      </w:r>
      <w:r w:rsidRPr="00E856C3">
        <w:t>(</w:t>
      </w:r>
      <w:r>
        <w:t xml:space="preserve">WTB </w:t>
      </w:r>
      <w:r w:rsidRPr="00E856C3">
        <w:t>1998)</w:t>
      </w:r>
      <w:r>
        <w:t>;</w:t>
      </w:r>
      <w:r w:rsidRPr="005D0565">
        <w:rPr>
          <w:i/>
          <w:iCs/>
          <w:snapToGrid w:val="0"/>
          <w:color w:val="000000"/>
        </w:rPr>
        <w:t xml:space="preserve"> </w:t>
      </w:r>
      <w:r>
        <w:rPr>
          <w:rStyle w:val="FootnoteTextChar"/>
          <w:i/>
          <w:iCs/>
          <w:color w:val="000000"/>
        </w:rPr>
        <w:t>Northstar Wireless, LLC, SNR Wireless LicenseCo, LLC</w:t>
      </w:r>
      <w:r w:rsidRPr="00925FC2">
        <w:rPr>
          <w:rStyle w:val="FootnoteTextChar"/>
          <w:i/>
          <w:color w:val="000000"/>
        </w:rPr>
        <w:t xml:space="preserve">, </w:t>
      </w:r>
      <w:r>
        <w:rPr>
          <w:rStyle w:val="Emphasis"/>
          <w:snapToGrid w:val="0"/>
        </w:rPr>
        <w:t>Applications for New Licenses in the 1695-1710 MHz, 1755-1780 MHz and 2155-2180 MHz Bands</w:t>
      </w:r>
      <w:r>
        <w:rPr>
          <w:snapToGrid w:val="0"/>
        </w:rPr>
        <w:t xml:space="preserve">, Memorandum Opinion and Order, </w:t>
      </w:r>
      <w:r>
        <w:rPr>
          <w:rStyle w:val="FootnoteTextChar"/>
          <w:color w:val="000000"/>
        </w:rPr>
        <w:t xml:space="preserve">30 FCC Rcd 8887, 8889-91, paras. 4-9 (2015), </w:t>
      </w:r>
      <w:r>
        <w:rPr>
          <w:rStyle w:val="Emphasis"/>
          <w:snapToGrid w:val="0"/>
        </w:rPr>
        <w:t xml:space="preserve">aff’d on this issue and remanded on other grounds sub nom. </w:t>
      </w:r>
      <w:r>
        <w:rPr>
          <w:i/>
          <w:iCs/>
        </w:rPr>
        <w:t xml:space="preserve">SNR Wireless LicenseCo, LLC et </w:t>
      </w:r>
      <w:r>
        <w:rPr>
          <w:i/>
          <w:iCs/>
        </w:rPr>
        <w:t>al.</w:t>
      </w:r>
      <w:r>
        <w:rPr>
          <w:rStyle w:val="Emphasis"/>
          <w:snapToGrid w:val="0"/>
        </w:rPr>
        <w:t xml:space="preserve"> v. FCC</w:t>
      </w:r>
      <w:r w:rsidRPr="0051734D">
        <w:rPr>
          <w:rStyle w:val="Emphasis"/>
          <w:i w:val="0"/>
        </w:rPr>
        <w:t>,</w:t>
      </w:r>
      <w:r w:rsidRPr="0051734D">
        <w:rPr>
          <w:rStyle w:val="Emphasis"/>
          <w:i w:val="0"/>
          <w:snapToGrid w:val="0"/>
        </w:rPr>
        <w:t xml:space="preserve"> 868 F.3d 1021 (D.C. Cir. 2017),</w:t>
      </w:r>
      <w:r>
        <w:rPr>
          <w:rStyle w:val="Emphasis"/>
          <w:snapToGrid w:val="0"/>
        </w:rPr>
        <w:t xml:space="preserve"> cert. denied</w:t>
      </w:r>
      <w:r w:rsidRPr="00A96793">
        <w:rPr>
          <w:rStyle w:val="Emphasis"/>
          <w:i w:val="0"/>
          <w:snapToGrid w:val="0"/>
        </w:rPr>
        <w:t>,</w:t>
      </w:r>
      <w:r>
        <w:rPr>
          <w:rStyle w:val="Emphasis"/>
          <w:snapToGrid w:val="0"/>
        </w:rPr>
        <w:t xml:space="preserve"> </w:t>
      </w:r>
      <w:r>
        <w:rPr>
          <w:rStyle w:val="docketinfotitle"/>
          <w:snapToGrid w:val="0"/>
        </w:rPr>
        <w:t>No. 17-1058, 138 S. Ct. 2674 (</w:t>
      </w:r>
      <w:r>
        <w:rPr>
          <w:snapToGrid w:val="0"/>
        </w:rPr>
        <w:t>2018)</w:t>
      </w:r>
      <w:r w:rsidRPr="00D764A7">
        <w:rPr>
          <w:rStyle w:val="FootnoteTextChar"/>
          <w:color w:val="000000"/>
        </w:rPr>
        <w:t xml:space="preserve">.  </w:t>
      </w:r>
    </w:p>
  </w:footnote>
  <w:footnote w:id="183">
    <w:p w:rsidR="00FE4F2B" w:rsidRPr="00D764A7" w:rsidP="00D6515C" w14:paraId="2E2D6665" w14:textId="677A1A33">
      <w:pPr>
        <w:pStyle w:val="FootnoteText"/>
        <w:widowControl w:val="0"/>
        <w:rPr>
          <w:lang w:val="it-IT"/>
        </w:rPr>
      </w:pPr>
      <w:r w:rsidRPr="00D764A7">
        <w:rPr>
          <w:rStyle w:val="FootnoteReference"/>
        </w:rPr>
        <w:footnoteRef/>
      </w:r>
      <w:r w:rsidRPr="00D764A7">
        <w:rPr>
          <w:lang w:val="it-IT"/>
        </w:rPr>
        <w:t xml:space="preserve"> 47 CFR § 1.2110(c)(2)(i)(A)-(C).</w:t>
      </w:r>
    </w:p>
  </w:footnote>
  <w:footnote w:id="184">
    <w:p w:rsidR="00FE4F2B" w:rsidRPr="00D764A7" w:rsidP="00D6515C" w14:paraId="1EBDF1F5" w14:textId="77777777">
      <w:pPr>
        <w:pStyle w:val="FootnoteText"/>
        <w:widowControl w:val="0"/>
      </w:pPr>
      <w:r w:rsidRPr="00D764A7">
        <w:rPr>
          <w:rStyle w:val="FootnoteReference"/>
        </w:rPr>
        <w:footnoteRef/>
      </w:r>
      <w:r w:rsidRPr="00D764A7">
        <w:t xml:space="preserve"> </w:t>
      </w:r>
      <w:r w:rsidRPr="007C010B">
        <w:rPr>
          <w:i/>
          <w:lang w:val="it-IT"/>
        </w:rPr>
        <w:t xml:space="preserve">Id. </w:t>
      </w:r>
      <w:r w:rsidRPr="00D764A7">
        <w:rPr>
          <w:lang w:val="it-IT"/>
        </w:rPr>
        <w:t>§ 1.2110</w:t>
      </w:r>
      <w:r w:rsidRPr="00D764A7">
        <w:t>(c)(2)(ii)(F).</w:t>
      </w:r>
    </w:p>
  </w:footnote>
  <w:footnote w:id="185">
    <w:p w:rsidR="00FE4F2B" w:rsidRPr="00D764A7" w:rsidP="00D6515C" w14:paraId="77F7FF7E" w14:textId="77777777">
      <w:pPr>
        <w:pStyle w:val="FootnoteText"/>
        <w:widowControl w:val="0"/>
      </w:pPr>
      <w:r w:rsidRPr="00D764A7">
        <w:rPr>
          <w:rStyle w:val="FootnoteReference"/>
        </w:rPr>
        <w:footnoteRef/>
      </w:r>
      <w:r w:rsidRPr="00D764A7">
        <w:t xml:space="preserve"> </w:t>
      </w:r>
      <w:r w:rsidRPr="007C010B">
        <w:rPr>
          <w:i/>
          <w:lang w:val="it-IT"/>
        </w:rPr>
        <w:t>Id.</w:t>
      </w:r>
      <w:r w:rsidRPr="00D764A7">
        <w:rPr>
          <w:lang w:val="it-IT"/>
        </w:rPr>
        <w:t xml:space="preserve"> § 1.2110(c)(5).</w:t>
      </w:r>
    </w:p>
  </w:footnote>
  <w:footnote w:id="186">
    <w:p w:rsidR="00FE4F2B" w:rsidRPr="00D764A7" w:rsidP="00D6515C" w14:paraId="00118D86" w14:textId="77777777">
      <w:pPr>
        <w:pStyle w:val="FootnoteText"/>
        <w:widowControl w:val="0"/>
      </w:pPr>
      <w:r w:rsidRPr="00D764A7">
        <w:rPr>
          <w:rStyle w:val="FootnoteReference"/>
        </w:rPr>
        <w:footnoteRef/>
      </w:r>
      <w:r w:rsidRPr="00D764A7">
        <w:t xml:space="preserve"> </w:t>
      </w:r>
      <w:r w:rsidRPr="00D764A7">
        <w:rPr>
          <w:i/>
        </w:rPr>
        <w:t>Id</w:t>
      </w:r>
      <w:r w:rsidRPr="00D764A7">
        <w:t>.</w:t>
      </w:r>
    </w:p>
  </w:footnote>
  <w:footnote w:id="187">
    <w:p w:rsidR="00FE4F2B" w:rsidRPr="00D764A7" w:rsidP="008316F6" w14:paraId="2A436F42" w14:textId="524C0233">
      <w:pPr>
        <w:pStyle w:val="FootnoteText"/>
        <w:widowControl w:val="0"/>
      </w:pPr>
      <w:r w:rsidRPr="00D764A7">
        <w:rPr>
          <w:rStyle w:val="FootnoteReference"/>
        </w:rPr>
        <w:footnoteRef/>
      </w:r>
      <w:r w:rsidRPr="00D764A7">
        <w:t xml:space="preserve"> </w:t>
      </w:r>
      <w:r w:rsidRPr="007C010B">
        <w:rPr>
          <w:i/>
          <w:lang w:val="it-IT"/>
        </w:rPr>
        <w:t>Id.</w:t>
      </w:r>
      <w:r w:rsidRPr="00D764A7">
        <w:rPr>
          <w:lang w:val="it-IT"/>
        </w:rPr>
        <w:t xml:space="preserve"> § 1.2110(c)(2), (c)(5).</w:t>
      </w:r>
    </w:p>
  </w:footnote>
  <w:footnote w:id="188">
    <w:p w:rsidR="00FE4F2B" w:rsidRPr="00D764A7" w:rsidP="00D6515C" w14:paraId="06A68E93" w14:textId="4AFC0013">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i</w:t>
      </w:r>
      <w:r w:rsidRPr="007C010B">
        <w:rPr>
          <w:i/>
        </w:rPr>
        <w:t>d.</w:t>
      </w:r>
      <w:r w:rsidRPr="00D764A7">
        <w:t xml:space="preserve"> </w:t>
      </w:r>
      <w:r w:rsidRPr="00D764A7">
        <w:rPr>
          <w:color w:val="000000"/>
        </w:rPr>
        <w:t xml:space="preserve">§ </w:t>
      </w:r>
      <w:r w:rsidRPr="00D764A7">
        <w:t xml:space="preserve">1.2110(b)(3); </w:t>
      </w:r>
      <w:r w:rsidRPr="00D764A7">
        <w:rPr>
          <w:i/>
        </w:rPr>
        <w:t xml:space="preserve">see </w:t>
      </w:r>
      <w:r w:rsidRPr="00D764A7">
        <w:rPr>
          <w:i/>
        </w:rPr>
        <w:t>also</w:t>
      </w:r>
      <w:r w:rsidRPr="00D764A7">
        <w:t xml:space="preserve"> </w:t>
      </w:r>
      <w:r>
        <w:rPr>
          <w:i/>
        </w:rPr>
        <w:t>Updating Part 1 Report and Order</w:t>
      </w:r>
      <w:r w:rsidRPr="00D764A7">
        <w:t>, 30 FCC Rcd at 7507-10, paras. 29-34.</w:t>
      </w:r>
    </w:p>
  </w:footnote>
  <w:footnote w:id="189">
    <w:p w:rsidR="00FE4F2B" w:rsidRPr="00D764A7" w:rsidP="00D6515C" w14:paraId="3EB85320" w14:textId="35821EA8">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 xml:space="preserve">See </w:t>
      </w:r>
      <w:r w:rsidRPr="00D764A7">
        <w:rPr>
          <w:color w:val="000000"/>
        </w:rPr>
        <w:t xml:space="preserve">47 CFR § 1.2105(a)(2)(iv); </w:t>
      </w:r>
      <w:r>
        <w:rPr>
          <w:i/>
        </w:rPr>
        <w:t>Updating Part 1 Report and Order</w:t>
      </w:r>
      <w:r w:rsidRPr="00D764A7">
        <w:t xml:space="preserve">, 30 FCC Rcd at 7507-09, paras. 29-33; </w:t>
      </w:r>
      <w:r w:rsidRPr="00D764A7">
        <w:rPr>
          <w:i/>
          <w:color w:val="000000"/>
        </w:rPr>
        <w:t>see also, e.g.</w:t>
      </w:r>
      <w:r w:rsidRPr="00D764A7">
        <w:rPr>
          <w:color w:val="000000"/>
        </w:rPr>
        <w:t xml:space="preserve">, 47 CFR </w:t>
      </w:r>
      <w:r w:rsidRPr="00D764A7">
        <w:t>§</w:t>
      </w:r>
      <w:r w:rsidRPr="00D764A7">
        <w:rPr>
          <w:color w:val="000000"/>
        </w:rPr>
        <w:t> 1.2110(c)(5)(vii)-(x) (explaining how affiliation c</w:t>
      </w:r>
      <w:r w:rsidRPr="00D764A7">
        <w:rPr>
          <w:color w:val="000000"/>
        </w:rPr>
        <w:t>an arise where one concern has the power to control or potentially control the other concern).  As discussed below, except under the limited provisions provided for spectrum manager lessors, the Commission’s decision to discontinue its policy requiring des</w:t>
      </w:r>
      <w:r w:rsidRPr="00D764A7">
        <w:rPr>
          <w:color w:val="000000"/>
        </w:rPr>
        <w:t>ignated</w:t>
      </w:r>
      <w:r>
        <w:rPr>
          <w:color w:val="000000"/>
        </w:rPr>
        <w:t xml:space="preserve"> </w:t>
      </w:r>
      <w:r w:rsidRPr="00D764A7">
        <w:rPr>
          <w:color w:val="000000"/>
        </w:rPr>
        <w:t xml:space="preserve">entity licensees to operate as primarily facilities-based providers of service directly to the public does not alter the rules that require the Commission to consider whether any particular use agreement may confer control of or create affiliation </w:t>
      </w:r>
      <w:r w:rsidRPr="00D764A7">
        <w:rPr>
          <w:color w:val="000000"/>
        </w:rPr>
        <w:t xml:space="preserve">with the applicant.  </w:t>
      </w:r>
      <w:r w:rsidRPr="00D764A7">
        <w:rPr>
          <w:i/>
          <w:color w:val="000000"/>
        </w:rPr>
        <w:t xml:space="preserve">See </w:t>
      </w:r>
      <w:r>
        <w:rPr>
          <w:i/>
        </w:rPr>
        <w:t>Updating Part 1 Report and Order</w:t>
      </w:r>
      <w:r w:rsidRPr="00D764A7">
        <w:rPr>
          <w:color w:val="000000"/>
        </w:rPr>
        <w:t>, 30 FCC Rcd at 7509, para. 33.</w:t>
      </w:r>
    </w:p>
  </w:footnote>
  <w:footnote w:id="190">
    <w:p w:rsidR="00FE4F2B" w:rsidRPr="00D764A7" w:rsidP="00D6515C" w14:paraId="4059D588" w14:textId="60325688">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See</w:t>
      </w:r>
      <w:r w:rsidRPr="00D764A7">
        <w:rPr>
          <w:color w:val="000000"/>
        </w:rPr>
        <w:t xml:space="preserve"> 47 CFR § 1.2105(a)(2)(iv); </w:t>
      </w:r>
      <w:r>
        <w:rPr>
          <w:i/>
        </w:rPr>
        <w:t>Updating Part 1 Report and Order</w:t>
      </w:r>
      <w:r w:rsidRPr="00D764A7">
        <w:t xml:space="preserve">, 30 FCC Rcd at 7509-10, paras. 33-34; </w:t>
      </w:r>
      <w:r w:rsidRPr="00D764A7">
        <w:rPr>
          <w:i/>
          <w:color w:val="000000"/>
        </w:rPr>
        <w:t>see also</w:t>
      </w:r>
      <w:r w:rsidRPr="00D764A7">
        <w:rPr>
          <w:color w:val="000000"/>
        </w:rPr>
        <w:t xml:space="preserve"> 47 CFR § 1.2110(c)(2)(ii)(A).  For instance, if an applicant has a spectrum use agreement on a particular license that calls into question whether, under the Commission’s affiliation rules, the user’s revenues should be attributed to the applicant for tha</w:t>
      </w:r>
      <w:r w:rsidRPr="00D764A7">
        <w:rPr>
          <w:color w:val="000000"/>
        </w:rPr>
        <w:t xml:space="preserve">t particular license, rather than for its overall business operations, the applicant could be ineligible to acquire or retain benefits with respect to that particular license.  </w:t>
      </w:r>
      <w:r w:rsidRPr="00D764A7">
        <w:t>By taking this</w:t>
      </w:r>
      <w:r w:rsidRPr="00D764A7">
        <w:rPr>
          <w:color w:val="000000"/>
        </w:rPr>
        <w:t xml:space="preserve"> license-by-license approach</w:t>
      </w:r>
      <w:r w:rsidRPr="00D764A7">
        <w:t>, an applicant need not be eligible f</w:t>
      </w:r>
      <w:r w:rsidRPr="00D764A7">
        <w:t xml:space="preserve">or small business benefits on each of the spectrum licenses it holds in order to demonstrate its overall eligibility for such benefits.  </w:t>
      </w:r>
      <w:r>
        <w:rPr>
          <w:i/>
        </w:rPr>
        <w:t>Updating Part 1 Report and Order</w:t>
      </w:r>
      <w:r w:rsidRPr="00D764A7">
        <w:rPr>
          <w:color w:val="000000"/>
        </w:rPr>
        <w:t xml:space="preserve">, 30 FCC Rcd at 7509, para. 33. </w:t>
      </w:r>
    </w:p>
  </w:footnote>
  <w:footnote w:id="191">
    <w:p w:rsidR="00FE4F2B" w:rsidRPr="00D764A7" w:rsidP="00D6515C" w14:paraId="51619341" w14:textId="77777777">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 xml:space="preserve">See </w:t>
      </w:r>
      <w:r w:rsidRPr="00D764A7">
        <w:rPr>
          <w:color w:val="000000"/>
        </w:rPr>
        <w:t>47 CFR § 1.9010 (</w:t>
      </w:r>
      <w:r>
        <w:rPr>
          <w:color w:val="000000"/>
        </w:rPr>
        <w:t xml:space="preserve">defining </w:t>
      </w:r>
      <w:r w:rsidRPr="00D764A7">
        <w:rPr>
          <w:i/>
          <w:color w:val="000000"/>
        </w:rPr>
        <w:t xml:space="preserve">de facto </w:t>
      </w:r>
      <w:r w:rsidRPr="00D764A7">
        <w:rPr>
          <w:color w:val="000000"/>
        </w:rPr>
        <w:t>control for s</w:t>
      </w:r>
      <w:r w:rsidRPr="00D764A7">
        <w:rPr>
          <w:color w:val="000000"/>
        </w:rPr>
        <w:t xml:space="preserve">pectrum leasing arrangements); </w:t>
      </w:r>
      <w:r w:rsidRPr="00D764A7">
        <w:rPr>
          <w:i/>
          <w:color w:val="000000"/>
        </w:rPr>
        <w:t>see also Intermountain Microwave</w:t>
      </w:r>
      <w:r w:rsidRPr="00D764A7">
        <w:rPr>
          <w:color w:val="000000"/>
        </w:rPr>
        <w:t>, 12 FCC 2d at 559-60 (</w:t>
      </w:r>
      <w:r>
        <w:rPr>
          <w:color w:val="000000"/>
        </w:rPr>
        <w:t xml:space="preserve">describing </w:t>
      </w:r>
      <w:r w:rsidRPr="00D764A7">
        <w:rPr>
          <w:i/>
          <w:color w:val="000000"/>
        </w:rPr>
        <w:t xml:space="preserve">de facto </w:t>
      </w:r>
      <w:r w:rsidRPr="00D764A7">
        <w:rPr>
          <w:color w:val="000000"/>
        </w:rPr>
        <w:t>control for non-leasing situations); 47 CFR § 1.2110(c)(2) (</w:t>
      </w:r>
      <w:r>
        <w:rPr>
          <w:color w:val="000000"/>
        </w:rPr>
        <w:t xml:space="preserve">defining </w:t>
      </w:r>
      <w:r w:rsidRPr="00D764A7">
        <w:rPr>
          <w:i/>
          <w:color w:val="000000"/>
        </w:rPr>
        <w:t xml:space="preserve">de facto </w:t>
      </w:r>
      <w:r w:rsidRPr="00D764A7">
        <w:rPr>
          <w:color w:val="000000"/>
        </w:rPr>
        <w:t xml:space="preserve">control for designated entities); </w:t>
      </w:r>
      <w:r w:rsidRPr="00D764A7">
        <w:rPr>
          <w:i/>
          <w:iCs/>
          <w:color w:val="000000"/>
        </w:rPr>
        <w:t>Part 1 Fifth Report and Order</w:t>
      </w:r>
      <w:r w:rsidRPr="00D764A7">
        <w:rPr>
          <w:color w:val="000000"/>
        </w:rPr>
        <w:t xml:space="preserve">, 15 FCC </w:t>
      </w:r>
      <w:r w:rsidRPr="00D764A7">
        <w:rPr>
          <w:color w:val="000000"/>
        </w:rPr>
        <w:t xml:space="preserve">Rcd at 15324, para. 61 (incorporating the </w:t>
      </w:r>
      <w:r w:rsidRPr="00D764A7">
        <w:rPr>
          <w:i/>
          <w:iCs/>
          <w:color w:val="000000"/>
        </w:rPr>
        <w:t xml:space="preserve">Intermountain Microwave </w:t>
      </w:r>
      <w:r w:rsidRPr="00D764A7">
        <w:rPr>
          <w:color w:val="000000"/>
        </w:rPr>
        <w:t xml:space="preserve">principles of control into </w:t>
      </w:r>
      <w:r>
        <w:rPr>
          <w:color w:val="000000"/>
        </w:rPr>
        <w:t>section</w:t>
      </w:r>
      <w:r w:rsidRPr="00D764A7">
        <w:rPr>
          <w:color w:val="000000"/>
        </w:rPr>
        <w:t xml:space="preserve"> 1.2110 of the Commission’s rules).</w:t>
      </w:r>
    </w:p>
  </w:footnote>
  <w:footnote w:id="192">
    <w:p w:rsidR="00FE4F2B" w:rsidRPr="00D764A7" w:rsidP="00D6515C" w14:paraId="275AFE14" w14:textId="77777777">
      <w:pPr>
        <w:pStyle w:val="FootnoteText"/>
        <w:widowControl w:val="0"/>
      </w:pPr>
      <w:r w:rsidRPr="00D764A7">
        <w:rPr>
          <w:rStyle w:val="FootnoteReference"/>
        </w:rPr>
        <w:footnoteRef/>
      </w:r>
      <w:r w:rsidRPr="00D764A7">
        <w:t xml:space="preserve"> Although in this scenario the applicant may not be eligible for a bidding credit and may be subject to </w:t>
      </w:r>
      <w:r>
        <w:t xml:space="preserve">the </w:t>
      </w:r>
      <w:r w:rsidRPr="00D764A7">
        <w:t>Commission’</w:t>
      </w:r>
      <w:r w:rsidRPr="00D764A7">
        <w:t xml:space="preserve">s unjust enrichment rules, the applicant need not be eligible for small business benefits on each of the spectrum licenses it holds in order to demonstrate its overall eligibility for such benefits. </w:t>
      </w:r>
    </w:p>
  </w:footnote>
  <w:footnote w:id="193">
    <w:p w:rsidR="00FE4F2B" w:rsidRPr="00D764A7" w:rsidP="00D6515C" w14:paraId="68D21A75" w14:textId="5F24B7C2">
      <w:pPr>
        <w:pStyle w:val="FootnoteText"/>
        <w:widowControl w:val="0"/>
        <w:rPr>
          <w:color w:val="000000"/>
        </w:rPr>
      </w:pPr>
      <w:r w:rsidRPr="00D764A7">
        <w:rPr>
          <w:rStyle w:val="FootnoteReference"/>
          <w:color w:val="000000"/>
        </w:rPr>
        <w:footnoteRef/>
      </w:r>
      <w:r w:rsidRPr="00D764A7">
        <w:rPr>
          <w:color w:val="000000"/>
        </w:rPr>
        <w:t xml:space="preserve"> This rule does not alter the requirement of full dilut</w:t>
      </w:r>
      <w:r w:rsidRPr="00D764A7">
        <w:rPr>
          <w:color w:val="000000"/>
        </w:rPr>
        <w:t xml:space="preserve">ion in 47 CFR § 1.2110(c)(2)(ii)(A).  </w:t>
      </w:r>
      <w:r w:rsidRPr="00D764A7">
        <w:t xml:space="preserve">Except where the leasing standard of </w:t>
      </w:r>
      <w:r w:rsidRPr="00D764A7">
        <w:rPr>
          <w:i/>
        </w:rPr>
        <w:t>de facto</w:t>
      </w:r>
      <w:r w:rsidRPr="00D764A7">
        <w:t xml:space="preserve"> control applies under </w:t>
      </w:r>
      <w:r>
        <w:t>section</w:t>
      </w:r>
      <w:r w:rsidRPr="00D764A7">
        <w:t xml:space="preserve">s 1.9010 and 1.9020 of the secondary market rules, the criteria of </w:t>
      </w:r>
      <w:r w:rsidRPr="00D764A7">
        <w:rPr>
          <w:i/>
        </w:rPr>
        <w:t>Intermountain Microwave</w:t>
      </w:r>
      <w:r w:rsidRPr="00D764A7">
        <w:t xml:space="preserve"> and </w:t>
      </w:r>
      <w:r w:rsidRPr="00D764A7">
        <w:rPr>
          <w:i/>
        </w:rPr>
        <w:t xml:space="preserve">Ellis Thompson </w:t>
      </w:r>
      <w:r w:rsidRPr="00D764A7">
        <w:t xml:space="preserve">will continue to apply to every Commission licensee for purposes of assessing whether it can demonstrate that it retains </w:t>
      </w:r>
      <w:r w:rsidRPr="00D764A7">
        <w:rPr>
          <w:i/>
        </w:rPr>
        <w:t>de facto</w:t>
      </w:r>
      <w:r w:rsidRPr="00D764A7">
        <w:t xml:space="preserve"> control of its business venture and spectrum license.  47 CFR §§ 1.9010, 1.9020; </w:t>
      </w:r>
      <w:r w:rsidRPr="00D764A7">
        <w:rPr>
          <w:i/>
          <w:color w:val="000000"/>
        </w:rPr>
        <w:t>Application of Ellis Thompson Corporation</w:t>
      </w:r>
      <w:r w:rsidRPr="00374A32">
        <w:rPr>
          <w:iCs/>
          <w:color w:val="000000"/>
        </w:rPr>
        <w:t>,</w:t>
      </w:r>
      <w:r w:rsidRPr="00D764A7">
        <w:rPr>
          <w:i/>
          <w:iCs/>
          <w:color w:val="000000"/>
        </w:rPr>
        <w:t xml:space="preserve"> </w:t>
      </w:r>
      <w:r w:rsidRPr="00D764A7">
        <w:rPr>
          <w:iCs/>
          <w:color w:val="000000"/>
        </w:rPr>
        <w:t>Su</w:t>
      </w:r>
      <w:r w:rsidRPr="00D764A7">
        <w:rPr>
          <w:iCs/>
          <w:color w:val="000000"/>
        </w:rPr>
        <w:t>mmary Decision</w:t>
      </w:r>
      <w:r w:rsidRPr="00D764A7">
        <w:rPr>
          <w:color w:val="000000"/>
        </w:rPr>
        <w:t xml:space="preserve">, 10 FCC Rcd 12554, 12555-56, para. 9 (ALJ 1995).  </w:t>
      </w:r>
      <w:r w:rsidRPr="00D764A7">
        <w:t xml:space="preserve">In the </w:t>
      </w:r>
      <w:r>
        <w:rPr>
          <w:i/>
        </w:rPr>
        <w:t>Updating Part 1 Report and Order</w:t>
      </w:r>
      <w:r w:rsidRPr="00D764A7">
        <w:t xml:space="preserve">, the Commission also modified </w:t>
      </w:r>
      <w:r>
        <w:t>section</w:t>
      </w:r>
      <w:r w:rsidRPr="00D764A7">
        <w:t xml:space="preserve"> 1.9020 of its rules to apply the same </w:t>
      </w:r>
      <w:r w:rsidRPr="00D764A7">
        <w:rPr>
          <w:i/>
        </w:rPr>
        <w:t xml:space="preserve">de facto </w:t>
      </w:r>
      <w:r w:rsidRPr="00D764A7">
        <w:t>control standard to designated entity spectrum manager lessors tha</w:t>
      </w:r>
      <w:r w:rsidRPr="00D764A7">
        <w:t xml:space="preserve">t </w:t>
      </w:r>
      <w:r>
        <w:t>it applies</w:t>
      </w:r>
      <w:r w:rsidRPr="00D764A7">
        <w:t xml:space="preserve"> to non-designated entity spectrum manager lessors.  </w:t>
      </w:r>
      <w:r>
        <w:rPr>
          <w:i/>
        </w:rPr>
        <w:t>Updating Part 1 Report and Order</w:t>
      </w:r>
      <w:r w:rsidRPr="00D764A7">
        <w:t>, 30 FCC Rcd at 7510-11, paras. 35-39</w:t>
      </w:r>
      <w:r>
        <w:t xml:space="preserve">; </w:t>
      </w:r>
      <w:r w:rsidRPr="007C010B">
        <w:rPr>
          <w:i/>
        </w:rPr>
        <w:t>see</w:t>
      </w:r>
      <w:r>
        <w:t xml:space="preserve"> 47 CFR § 1.9020</w:t>
      </w:r>
      <w:r w:rsidRPr="00D764A7">
        <w:t>.</w:t>
      </w:r>
    </w:p>
  </w:footnote>
  <w:footnote w:id="194">
    <w:p w:rsidR="00FE4F2B" w:rsidRPr="00D764A7" w:rsidP="00D6515C" w14:paraId="5F4DE87F" w14:textId="0EEAAAD2">
      <w:pPr>
        <w:pStyle w:val="FootnoteText"/>
        <w:widowControl w:val="0"/>
      </w:pPr>
      <w:r w:rsidRPr="00D764A7">
        <w:rPr>
          <w:rStyle w:val="FootnoteReference"/>
        </w:rPr>
        <w:footnoteRef/>
      </w:r>
      <w:r w:rsidRPr="00D764A7">
        <w:t xml:space="preserve"> 47 CFR § 1.2110(c)(2)(ii)(J); </w:t>
      </w:r>
      <w:r w:rsidRPr="00D764A7">
        <w:rPr>
          <w:i/>
        </w:rPr>
        <w:t xml:space="preserve">see also </w:t>
      </w:r>
      <w:r>
        <w:rPr>
          <w:i/>
        </w:rPr>
        <w:t>Updating Part 1 Report and Order</w:t>
      </w:r>
      <w:r w:rsidRPr="00D764A7">
        <w:t>, 30 FCC Rcd at 7512-16, p</w:t>
      </w:r>
      <w:r w:rsidRPr="00D764A7">
        <w:t>aras. 42-53.</w:t>
      </w:r>
    </w:p>
  </w:footnote>
  <w:footnote w:id="195">
    <w:p w:rsidR="00FE4F2B" w:rsidRPr="00D764A7" w:rsidP="00D6515C" w14:paraId="4ADD42DA" w14:textId="77777777">
      <w:pPr>
        <w:pStyle w:val="FootnoteText"/>
        <w:widowControl w:val="0"/>
      </w:pPr>
      <w:r w:rsidRPr="00D764A7">
        <w:rPr>
          <w:rStyle w:val="FootnoteReference"/>
        </w:rPr>
        <w:footnoteRef/>
      </w:r>
      <w:r w:rsidRPr="00D764A7">
        <w:t xml:space="preserve"> 47 CFR § 1.2110(c)(2)(ii)(J).</w:t>
      </w:r>
    </w:p>
  </w:footnote>
  <w:footnote w:id="196">
    <w:p w:rsidR="00FE4F2B" w:rsidRPr="00D764A7" w:rsidP="00D6515C" w14:paraId="255A828F" w14:textId="17078073">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837A40">
        <w:rPr>
          <w:iCs/>
        </w:rPr>
        <w:t>sections</w:t>
      </w:r>
      <w:r w:rsidRPr="00FC5AA7">
        <w:rPr>
          <w:iCs/>
        </w:rPr>
        <w:t xml:space="preserve"> </w:t>
      </w:r>
      <w:r w:rsidRPr="00DB0ABB">
        <w:t>II.H.1 (Small Business Bidding Credit), II.H.2 (Rural Service Provider Bidding Credit)</w:t>
      </w:r>
      <w:r>
        <w:t>, above</w:t>
      </w:r>
      <w:r w:rsidRPr="00DB0ABB">
        <w:t>.</w:t>
      </w:r>
    </w:p>
  </w:footnote>
  <w:footnote w:id="197">
    <w:p w:rsidR="00FE4F2B" w:rsidRPr="00D764A7" w:rsidP="00D6515C" w14:paraId="1C4F67DE" w14:textId="6CA1CA67">
      <w:pPr>
        <w:pStyle w:val="FootnoteText"/>
        <w:widowControl w:val="0"/>
      </w:pPr>
      <w:r w:rsidRPr="00D764A7">
        <w:rPr>
          <w:rStyle w:val="FootnoteReference"/>
        </w:rPr>
        <w:footnoteRef/>
      </w:r>
      <w:r w:rsidRPr="00D764A7">
        <w:t xml:space="preserve"> 47 CFR § 1.2110(c)(2)(ii)(J); </w:t>
      </w:r>
      <w:r w:rsidRPr="007803A9">
        <w:rPr>
          <w:i/>
        </w:rPr>
        <w:t>see also</w:t>
      </w:r>
      <w:r>
        <w:t xml:space="preserve"> </w:t>
      </w:r>
      <w:r>
        <w:rPr>
          <w:i/>
        </w:rPr>
        <w:t xml:space="preserve">Updating Part 1 </w:t>
      </w:r>
      <w:r w:rsidRPr="00D764A7">
        <w:rPr>
          <w:i/>
        </w:rPr>
        <w:t>Report and Order</w:t>
      </w:r>
      <w:r w:rsidRPr="00D764A7">
        <w:t xml:space="preserve">, 30 FCC Rcd at 7513, para. </w:t>
      </w:r>
      <w:r w:rsidRPr="00D764A7">
        <w:t>46.</w:t>
      </w:r>
    </w:p>
  </w:footnote>
  <w:footnote w:id="198">
    <w:p w:rsidR="00FE4F2B" w:rsidRPr="00D764A7" w:rsidP="00D6515C" w14:paraId="2D5060CE" w14:textId="339EC473">
      <w:pPr>
        <w:pStyle w:val="FootnoteText"/>
        <w:widowControl w:val="0"/>
      </w:pPr>
      <w:r w:rsidRPr="00D764A7">
        <w:rPr>
          <w:rStyle w:val="FootnoteReference"/>
        </w:rPr>
        <w:footnoteRef/>
      </w:r>
      <w:r w:rsidRPr="00D764A7">
        <w:t xml:space="preserve"> To the extent an </w:t>
      </w:r>
      <w:r>
        <w:t>Auction 107</w:t>
      </w:r>
      <w:r w:rsidRPr="00D764A7">
        <w:t xml:space="preserve"> applicant is required to submit any such additional information, the applicant must not disclose details of its submission to others as it would reveal information regarding its </w:t>
      </w:r>
      <w:r>
        <w:t>PEA</w:t>
      </w:r>
      <w:r w:rsidRPr="00D764A7">
        <w:t xml:space="preserve"> selection(s).  </w:t>
      </w:r>
    </w:p>
  </w:footnote>
  <w:footnote w:id="199">
    <w:p w:rsidR="00FE4F2B" w:rsidRPr="00D764A7" w:rsidP="00D6515C" w14:paraId="7F9E784D" w14:textId="77777777">
      <w:pPr>
        <w:pStyle w:val="FootnoteText"/>
        <w:widowControl w:val="0"/>
      </w:pPr>
      <w:r w:rsidRPr="00D764A7">
        <w:rPr>
          <w:rStyle w:val="FootnoteReference"/>
        </w:rPr>
        <w:footnoteRef/>
      </w:r>
      <w:r w:rsidRPr="00D764A7">
        <w:t xml:space="preserve"> </w:t>
      </w:r>
      <w:r w:rsidRPr="00D764A7">
        <w:rPr>
          <w:i/>
        </w:rPr>
        <w:t>See, e.g.</w:t>
      </w:r>
      <w:r w:rsidRPr="00D764A7">
        <w:t xml:space="preserve">, 47 CFR § </w:t>
      </w:r>
      <w:r w:rsidRPr="00D764A7">
        <w:t>1.2110(b)(4).</w:t>
      </w:r>
    </w:p>
  </w:footnote>
  <w:footnote w:id="200">
    <w:p w:rsidR="00FE4F2B" w:rsidRPr="00D764A7" w:rsidP="00D6515C" w14:paraId="7D7A2E63" w14:textId="6286F25E">
      <w:pPr>
        <w:pStyle w:val="FootnoteText"/>
        <w:widowControl w:val="0"/>
      </w:pPr>
      <w:r w:rsidRPr="00D764A7">
        <w:rPr>
          <w:rStyle w:val="FootnoteReference"/>
        </w:rPr>
        <w:footnoteRef/>
      </w:r>
      <w:r w:rsidRPr="00D764A7">
        <w:t xml:space="preserve"> </w:t>
      </w:r>
      <w:r w:rsidRPr="00D764A7">
        <w:rPr>
          <w:i/>
        </w:rPr>
        <w:t xml:space="preserve">See </w:t>
      </w:r>
      <w:r>
        <w:rPr>
          <w:i/>
        </w:rPr>
        <w:t>i</w:t>
      </w:r>
      <w:r w:rsidRPr="007C010B">
        <w:rPr>
          <w:i/>
        </w:rPr>
        <w:t>d.</w:t>
      </w:r>
      <w:r w:rsidRPr="00D764A7">
        <w:t xml:space="preserve"> § 1.2110(c)(2)(ii)(F); </w:t>
      </w:r>
      <w:r w:rsidRPr="00D764A7">
        <w:rPr>
          <w:i/>
        </w:rPr>
        <w:t>see also Part 1 Third R&amp;O Second Recon/Part 1 Fifth R&amp;O Recon</w:t>
      </w:r>
      <w:r w:rsidRPr="00D764A7">
        <w:t xml:space="preserve">, 18 FCC Rcd at 10185-86, paras. 8-9.  </w:t>
      </w:r>
      <w:r>
        <w:t>T</w:t>
      </w:r>
      <w:r w:rsidRPr="00D764A7">
        <w:t>o the extent that the officers and directors of the applicant are controlling interest holders of other enti</w:t>
      </w:r>
      <w:r w:rsidRPr="00D764A7">
        <w:t xml:space="preserve">ties, the gross revenues of those entities will be attributed to the applicant.  Moreover, if an officer or director operates a separate business, </w:t>
      </w:r>
      <w:r>
        <w:t xml:space="preserve">then </w:t>
      </w:r>
      <w:r w:rsidRPr="00D764A7">
        <w:t>the gross revenues derived from that separate business would be attributed to the applicant, although an</w:t>
      </w:r>
      <w:r w:rsidRPr="00D764A7">
        <w:t xml:space="preserve">y personal income from such separate business would not be attributed.  </w:t>
      </w:r>
      <w:r w:rsidRPr="00D764A7">
        <w:rPr>
          <w:i/>
        </w:rPr>
        <w:t xml:space="preserve">See </w:t>
      </w:r>
      <w:r>
        <w:rPr>
          <w:i/>
        </w:rPr>
        <w:t>id.</w:t>
      </w:r>
      <w:r w:rsidRPr="00D764A7">
        <w:t xml:space="preserve"> at 10186, para. 9.</w:t>
      </w:r>
    </w:p>
  </w:footnote>
  <w:footnote w:id="201">
    <w:p w:rsidR="00FE4F2B" w:rsidRPr="00D764A7" w:rsidP="00D6515C" w14:paraId="53527517" w14:textId="2B941BFD">
      <w:pPr>
        <w:pStyle w:val="FootnoteText"/>
        <w:widowControl w:val="0"/>
      </w:pPr>
      <w:r w:rsidRPr="00D764A7">
        <w:rPr>
          <w:rStyle w:val="FootnoteReference"/>
        </w:rPr>
        <w:footnoteRef/>
      </w:r>
      <w:r w:rsidRPr="00D764A7">
        <w:t xml:space="preserve"> </w:t>
      </w:r>
      <w:r w:rsidRPr="00925FC2">
        <w:rPr>
          <w:i/>
        </w:rPr>
        <w:t>See</w:t>
      </w:r>
      <w:r w:rsidRPr="00D764A7">
        <w:t xml:space="preserve"> </w:t>
      </w:r>
      <w:r>
        <w:t xml:space="preserve">47 CFR </w:t>
      </w:r>
      <w:r w:rsidRPr="00D764A7">
        <w:t>§</w:t>
      </w:r>
      <w:r>
        <w:t xml:space="preserve"> 1.2110(b)(4)(iii); </w:t>
      </w:r>
      <w:r w:rsidRPr="00A4745C">
        <w:rPr>
          <w:i/>
          <w:iCs/>
        </w:rPr>
        <w:t>see also</w:t>
      </w:r>
      <w:r>
        <w:t xml:space="preserve"> </w:t>
      </w:r>
      <w:r w:rsidRPr="00D764A7">
        <w:rPr>
          <w:i/>
        </w:rPr>
        <w:t>Part 1 Third R&amp;O Second Recon/Part 1 Fifth R&amp;O Recon</w:t>
      </w:r>
      <w:r w:rsidRPr="00D764A7">
        <w:t xml:space="preserve">, 18 FCC Rcd at 10186-94, paras. 10-18; </w:t>
      </w:r>
      <w:r w:rsidRPr="00D764A7">
        <w:rPr>
          <w:i/>
        </w:rPr>
        <w:t>Part 1 Fifth R&amp;O Secon</w:t>
      </w:r>
      <w:r w:rsidRPr="00D764A7">
        <w:rPr>
          <w:i/>
        </w:rPr>
        <w:t>d Recon</w:t>
      </w:r>
      <w:r w:rsidRPr="00D764A7">
        <w:t>, 20 FCC Rcd at 1945-50, paras. 9-18.</w:t>
      </w:r>
    </w:p>
  </w:footnote>
  <w:footnote w:id="202">
    <w:p w:rsidR="00FE4F2B" w:rsidRPr="00D764A7" w:rsidP="00D6515C" w14:paraId="1D62C734" w14:textId="77777777">
      <w:pPr>
        <w:pStyle w:val="FootnoteText"/>
        <w:widowControl w:val="0"/>
      </w:pPr>
      <w:r w:rsidRPr="00D764A7">
        <w:rPr>
          <w:rStyle w:val="FootnoteReference"/>
        </w:rPr>
        <w:footnoteRef/>
      </w:r>
      <w:r w:rsidRPr="00D764A7">
        <w:t xml:space="preserve"> 47 CFR § 1.2110(b)(4)(iii); </w:t>
      </w:r>
      <w:r w:rsidRPr="00D764A7">
        <w:rPr>
          <w:i/>
        </w:rPr>
        <w:t>see also</w:t>
      </w:r>
      <w:r w:rsidRPr="00D764A7">
        <w:t xml:space="preserve"> </w:t>
      </w:r>
      <w:r w:rsidRPr="00D764A7">
        <w:rPr>
          <w:i/>
        </w:rPr>
        <w:t>Part 1 Third R&amp;O Second Recon/Part 1 Fifth R&amp;O Recon</w:t>
      </w:r>
      <w:r w:rsidRPr="00D764A7">
        <w:t xml:space="preserve">, 18 FCC Rcd at 10186-95, paras. 10-20; </w:t>
      </w:r>
      <w:r w:rsidRPr="00D764A7">
        <w:rPr>
          <w:i/>
        </w:rPr>
        <w:t>Part 1 Fifth R&amp;O Second Recon</w:t>
      </w:r>
      <w:r w:rsidRPr="00D764A7">
        <w:t xml:space="preserve">, 20 FCC Rcd at 1945-50, paras. 9-18. </w:t>
      </w:r>
    </w:p>
  </w:footnote>
  <w:footnote w:id="203">
    <w:p w:rsidR="00FE4F2B" w:rsidRPr="00D764A7" w:rsidP="00D6515C" w14:paraId="7180D32E" w14:textId="0654CCBE">
      <w:pPr>
        <w:pStyle w:val="FootnoteText"/>
        <w:widowControl w:val="0"/>
      </w:pPr>
      <w:r w:rsidRPr="00D764A7">
        <w:rPr>
          <w:rStyle w:val="FootnoteReference"/>
        </w:rPr>
        <w:footnoteRef/>
      </w:r>
      <w:r w:rsidRPr="00D764A7">
        <w:t xml:space="preserve"> </w:t>
      </w:r>
      <w:r w:rsidRPr="00D764A7">
        <w:rPr>
          <w:i/>
        </w:rPr>
        <w:t xml:space="preserve">See </w:t>
      </w:r>
      <w:r w:rsidRPr="00D764A7">
        <w:rPr>
          <w:snapToGrid w:val="0"/>
          <w:color w:val="000000"/>
        </w:rPr>
        <w:t>47 CFR</w:t>
      </w:r>
      <w:r w:rsidRPr="00D764A7">
        <w:rPr>
          <w:snapToGrid w:val="0"/>
          <w:color w:val="000000"/>
        </w:rPr>
        <w:t xml:space="preserve"> § 1.2110(f)(4)(i)(C)(2); </w:t>
      </w:r>
      <w:r>
        <w:rPr>
          <w:i/>
          <w:color w:val="000000"/>
        </w:rPr>
        <w:t xml:space="preserve">Updating Part 1 </w:t>
      </w:r>
      <w:r>
        <w:rPr>
          <w:i/>
        </w:rPr>
        <w:t>Report and Order</w:t>
      </w:r>
      <w:r w:rsidRPr="00D764A7">
        <w:rPr>
          <w:snapToGrid w:val="0"/>
          <w:color w:val="000000"/>
        </w:rPr>
        <w:t xml:space="preserve">, 30 FCC Rcd at 7536, para. 102.  </w:t>
      </w:r>
      <w:r w:rsidRPr="00D764A7">
        <w:rPr>
          <w:snapToGrid w:val="0"/>
        </w:rPr>
        <w:t>Thus, the Commission will e</w:t>
      </w:r>
      <w:r w:rsidRPr="00D764A7">
        <w:rPr>
          <w:snapToGrid w:val="0"/>
          <w:color w:val="000000"/>
        </w:rPr>
        <w:t>valuate eligibility for an existing rural wireless partnership on the same basis as it would for an applicant applying for a bidding cred</w:t>
      </w:r>
      <w:r w:rsidRPr="00D764A7">
        <w:rPr>
          <w:snapToGrid w:val="0"/>
          <w:color w:val="000000"/>
        </w:rPr>
        <w:t xml:space="preserve">it as a consortium of rural service providers. </w:t>
      </w:r>
      <w:r>
        <w:rPr>
          <w:snapToGrid w:val="0"/>
          <w:color w:val="000000"/>
        </w:rPr>
        <w:t xml:space="preserve"> </w:t>
      </w:r>
      <w:r w:rsidRPr="00D764A7">
        <w:rPr>
          <w:i/>
          <w:snapToGrid w:val="0"/>
          <w:color w:val="000000"/>
        </w:rPr>
        <w:t xml:space="preserve">See </w:t>
      </w:r>
      <w:r>
        <w:rPr>
          <w:i/>
          <w:snapToGrid w:val="0"/>
          <w:color w:val="000000"/>
        </w:rPr>
        <w:t xml:space="preserve">id. </w:t>
      </w:r>
      <w:r w:rsidRPr="00D764A7">
        <w:rPr>
          <w:snapToGrid w:val="0"/>
          <w:color w:val="000000"/>
        </w:rPr>
        <w:t xml:space="preserve">at 7536, para. 102 </w:t>
      </w:r>
      <w:r>
        <w:rPr>
          <w:snapToGrid w:val="0"/>
          <w:color w:val="000000"/>
        </w:rPr>
        <w:t xml:space="preserve">&amp; </w:t>
      </w:r>
      <w:r w:rsidRPr="00D764A7">
        <w:rPr>
          <w:snapToGrid w:val="0"/>
          <w:color w:val="000000"/>
        </w:rPr>
        <w:t xml:space="preserve">n.336. </w:t>
      </w:r>
    </w:p>
  </w:footnote>
  <w:footnote w:id="204">
    <w:p w:rsidR="00FE4F2B" w:rsidRPr="00D764A7" w:rsidP="00D6515C" w14:paraId="76327BE0" w14:textId="5CE8EA3D">
      <w:pPr>
        <w:pStyle w:val="FootnoteText"/>
        <w:widowControl w:val="0"/>
      </w:pPr>
      <w:r w:rsidRPr="00D764A7">
        <w:rPr>
          <w:rStyle w:val="FootnoteReference"/>
        </w:rPr>
        <w:footnoteRef/>
      </w:r>
      <w:r w:rsidRPr="00D764A7">
        <w:t xml:space="preserve"> </w:t>
      </w:r>
      <w:r>
        <w:rPr>
          <w:i/>
        </w:rPr>
        <w:t>Updating Part 1 Report and Order</w:t>
      </w:r>
      <w:r w:rsidRPr="00D764A7">
        <w:rPr>
          <w:snapToGrid w:val="0"/>
          <w:color w:val="000000"/>
        </w:rPr>
        <w:t xml:space="preserve">, 30 FCC Rcd at 7536, para. 103.  </w:t>
      </w:r>
      <w:r>
        <w:t>We</w:t>
      </w:r>
      <w:r w:rsidRPr="00D764A7">
        <w:t xml:space="preserve"> also note that members of such partnerships that fall under this exception may also apply as individual applicants or members of a consortium (</w:t>
      </w:r>
      <w:r w:rsidRPr="00D764A7">
        <w:rPr>
          <w:color w:val="000000"/>
        </w:rPr>
        <w:t>to the extent that it is otherwise permissible to do so under the Commission’s rules) and seek eligibility for a</w:t>
      </w:r>
      <w:r w:rsidRPr="00D764A7">
        <w:rPr>
          <w:color w:val="000000"/>
        </w:rPr>
        <w:t xml:space="preserve"> rural service provider bidding credit.  </w:t>
      </w:r>
      <w:r>
        <w:rPr>
          <w:i/>
          <w:color w:val="000000"/>
        </w:rPr>
        <w:t>Id.</w:t>
      </w:r>
      <w:r w:rsidRPr="00D764A7">
        <w:rPr>
          <w:color w:val="000000"/>
        </w:rPr>
        <w:t xml:space="preserve"> at 7536, 7582, paras. 102-03, 210.</w:t>
      </w:r>
    </w:p>
  </w:footnote>
  <w:footnote w:id="205">
    <w:p w:rsidR="00FE4F2B" w:rsidRPr="00D764A7" w:rsidP="00D6515C" w14:paraId="09C73D6F" w14:textId="77777777">
      <w:pPr>
        <w:pStyle w:val="FootnoteText"/>
        <w:widowControl w:val="0"/>
      </w:pPr>
      <w:r w:rsidRPr="00D764A7">
        <w:rPr>
          <w:rStyle w:val="FootnoteReference"/>
        </w:rPr>
        <w:footnoteRef/>
      </w:r>
      <w:r w:rsidRPr="00D764A7">
        <w:t xml:space="preserve"> 47 CFR § 1.2110(c)(6).</w:t>
      </w:r>
    </w:p>
  </w:footnote>
  <w:footnote w:id="206">
    <w:p w:rsidR="00FE4F2B" w:rsidRPr="00D764A7" w:rsidP="00D6515C" w14:paraId="3B8C84F2" w14:textId="0494A522">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02159D">
        <w:rPr>
          <w:iCs/>
        </w:rPr>
        <w:t>sections</w:t>
      </w:r>
      <w:r w:rsidRPr="00D764A7">
        <w:t xml:space="preserve"> </w:t>
      </w:r>
      <w:r>
        <w:t>II.H.1</w:t>
      </w:r>
      <w:r w:rsidRPr="00D764A7">
        <w:t xml:space="preserve"> (Small Business Bidding Credit), </w:t>
      </w:r>
      <w:r>
        <w:t>II.H.2</w:t>
      </w:r>
      <w:r w:rsidRPr="00D764A7">
        <w:t xml:space="preserve"> (Rural Service Provider Bidding Credit)</w:t>
      </w:r>
      <w:r>
        <w:t>, above</w:t>
      </w:r>
      <w:r w:rsidRPr="00D764A7">
        <w:t>.</w:t>
      </w:r>
      <w:r w:rsidRPr="00D764A7">
        <w:rPr>
          <w:color w:val="000000"/>
        </w:rPr>
        <w:t xml:space="preserve"> </w:t>
      </w:r>
    </w:p>
  </w:footnote>
  <w:footnote w:id="207">
    <w:p w:rsidR="00FE4F2B" w:rsidRPr="00FE2E92" w:rsidP="00D6515C" w14:paraId="18D5058B" w14:textId="77777777">
      <w:pPr>
        <w:pStyle w:val="FootnoteText"/>
        <w:widowControl w:val="0"/>
      </w:pPr>
      <w:r w:rsidRPr="00FE2E92">
        <w:rPr>
          <w:rStyle w:val="FootnoteReference"/>
        </w:rPr>
        <w:footnoteRef/>
      </w:r>
      <w:r w:rsidRPr="00FE2E92">
        <w:t xml:space="preserve"> An applicant is considered a “current </w:t>
      </w:r>
      <w:r w:rsidRPr="00FE2E92">
        <w:t>defaulter” or a “current delinquent” when it, any of its affiliates, any of its controlling interests, or any of the affiliates of its controlling interests, is in default on any payment for any Commission construction permit or license (including a down p</w:t>
      </w:r>
      <w:r w:rsidRPr="00FE2E92">
        <w:t>ayment) or is delinquent on any non-tax debt owed to any Federal agency as of the filing deadline for auction applications.</w:t>
      </w:r>
      <w:r>
        <w:t xml:space="preserve">  </w:t>
      </w:r>
      <w:r w:rsidRPr="007B4B1B">
        <w:rPr>
          <w:i/>
        </w:rPr>
        <w:t>See</w:t>
      </w:r>
      <w:r>
        <w:t xml:space="preserve"> </w:t>
      </w:r>
      <w:r w:rsidRPr="008E579D">
        <w:rPr>
          <w:i/>
          <w:iCs/>
        </w:rPr>
        <w:t>Part 1 Fifth Report and Order</w:t>
      </w:r>
      <w:r w:rsidRPr="008E579D">
        <w:t xml:space="preserve">, 15 FCC Rcd at </w:t>
      </w:r>
      <w:r w:rsidRPr="00E61D1E">
        <w:t xml:space="preserve">15317, para. 42 </w:t>
      </w:r>
      <w:r>
        <w:t>&amp;</w:t>
      </w:r>
      <w:r w:rsidRPr="00E61D1E">
        <w:t xml:space="preserve"> n.142</w:t>
      </w:r>
      <w:r w:rsidRPr="001733C3">
        <w:t xml:space="preserve">; </w:t>
      </w:r>
      <w:r w:rsidRPr="00D04AB9">
        <w:rPr>
          <w:i/>
        </w:rPr>
        <w:t>Wireless Telecommunications Bureau Reminds Prospective Br</w:t>
      </w:r>
      <w:r w:rsidRPr="00D04AB9">
        <w:rPr>
          <w:i/>
        </w:rPr>
        <w:t>oadband PCS Spectrum Auction Applicants of Default and Delinquency Disclosure Requir</w:t>
      </w:r>
      <w:r w:rsidRPr="008E579D">
        <w:rPr>
          <w:i/>
        </w:rPr>
        <w:t>ements</w:t>
      </w:r>
      <w:r w:rsidRPr="008E579D">
        <w:t>, Public Notice, 19 FCC Rcd 21920 (2004) (</w:t>
      </w:r>
      <w:r w:rsidRPr="00EC608D">
        <w:rPr>
          <w:i/>
        </w:rPr>
        <w:t>Auction Default Disclosure Public</w:t>
      </w:r>
      <w:r w:rsidRPr="00EC608D">
        <w:t xml:space="preserve"> </w:t>
      </w:r>
      <w:r w:rsidRPr="00EC608D">
        <w:rPr>
          <w:i/>
        </w:rPr>
        <w:t>Notice</w:t>
      </w:r>
      <w:r w:rsidRPr="00EC608D">
        <w:t>).</w:t>
      </w:r>
      <w:r w:rsidRPr="00883F4A">
        <w:t xml:space="preserve">  This public notice may be found at </w:t>
      </w:r>
      <w:hyperlink r:id="rId6" w:history="1">
        <w:r w:rsidRPr="00D43B33">
          <w:rPr>
            <w:rStyle w:val="Hyperlink"/>
          </w:rPr>
          <w:t>www.fcc.gov/auction/58.</w:t>
        </w:r>
      </w:hyperlink>
    </w:p>
  </w:footnote>
  <w:footnote w:id="208">
    <w:p w:rsidR="00FE4F2B" w:rsidRPr="00D764A7" w:rsidP="00D6515C" w14:paraId="70648E3A" w14:textId="448D5A21">
      <w:pPr>
        <w:pStyle w:val="FootnoteText"/>
      </w:pPr>
      <w:r w:rsidRPr="00D764A7">
        <w:rPr>
          <w:rStyle w:val="FootnoteReference"/>
        </w:rPr>
        <w:footnoteRef/>
      </w:r>
      <w:r w:rsidRPr="00D764A7">
        <w:t xml:space="preserve"> 47 CFR §§ 1.2105(a)(2)(xi), (xii), (b)(1), 1.2106(a).</w:t>
      </w:r>
      <w:r>
        <w:t xml:space="preserve">  </w:t>
      </w:r>
      <w:r w:rsidRPr="00FE2E92">
        <w:t xml:space="preserve">For purposes of evaluating the certifications under </w:t>
      </w:r>
      <w:r>
        <w:t>sections</w:t>
      </w:r>
      <w:r w:rsidRPr="00FE2E92">
        <w:t xml:space="preserve"> 1.2105(a)(2)(xi) and (xii), we clarify that “non-tax debt owed to any Federal agency” includes, within the meaning of the rule, all amounts owed under Federal programs, including contributions to the Universal Service Fund</w:t>
      </w:r>
      <w:r>
        <w:t xml:space="preserve"> (USF)</w:t>
      </w:r>
      <w:r w:rsidRPr="00FE2E92">
        <w:t xml:space="preserve">, Telecommunications Relay </w:t>
      </w:r>
      <w:r w:rsidRPr="00FE2E92">
        <w:t>Service</w:t>
      </w:r>
      <w:r>
        <w:t>s</w:t>
      </w:r>
      <w:r w:rsidRPr="00FE2E92">
        <w:t xml:space="preserve"> Fund, and the North American Numbering Plan </w:t>
      </w:r>
      <w:r>
        <w:t>Administration</w:t>
      </w:r>
      <w:r w:rsidRPr="00FE2E92">
        <w:t>, notwithstanding that the administrator of any such fund may not be considered a Federal “agency” under the Debt Collection Improvement Act of 1996</w:t>
      </w:r>
      <w:r>
        <w:t>,</w:t>
      </w:r>
      <w:r w:rsidRPr="00FE2E92">
        <w:t xml:space="preserve"> Pub. L. No. 104-134, 110 Stat. 1321 (19</w:t>
      </w:r>
      <w:r w:rsidRPr="00FE2E92">
        <w:t>96) (codified in relevant parts at 31 U.S.C. §§ 3716 (administrative offset)</w:t>
      </w:r>
      <w:r>
        <w:t>,</w:t>
      </w:r>
      <w:r w:rsidRPr="00FE2E92">
        <w:t xml:space="preserve"> 3717 (interest and penalty on claims)); </w:t>
      </w:r>
      <w:r w:rsidRPr="00FE2E92">
        <w:rPr>
          <w:i/>
        </w:rPr>
        <w:t>see also</w:t>
      </w:r>
      <w:r w:rsidRPr="00FE2E92">
        <w:t xml:space="preserve"> 47 CFR §§ 1.1901, 1.1911, 1.1912, 1.1940.  For example, an applicant with a past due USF contribution as of the auction applicati</w:t>
      </w:r>
      <w:r w:rsidRPr="00FE2E92">
        <w:t xml:space="preserve">on filing deadline would be disqualified from participating in </w:t>
      </w:r>
      <w:r>
        <w:t>Auction 107</w:t>
      </w:r>
      <w:r w:rsidRPr="00FE2E92">
        <w:t xml:space="preserve"> under the Commission’s rules.  47 CFR §</w:t>
      </w:r>
      <w:r>
        <w:t> </w:t>
      </w:r>
      <w:r w:rsidRPr="00FE2E92">
        <w:t>1.2105(a)(2)(xi)</w:t>
      </w:r>
      <w:r>
        <w:t>,</w:t>
      </w:r>
      <w:r w:rsidRPr="00FE2E92">
        <w:t xml:space="preserve"> (b)(1).  If, however, the applicant cures the overdue debt prior to the auction application filing deadline (and such debt </w:t>
      </w:r>
      <w:r w:rsidRPr="00FE2E92">
        <w:t xml:space="preserve">does not fall within one of the exclusions described </w:t>
      </w:r>
      <w:r>
        <w:t xml:space="preserve">in </w:t>
      </w:r>
      <w:r w:rsidRPr="004F774F">
        <w:t xml:space="preserve">paragraph </w:t>
      </w:r>
      <w:r>
        <w:t>89 of this Public Notice)</w:t>
      </w:r>
      <w:r w:rsidRPr="00FE2E92">
        <w:t>,</w:t>
      </w:r>
      <w:r>
        <w:t xml:space="preserve"> then</w:t>
      </w:r>
      <w:r w:rsidRPr="00FE2E92">
        <w:t xml:space="preserve"> it may be eligible to participate in </w:t>
      </w:r>
      <w:r>
        <w:t>Auction 107</w:t>
      </w:r>
      <w:r w:rsidRPr="00FE2E92">
        <w:t xml:space="preserve"> as a former defaulter under the Commission’s rules. </w:t>
      </w:r>
      <w:r>
        <w:t xml:space="preserve"> </w:t>
      </w:r>
      <w:r w:rsidRPr="007803A9">
        <w:rPr>
          <w:i/>
        </w:rPr>
        <w:t>See</w:t>
      </w:r>
      <w:r w:rsidRPr="00FE2E92">
        <w:t xml:space="preserve"> </w:t>
      </w:r>
      <w:r w:rsidRPr="00A558E2">
        <w:rPr>
          <w:i/>
        </w:rPr>
        <w:t xml:space="preserve">id. </w:t>
      </w:r>
      <w:r w:rsidRPr="00FE2E92">
        <w:t>§§</w:t>
      </w:r>
      <w:r>
        <w:t> </w:t>
      </w:r>
      <w:r w:rsidRPr="00FE2E92">
        <w:t>1.2105(a)(2)(xii), 1.2106(a)</w:t>
      </w:r>
      <w:r>
        <w:t>.  For additional</w:t>
      </w:r>
      <w:r>
        <w:t xml:space="preserve"> information on upfront payments and related forms, </w:t>
      </w:r>
      <w:r w:rsidRPr="0066488F">
        <w:t>see</w:t>
      </w:r>
      <w:r>
        <w:rPr>
          <w:i/>
          <w:iCs/>
        </w:rPr>
        <w:t xml:space="preserve"> </w:t>
      </w:r>
      <w:r>
        <w:t xml:space="preserve">section </w:t>
      </w:r>
      <w:r w:rsidRPr="00DB0ABB">
        <w:t>III.F</w:t>
      </w:r>
      <w:r>
        <w:t xml:space="preserve"> (Upfront Payments), below.</w:t>
      </w:r>
    </w:p>
  </w:footnote>
  <w:footnote w:id="209">
    <w:p w:rsidR="00FE4F2B" w:rsidRPr="00D764A7" w:rsidP="00D6515C" w14:paraId="5CB14B51" w14:textId="378A1DE2">
      <w:pPr>
        <w:pStyle w:val="FootnoteText"/>
        <w:rPr>
          <w:rStyle w:val="FootnoteTextChar"/>
        </w:rPr>
      </w:pPr>
      <w:r w:rsidRPr="00D764A7">
        <w:rPr>
          <w:rStyle w:val="FootnoteReference"/>
        </w:rPr>
        <w:footnoteRef/>
      </w:r>
      <w:r w:rsidRPr="00D764A7">
        <w:rPr>
          <w:rStyle w:val="FootnoteReference"/>
        </w:rPr>
        <w:t xml:space="preserve"> </w:t>
      </w:r>
      <w:r w:rsidRPr="00D764A7">
        <w:t>47 CFR</w:t>
      </w:r>
      <w:r w:rsidRPr="00D764A7">
        <w:rPr>
          <w:snapToGrid w:val="0"/>
        </w:rPr>
        <w:t xml:space="preserve"> § 1.2105(a)(2)(x</w:t>
      </w:r>
      <w:r>
        <w:rPr>
          <w:snapToGrid w:val="0"/>
        </w:rPr>
        <w:t>i</w:t>
      </w:r>
      <w:r w:rsidRPr="00D764A7">
        <w:rPr>
          <w:snapToGrid w:val="0"/>
        </w:rPr>
        <w:t xml:space="preserve">); </w:t>
      </w:r>
      <w:r w:rsidRPr="00D764A7">
        <w:rPr>
          <w:i/>
          <w:snapToGrid w:val="0"/>
        </w:rPr>
        <w:t xml:space="preserve">see also </w:t>
      </w:r>
      <w:r w:rsidRPr="00D764A7">
        <w:rPr>
          <w:i/>
        </w:rPr>
        <w:t>Part</w:t>
      </w:r>
      <w:r w:rsidRPr="00D764A7">
        <w:rPr>
          <w:i/>
          <w:snapToGrid w:val="0"/>
        </w:rPr>
        <w:t xml:space="preserve"> 1 Fifth Report and Order</w:t>
      </w:r>
      <w:r w:rsidRPr="00D764A7">
        <w:rPr>
          <w:snapToGrid w:val="0"/>
        </w:rPr>
        <w:t>, 15 FCC Rcd at 15317</w:t>
      </w:r>
      <w:r>
        <w:rPr>
          <w:snapToGrid w:val="0"/>
        </w:rPr>
        <w:t>,</w:t>
      </w:r>
      <w:r w:rsidRPr="00D764A7">
        <w:rPr>
          <w:snapToGrid w:val="0"/>
        </w:rPr>
        <w:t xml:space="preserve"> para. 42 </w:t>
      </w:r>
      <w:r>
        <w:rPr>
          <w:snapToGrid w:val="0"/>
        </w:rPr>
        <w:t xml:space="preserve">&amp; </w:t>
      </w:r>
      <w:r w:rsidRPr="00D764A7">
        <w:rPr>
          <w:snapToGrid w:val="0"/>
        </w:rPr>
        <w:t>n.142</w:t>
      </w:r>
      <w:r>
        <w:rPr>
          <w:snapToGrid w:val="0"/>
        </w:rPr>
        <w:t xml:space="preserve"> </w:t>
      </w:r>
      <w:r w:rsidRPr="00FE2E92">
        <w:t>(“If any one of an applicant’s controlling interests</w:t>
      </w:r>
      <w:r w:rsidRPr="00FE2E92">
        <w:t xml:space="preserve"> or their affiliates</w:t>
      </w:r>
      <w:r>
        <w:t xml:space="preserve"> . . . is</w:t>
      </w:r>
      <w:r w:rsidRPr="00FE2E92">
        <w:t xml:space="preserve"> in default on any Commission licenses or is delinquent on any non-tax debt owed to any Federal agency at the time the applicant files it[s] FCC Form 175, the applicant will not be able to make the certification required by </w:t>
      </w:r>
      <w:r>
        <w:t>S</w:t>
      </w:r>
      <w:r w:rsidRPr="00FE2E92">
        <w:t>ec</w:t>
      </w:r>
      <w:r w:rsidRPr="00FE2E92">
        <w:t>tion 1.2105(a)(2)(x)</w:t>
      </w:r>
      <w:r>
        <w:t xml:space="preserve"> . . . </w:t>
      </w:r>
      <w:r w:rsidRPr="00FE2E92">
        <w:t>and will not be eligible to participate in Commission auctions.”)</w:t>
      </w:r>
      <w:r w:rsidRPr="00D764A7">
        <w:rPr>
          <w:snapToGrid w:val="0"/>
        </w:rPr>
        <w:t xml:space="preserve">.  </w:t>
      </w:r>
    </w:p>
  </w:footnote>
  <w:footnote w:id="210">
    <w:p w:rsidR="00FE4F2B" w:rsidP="00D6515C" w14:paraId="18A35332" w14:textId="77777777">
      <w:pPr>
        <w:pStyle w:val="FootnoteText"/>
        <w:widowControl w:val="0"/>
      </w:pPr>
      <w:r>
        <w:rPr>
          <w:rStyle w:val="FootnoteReference"/>
        </w:rPr>
        <w:footnoteRef/>
      </w:r>
      <w:r>
        <w:t xml:space="preserve"> 47 CFR § 1.2105(a)(2)</w:t>
      </w:r>
      <w:r w:rsidRPr="00883F4A">
        <w:t>(xii)</w:t>
      </w:r>
      <w:r>
        <w:t>.</w:t>
      </w:r>
    </w:p>
  </w:footnote>
  <w:footnote w:id="211">
    <w:p w:rsidR="00FE4F2B" w:rsidRPr="00FE2E92" w:rsidP="00D6515C" w14:paraId="4CBB66CD" w14:textId="77777777">
      <w:pPr>
        <w:pStyle w:val="FootnoteText"/>
        <w:widowControl w:val="0"/>
      </w:pPr>
      <w:r w:rsidRPr="00FE2E92">
        <w:rPr>
          <w:rStyle w:val="FootnoteReference"/>
        </w:rPr>
        <w:footnoteRef/>
      </w:r>
      <w:r w:rsidRPr="00FE2E92">
        <w:t xml:space="preserve"> </w:t>
      </w:r>
      <w:r w:rsidRPr="007803A9">
        <w:rPr>
          <w:i/>
        </w:rPr>
        <w:t>Id.</w:t>
      </w:r>
      <w:r w:rsidRPr="00925FC2">
        <w:rPr>
          <w:i/>
        </w:rPr>
        <w:t xml:space="preserve"> </w:t>
      </w:r>
      <w:r w:rsidRPr="00FE2E92">
        <w:t>§ 1.2105(</w:t>
      </w:r>
      <w:r>
        <w:t>a</w:t>
      </w:r>
      <w:r w:rsidRPr="00FE2E92">
        <w:t>)(4)(i).</w:t>
      </w:r>
    </w:p>
  </w:footnote>
  <w:footnote w:id="212">
    <w:p w:rsidR="00FE4F2B" w:rsidRPr="00FE2E92" w:rsidP="00D6515C" w14:paraId="4C63A4CF" w14:textId="4FD427F3">
      <w:pPr>
        <w:pStyle w:val="FootnoteText"/>
        <w:widowControl w:val="0"/>
      </w:pPr>
      <w:r w:rsidRPr="00FE2E92">
        <w:rPr>
          <w:rStyle w:val="FootnoteReference"/>
        </w:rPr>
        <w:footnoteRef/>
      </w:r>
      <w:r w:rsidRPr="00FE2E92">
        <w:t xml:space="preserve"> </w:t>
      </w:r>
      <w:r>
        <w:t xml:space="preserve">In 2015, the Commission narrowed the scope of the individuals and entities to be considered for purposes of the former defaulter rule.  </w:t>
      </w:r>
      <w:r>
        <w:rPr>
          <w:i/>
        </w:rPr>
        <w:t xml:space="preserve">Updating Part 1 </w:t>
      </w:r>
      <w:r w:rsidRPr="00FE2E92">
        <w:rPr>
          <w:i/>
        </w:rPr>
        <w:t>R</w:t>
      </w:r>
      <w:r>
        <w:rPr>
          <w:i/>
        </w:rPr>
        <w:t xml:space="preserve">eport and </w:t>
      </w:r>
      <w:r w:rsidRPr="00FE2E92">
        <w:rPr>
          <w:i/>
        </w:rPr>
        <w:t>O</w:t>
      </w:r>
      <w:r>
        <w:rPr>
          <w:i/>
        </w:rPr>
        <w:t>rder</w:t>
      </w:r>
      <w:r w:rsidRPr="00FE2E92">
        <w:t>,</w:t>
      </w:r>
      <w:r w:rsidRPr="00425C7C">
        <w:t xml:space="preserve"> </w:t>
      </w:r>
      <w:r w:rsidRPr="00FE2E92">
        <w:t xml:space="preserve">30 FCC Rcd at </w:t>
      </w:r>
      <w:r>
        <w:t>7568,</w:t>
      </w:r>
      <w:r w:rsidRPr="00FE2E92">
        <w:t xml:space="preserve"> para. 175</w:t>
      </w:r>
      <w:r>
        <w:t xml:space="preserve">; </w:t>
      </w:r>
      <w:r>
        <w:rPr>
          <w:i/>
        </w:rPr>
        <w:t>s</w:t>
      </w:r>
      <w:r w:rsidRPr="00FE2E92">
        <w:rPr>
          <w:i/>
        </w:rPr>
        <w:t>ee</w:t>
      </w:r>
      <w:r w:rsidRPr="00425C7C">
        <w:rPr>
          <w:i/>
        </w:rPr>
        <w:t xml:space="preserve"> </w:t>
      </w:r>
      <w:r w:rsidRPr="00FE2E92">
        <w:t>47 CFR §</w:t>
      </w:r>
      <w:r>
        <w:t> </w:t>
      </w:r>
      <w:r w:rsidRPr="00FE2E92">
        <w:t>1.2105(a)(2)(xii), (a)(4).</w:t>
      </w:r>
    </w:p>
  </w:footnote>
  <w:footnote w:id="213">
    <w:p w:rsidR="00FE4F2B" w:rsidRPr="00D764A7" w:rsidP="00D6515C" w14:paraId="25B666FA" w14:textId="190D7902">
      <w:pPr>
        <w:pStyle w:val="FootnoteText"/>
      </w:pPr>
      <w:r w:rsidRPr="00D764A7">
        <w:rPr>
          <w:rStyle w:val="FootnoteReference"/>
        </w:rPr>
        <w:footnoteRef/>
      </w:r>
      <w:r>
        <w:t xml:space="preserve"> </w:t>
      </w:r>
      <w:r w:rsidRPr="00D764A7">
        <w:t>47 CFR § 1.21</w:t>
      </w:r>
      <w:r w:rsidRPr="00D764A7">
        <w:t xml:space="preserve">05(a)(2)(xii), (a)(4); </w:t>
      </w:r>
      <w:r w:rsidRPr="00D764A7">
        <w:rPr>
          <w:i/>
        </w:rPr>
        <w:t>see also</w:t>
      </w:r>
      <w:r w:rsidRPr="00D764A7">
        <w:t xml:space="preserve"> </w:t>
      </w:r>
      <w:r>
        <w:rPr>
          <w:i/>
        </w:rPr>
        <w:t xml:space="preserve">Updating Part 1 </w:t>
      </w:r>
      <w:r w:rsidRPr="00D764A7">
        <w:rPr>
          <w:i/>
        </w:rPr>
        <w:t xml:space="preserve">Report </w:t>
      </w:r>
      <w:r>
        <w:rPr>
          <w:i/>
        </w:rPr>
        <w:t>and</w:t>
      </w:r>
      <w:r w:rsidRPr="00D764A7">
        <w:rPr>
          <w:i/>
        </w:rPr>
        <w:t xml:space="preserve"> Order</w:t>
      </w:r>
      <w:r w:rsidRPr="00D764A7">
        <w:t xml:space="preserve">, 30 FCC Rcd at 7566-68, paras. 173-75.  </w:t>
      </w:r>
      <w:r w:rsidRPr="00FE2E92">
        <w:rPr>
          <w:color w:val="000000"/>
        </w:rPr>
        <w:t>Additionally, for purposes of the certification required on an FCC Form 175, a debt will not be deemed to be in default or delinquent until after the e</w:t>
      </w:r>
      <w:r w:rsidRPr="00FE2E92">
        <w:rPr>
          <w:color w:val="000000"/>
        </w:rPr>
        <w:t xml:space="preserve">xpiration of a final payment deadline.  </w:t>
      </w:r>
      <w:r w:rsidRPr="00FE2E92">
        <w:rPr>
          <w:i/>
          <w:color w:val="000000"/>
        </w:rPr>
        <w:t>See</w:t>
      </w:r>
      <w:r w:rsidRPr="00C015C5">
        <w:rPr>
          <w:i/>
          <w:color w:val="000000"/>
        </w:rPr>
        <w:t>,</w:t>
      </w:r>
      <w:r w:rsidRPr="00FE2E92">
        <w:rPr>
          <w:color w:val="000000"/>
        </w:rPr>
        <w:t xml:space="preserve"> </w:t>
      </w:r>
      <w:r w:rsidRPr="00FE2E92">
        <w:rPr>
          <w:i/>
          <w:color w:val="000000"/>
        </w:rPr>
        <w:t>e</w:t>
      </w:r>
      <w:r w:rsidRPr="00FE2E92">
        <w:rPr>
          <w:color w:val="000000"/>
        </w:rPr>
        <w:t>.</w:t>
      </w:r>
      <w:r w:rsidRPr="00FE2E92">
        <w:rPr>
          <w:i/>
          <w:color w:val="000000"/>
        </w:rPr>
        <w:t>g</w:t>
      </w:r>
      <w:r w:rsidRPr="00386B51">
        <w:rPr>
          <w:i/>
          <w:color w:val="000000"/>
        </w:rPr>
        <w:t>., Expedited Clarification of Sections 1.2105(a) and 1.2106(a) of the Commission's Rule</w:t>
      </w:r>
      <w:r>
        <w:rPr>
          <w:i/>
          <w:color w:val="000000"/>
        </w:rPr>
        <w:t>s</w:t>
      </w:r>
      <w:r>
        <w:rPr>
          <w:color w:val="000000"/>
        </w:rPr>
        <w:t xml:space="preserve">, Letter Order, </w:t>
      </w:r>
      <w:r w:rsidRPr="00FE2E92">
        <w:rPr>
          <w:color w:val="000000"/>
        </w:rPr>
        <w:t>19 FCC Rcd 22907 (</w:t>
      </w:r>
      <w:r>
        <w:rPr>
          <w:color w:val="000000"/>
        </w:rPr>
        <w:t xml:space="preserve">WTB </w:t>
      </w:r>
      <w:r w:rsidRPr="00FE2E92">
        <w:rPr>
          <w:color w:val="000000"/>
        </w:rPr>
        <w:t>2004</w:t>
      </w:r>
      <w:r>
        <w:rPr>
          <w:color w:val="000000"/>
        </w:rPr>
        <w:t>)</w:t>
      </w:r>
      <w:r w:rsidRPr="00FE2E92">
        <w:rPr>
          <w:color w:val="000000"/>
        </w:rPr>
        <w:t>.  Thus, to the extent that the rules providing for payment of a specific federal debt permit payment after an original payment deadline accompanied by late fee(s), such debts would not be in default or delinquent for purposes of applying the former defaul</w:t>
      </w:r>
      <w:r w:rsidRPr="00FE2E92">
        <w:rPr>
          <w:color w:val="000000"/>
        </w:rPr>
        <w:t xml:space="preserve">ter rules until after the late payment deadline.  In addition, </w:t>
      </w:r>
      <w:r>
        <w:rPr>
          <w:color w:val="000000"/>
        </w:rPr>
        <w:t>we</w:t>
      </w:r>
      <w:r w:rsidRPr="00FE2E92">
        <w:rPr>
          <w:color w:val="000000"/>
        </w:rPr>
        <w:t xml:space="preserve"> provide the following </w:t>
      </w:r>
      <w:r>
        <w:rPr>
          <w:color w:val="000000"/>
        </w:rPr>
        <w:t>regarding</w:t>
      </w:r>
      <w:r w:rsidRPr="00FE2E92">
        <w:rPr>
          <w:color w:val="000000"/>
        </w:rPr>
        <w:t xml:space="preserve"> defaults on Commission licenses</w:t>
      </w:r>
      <w:r>
        <w:rPr>
          <w:color w:val="000000"/>
        </w:rPr>
        <w:t>:</w:t>
      </w:r>
      <w:r w:rsidRPr="00FE2E92">
        <w:rPr>
          <w:color w:val="000000"/>
        </w:rPr>
        <w:t xml:space="preserve"> </w:t>
      </w:r>
      <w:r>
        <w:rPr>
          <w:color w:val="000000"/>
        </w:rPr>
        <w:t xml:space="preserve"> a</w:t>
      </w:r>
      <w:r w:rsidRPr="00FE2E92">
        <w:rPr>
          <w:color w:val="000000"/>
        </w:rPr>
        <w:t xml:space="preserve">ny winning bidder that fails to timely pay its post-auction down payment or the balance of its </w:t>
      </w:r>
      <w:r>
        <w:rPr>
          <w:color w:val="000000"/>
        </w:rPr>
        <w:t>final winning bid amount(s)</w:t>
      </w:r>
      <w:r w:rsidRPr="00FE2E92">
        <w:rPr>
          <w:color w:val="000000"/>
        </w:rPr>
        <w:t xml:space="preserve"> </w:t>
      </w:r>
      <w:r w:rsidRPr="00FE2E92">
        <w:rPr>
          <w:color w:val="000000"/>
        </w:rPr>
        <w:t>or is disqualified for any reason after the close of an auction will be in default and subject to a default payment.  47 CFR § 1.2109(c).  Commission staff provide individual notice of the amount of such a default payment as well as procedures and informat</w:t>
      </w:r>
      <w:r w:rsidRPr="00FE2E92">
        <w:rPr>
          <w:color w:val="000000"/>
        </w:rPr>
        <w:t>ion required by the Debt Collection Improvement Act of 1996, including the payment due date and any charges, interest, and/or penalties that accrue in the event of delinquency.</w:t>
      </w:r>
      <w:r>
        <w:rPr>
          <w:color w:val="000000"/>
        </w:rPr>
        <w:t xml:space="preserve"> </w:t>
      </w:r>
      <w:r w:rsidRPr="00FE2E92">
        <w:rPr>
          <w:color w:val="000000"/>
        </w:rPr>
        <w:t xml:space="preserve"> </w:t>
      </w:r>
      <w:r w:rsidRPr="00FE2E92">
        <w:rPr>
          <w:i/>
          <w:color w:val="000000"/>
        </w:rPr>
        <w:t>See</w:t>
      </w:r>
      <w:r w:rsidRPr="00925FC2">
        <w:rPr>
          <w:i/>
          <w:color w:val="000000"/>
        </w:rPr>
        <w:t>,</w:t>
      </w:r>
      <w:r w:rsidRPr="00FE2E92">
        <w:rPr>
          <w:color w:val="000000"/>
        </w:rPr>
        <w:t xml:space="preserve"> </w:t>
      </w:r>
      <w:r w:rsidRPr="00FE2E92">
        <w:rPr>
          <w:i/>
          <w:color w:val="000000"/>
        </w:rPr>
        <w:t>e</w:t>
      </w:r>
      <w:r w:rsidRPr="00FE2E92">
        <w:rPr>
          <w:color w:val="000000"/>
        </w:rPr>
        <w:t>.</w:t>
      </w:r>
      <w:r w:rsidRPr="00FE2E92">
        <w:rPr>
          <w:i/>
          <w:color w:val="000000"/>
        </w:rPr>
        <w:t>g</w:t>
      </w:r>
      <w:r w:rsidRPr="00FE2E92">
        <w:rPr>
          <w:color w:val="000000"/>
        </w:rPr>
        <w:t>., 31 U.S.C. §§ 3716, 3717; 47 CFR §§ 1.1911, 1.1912, 1.1940.  For pur</w:t>
      </w:r>
      <w:r w:rsidRPr="00FE2E92">
        <w:rPr>
          <w:color w:val="000000"/>
        </w:rPr>
        <w:t>poses of the certifications required on an FCC Form 175, such notice provided by Commission staff assessing a default payment arising out of a default on a winning bid constitutes notice of the final payment deadline with respect to a default on a Commissi</w:t>
      </w:r>
      <w:r w:rsidRPr="00FE2E92">
        <w:rPr>
          <w:color w:val="000000"/>
        </w:rPr>
        <w:t>on license.</w:t>
      </w:r>
    </w:p>
  </w:footnote>
  <w:footnote w:id="214">
    <w:p w:rsidR="00FE4F2B" w:rsidRPr="00FE2E92" w:rsidP="00D6515C" w14:paraId="61994D20" w14:textId="1C675AAE">
      <w:pPr>
        <w:pStyle w:val="FootnoteText"/>
        <w:widowControl w:val="0"/>
      </w:pPr>
      <w:r w:rsidRPr="00FE2E92">
        <w:rPr>
          <w:rStyle w:val="FootnoteReference"/>
        </w:rPr>
        <w:footnoteRef/>
      </w:r>
      <w:r w:rsidRPr="00FE2E92">
        <w:t xml:space="preserve"> </w:t>
      </w:r>
      <w:r>
        <w:rPr>
          <w:i/>
        </w:rPr>
        <w:t xml:space="preserve">Updating Part 1 </w:t>
      </w:r>
      <w:r w:rsidRPr="007B4B1B">
        <w:rPr>
          <w:i/>
        </w:rPr>
        <w:t>R</w:t>
      </w:r>
      <w:r>
        <w:rPr>
          <w:i/>
        </w:rPr>
        <w:t xml:space="preserve">eport and </w:t>
      </w:r>
      <w:r w:rsidRPr="007B4B1B">
        <w:rPr>
          <w:i/>
        </w:rPr>
        <w:t>O</w:t>
      </w:r>
      <w:r>
        <w:rPr>
          <w:i/>
        </w:rPr>
        <w:t>rder</w:t>
      </w:r>
      <w:r w:rsidRPr="00FE2E92">
        <w:t>, 30 FCC Rcd at 7566, para.</w:t>
      </w:r>
      <w:r>
        <w:t xml:space="preserve"> </w:t>
      </w:r>
      <w:r w:rsidRPr="00FE2E92">
        <w:t>173</w:t>
      </w:r>
      <w:r>
        <w:t xml:space="preserve"> &amp;</w:t>
      </w:r>
      <w:r w:rsidRPr="00FE2E92">
        <w:t xml:space="preserve"> n.556.</w:t>
      </w:r>
    </w:p>
  </w:footnote>
  <w:footnote w:id="215">
    <w:p w:rsidR="00FE4F2B" w:rsidRPr="00FE2E92" w:rsidP="00D6515C" w14:paraId="5130A954" w14:textId="2ECFF935">
      <w:pPr>
        <w:pStyle w:val="FootnoteText"/>
        <w:widowControl w:val="0"/>
      </w:pPr>
      <w:r w:rsidRPr="00FE2E92">
        <w:rPr>
          <w:rStyle w:val="FootnoteReference"/>
        </w:rPr>
        <w:footnoteRef/>
      </w:r>
      <w:r w:rsidRPr="00FE2E92">
        <w:t xml:space="preserve"> </w:t>
      </w:r>
      <w:r>
        <w:rPr>
          <w:i/>
        </w:rPr>
        <w:t>I</w:t>
      </w:r>
      <w:r w:rsidRPr="00FE2E92">
        <w:rPr>
          <w:i/>
        </w:rPr>
        <w:t>d.</w:t>
      </w:r>
      <w:r>
        <w:rPr>
          <w:i/>
        </w:rPr>
        <w:t xml:space="preserve"> </w:t>
      </w:r>
      <w:r>
        <w:t>at 7567, para. 173 &amp; n.559.</w:t>
      </w:r>
      <w:r w:rsidRPr="00FE2E92">
        <w:rPr>
          <w:i/>
        </w:rPr>
        <w:t xml:space="preserve"> </w:t>
      </w:r>
    </w:p>
  </w:footnote>
  <w:footnote w:id="216">
    <w:p w:rsidR="00FE4F2B" w:rsidRPr="00D764A7" w:rsidP="00D6515C" w14:paraId="52DCDA26" w14:textId="0A72E220">
      <w:pPr>
        <w:pStyle w:val="FootnoteText"/>
      </w:pPr>
      <w:r w:rsidRPr="00D764A7">
        <w:rPr>
          <w:rStyle w:val="FootnoteReference"/>
        </w:rPr>
        <w:footnoteRef/>
      </w:r>
      <w:r w:rsidRPr="00D764A7">
        <w:t xml:space="preserve"> </w:t>
      </w:r>
      <w:r w:rsidRPr="008113BE">
        <w:rPr>
          <w:i/>
          <w:iCs/>
        </w:rPr>
        <w:t>See</w:t>
      </w:r>
      <w:r>
        <w:t xml:space="preserve"> </w:t>
      </w:r>
      <w:r w:rsidRPr="00D764A7">
        <w:rPr>
          <w:i/>
        </w:rPr>
        <w:t>Auction Default Disclosure Public</w:t>
      </w:r>
      <w:r w:rsidRPr="00D764A7">
        <w:t xml:space="preserve"> </w:t>
      </w:r>
      <w:r w:rsidRPr="00D764A7">
        <w:rPr>
          <w:i/>
        </w:rPr>
        <w:t>Notice</w:t>
      </w:r>
      <w:r w:rsidRPr="00D764A7">
        <w:t xml:space="preserve">, 19 FCC Rcd at 21920. </w:t>
      </w:r>
    </w:p>
  </w:footnote>
  <w:footnote w:id="217">
    <w:p w:rsidR="00FE4F2B" w:rsidRPr="00D764A7" w:rsidP="00D6515C" w14:paraId="7DA9CD73" w14:textId="359404C9">
      <w:pPr>
        <w:pStyle w:val="FootnoteText"/>
      </w:pPr>
      <w:r w:rsidRPr="00D764A7">
        <w:rPr>
          <w:rStyle w:val="FootnoteReference"/>
        </w:rPr>
        <w:footnoteRef/>
      </w:r>
      <w:r w:rsidRPr="00D764A7">
        <w:t xml:space="preserve"> </w:t>
      </w:r>
      <w:r w:rsidRPr="00D764A7">
        <w:rPr>
          <w:i/>
        </w:rPr>
        <w:t>Amendment of Parts 0 and 1 of the Commission's Rules; Implemen</w:t>
      </w:r>
      <w:r w:rsidRPr="00D764A7">
        <w:rPr>
          <w:i/>
        </w:rPr>
        <w:t>tation of the Debt Collection Improvement Act of 1996 and Adoption of Rules Governing Applications or Requests for Benefits by Delinquent Debtors</w:t>
      </w:r>
      <w:r w:rsidRPr="00D764A7">
        <w:t xml:space="preserve">, </w:t>
      </w:r>
      <w:r>
        <w:t xml:space="preserve">MD Docket No. 02-339, </w:t>
      </w:r>
      <w:r w:rsidRPr="00D764A7">
        <w:t>Report and Order, 19 FCC Rcd 6540 (2004) (</w:t>
      </w:r>
      <w:r w:rsidRPr="00D764A7">
        <w:rPr>
          <w:i/>
        </w:rPr>
        <w:t>Debt Collection Report and Order</w:t>
      </w:r>
      <w:r w:rsidRPr="00D764A7">
        <w:t>).</w:t>
      </w:r>
    </w:p>
  </w:footnote>
  <w:footnote w:id="218">
    <w:p w:rsidR="00FE4F2B" w:rsidRPr="00D764A7" w:rsidP="00D6515C" w14:paraId="763BB953" w14:textId="7B982EDB">
      <w:pPr>
        <w:pStyle w:val="FootnoteText"/>
      </w:pPr>
      <w:r w:rsidRPr="00D764A7">
        <w:rPr>
          <w:rStyle w:val="FootnoteReference"/>
        </w:rPr>
        <w:footnoteRef/>
      </w:r>
      <w:r w:rsidRPr="00D764A7">
        <w:t xml:space="preserve"> </w:t>
      </w:r>
      <w:r w:rsidRPr="00D764A7">
        <w:rPr>
          <w:i/>
        </w:rPr>
        <w:t>Id</w:t>
      </w:r>
      <w:r w:rsidRPr="00D764A7">
        <w:t>.</w:t>
      </w:r>
      <w:r>
        <w:t xml:space="preserve"> </w:t>
      </w:r>
      <w:r w:rsidRPr="00D764A7">
        <w:t xml:space="preserve">at </w:t>
      </w:r>
      <w:r w:rsidRPr="00D764A7">
        <w:t>6541</w:t>
      </w:r>
      <w:r>
        <w:t>, para. 3</w:t>
      </w:r>
      <w:r w:rsidRPr="00D764A7">
        <w:t xml:space="preserve"> </w:t>
      </w:r>
      <w:r>
        <w:t xml:space="preserve">&amp; </w:t>
      </w:r>
      <w:r w:rsidRPr="00D764A7">
        <w:t>n.11 (specifically noting the current defaulter and former defaulter certifications of 47 CFR §</w:t>
      </w:r>
      <w:r>
        <w:t> </w:t>
      </w:r>
      <w:r w:rsidRPr="00D764A7">
        <w:t>1.2105(a)(2)(x) and (xi) and stating that “[t]hese rules are not affected by the red light rule”).</w:t>
      </w:r>
    </w:p>
  </w:footnote>
  <w:footnote w:id="219">
    <w:p w:rsidR="00FE4F2B" w:rsidRPr="00D764A7" w:rsidP="00D6515C" w14:paraId="6C418B6D" w14:textId="184A8823">
      <w:pPr>
        <w:pStyle w:val="FootnoteText"/>
      </w:pPr>
      <w:r w:rsidRPr="00D764A7">
        <w:rPr>
          <w:rStyle w:val="FootnoteReference"/>
        </w:rPr>
        <w:footnoteRef/>
      </w:r>
      <w:r>
        <w:t xml:space="preserve"> </w:t>
      </w:r>
      <w:r w:rsidRPr="00D764A7">
        <w:rPr>
          <w:i/>
        </w:rPr>
        <w:t>Auction Default Disclosure Public Notice</w:t>
      </w:r>
      <w:r w:rsidRPr="00D764A7">
        <w:t>, 1</w:t>
      </w:r>
      <w:r w:rsidRPr="00D764A7">
        <w:t>9 FCC Rcd at 21920 (addressing relationship between Commission’s Red Light Display System and short-form application default and delinquency disclosure requirements for auction applicants).</w:t>
      </w:r>
      <w:r>
        <w:t xml:space="preserve">  To access the Commission’s Red Light Display System, go to </w:t>
      </w:r>
      <w:hyperlink r:id="rId7" w:history="1">
        <w:r w:rsidRPr="00532217">
          <w:rPr>
            <w:rStyle w:val="Hyperlink"/>
          </w:rPr>
          <w:t>https://apps.fcc.gov/redlight/login.cfm</w:t>
        </w:r>
      </w:hyperlink>
      <w:r>
        <w:t>.</w:t>
      </w:r>
    </w:p>
  </w:footnote>
  <w:footnote w:id="220">
    <w:p w:rsidR="00FE4F2B" w:rsidRPr="00D764A7" w:rsidP="00D6515C" w14:paraId="298ED28E" w14:textId="77777777">
      <w:pPr>
        <w:pStyle w:val="FootnoteText"/>
      </w:pPr>
      <w:r w:rsidRPr="00D764A7">
        <w:rPr>
          <w:rStyle w:val="FootnoteReference"/>
        </w:rPr>
        <w:footnoteRef/>
      </w:r>
      <w:r w:rsidRPr="00D764A7">
        <w:t xml:space="preserve"> </w:t>
      </w:r>
      <w:r w:rsidRPr="00D764A7">
        <w:rPr>
          <w:i/>
        </w:rPr>
        <w:t>Debt Collection Report and Order</w:t>
      </w:r>
      <w:r w:rsidRPr="00D764A7">
        <w:t xml:space="preserve">, 19 FCC Rcd at 6540-42, paras. 1, 3-5; </w:t>
      </w:r>
      <w:r w:rsidRPr="00D764A7">
        <w:rPr>
          <w:i/>
        </w:rPr>
        <w:t>see also</w:t>
      </w:r>
      <w:r w:rsidRPr="00D764A7">
        <w:t xml:space="preserve"> 47 CFR § 1.1114.</w:t>
      </w:r>
    </w:p>
  </w:footnote>
  <w:footnote w:id="221">
    <w:p w:rsidR="00FE4F2B" w:rsidRPr="00D764A7" w:rsidP="00D6515C" w14:paraId="67305219" w14:textId="77777777">
      <w:pPr>
        <w:pStyle w:val="FootnoteText"/>
      </w:pPr>
      <w:r w:rsidRPr="00D764A7">
        <w:rPr>
          <w:rStyle w:val="FootnoteReference"/>
        </w:rPr>
        <w:footnoteRef/>
      </w:r>
      <w:r w:rsidRPr="00D764A7">
        <w:t xml:space="preserve"> Applicants that have their long-form applications dismissed wil</w:t>
      </w:r>
      <w:r w:rsidRPr="00D764A7">
        <w:t>l be deemed to have defaulted and will be subject to default payments under 47 CFR §§ 1.2104(g) and 1.2109(c).</w:t>
      </w:r>
    </w:p>
  </w:footnote>
  <w:footnote w:id="222">
    <w:p w:rsidR="00FE4F2B" w:rsidRPr="00D764A7" w:rsidP="00D6515C" w14:paraId="43CA71FB" w14:textId="77777777">
      <w:pPr>
        <w:pStyle w:val="FootnoteText"/>
        <w:widowControl w:val="0"/>
      </w:pPr>
      <w:r w:rsidRPr="00D764A7">
        <w:rPr>
          <w:rStyle w:val="FootnoteReference"/>
        </w:rPr>
        <w:footnoteRef/>
      </w:r>
      <w:r w:rsidRPr="00D764A7">
        <w:t xml:space="preserve"> 47 CFR § 1.2110(c)(3).</w:t>
      </w:r>
    </w:p>
  </w:footnote>
  <w:footnote w:id="223">
    <w:p w:rsidR="00FE4F2B" w:rsidRPr="00D764A7" w:rsidP="00D6515C" w14:paraId="48838F69" w14:textId="77777777">
      <w:pPr>
        <w:pStyle w:val="FootnoteText"/>
        <w:widowControl w:val="0"/>
      </w:pPr>
      <w:r w:rsidRPr="00D764A7">
        <w:rPr>
          <w:rStyle w:val="FootnoteReference"/>
        </w:rPr>
        <w:footnoteRef/>
      </w:r>
      <w:r w:rsidRPr="00D764A7">
        <w:t xml:space="preserve"> </w:t>
      </w:r>
      <w:r w:rsidRPr="007C010B">
        <w:rPr>
          <w:i/>
        </w:rPr>
        <w:t>Id.</w:t>
      </w:r>
      <w:r w:rsidRPr="00D764A7">
        <w:t xml:space="preserve"> § 1.2110(c)(4).</w:t>
      </w:r>
    </w:p>
  </w:footnote>
  <w:footnote w:id="224">
    <w:p w:rsidR="00FE4F2B" w:rsidRPr="00D764A7" w:rsidP="00D6515C" w14:paraId="7A219831" w14:textId="77777777">
      <w:pPr>
        <w:pStyle w:val="FootnoteText"/>
        <w:widowControl w:val="0"/>
      </w:pPr>
      <w:r w:rsidRPr="00D764A7">
        <w:rPr>
          <w:rStyle w:val="FootnoteReference"/>
        </w:rPr>
        <w:footnoteRef/>
      </w:r>
      <w:r w:rsidRPr="00D764A7">
        <w:t xml:space="preserve"> For instance, designated entities are defined as small businesses (including businesses owned by</w:t>
      </w:r>
      <w:r w:rsidRPr="00D764A7">
        <w:t xml:space="preserve"> members of minority groups and/or women), rural telephone companies, and rural service providers.  </w:t>
      </w:r>
      <w:r w:rsidRPr="007C010B">
        <w:rPr>
          <w:i/>
        </w:rPr>
        <w:t>Id.</w:t>
      </w:r>
      <w:r w:rsidRPr="00D764A7">
        <w:t xml:space="preserve"> § 1.2110(a).</w:t>
      </w:r>
    </w:p>
  </w:footnote>
  <w:footnote w:id="225">
    <w:p w:rsidR="00FE4F2B" w:rsidRPr="00D764A7" w:rsidP="00D6515C" w14:paraId="75D882F6" w14:textId="77777777">
      <w:pPr>
        <w:pStyle w:val="FootnoteText"/>
      </w:pPr>
      <w:r w:rsidRPr="00D764A7">
        <w:rPr>
          <w:rStyle w:val="FootnoteReference"/>
        </w:rPr>
        <w:footnoteRef/>
      </w:r>
      <w:r w:rsidRPr="00D764A7">
        <w:t xml:space="preserve"> </w:t>
      </w:r>
      <w:r w:rsidRPr="00D764A7">
        <w:rPr>
          <w:i/>
        </w:rPr>
        <w:t xml:space="preserve">See </w:t>
      </w:r>
      <w:r w:rsidRPr="007C010B">
        <w:rPr>
          <w:i/>
        </w:rPr>
        <w:t xml:space="preserve">id. </w:t>
      </w:r>
      <w:r w:rsidRPr="00D764A7">
        <w:t>§ 1.2105(b)(2).  Minor amendments include any changes that are not major, such as correcting typographical errors and supplying o</w:t>
      </w:r>
      <w:r w:rsidRPr="00D764A7">
        <w:t>r correcting information as requested to support the certifications made in the application.</w:t>
      </w:r>
      <w:r>
        <w:t xml:space="preserve">  </w:t>
      </w:r>
      <w:r w:rsidRPr="003F7685">
        <w:rPr>
          <w:i/>
        </w:rPr>
        <w:t>Id.</w:t>
      </w:r>
      <w:r w:rsidRPr="00D764A7">
        <w:t> </w:t>
      </w:r>
    </w:p>
  </w:footnote>
  <w:footnote w:id="226">
    <w:p w:rsidR="00FE4F2B" w:rsidRPr="00D764A7" w:rsidP="00D6515C" w14:paraId="0E251E9E" w14:textId="77777777">
      <w:pPr>
        <w:pStyle w:val="FootnoteText"/>
        <w:widowControl w:val="0"/>
      </w:pPr>
      <w:r w:rsidRPr="00D764A7">
        <w:rPr>
          <w:rStyle w:val="FootnoteReference"/>
        </w:rPr>
        <w:footnoteRef/>
      </w:r>
      <w:r w:rsidRPr="00D764A7">
        <w:t xml:space="preserve"> </w:t>
      </w:r>
      <w:r w:rsidRPr="00D764A7">
        <w:rPr>
          <w:i/>
        </w:rPr>
        <w:t xml:space="preserve">See </w:t>
      </w:r>
      <w:r w:rsidRPr="007C010B">
        <w:rPr>
          <w:i/>
        </w:rPr>
        <w:t>id.</w:t>
      </w:r>
      <w:r w:rsidRPr="00D764A7">
        <w:t xml:space="preserve">; </w:t>
      </w:r>
      <w:r w:rsidRPr="00D764A7">
        <w:rPr>
          <w:i/>
        </w:rPr>
        <w:t>see also</w:t>
      </w:r>
      <w:r w:rsidRPr="00D764A7">
        <w:t xml:space="preserve"> </w:t>
      </w:r>
      <w:r w:rsidRPr="00925FC2">
        <w:rPr>
          <w:i/>
        </w:rPr>
        <w:t>Two Way Radio of Carolina, Inc.</w:t>
      </w:r>
      <w:r w:rsidRPr="00D764A7">
        <w:t xml:space="preserve">, </w:t>
      </w:r>
      <w:r w:rsidRPr="00925FC2">
        <w:t>Memorandum Opinion and Order</w:t>
      </w:r>
      <w:r w:rsidRPr="00D764A7">
        <w:t>, 14 FCC Rcd 12035 (1999) (</w:t>
      </w:r>
      <w:r w:rsidRPr="00D764A7">
        <w:rPr>
          <w:i/>
        </w:rPr>
        <w:t>Two Way Radio</w:t>
      </w:r>
      <w:r w:rsidRPr="00D764A7">
        <w:t>) (</w:t>
      </w:r>
      <w:r>
        <w:t xml:space="preserve">holding that </w:t>
      </w:r>
      <w:r w:rsidRPr="00D764A7">
        <w:t xml:space="preserve">auction applicant </w:t>
      </w:r>
      <w:r>
        <w:t>wa</w:t>
      </w:r>
      <w:r>
        <w:t xml:space="preserve">s </w:t>
      </w:r>
      <w:r w:rsidRPr="00D764A7">
        <w:t xml:space="preserve">not allowed to change its designated entity status after application filing deadline).  </w:t>
      </w:r>
    </w:p>
  </w:footnote>
  <w:footnote w:id="227">
    <w:p w:rsidR="00FE4F2B" w:rsidRPr="00D764A7" w:rsidP="00D6515C" w14:paraId="411441A1" w14:textId="484D5E65">
      <w:pPr>
        <w:pStyle w:val="FootnoteText"/>
        <w:widowControl w:val="0"/>
      </w:pPr>
      <w:r w:rsidRPr="00D764A7">
        <w:rPr>
          <w:rStyle w:val="FootnoteReference"/>
        </w:rPr>
        <w:footnoteRef/>
      </w:r>
      <w:r w:rsidRPr="00D764A7">
        <w:t xml:space="preserve"> </w:t>
      </w:r>
      <w:r w:rsidRPr="00D764A7">
        <w:rPr>
          <w:i/>
        </w:rPr>
        <w:t xml:space="preserve">See </w:t>
      </w:r>
      <w:r w:rsidRPr="00D764A7">
        <w:t>47 CFR § 1.2105(b)(2).  Any change in control of an applicant—resulting from a merger, for example—will be considered a major modification, and the application</w:t>
      </w:r>
      <w:r w:rsidRPr="00D764A7">
        <w:t xml:space="preserve"> will consequently be dismissed.  The Commission reiterates that, even if an applicant’s FCC Form 175 is dismissed, the applicant would remain subject to the communication prohibitions of 47 CFR § 1.2105(c) until the down</w:t>
      </w:r>
      <w:r>
        <w:t xml:space="preserve"> </w:t>
      </w:r>
      <w:r w:rsidRPr="00D764A7">
        <w:t xml:space="preserve">payment deadline for </w:t>
      </w:r>
      <w:r>
        <w:t>A</w:t>
      </w:r>
      <w:r w:rsidRPr="00D764A7">
        <w:t>uction</w:t>
      </w:r>
      <w:r>
        <w:t xml:space="preserve"> 107</w:t>
      </w:r>
      <w:r w:rsidRPr="00D764A7">
        <w:t>.</w:t>
      </w:r>
    </w:p>
  </w:footnote>
  <w:footnote w:id="228">
    <w:p w:rsidR="00FE4F2B" w:rsidRPr="00D764A7" w:rsidP="00D6515C" w14:paraId="41269A1A" w14:textId="31E5F03D">
      <w:pPr>
        <w:pStyle w:val="FootnoteText"/>
        <w:widowControl w:val="0"/>
      </w:pPr>
      <w:r w:rsidRPr="00D764A7">
        <w:rPr>
          <w:rStyle w:val="FootnoteReference"/>
        </w:rPr>
        <w:footnoteRef/>
      </w:r>
      <w:r w:rsidRPr="00D764A7">
        <w:t xml:space="preserve"> </w:t>
      </w:r>
      <w:r w:rsidRPr="00D764A7">
        <w:rPr>
          <w:i/>
        </w:rPr>
        <w:t xml:space="preserve">See </w:t>
      </w:r>
      <w:r w:rsidRPr="007C010B">
        <w:rPr>
          <w:i/>
        </w:rPr>
        <w:t>id.</w:t>
      </w:r>
      <w:r w:rsidRPr="00D764A7">
        <w:t xml:space="preserve"> §§ 1.65</w:t>
      </w:r>
      <w:r>
        <w:t>,</w:t>
      </w:r>
      <w:r w:rsidRPr="00D764A7">
        <w:t xml:space="preserve"> 1.2105(b)(4).  For purposes of </w:t>
      </w:r>
      <w:r>
        <w:t>section</w:t>
      </w:r>
      <w:r w:rsidRPr="00D764A7">
        <w:t>s 1.65 and 1.2105(b)(4), an applicant’s FCC Form 175 and associated attachments will remain pending until the release of a public notice announcing the close of th</w:t>
      </w:r>
      <w:r>
        <w:t>e</w:t>
      </w:r>
      <w:r w:rsidRPr="00D764A7">
        <w:t xml:space="preserve"> auction.  However, we remind</w:t>
      </w:r>
      <w:r w:rsidRPr="00D764A7">
        <w:t xml:space="preserve"> </w:t>
      </w:r>
      <w:r>
        <w:t>Auction 107</w:t>
      </w:r>
      <w:r w:rsidRPr="00D764A7">
        <w:t xml:space="preserve"> applicants that they remain subject to the </w:t>
      </w:r>
      <w:r>
        <w:t>s</w:t>
      </w:r>
      <w:r w:rsidRPr="00D764A7">
        <w:t xml:space="preserve">ection 1.2105(c) </w:t>
      </w:r>
      <w:r>
        <w:t>prohibition on</w:t>
      </w:r>
      <w:r w:rsidRPr="00D764A7">
        <w:t xml:space="preserve"> certain communications until the post-auction deadline for making down payments on winning bids.  </w:t>
      </w:r>
      <w:r w:rsidRPr="00D764A7">
        <w:rPr>
          <w:i/>
        </w:rPr>
        <w:t>See</w:t>
      </w:r>
      <w:r>
        <w:rPr>
          <w:i/>
        </w:rPr>
        <w:t xml:space="preserve"> </w:t>
      </w:r>
      <w:r w:rsidRPr="001558FD">
        <w:rPr>
          <w:iCs/>
        </w:rPr>
        <w:t xml:space="preserve">section </w:t>
      </w:r>
      <w:r w:rsidRPr="006F302C">
        <w:t>II.G.2</w:t>
      </w:r>
      <w:r w:rsidRPr="00D764A7">
        <w:t xml:space="preserve"> (Prohibition Applies Until Down Payment Deadline)</w:t>
      </w:r>
      <w:r>
        <w:t>,</w:t>
      </w:r>
      <w:r>
        <w:t xml:space="preserve"> above</w:t>
      </w:r>
      <w:r w:rsidRPr="00D764A7">
        <w:t xml:space="preserve">.  An applicant’s post-auction application (FCC Form 601) is considered pending from the time it is accepted for filing by the Commission until a Commission grant or denial of the application is no longer subject to reconsideration by the Commission </w:t>
      </w:r>
      <w:r w:rsidRPr="00D764A7">
        <w:t>or to review by any court.  47 CFR § 1.65.</w:t>
      </w:r>
    </w:p>
  </w:footnote>
  <w:footnote w:id="229">
    <w:p w:rsidR="00FE4F2B" w:rsidRPr="00D764A7" w:rsidP="00D6515C" w14:paraId="00F29E68" w14:textId="73B81B77">
      <w:pPr>
        <w:pStyle w:val="FootnoteText"/>
      </w:pPr>
      <w:r w:rsidRPr="00D764A7">
        <w:rPr>
          <w:rStyle w:val="FootnoteReference"/>
        </w:rPr>
        <w:footnoteRef/>
      </w:r>
      <w:r w:rsidRPr="00D764A7">
        <w:t xml:space="preserve"> </w:t>
      </w:r>
      <w:r w:rsidRPr="00D764A7">
        <w:rPr>
          <w:i/>
        </w:rPr>
        <w:t>See</w:t>
      </w:r>
      <w:r w:rsidRPr="00D764A7">
        <w:t xml:space="preserve"> 47 CFR §§ 1.65</w:t>
      </w:r>
      <w:r>
        <w:t>,</w:t>
      </w:r>
      <w:r w:rsidRPr="00D764A7">
        <w:t xml:space="preserve"> 1.2105(b)(4).  We remind each applicant of its duty to continuously maintain the accuracy of information submitted in its auction application.  </w:t>
      </w:r>
      <w:r w:rsidRPr="00D764A7">
        <w:rPr>
          <w:i/>
        </w:rPr>
        <w:t>See, e.g.</w:t>
      </w:r>
      <w:r w:rsidRPr="00E57E36">
        <w:rPr>
          <w:i/>
          <w:iCs/>
        </w:rPr>
        <w:t>,</w:t>
      </w:r>
      <w:r w:rsidRPr="00D764A7">
        <w:rPr>
          <w:i/>
        </w:rPr>
        <w:t xml:space="preserve"> Vermont Telephone Company, Inc.</w:t>
      </w:r>
      <w:r w:rsidRPr="00D764A7">
        <w:t>, Not</w:t>
      </w:r>
      <w:r w:rsidRPr="00D764A7">
        <w:t>ice of Apparent Liability for Forfeiture,</w:t>
      </w:r>
      <w:r w:rsidRPr="00D764A7">
        <w:rPr>
          <w:i/>
        </w:rPr>
        <w:t xml:space="preserve"> </w:t>
      </w:r>
      <w:r w:rsidRPr="00D764A7">
        <w:t>26 FCC Rcd 14130, 14134, para. 11 (EB 2011).</w:t>
      </w:r>
    </w:p>
  </w:footnote>
  <w:footnote w:id="230">
    <w:p w:rsidR="00FE4F2B" w:rsidRPr="00D764A7" w:rsidP="00D6515C" w14:paraId="76B3AFC7" w14:textId="77777777">
      <w:pPr>
        <w:pStyle w:val="FootnoteText"/>
      </w:pPr>
      <w:r w:rsidRPr="00D764A7">
        <w:rPr>
          <w:rStyle w:val="FootnoteReference"/>
        </w:rPr>
        <w:footnoteRef/>
      </w:r>
      <w:r w:rsidRPr="00D764A7">
        <w:t xml:space="preserve"> We advise applicants to retain a copy of this confirmation page.</w:t>
      </w:r>
    </w:p>
  </w:footnote>
  <w:footnote w:id="231">
    <w:p w:rsidR="00FE4F2B" w:rsidRPr="00D764A7" w:rsidP="00D6515C" w14:paraId="666B67BE" w14:textId="26F489D1">
      <w:pPr>
        <w:pStyle w:val="FootnoteText"/>
      </w:pPr>
      <w:r w:rsidRPr="00D764A7">
        <w:rPr>
          <w:rStyle w:val="FootnoteReference"/>
        </w:rPr>
        <w:footnoteRef/>
      </w:r>
      <w:r w:rsidRPr="00D764A7">
        <w:t xml:space="preserve"> Specifically, an applicant will not be allowed to modify electronically in the Auction Application S</w:t>
      </w:r>
      <w:r w:rsidRPr="00D764A7">
        <w:t xml:space="preserve">ystem the applicant’s legal classification, the applicant’s name, or the certifying official.  </w:t>
      </w:r>
    </w:p>
  </w:footnote>
  <w:footnote w:id="232">
    <w:p w:rsidR="00FE4F2B" w:rsidRPr="00D764A7" w:rsidP="00D6515C" w14:paraId="4177D28B" w14:textId="77777777">
      <w:pPr>
        <w:pStyle w:val="FootnoteText"/>
      </w:pPr>
      <w:r w:rsidRPr="00D764A7">
        <w:rPr>
          <w:rStyle w:val="FootnoteReference"/>
        </w:rPr>
        <w:footnoteRef/>
      </w:r>
      <w:r w:rsidRPr="00D764A7">
        <w:t xml:space="preserve"> This is the case because certain fields on the FCC Form 175 will no longer be changeable by the applicant after the initial filing window closes.  </w:t>
      </w:r>
    </w:p>
  </w:footnote>
  <w:footnote w:id="233">
    <w:p w:rsidR="00FE4F2B" w:rsidRPr="00D764A7" w:rsidP="00D6515C" w14:paraId="2CD4F544" w14:textId="77777777">
      <w:pPr>
        <w:pStyle w:val="FootnoteText"/>
      </w:pPr>
      <w:r w:rsidRPr="00D764A7">
        <w:rPr>
          <w:rStyle w:val="FootnoteReference"/>
        </w:rPr>
        <w:footnoteRef/>
      </w:r>
      <w:r w:rsidRPr="00D764A7">
        <w:t xml:space="preserve"> </w:t>
      </w:r>
      <w:r w:rsidRPr="00D764A7">
        <w:rPr>
          <w:i/>
        </w:rPr>
        <w:t>See, e.</w:t>
      </w:r>
      <w:r w:rsidRPr="00374A32">
        <w:rPr>
          <w:i/>
        </w:rPr>
        <w:t>g</w:t>
      </w:r>
      <w:r w:rsidRPr="00374A32">
        <w:rPr>
          <w:i/>
        </w:rPr>
        <w:t>.</w:t>
      </w:r>
      <w:r w:rsidRPr="00D6525E">
        <w:rPr>
          <w:i/>
          <w:iCs/>
        </w:rPr>
        <w:t>,</w:t>
      </w:r>
      <w:r w:rsidRPr="00D764A7">
        <w:rPr>
          <w:i/>
        </w:rPr>
        <w:t xml:space="preserve"> Cellco P’ship v. FCC</w:t>
      </w:r>
      <w:r w:rsidRPr="00D764A7">
        <w:t>,</w:t>
      </w:r>
      <w:r w:rsidRPr="00D764A7">
        <w:rPr>
          <w:i/>
        </w:rPr>
        <w:t xml:space="preserve"> </w:t>
      </w:r>
      <w:r w:rsidRPr="00D764A7">
        <w:t xml:space="preserve">700 F.3d 534, 542 (D.C. Cir. 2012); </w:t>
      </w:r>
      <w:r w:rsidRPr="00D764A7">
        <w:rPr>
          <w:i/>
        </w:rPr>
        <w:t>Celtronix Telemetry, Inc. v. FCC</w:t>
      </w:r>
      <w:r w:rsidRPr="00D764A7">
        <w:t>,</w:t>
      </w:r>
      <w:r w:rsidRPr="00D764A7">
        <w:rPr>
          <w:i/>
        </w:rPr>
        <w:t xml:space="preserve"> </w:t>
      </w:r>
      <w:r w:rsidRPr="00D764A7">
        <w:t>272 F.3d 585, 589 (D.C. Cir. 2001) (citing 47 U.S.C. § 309(j)(6)(D)).</w:t>
      </w:r>
    </w:p>
  </w:footnote>
  <w:footnote w:id="234">
    <w:p w:rsidR="00FE4F2B" w:rsidRPr="00856694" w:rsidP="00E83E6D" w14:paraId="1F17A1EE" w14:textId="77777777">
      <w:pPr>
        <w:pStyle w:val="FootnoteText"/>
      </w:pPr>
      <w:r>
        <w:rPr>
          <w:rStyle w:val="FootnoteReference"/>
        </w:rPr>
        <w:footnoteRef/>
      </w:r>
      <w:r>
        <w:t xml:space="preserve"> 42 U.S.C. § 4321 </w:t>
      </w:r>
      <w:r>
        <w:rPr>
          <w:i/>
        </w:rPr>
        <w:t>et seq</w:t>
      </w:r>
      <w:r>
        <w:t>.</w:t>
      </w:r>
    </w:p>
  </w:footnote>
  <w:footnote w:id="235">
    <w:p w:rsidR="00FE4F2B" w:rsidRPr="001C2576" w:rsidP="00E83E6D" w14:paraId="68ABDF5B" w14:textId="77777777">
      <w:pPr>
        <w:pStyle w:val="FootnoteText"/>
      </w:pPr>
      <w:r>
        <w:rPr>
          <w:rStyle w:val="FootnoteReference"/>
        </w:rPr>
        <w:footnoteRef/>
      </w:r>
      <w:r>
        <w:t xml:space="preserve"> 54 U.S.C. § 300101 </w:t>
      </w:r>
      <w:r>
        <w:rPr>
          <w:i/>
        </w:rPr>
        <w:t>et seq</w:t>
      </w:r>
      <w:r>
        <w:t>.</w:t>
      </w:r>
    </w:p>
  </w:footnote>
  <w:footnote w:id="236">
    <w:p w:rsidR="00FE4F2B" w:rsidP="00E83E6D" w14:paraId="24A4933B" w14:textId="77777777">
      <w:pPr>
        <w:pStyle w:val="FootnoteText"/>
      </w:pPr>
      <w:r>
        <w:rPr>
          <w:rStyle w:val="FootnoteReference"/>
        </w:rPr>
        <w:footnoteRef/>
      </w:r>
      <w:r>
        <w:t xml:space="preserve"> 47 CFR Chapter 1, Part 1, Subpart I.</w:t>
      </w:r>
    </w:p>
  </w:footnote>
  <w:footnote w:id="237">
    <w:p w:rsidR="00FE4F2B" w:rsidP="00A61F07" w14:paraId="585484DE" w14:textId="6C56F5F8">
      <w:pPr>
        <w:pStyle w:val="FootnoteText"/>
      </w:pPr>
      <w:r>
        <w:rPr>
          <w:rStyle w:val="FootnoteReference"/>
        </w:rPr>
        <w:footnoteRef/>
      </w:r>
      <w:r>
        <w:t xml:space="preserve"> </w:t>
      </w:r>
      <w:r>
        <w:rPr>
          <w:i/>
          <w:iCs/>
        </w:rPr>
        <w:t>See, e.g., 3.7 GHz Report and Order</w:t>
      </w:r>
      <w:r>
        <w:t xml:space="preserve">, 35 FCC Rcd at 2391-467, paras. 110-331; </w:t>
      </w:r>
      <w:r w:rsidRPr="00A65590">
        <w:rPr>
          <w:i/>
          <w:iCs/>
        </w:rPr>
        <w:t xml:space="preserve">see </w:t>
      </w:r>
      <w:r>
        <w:rPr>
          <w:i/>
          <w:iCs/>
        </w:rPr>
        <w:t>generally</w:t>
      </w:r>
      <w:r>
        <w:t xml:space="preserve"> GN Docket No. 18-122.</w:t>
      </w:r>
    </w:p>
  </w:footnote>
  <w:footnote w:id="238">
    <w:p w:rsidR="00FE4F2B" w:rsidP="00712A02" w14:paraId="369B505D" w14:textId="6D3D551C">
      <w:pPr>
        <w:pStyle w:val="FootnoteText"/>
      </w:pPr>
      <w:r>
        <w:rPr>
          <w:rStyle w:val="FootnoteReference"/>
        </w:rPr>
        <w:footnoteRef/>
      </w:r>
      <w:r>
        <w:t xml:space="preserve"> We decline </w:t>
      </w:r>
      <w:r w:rsidRPr="008F191D">
        <w:rPr>
          <w:bCs/>
          <w:iCs/>
        </w:rPr>
        <w:t>SES</w:t>
      </w:r>
      <w:r>
        <w:rPr>
          <w:bCs/>
          <w:iCs/>
        </w:rPr>
        <w:t>’s</w:t>
      </w:r>
      <w:r w:rsidRPr="008F191D">
        <w:rPr>
          <w:bCs/>
          <w:iCs/>
        </w:rPr>
        <w:t xml:space="preserve"> request </w:t>
      </w:r>
      <w:r>
        <w:rPr>
          <w:bCs/>
          <w:iCs/>
        </w:rPr>
        <w:t>to adopt license conditions reflecting the relocation payment obligations in</w:t>
      </w:r>
      <w:r>
        <w:rPr>
          <w:bCs/>
          <w:iCs/>
        </w:rPr>
        <w:t xml:space="preserve">curred by winning bidders in Auction 107, </w:t>
      </w:r>
      <w:r>
        <w:rPr>
          <w:bCs/>
          <w:i/>
        </w:rPr>
        <w:t>s</w:t>
      </w:r>
      <w:r w:rsidRPr="0018491E">
        <w:rPr>
          <w:bCs/>
          <w:i/>
        </w:rPr>
        <w:t>ee</w:t>
      </w:r>
      <w:r>
        <w:rPr>
          <w:bCs/>
          <w:iCs/>
        </w:rPr>
        <w:t xml:space="preserve"> SES Comments at 2-3, which is outside the scope of this proceeding and unnecessary in light of the conditions established in the </w:t>
      </w:r>
      <w:r w:rsidRPr="00A74202">
        <w:rPr>
          <w:bCs/>
          <w:i/>
        </w:rPr>
        <w:t>3.7 GHz Report and Order</w:t>
      </w:r>
      <w:r>
        <w:rPr>
          <w:bCs/>
          <w:iCs/>
        </w:rPr>
        <w:t>.</w:t>
      </w:r>
      <w:r>
        <w:rPr>
          <w:bCs/>
          <w:i/>
        </w:rPr>
        <w:t xml:space="preserve">  See </w:t>
      </w:r>
      <w:r>
        <w:rPr>
          <w:i/>
          <w:iCs/>
        </w:rPr>
        <w:t>3.7 GHz Report and Order</w:t>
      </w:r>
      <w:r>
        <w:t>, 35 FCC Rcd at 2571, 2391</w:t>
      </w:r>
      <w:r>
        <w:t>, 2415-16, 2419, paras. 29, 110, 179, 187</w:t>
      </w:r>
      <w:r>
        <w:rPr>
          <w:bCs/>
          <w:iCs/>
        </w:rPr>
        <w:t xml:space="preserve">; </w:t>
      </w:r>
      <w:r w:rsidRPr="00A74202">
        <w:rPr>
          <w:bCs/>
          <w:i/>
        </w:rPr>
        <w:t>see</w:t>
      </w:r>
      <w:r>
        <w:rPr>
          <w:bCs/>
          <w:i/>
        </w:rPr>
        <w:t xml:space="preserve"> also </w:t>
      </w:r>
      <w:r>
        <w:rPr>
          <w:bCs/>
          <w:iCs/>
        </w:rPr>
        <w:t>T-Mobile Reply at 5 (</w:t>
      </w:r>
      <w:r w:rsidRPr="00373519">
        <w:rPr>
          <w:bCs/>
          <w:iCs/>
        </w:rPr>
        <w:t>“The Commission should reject SES’s requests because they are beyond the scope of this Public Notice</w:t>
      </w:r>
      <w:r>
        <w:rPr>
          <w:bCs/>
          <w:iCs/>
        </w:rPr>
        <w:t xml:space="preserve">. . . . </w:t>
      </w:r>
      <w:r w:rsidRPr="00373519">
        <w:rPr>
          <w:bCs/>
          <w:iCs/>
        </w:rPr>
        <w:t xml:space="preserve">SES actually requests modification of service rules, which were adopted in </w:t>
      </w:r>
      <w:r w:rsidRPr="00373519">
        <w:rPr>
          <w:bCs/>
          <w:iCs/>
        </w:rPr>
        <w:t>the Report and Order in this proceeding and will ultimately be contained in the Commission’s rules</w:t>
      </w:r>
      <w:r>
        <w:rPr>
          <w:bCs/>
          <w:iCs/>
        </w:rPr>
        <w:t>.”).</w:t>
      </w:r>
    </w:p>
  </w:footnote>
  <w:footnote w:id="239">
    <w:p w:rsidR="00FE4F2B" w:rsidRPr="00932778" w14:paraId="5DA55ADD" w14:textId="19A87373">
      <w:pPr>
        <w:pStyle w:val="FootnoteText"/>
      </w:pPr>
      <w:r>
        <w:rPr>
          <w:rStyle w:val="FootnoteReference"/>
        </w:rPr>
        <w:footnoteRef/>
      </w:r>
      <w:r>
        <w:t xml:space="preserve"> </w:t>
      </w:r>
      <w:r>
        <w:rPr>
          <w:i/>
        </w:rPr>
        <w:t xml:space="preserve">See </w:t>
      </w:r>
      <w:r>
        <w:t>47 CFR § 27.57(c).</w:t>
      </w:r>
    </w:p>
  </w:footnote>
  <w:footnote w:id="240">
    <w:p w:rsidR="00FE4F2B" w:rsidRPr="00856694" w14:paraId="2E2480AE" w14:textId="77F482AC">
      <w:pPr>
        <w:pStyle w:val="FootnoteText"/>
      </w:pPr>
      <w:r>
        <w:rPr>
          <w:rStyle w:val="FootnoteReference"/>
        </w:rPr>
        <w:footnoteRef/>
      </w:r>
      <w:r>
        <w:t xml:space="preserve"> 42 U.S.C. § 4321 </w:t>
      </w:r>
      <w:r>
        <w:rPr>
          <w:i/>
        </w:rPr>
        <w:t>et seq</w:t>
      </w:r>
      <w:r>
        <w:t>.</w:t>
      </w:r>
    </w:p>
  </w:footnote>
  <w:footnote w:id="241">
    <w:p w:rsidR="00FE4F2B" w:rsidRPr="001C2576" w14:paraId="6C805015" w14:textId="3E2D5726">
      <w:pPr>
        <w:pStyle w:val="FootnoteText"/>
      </w:pPr>
      <w:r>
        <w:rPr>
          <w:rStyle w:val="FootnoteReference"/>
        </w:rPr>
        <w:footnoteRef/>
      </w:r>
      <w:r>
        <w:t xml:space="preserve"> 54 U.S.C. § 300101 </w:t>
      </w:r>
      <w:r>
        <w:rPr>
          <w:i/>
        </w:rPr>
        <w:t>et seq</w:t>
      </w:r>
      <w:r>
        <w:t>.</w:t>
      </w:r>
    </w:p>
  </w:footnote>
  <w:footnote w:id="242">
    <w:p w:rsidR="00FE4F2B" w14:paraId="77C92433" w14:textId="6F923EC9">
      <w:pPr>
        <w:pStyle w:val="FootnoteText"/>
      </w:pPr>
      <w:r>
        <w:rPr>
          <w:rStyle w:val="FootnoteReference"/>
        </w:rPr>
        <w:footnoteRef/>
      </w:r>
      <w:r>
        <w:t xml:space="preserve"> 47 CFR Chapter 1, Part 1, Subpart I.</w:t>
      </w:r>
    </w:p>
  </w:footnote>
  <w:footnote w:id="243">
    <w:p w:rsidR="00FE4F2B" w:rsidRPr="00C51805" w14:paraId="099B8533" w14:textId="7FB414B2">
      <w:pPr>
        <w:pStyle w:val="FootnoteText"/>
      </w:pPr>
      <w:r>
        <w:rPr>
          <w:rStyle w:val="FootnoteReference"/>
        </w:rPr>
        <w:footnoteRef/>
      </w:r>
      <w:r>
        <w:t xml:space="preserve"> </w:t>
      </w:r>
      <w:r>
        <w:rPr>
          <w:i/>
        </w:rPr>
        <w:t>See Accelerating Wireless Broad</w:t>
      </w:r>
      <w:r>
        <w:rPr>
          <w:i/>
        </w:rPr>
        <w:t>band Deployment by Removing Barriers to Infrastructure Investment</w:t>
      </w:r>
      <w:r>
        <w:t>, WT Docket No. 17-79, Second Report and Order, 33 FCC Rcd 3102 (2018) (amending the Commission’s rules concerning the types of deployments that are subject to review pursuant to NHPA and NEP</w:t>
      </w:r>
      <w:r>
        <w:t>A).</w:t>
      </w:r>
    </w:p>
  </w:footnote>
  <w:footnote w:id="244">
    <w:p w:rsidR="00FE4F2B" w14:paraId="7371A501" w14:textId="645498A7">
      <w:pPr>
        <w:pStyle w:val="FootnoteText"/>
      </w:pPr>
      <w:r>
        <w:rPr>
          <w:rStyle w:val="FootnoteReference"/>
        </w:rPr>
        <w:footnoteRef/>
      </w:r>
      <w:r>
        <w:t xml:space="preserve"> 47 CFR § 1.1307.  This assessment may require consultation with expert agencies having environmental responsibilities, such as U.S. Fish and Wildlife Service, the U.S. Army Corps of Engineers, and the Federal Emergency Management Agency, among others.</w:t>
      </w:r>
    </w:p>
  </w:footnote>
  <w:footnote w:id="245">
    <w:p w:rsidR="00FE4F2B" w14:paraId="1CE87298" w14:textId="3A8AEF98">
      <w:pPr>
        <w:pStyle w:val="FootnoteText"/>
      </w:pPr>
      <w:r>
        <w:rPr>
          <w:rStyle w:val="FootnoteReference"/>
        </w:rPr>
        <w:footnoteRef/>
      </w:r>
      <w:r>
        <w:t xml:space="preserve"> </w:t>
      </w:r>
      <w:r w:rsidRPr="0088226C">
        <w:rPr>
          <w:i/>
          <w:iCs/>
        </w:rPr>
        <w:t>Id.</w:t>
      </w:r>
      <w:r>
        <w:t xml:space="preserve"> § 1.1320.</w:t>
      </w:r>
    </w:p>
  </w:footnote>
  <w:footnote w:id="246">
    <w:p w:rsidR="00FE4F2B" w14:paraId="089651E9" w14:textId="19BA48C8">
      <w:pPr>
        <w:pStyle w:val="FootnoteText"/>
      </w:pPr>
      <w:r>
        <w:rPr>
          <w:rStyle w:val="FootnoteReference"/>
        </w:rPr>
        <w:footnoteRef/>
      </w:r>
      <w:r>
        <w:t xml:space="preserve"> </w:t>
      </w:r>
      <w:r w:rsidRPr="0088226C">
        <w:rPr>
          <w:i/>
          <w:iCs/>
        </w:rPr>
        <w:t>Id.</w:t>
      </w:r>
      <w:r>
        <w:t xml:space="preserve"> Part 1, Appendices B and C.</w:t>
      </w:r>
    </w:p>
  </w:footnote>
  <w:footnote w:id="247">
    <w:p w:rsidR="00FE4F2B" w14:paraId="010E3C3C" w14:textId="3A415837">
      <w:pPr>
        <w:pStyle w:val="FootnoteText"/>
      </w:pPr>
      <w:r>
        <w:rPr>
          <w:rStyle w:val="FootnoteReference"/>
        </w:rPr>
        <w:footnoteRef/>
      </w:r>
      <w:r>
        <w:t xml:space="preserve"> </w:t>
      </w:r>
      <w:r w:rsidRPr="00AD0170">
        <w:rPr>
          <w:i/>
          <w:iCs/>
        </w:rPr>
        <w:t>Id.</w:t>
      </w:r>
      <w:r>
        <w:t xml:space="preserve"> § 1.1307; </w:t>
      </w:r>
      <w:r w:rsidRPr="00875550">
        <w:rPr>
          <w:i/>
          <w:iCs/>
        </w:rPr>
        <w:t>see also</w:t>
      </w:r>
      <w:r>
        <w:t xml:space="preserve"> </w:t>
      </w:r>
      <w:r w:rsidRPr="00875550">
        <w:rPr>
          <w:i/>
          <w:iCs/>
        </w:rPr>
        <w:t>Implementation of State and Local Governments’ Obligation to Approve Certain Wireless Facility Modification Requests Under Section 6409(a) of the Spectrum Act of 2012</w:t>
      </w:r>
      <w:r>
        <w:t>, WT Docket No. 1</w:t>
      </w:r>
      <w:r>
        <w:t>9-250, RM-11849, Declaratory Ruling and Notice of Proposed Rulemaking, FCC 20-75 (June 10, 2020) (clarifying that no environmental assessment has to be filed if the parties enter into a memorandum of agreement to resolve all adverse effects).</w:t>
      </w:r>
    </w:p>
  </w:footnote>
  <w:footnote w:id="248">
    <w:p w:rsidR="00FE4F2B" w14:paraId="23434D52" w14:textId="5DDD91F4">
      <w:pPr>
        <w:pStyle w:val="FootnoteText"/>
      </w:pPr>
      <w:r>
        <w:rPr>
          <w:rStyle w:val="FootnoteReference"/>
        </w:rPr>
        <w:footnoteRef/>
      </w:r>
      <w:r>
        <w:t xml:space="preserve"> </w:t>
      </w:r>
      <w:r w:rsidRPr="007A11B5">
        <w:rPr>
          <w:i/>
          <w:iCs/>
        </w:rPr>
        <w:t>3.7 GHz Rep</w:t>
      </w:r>
      <w:r w:rsidRPr="007A11B5">
        <w:rPr>
          <w:i/>
          <w:iCs/>
        </w:rPr>
        <w:t>ort and Order</w:t>
      </w:r>
      <w:r>
        <w:t>, 35 FCC Rcd at 2381, para. 83.</w:t>
      </w:r>
    </w:p>
  </w:footnote>
  <w:footnote w:id="249">
    <w:p w:rsidR="00FE4F2B" w14:paraId="234639A8" w14:textId="2B8E47DC">
      <w:pPr>
        <w:pStyle w:val="FootnoteText"/>
      </w:pPr>
      <w:r>
        <w:rPr>
          <w:rStyle w:val="FootnoteReference"/>
        </w:rPr>
        <w:footnoteRef/>
      </w:r>
      <w:r>
        <w:t xml:space="preserve"> </w:t>
      </w:r>
      <w:r w:rsidRPr="0088226C">
        <w:rPr>
          <w:i/>
          <w:iCs/>
        </w:rPr>
        <w:t>Id.</w:t>
      </w:r>
    </w:p>
  </w:footnote>
  <w:footnote w:id="250">
    <w:p w:rsidR="00FE4F2B" w14:paraId="3BB0D58D" w14:textId="07E7C8C4">
      <w:pPr>
        <w:pStyle w:val="FootnoteText"/>
      </w:pPr>
      <w:r>
        <w:rPr>
          <w:rStyle w:val="FootnoteReference"/>
        </w:rPr>
        <w:footnoteRef/>
      </w:r>
      <w:r>
        <w:t xml:space="preserve"> </w:t>
      </w:r>
      <w:r w:rsidRPr="0088226C">
        <w:rPr>
          <w:i/>
          <w:iCs/>
        </w:rPr>
        <w:t>Id.</w:t>
      </w:r>
    </w:p>
  </w:footnote>
  <w:footnote w:id="251">
    <w:p w:rsidR="00FE4F2B" w:rsidP="00F84BFD" w14:paraId="4F32F163" w14:textId="60F7414F">
      <w:pPr>
        <w:pStyle w:val="FootnoteText"/>
      </w:pPr>
      <w:r>
        <w:rPr>
          <w:rStyle w:val="FootnoteReference"/>
        </w:rPr>
        <w:footnoteRef/>
      </w:r>
      <w:r>
        <w:t xml:space="preserve"> As in Auctions 102 and 103, there may be separate materials prepared for the clock and assignment phases of Auction 107.</w:t>
      </w:r>
    </w:p>
  </w:footnote>
  <w:footnote w:id="252">
    <w:p w:rsidR="00FE4F2B" w:rsidP="00D6515C" w14:paraId="1ABCF8DF" w14:textId="4AB5DD2E">
      <w:pPr>
        <w:pStyle w:val="FootnoteText"/>
      </w:pPr>
      <w:r>
        <w:rPr>
          <w:rStyle w:val="FootnoteReference"/>
        </w:rPr>
        <w:footnoteRef/>
      </w:r>
      <w:r>
        <w:t xml:space="preserve"> We caution applicants that t</w:t>
      </w:r>
      <w:r w:rsidRPr="009D15EB">
        <w:t xml:space="preserve">he </w:t>
      </w:r>
      <w:r>
        <w:t>Commission</w:t>
      </w:r>
      <w:r w:rsidRPr="009D15EB">
        <w:t xml:space="preserve"> periodically performs scheduled </w:t>
      </w:r>
      <w:r w:rsidRPr="009D15EB">
        <w:t xml:space="preserve">maintenance of </w:t>
      </w:r>
      <w:r>
        <w:t>its</w:t>
      </w:r>
      <w:r w:rsidRPr="009D15EB">
        <w:t xml:space="preserve"> IT systems. </w:t>
      </w:r>
      <w:r>
        <w:t xml:space="preserve"> </w:t>
      </w:r>
      <w:r w:rsidRPr="009D15EB">
        <w:t>During scheduled maintenance activities</w:t>
      </w:r>
      <w:r>
        <w:t>,</w:t>
      </w:r>
      <w:r w:rsidRPr="009D15EB">
        <w:t xml:space="preserve"> </w:t>
      </w:r>
      <w:r>
        <w:t xml:space="preserve">which typically occur over the weekends, </w:t>
      </w:r>
      <w:r w:rsidRPr="009D15EB">
        <w:t xml:space="preserve">every effort is made to minimize any downtime to </w:t>
      </w:r>
      <w:r>
        <w:t xml:space="preserve">auction-related </w:t>
      </w:r>
      <w:r w:rsidRPr="009D15EB">
        <w:t>systems</w:t>
      </w:r>
      <w:r>
        <w:t>, including the Auction Application System.  However,</w:t>
      </w:r>
      <w:r w:rsidRPr="009D15EB">
        <w:t xml:space="preserve"> there</w:t>
      </w:r>
      <w:r>
        <w:t xml:space="preserve"> are occasi</w:t>
      </w:r>
      <w:r>
        <w:t>ons when auction-</w:t>
      </w:r>
      <w:r w:rsidRPr="009D15EB">
        <w:t>related systems may be temporarily unavailable.</w:t>
      </w:r>
    </w:p>
  </w:footnote>
  <w:footnote w:id="253">
    <w:p w:rsidR="00FE4F2B" w:rsidRPr="00D764A7" w:rsidP="00D6515C" w14:paraId="5EA4452C" w14:textId="3618806E">
      <w:pPr>
        <w:pStyle w:val="FootnoteText"/>
        <w:widowControl w:val="0"/>
      </w:pPr>
      <w:r w:rsidRPr="00D764A7">
        <w:rPr>
          <w:rStyle w:val="FootnoteReference"/>
        </w:rPr>
        <w:footnoteRef/>
      </w:r>
      <w:r w:rsidRPr="00D764A7">
        <w:t xml:space="preserve"> </w:t>
      </w:r>
      <w:r w:rsidRPr="00D764A7">
        <w:rPr>
          <w:i/>
        </w:rPr>
        <w:t>See</w:t>
      </w:r>
      <w:r>
        <w:rPr>
          <w:i/>
        </w:rPr>
        <w:t xml:space="preserve"> </w:t>
      </w:r>
      <w:r>
        <w:t>section</w:t>
      </w:r>
      <w:r w:rsidRPr="00D764A7">
        <w:t xml:space="preserve"> </w:t>
      </w:r>
      <w:r w:rsidRPr="00DB0ABB">
        <w:t>II.K</w:t>
      </w:r>
      <w:r w:rsidRPr="00D764A7">
        <w:t xml:space="preserve"> (Modifications to FCC Form 175)</w:t>
      </w:r>
      <w:r>
        <w:t>, above</w:t>
      </w:r>
      <w:r w:rsidRPr="00D764A7">
        <w:t>.</w:t>
      </w:r>
    </w:p>
  </w:footnote>
  <w:footnote w:id="254">
    <w:p w:rsidR="00FE4F2B" w:rsidRPr="00D764A7" w:rsidP="00D6515C" w14:paraId="5EFE91BC" w14:textId="77777777">
      <w:pPr>
        <w:pStyle w:val="FootnoteText"/>
        <w:widowControl w:val="0"/>
      </w:pPr>
      <w:r w:rsidRPr="00D764A7">
        <w:rPr>
          <w:rStyle w:val="FootnoteReference"/>
        </w:rPr>
        <w:footnoteRef/>
      </w:r>
      <w:r w:rsidRPr="00D764A7">
        <w:t xml:space="preserve"> 47 CFR § 1.2105(b); </w:t>
      </w:r>
      <w:r w:rsidRPr="00D764A7">
        <w:rPr>
          <w:i/>
        </w:rPr>
        <w:t>see also</w:t>
      </w:r>
      <w:r w:rsidRPr="00D764A7">
        <w:t xml:space="preserve"> </w:t>
      </w:r>
      <w:r w:rsidRPr="00D764A7">
        <w:rPr>
          <w:i/>
        </w:rPr>
        <w:t>Two Way Radio</w:t>
      </w:r>
      <w:r w:rsidRPr="00D764A7">
        <w:t xml:space="preserve">, 14 FCC Rcd </w:t>
      </w:r>
      <w:r>
        <w:t xml:space="preserve">at </w:t>
      </w:r>
      <w:r w:rsidRPr="00D764A7">
        <w:t xml:space="preserve">12039, para. 8. </w:t>
      </w:r>
    </w:p>
  </w:footnote>
  <w:footnote w:id="255">
    <w:p w:rsidR="00FE4F2B" w:rsidRPr="00D764A7" w:rsidP="00D6515C" w14:paraId="6729B096" w14:textId="5F05ACF4">
      <w:pPr>
        <w:pStyle w:val="FootnoteText"/>
        <w:widowControl w:val="0"/>
      </w:pPr>
      <w:r w:rsidRPr="00D764A7">
        <w:rPr>
          <w:rStyle w:val="FootnoteReference"/>
        </w:rPr>
        <w:footnoteRef/>
      </w:r>
      <w:r w:rsidRPr="00D764A7">
        <w:t xml:space="preserve"> In no event, however, will the Commission send auction registration materials to anyone other than the contact person listed on the applicant’s FCC Form 175 or respond to a request for replacement registration materials from anyone other than the authoriz</w:t>
      </w:r>
      <w:r w:rsidRPr="00D764A7">
        <w:t xml:space="preserve">ed bidder, contact person, or certifying official listed on the applicant’s FCC Form 175.  </w:t>
      </w:r>
      <w:r w:rsidRPr="00D764A7">
        <w:rPr>
          <w:i/>
          <w:iCs/>
        </w:rPr>
        <w:t>See</w:t>
      </w:r>
      <w:r>
        <w:rPr>
          <w:iCs/>
        </w:rPr>
        <w:t xml:space="preserve"> section</w:t>
      </w:r>
      <w:r w:rsidRPr="00D764A7">
        <w:rPr>
          <w:iCs/>
        </w:rPr>
        <w:t xml:space="preserve"> </w:t>
      </w:r>
      <w:r w:rsidRPr="00DB0ABB">
        <w:t>III.G</w:t>
      </w:r>
      <w:r w:rsidRPr="00D764A7">
        <w:t xml:space="preserve"> (Auction Registration)</w:t>
      </w:r>
      <w:r>
        <w:t>, below</w:t>
      </w:r>
      <w:r w:rsidRPr="00D764A7">
        <w:t>.</w:t>
      </w:r>
    </w:p>
  </w:footnote>
  <w:footnote w:id="256">
    <w:p w:rsidR="00FE4F2B" w:rsidRPr="00D764A7" w:rsidP="00D6515C" w14:paraId="4F95FA12" w14:textId="74132DC3">
      <w:pPr>
        <w:pStyle w:val="FootnoteText"/>
      </w:pPr>
      <w:r w:rsidRPr="00D764A7">
        <w:rPr>
          <w:rStyle w:val="FootnoteReference"/>
        </w:rPr>
        <w:footnoteRef/>
      </w:r>
      <w:r w:rsidRPr="00D764A7">
        <w:t xml:space="preserve"> </w:t>
      </w:r>
      <w:r w:rsidRPr="00D764A7">
        <w:rPr>
          <w:i/>
        </w:rPr>
        <w:t>See</w:t>
      </w:r>
      <w:r w:rsidRPr="00D764A7">
        <w:t xml:space="preserve"> Consolidated Appropriations Act, 2018, Pub</w:t>
      </w:r>
      <w:r>
        <w:t>.</w:t>
      </w:r>
      <w:r w:rsidRPr="00D764A7">
        <w:t xml:space="preserve"> L</w:t>
      </w:r>
      <w:r>
        <w:t>.</w:t>
      </w:r>
      <w:r w:rsidRPr="00D764A7">
        <w:t xml:space="preserve"> </w:t>
      </w:r>
      <w:r>
        <w:t xml:space="preserve">No. </w:t>
      </w:r>
      <w:r w:rsidRPr="00D764A7">
        <w:t xml:space="preserve">115-141, Division P, Title </w:t>
      </w:r>
      <w:r>
        <w:t>I, 132 Stat. 348, 1080</w:t>
      </w:r>
      <w:r w:rsidRPr="00D764A7">
        <w:t xml:space="preserve"> (2018)</w:t>
      </w:r>
      <w:r>
        <w:t>. F</w:t>
      </w:r>
      <w:r>
        <w:t xml:space="preserve">or more information on calculating upfront payments and the impact of upfront payments on bidding eligibility, </w:t>
      </w:r>
      <w:r w:rsidRPr="00D6525E">
        <w:rPr>
          <w:iCs/>
        </w:rPr>
        <w:t>see</w:t>
      </w:r>
      <w:r>
        <w:rPr>
          <w:i/>
        </w:rPr>
        <w:t xml:space="preserve"> </w:t>
      </w:r>
      <w:r>
        <w:rPr>
          <w:iCs/>
        </w:rPr>
        <w:t xml:space="preserve">section </w:t>
      </w:r>
      <w:r w:rsidRPr="00DB0ABB">
        <w:t>III.F.3</w:t>
      </w:r>
      <w:r w:rsidRPr="00D764A7">
        <w:t xml:space="preserve"> (Upfront Payments</w:t>
      </w:r>
      <w:r>
        <w:t xml:space="preserve"> and</w:t>
      </w:r>
      <w:r w:rsidRPr="00D764A7">
        <w:t xml:space="preserve"> Bidding Eligibility)</w:t>
      </w:r>
      <w:r>
        <w:t>, below</w:t>
      </w:r>
      <w:r w:rsidRPr="00D764A7">
        <w:t>.</w:t>
      </w:r>
    </w:p>
  </w:footnote>
  <w:footnote w:id="257">
    <w:p w:rsidR="00FE4F2B" w:rsidRPr="00D764A7" w:rsidP="00D6515C" w14:paraId="47A76C64" w14:textId="77777777">
      <w:pPr>
        <w:pStyle w:val="FootnoteText"/>
      </w:pPr>
      <w:r w:rsidRPr="00D764A7">
        <w:rPr>
          <w:rStyle w:val="FootnoteReference"/>
        </w:rPr>
        <w:footnoteRef/>
      </w:r>
      <w:r w:rsidRPr="00D764A7">
        <w:t xml:space="preserve"> An applicant must initiate the wire transfer through its bank, authorizi</w:t>
      </w:r>
      <w:r w:rsidRPr="00D764A7">
        <w:t xml:space="preserve">ng the bank to wire funds from the applicant’s account to the </w:t>
      </w:r>
      <w:r>
        <w:t>proper account at the U.S. Treasury</w:t>
      </w:r>
      <w:r w:rsidRPr="00D764A7">
        <w:t>.</w:t>
      </w:r>
    </w:p>
  </w:footnote>
  <w:footnote w:id="258">
    <w:p w:rsidR="00FE4F2B" w:rsidRPr="00D764A7" w:rsidP="00D6515C" w14:paraId="7CF608B9" w14:textId="77777777">
      <w:pPr>
        <w:pStyle w:val="FootnoteText"/>
      </w:pPr>
      <w:r w:rsidRPr="00D764A7">
        <w:rPr>
          <w:rStyle w:val="FootnoteReference"/>
        </w:rPr>
        <w:footnoteRef/>
      </w:r>
      <w:r w:rsidRPr="00D764A7">
        <w:t xml:space="preserve"> The Commission will not accept checks, credit cards, or automated clearing house (ACH) payments.</w:t>
      </w:r>
    </w:p>
  </w:footnote>
  <w:footnote w:id="259">
    <w:p w:rsidR="00FE4F2B" w:rsidRPr="00D764A7" w:rsidP="00D6515C" w14:paraId="05B99D98" w14:textId="0F5A3447">
      <w:pPr>
        <w:pStyle w:val="FootnoteText"/>
      </w:pPr>
      <w:r w:rsidRPr="00D764A7">
        <w:rPr>
          <w:rStyle w:val="FootnoteReference"/>
        </w:rPr>
        <w:footnoteRef/>
      </w:r>
      <w:r w:rsidRPr="00D764A7">
        <w:rPr>
          <w:rStyle w:val="FootnoteReference"/>
        </w:rPr>
        <w:t xml:space="preserve"> </w:t>
      </w:r>
      <w:r w:rsidRPr="007803A9">
        <w:rPr>
          <w:i/>
        </w:rPr>
        <w:t>See, e.g.</w:t>
      </w:r>
      <w:r w:rsidRPr="00D6525E">
        <w:rPr>
          <w:i/>
          <w:iCs/>
        </w:rPr>
        <w:t>,</w:t>
      </w:r>
      <w:r w:rsidRPr="00925FC2">
        <w:t xml:space="preserve"> </w:t>
      </w:r>
      <w:r w:rsidRPr="00554612">
        <w:rPr>
          <w:i/>
        </w:rPr>
        <w:t xml:space="preserve">Four Corners Broadcasting, LLC – Request for </w:t>
      </w:r>
      <w:r w:rsidRPr="00554612">
        <w:rPr>
          <w:i/>
        </w:rPr>
        <w:t>Waiver of Section 1.2106(a), Closed Broadcast Auction 88</w:t>
      </w:r>
      <w:r>
        <w:t>, Letter Order,</w:t>
      </w:r>
      <w:r w:rsidRPr="00D764A7">
        <w:t xml:space="preserve"> 25 FCC Rcd 9046 (</w:t>
      </w:r>
      <w:r>
        <w:t xml:space="preserve">WTB </w:t>
      </w:r>
      <w:r w:rsidRPr="00D764A7">
        <w:t>2010).</w:t>
      </w:r>
    </w:p>
  </w:footnote>
  <w:footnote w:id="260">
    <w:p w:rsidR="00FE4F2B" w14:paraId="43F7904E" w14:textId="1BAF86EB">
      <w:pPr>
        <w:pStyle w:val="FootnoteText"/>
      </w:pPr>
      <w:r>
        <w:rPr>
          <w:rStyle w:val="FootnoteReference"/>
        </w:rPr>
        <w:footnoteRef/>
      </w:r>
      <w:r>
        <w:t xml:space="preserve"> Among other things, the Commission cautions each applicant to plan ahead regarding any potential delays in its or its financial institution’s ability to c</w:t>
      </w:r>
      <w:r>
        <w:t>omplete wire transfers due to the COVID-19 pandemic.</w:t>
      </w:r>
    </w:p>
  </w:footnote>
  <w:footnote w:id="261">
    <w:p w:rsidR="00FE4F2B" w:rsidRPr="00D764A7" w:rsidP="00D6515C" w14:paraId="3CDF716A" w14:textId="3708F39E">
      <w:pPr>
        <w:pStyle w:val="FootnoteText"/>
      </w:pPr>
      <w:r w:rsidRPr="00D764A7">
        <w:rPr>
          <w:rStyle w:val="FootnoteReference"/>
        </w:rPr>
        <w:footnoteRef/>
      </w:r>
      <w:r w:rsidRPr="00D764A7">
        <w:t xml:space="preserve"> </w:t>
      </w:r>
      <w:r w:rsidRPr="00D764A7">
        <w:rPr>
          <w:i/>
        </w:rPr>
        <w:t>See, e.</w:t>
      </w:r>
      <w:r w:rsidRPr="00374A32">
        <w:rPr>
          <w:i/>
        </w:rPr>
        <w:t>g.</w:t>
      </w:r>
      <w:r w:rsidRPr="00D6525E">
        <w:rPr>
          <w:i/>
          <w:iCs/>
        </w:rPr>
        <w:t>,</w:t>
      </w:r>
      <w:r w:rsidRPr="00D764A7">
        <w:rPr>
          <w:i/>
        </w:rPr>
        <w:t xml:space="preserve"> </w:t>
      </w:r>
      <w:r w:rsidRPr="002C079E">
        <w:rPr>
          <w:i/>
        </w:rPr>
        <w:t>Spectrum Acquisitions, Inc. Application to Participate in Auction 73 – Request for Waiver of Upfront Payment Deadline</w:t>
      </w:r>
      <w:r w:rsidRPr="00D764A7">
        <w:t xml:space="preserve">, </w:t>
      </w:r>
      <w:r>
        <w:t xml:space="preserve">Letter Order, </w:t>
      </w:r>
      <w:r w:rsidRPr="00D764A7">
        <w:t>23 FCC Rcd 4765 (</w:t>
      </w:r>
      <w:r>
        <w:t>WTB</w:t>
      </w:r>
      <w:r w:rsidRPr="00D764A7">
        <w:t xml:space="preserve"> 2008). </w:t>
      </w:r>
    </w:p>
  </w:footnote>
  <w:footnote w:id="262">
    <w:p w:rsidR="00FE4F2B" w:rsidRPr="00D764A7" w:rsidP="00D6515C" w14:paraId="630EB4E4" w14:textId="77777777">
      <w:pPr>
        <w:pStyle w:val="FootnoteText"/>
      </w:pPr>
      <w:r w:rsidRPr="00D764A7">
        <w:rPr>
          <w:rStyle w:val="FootnoteReference"/>
        </w:rPr>
        <w:footnoteRef/>
      </w:r>
      <w:r w:rsidRPr="00D764A7">
        <w:t xml:space="preserve"> </w:t>
      </w:r>
      <w:r w:rsidRPr="00D764A7">
        <w:rPr>
          <w:i/>
        </w:rPr>
        <w:t xml:space="preserve">See Auction </w:t>
      </w:r>
      <w:r w:rsidRPr="00D764A7">
        <w:rPr>
          <w:i/>
        </w:rPr>
        <w:t>Procedures Consolidation Order</w:t>
      </w:r>
      <w:r w:rsidRPr="00D764A7">
        <w:t>, 12 FCC Rcd at 5697-98, para</w:t>
      </w:r>
      <w:r>
        <w:t>.</w:t>
      </w:r>
      <w:r w:rsidRPr="00D764A7">
        <w:t xml:space="preserve"> 16; s</w:t>
      </w:r>
      <w:r w:rsidRPr="00D764A7">
        <w:rPr>
          <w:i/>
        </w:rPr>
        <w:t>ee also Part 1</w:t>
      </w:r>
      <w:r w:rsidRPr="00925FC2">
        <w:rPr>
          <w:i/>
        </w:rPr>
        <w:t xml:space="preserve"> Third Report and Order</w:t>
      </w:r>
      <w:r>
        <w:t>,</w:t>
      </w:r>
      <w:r w:rsidRPr="00905695">
        <w:t xml:space="preserve"> </w:t>
      </w:r>
      <w:r>
        <w:t xml:space="preserve">13 FCC Rcd at </w:t>
      </w:r>
      <w:r w:rsidRPr="00D764A7">
        <w:t>425</w:t>
      </w:r>
      <w:r>
        <w:t>, para. 86</w:t>
      </w:r>
      <w:r w:rsidRPr="00D764A7">
        <w:t xml:space="preserve">; </w:t>
      </w:r>
      <w:r w:rsidRPr="00D764A7">
        <w:rPr>
          <w:i/>
        </w:rPr>
        <w:t>Competitive Bidding Second Report and Order</w:t>
      </w:r>
      <w:r w:rsidRPr="00D764A7">
        <w:t>, 9 FCC Rcd at 2377-79, paras. 169-75.</w:t>
      </w:r>
    </w:p>
  </w:footnote>
  <w:footnote w:id="263">
    <w:p w:rsidR="00FE4F2B" w:rsidRPr="00D764A7" w:rsidP="00D6515C" w14:paraId="463E704F" w14:textId="6B34949B">
      <w:pPr>
        <w:pStyle w:val="FootnoteText"/>
      </w:pPr>
      <w:r w:rsidRPr="00D764A7">
        <w:rPr>
          <w:rStyle w:val="FootnoteReference"/>
        </w:rPr>
        <w:footnoteRef/>
      </w:r>
      <w:r w:rsidRPr="00D764A7">
        <w:t xml:space="preserve"> </w:t>
      </w:r>
      <w:r w:rsidRPr="00D764A7">
        <w:rPr>
          <w:i/>
        </w:rPr>
        <w:t xml:space="preserve">See Competitive Bidding Second Report </w:t>
      </w:r>
      <w:r w:rsidRPr="00D764A7">
        <w:rPr>
          <w:i/>
        </w:rPr>
        <w:t>and Order</w:t>
      </w:r>
      <w:r w:rsidRPr="00D764A7">
        <w:t>, 9 FCC Rcd at 2377-79, paras. 169-76.</w:t>
      </w:r>
      <w:r>
        <w:t xml:space="preserve">  </w:t>
      </w:r>
    </w:p>
  </w:footnote>
  <w:footnote w:id="264">
    <w:p w:rsidR="00FE4F2B" w:rsidRPr="00D764A7" w:rsidP="00D6515C" w14:paraId="64676C9A" w14:textId="67BE8F98">
      <w:pPr>
        <w:pStyle w:val="FootnoteText"/>
      </w:pPr>
      <w:r w:rsidRPr="00D764A7">
        <w:rPr>
          <w:rStyle w:val="FootnoteReference"/>
        </w:rPr>
        <w:footnoteRef/>
      </w:r>
      <w:r w:rsidRPr="00D764A7">
        <w:t xml:space="preserve"> 47 CFR § 1.2106(a)</w:t>
      </w:r>
      <w:r>
        <w:t xml:space="preserve">; </w:t>
      </w:r>
      <w:r>
        <w:rPr>
          <w:i/>
        </w:rPr>
        <w:t>s</w:t>
      </w:r>
      <w:r w:rsidRPr="003F7685">
        <w:rPr>
          <w:i/>
        </w:rPr>
        <w:t>ee</w:t>
      </w:r>
      <w:r>
        <w:rPr>
          <w:i/>
        </w:rPr>
        <w:t xml:space="preserve"> also</w:t>
      </w:r>
      <w:r w:rsidRPr="00D764A7">
        <w:t xml:space="preserve"> </w:t>
      </w:r>
      <w:r w:rsidRPr="00D764A7">
        <w:rPr>
          <w:i/>
        </w:rPr>
        <w:t>Part 1 Fifth Report and Order</w:t>
      </w:r>
      <w:r w:rsidRPr="00D764A7">
        <w:t xml:space="preserve">, 15 FCC Rcd at 15316-18, paras. 40-43; </w:t>
      </w:r>
      <w:r>
        <w:t>section</w:t>
      </w:r>
      <w:r w:rsidRPr="00D764A7">
        <w:t xml:space="preserve"> </w:t>
      </w:r>
      <w:r>
        <w:t>II.I</w:t>
      </w:r>
      <w:r w:rsidRPr="00D764A7">
        <w:t xml:space="preserve"> (Provisions Regarding Former and Current Defaulters)</w:t>
      </w:r>
      <w:r>
        <w:t>, above</w:t>
      </w:r>
      <w:r w:rsidRPr="00D764A7">
        <w:rPr>
          <w:i/>
        </w:rPr>
        <w:t xml:space="preserve">.  </w:t>
      </w:r>
    </w:p>
  </w:footnote>
  <w:footnote w:id="265">
    <w:p w:rsidR="00FE4F2B" w:rsidRPr="00D764A7" w:rsidP="00D6515C" w14:paraId="6EBE2AFB" w14:textId="77777777">
      <w:pPr>
        <w:pStyle w:val="FootnoteText"/>
      </w:pPr>
      <w:r w:rsidRPr="00D764A7">
        <w:rPr>
          <w:rStyle w:val="FootnoteReference"/>
        </w:rPr>
        <w:footnoteRef/>
      </w:r>
      <w:r w:rsidRPr="00D764A7">
        <w:t xml:space="preserve"> For this purpose, the term “</w:t>
      </w:r>
      <w:r w:rsidRPr="00D764A7">
        <w:t>controlling interest” is defined in 47 CFR § 1.2105(a)(4)(i).</w:t>
      </w:r>
    </w:p>
  </w:footnote>
  <w:footnote w:id="266">
    <w:p w:rsidR="00FE4F2B" w:rsidRPr="00D764A7" w:rsidP="00D6515C" w14:paraId="1083D3A0" w14:textId="38BF4B86">
      <w:pPr>
        <w:pStyle w:val="FootnoteText"/>
      </w:pPr>
      <w:r w:rsidRPr="00D764A7">
        <w:rPr>
          <w:rStyle w:val="FootnoteReference"/>
        </w:rPr>
        <w:footnoteRef/>
      </w:r>
      <w:r w:rsidRPr="00D764A7">
        <w:t xml:space="preserve"> </w:t>
      </w:r>
      <w:r>
        <w:rPr>
          <w:i/>
        </w:rPr>
        <w:t xml:space="preserve">See </w:t>
      </w:r>
      <w:r w:rsidRPr="00D764A7">
        <w:rPr>
          <w:rStyle w:val="FootnoteTextChar3Char1"/>
          <w:i/>
        </w:rPr>
        <w:t>Auction 10</w:t>
      </w:r>
      <w:r>
        <w:rPr>
          <w:rStyle w:val="FootnoteTextChar3Char1"/>
          <w:i/>
        </w:rPr>
        <w:t>7</w:t>
      </w:r>
      <w:r w:rsidRPr="00D764A7">
        <w:rPr>
          <w:rStyle w:val="FootnoteTextChar3Char1"/>
          <w:i/>
        </w:rPr>
        <w:t xml:space="preserve"> Comment </w:t>
      </w:r>
      <w:r w:rsidRPr="00D764A7">
        <w:rPr>
          <w:i/>
        </w:rPr>
        <w:t>Public Notice</w:t>
      </w:r>
      <w:r>
        <w:t>, 35 FCC Rcd at 2608, paras. 21-23</w:t>
      </w:r>
      <w:r w:rsidRPr="00D764A7">
        <w:t xml:space="preserve">.  </w:t>
      </w:r>
    </w:p>
  </w:footnote>
  <w:footnote w:id="267">
    <w:p w:rsidR="00FE4F2B" w:rsidRPr="007B1DC1" w:rsidP="00B94BDA" w14:paraId="5215B9DB" w14:textId="521AAA83">
      <w:pPr>
        <w:pStyle w:val="FootnoteText"/>
      </w:pPr>
      <w:r>
        <w:rPr>
          <w:rStyle w:val="FootnoteReference"/>
        </w:rPr>
        <w:footnoteRef/>
      </w:r>
      <w:r>
        <w:t xml:space="preserve"> </w:t>
      </w:r>
      <w:r w:rsidRPr="00325AAA">
        <w:rPr>
          <w:rStyle w:val="FootnoteTextChar3Char1"/>
          <w:i/>
        </w:rPr>
        <w:t>Id</w:t>
      </w:r>
      <w:r w:rsidRPr="00325AAA">
        <w:rPr>
          <w:i/>
        </w:rPr>
        <w:t>.</w:t>
      </w:r>
      <w:r>
        <w:rPr>
          <w:i/>
        </w:rPr>
        <w:t xml:space="preserve"> </w:t>
      </w:r>
      <w:r>
        <w:t>at 2608, para. 21.</w:t>
      </w:r>
    </w:p>
  </w:footnote>
  <w:footnote w:id="268">
    <w:p w:rsidR="00FE4F2B" w:rsidP="00B94BDA" w14:paraId="2687D755" w14:textId="22028A18">
      <w:pPr>
        <w:pStyle w:val="FootnoteText"/>
      </w:pPr>
      <w:r>
        <w:rPr>
          <w:rStyle w:val="FootnoteReference"/>
        </w:rPr>
        <w:footnoteRef/>
      </w:r>
      <w:r>
        <w:t xml:space="preserve"> U.S. Cellular Comments at 4.</w:t>
      </w:r>
    </w:p>
  </w:footnote>
  <w:footnote w:id="269">
    <w:p w:rsidR="00FE4F2B" w14:paraId="2830D97A" w14:textId="2F6FDDEB">
      <w:pPr>
        <w:pStyle w:val="FootnoteText"/>
      </w:pPr>
      <w:r>
        <w:rPr>
          <w:rStyle w:val="FootnoteReference"/>
        </w:rPr>
        <w:footnoteRef/>
      </w:r>
      <w:r>
        <w:t xml:space="preserve"> Verizon Comments at 14.  Verizon argues that “[a]</w:t>
      </w:r>
      <w:r w:rsidRPr="00D57635">
        <w:t xml:space="preserve"> lower bar</w:t>
      </w:r>
      <w:r w:rsidRPr="00D57635">
        <w:t>rier to entry will increase competition and promote economic opportunity for all bidders facing economic headwinds this year—without jeopardizing the integrity of the auction</w:t>
      </w:r>
      <w:r>
        <w:t xml:space="preserve">.”  </w:t>
      </w:r>
      <w:r w:rsidRPr="0015798F">
        <w:rPr>
          <w:i/>
          <w:iCs/>
        </w:rPr>
        <w:t>Id.</w:t>
      </w:r>
      <w:r>
        <w:t xml:space="preserve"> at 15; </w:t>
      </w:r>
      <w:r w:rsidRPr="00EE6697">
        <w:rPr>
          <w:i/>
          <w:iCs/>
        </w:rPr>
        <w:t>see also</w:t>
      </w:r>
      <w:r>
        <w:t xml:space="preserve"> Verizon Reply at 7; Letter from William H. Johnson, Senior Vice President, Verizon, to Marlene H. Dortch, Secretary, FCC, GN Docket No. 18-122, AU Docket No. 20-25, at 2 (filed June 10, 2020) (Verizon June 10 </w:t>
      </w:r>
      <w:r w:rsidRPr="001F7E3B">
        <w:rPr>
          <w:i/>
          <w:iCs/>
        </w:rPr>
        <w:t>Ex Parte</w:t>
      </w:r>
      <w:r>
        <w:t>).</w:t>
      </w:r>
    </w:p>
  </w:footnote>
  <w:footnote w:id="270">
    <w:p w:rsidR="00FE4F2B" w14:paraId="2EE2E026" w14:textId="17E6A04D">
      <w:pPr>
        <w:pStyle w:val="FootnoteText"/>
      </w:pPr>
      <w:r>
        <w:rPr>
          <w:rStyle w:val="FootnoteReference"/>
        </w:rPr>
        <w:footnoteRef/>
      </w:r>
      <w:r>
        <w:t xml:space="preserve"> </w:t>
      </w:r>
      <w:r w:rsidRPr="00F62FA6">
        <w:rPr>
          <w:i/>
          <w:iCs/>
        </w:rPr>
        <w:t>See</w:t>
      </w:r>
      <w:r>
        <w:t xml:space="preserve"> section IV.A.7.a (Minimum Ope</w:t>
      </w:r>
      <w:r>
        <w:t>ning Bids and Reserve Price), below.</w:t>
      </w:r>
    </w:p>
  </w:footnote>
  <w:footnote w:id="271">
    <w:p w:rsidR="00FE4F2B" w14:paraId="7098B741" w14:textId="1D1C288D">
      <w:pPr>
        <w:pStyle w:val="FootnoteText"/>
      </w:pPr>
      <w:r>
        <w:rPr>
          <w:rStyle w:val="FootnoteReference"/>
        </w:rPr>
        <w:footnoteRef/>
      </w:r>
      <w:r>
        <w:t xml:space="preserve"> </w:t>
      </w:r>
      <w:r w:rsidRPr="00F62FA6">
        <w:rPr>
          <w:i/>
          <w:iCs/>
        </w:rPr>
        <w:t>See, e.g., Comment Sought on Competitive Bidding Procedures for Broadcast Incentive Auction 1000, Including Auctions 1001 and 1002</w:t>
      </w:r>
      <w:r>
        <w:t xml:space="preserve">, AU Docket No. 14-252, GN Docket No. 12-268, Public Notice, 29 FCC Rcd 15750, </w:t>
      </w:r>
      <w:r>
        <w:t>15770, para. 51 (2014) (</w:t>
      </w:r>
      <w:r w:rsidRPr="00426372">
        <w:rPr>
          <w:i/>
          <w:iCs/>
        </w:rPr>
        <w:t>Auction 1000 Comment Public Notice</w:t>
      </w:r>
      <w:r>
        <w:t>).</w:t>
      </w:r>
    </w:p>
  </w:footnote>
  <w:footnote w:id="272">
    <w:p w:rsidR="00FE4F2B" w14:paraId="513D969F" w14:textId="407472FA">
      <w:pPr>
        <w:pStyle w:val="FootnoteText"/>
      </w:pPr>
      <w:r>
        <w:rPr>
          <w:rStyle w:val="FootnoteReference"/>
        </w:rPr>
        <w:footnoteRef/>
      </w:r>
      <w:r>
        <w:t xml:space="preserve"> </w:t>
      </w:r>
      <w:r w:rsidRPr="00F62FA6">
        <w:rPr>
          <w:i/>
          <w:iCs/>
        </w:rPr>
        <w:t>See</w:t>
      </w:r>
      <w:r>
        <w:t xml:space="preserve"> Verizon Comments at 14-15.</w:t>
      </w:r>
    </w:p>
  </w:footnote>
  <w:footnote w:id="273">
    <w:p w:rsidR="00FE4F2B" w:rsidP="00DF483A" w14:paraId="19EB7AE7" w14:textId="0B026544">
      <w:pPr>
        <w:pStyle w:val="FootnoteText"/>
      </w:pPr>
      <w:r>
        <w:rPr>
          <w:rStyle w:val="FootnoteReference"/>
        </w:rPr>
        <w:footnoteRef/>
      </w:r>
      <w:r>
        <w:t xml:space="preserve"> The results of the upfront payment calculations </w:t>
      </w:r>
      <w:r w:rsidRPr="007158A5">
        <w:t xml:space="preserve">will be rounded as follows:  </w:t>
      </w:r>
      <w:r>
        <w:t>R</w:t>
      </w:r>
      <w:r w:rsidRPr="007158A5">
        <w:t xml:space="preserve">esults above $10,000 will be rounded to the nearest $1,000; results below $10,000 </w:t>
      </w:r>
      <w:r w:rsidRPr="007158A5">
        <w:t>but above $1,000 will be rounded to the nearest $100; and results below $1,000 will be rounded to the nearest $10</w:t>
      </w:r>
      <w:r>
        <w:t>.</w:t>
      </w:r>
    </w:p>
  </w:footnote>
  <w:footnote w:id="274">
    <w:p w:rsidR="00FE4F2B" w:rsidRPr="00EC6F81" w:rsidP="00D6515C" w14:paraId="60BD80E8" w14:textId="3B2F2DAC">
      <w:pPr>
        <w:pStyle w:val="FootnoteText"/>
      </w:pPr>
      <w:r>
        <w:rPr>
          <w:rStyle w:val="FootnoteReference"/>
        </w:rPr>
        <w:footnoteRef/>
      </w:r>
      <w:r>
        <w:t xml:space="preserve"> </w:t>
      </w:r>
      <w:r>
        <w:rPr>
          <w:i/>
        </w:rPr>
        <w:t xml:space="preserve">See </w:t>
      </w:r>
      <w:r w:rsidRPr="00D764A7">
        <w:rPr>
          <w:rStyle w:val="FootnoteTextChar3Char1"/>
          <w:i/>
        </w:rPr>
        <w:t>Auction 10</w:t>
      </w:r>
      <w:r>
        <w:rPr>
          <w:rStyle w:val="FootnoteTextChar3Char1"/>
          <w:i/>
        </w:rPr>
        <w:t>7</w:t>
      </w:r>
      <w:r w:rsidRPr="00D764A7">
        <w:rPr>
          <w:rStyle w:val="FootnoteTextChar3Char1"/>
          <w:i/>
        </w:rPr>
        <w:t xml:space="preserve"> Comment </w:t>
      </w:r>
      <w:r w:rsidRPr="00D764A7">
        <w:rPr>
          <w:i/>
        </w:rPr>
        <w:t>Public Notice</w:t>
      </w:r>
      <w:r>
        <w:t>, 35 FCC Rcd at 2608, para. 22.</w:t>
      </w:r>
    </w:p>
  </w:footnote>
  <w:footnote w:id="275">
    <w:p w:rsidR="00FE4F2B" w:rsidRPr="00D764A7" w:rsidP="00D6515C" w14:paraId="61073559" w14:textId="2782D6D9">
      <w:pPr>
        <w:pStyle w:val="FootnoteText"/>
      </w:pPr>
      <w:r w:rsidRPr="00D764A7">
        <w:rPr>
          <w:rStyle w:val="FootnoteReference"/>
        </w:rPr>
        <w:footnoteRef/>
      </w:r>
      <w:r w:rsidRPr="00D764A7">
        <w:t xml:space="preserve"> In some cases, a qualified bidder</w:t>
      </w:r>
      <w:r>
        <w:t>’</w:t>
      </w:r>
      <w:r w:rsidRPr="00D764A7">
        <w:t xml:space="preserve">s maximum eligibility may be less </w:t>
      </w:r>
      <w:r w:rsidRPr="00D764A7">
        <w:t>than the amount of its upfront payment because the qualified bidder has either previously been in default on a Commission construction permit or license or delinquent on non-tax debt owed to a Federal agency</w:t>
      </w:r>
      <w:r>
        <w:t>,</w:t>
      </w:r>
      <w:r w:rsidRPr="00D764A7">
        <w:t xml:space="preserve"> </w:t>
      </w:r>
      <w:r w:rsidRPr="00D764A7">
        <w:rPr>
          <w:i/>
        </w:rPr>
        <w:t>see</w:t>
      </w:r>
      <w:r w:rsidRPr="00D764A7">
        <w:t xml:space="preserve"> 47 CFR § 1.2106(a), or has submitted an upf</w:t>
      </w:r>
      <w:r w:rsidRPr="00D764A7">
        <w:t xml:space="preserve">ront payment that exceeds the total amount of bidding units associated with the </w:t>
      </w:r>
      <w:r>
        <w:t>license areas it selected on its FCC Form 175</w:t>
      </w:r>
      <w:r w:rsidRPr="00D764A7">
        <w:t>.</w:t>
      </w:r>
    </w:p>
  </w:footnote>
  <w:footnote w:id="276">
    <w:p w:rsidR="00FE4F2B" w:rsidRPr="00D764A7" w:rsidP="00D6515C" w14:paraId="6C9674D7" w14:textId="3C475735">
      <w:pPr>
        <w:pStyle w:val="FootnoteText"/>
      </w:pPr>
      <w:r w:rsidRPr="00D764A7">
        <w:rPr>
          <w:rStyle w:val="FootnoteReference"/>
        </w:rPr>
        <w:footnoteRef/>
      </w:r>
      <w:r w:rsidRPr="00D764A7">
        <w:t xml:space="preserve"> </w:t>
      </w:r>
      <w:r w:rsidRPr="00DB4C30">
        <w:rPr>
          <w:i/>
          <w:iCs/>
        </w:rPr>
        <w:t>See</w:t>
      </w:r>
      <w:r>
        <w:t xml:space="preserve"> </w:t>
      </w:r>
      <w:r w:rsidRPr="00D764A7">
        <w:t>47 CFR § 1.2106(a)</w:t>
      </w:r>
      <w:r>
        <w:t>.</w:t>
      </w:r>
    </w:p>
  </w:footnote>
  <w:footnote w:id="277">
    <w:p w:rsidR="00FE4F2B" w:rsidRPr="00D764A7" w:rsidP="00D6515C" w14:paraId="630D5051" w14:textId="6648E10B">
      <w:pPr>
        <w:pStyle w:val="FootnoteText"/>
      </w:pPr>
      <w:r w:rsidRPr="00D764A7">
        <w:rPr>
          <w:rStyle w:val="FootnoteReference"/>
        </w:rPr>
        <w:footnoteRef/>
      </w:r>
      <w:r w:rsidRPr="00D764A7">
        <w:t xml:space="preserve"> If a former defaulter fails to submit a sufficient upfront payment to establish eligibility to bid on</w:t>
      </w:r>
      <w:r w:rsidRPr="00D764A7">
        <w:t xml:space="preserve"> </w:t>
      </w:r>
      <w:r>
        <w:t>at least one generic block in a PEA</w:t>
      </w:r>
      <w:r w:rsidRPr="00D764A7">
        <w:t xml:space="preserve">, the applicant will not be eligible to participate in </w:t>
      </w:r>
      <w:r>
        <w:t>Auction 107</w:t>
      </w:r>
      <w:r w:rsidRPr="00D764A7">
        <w:t xml:space="preserve">.  </w:t>
      </w:r>
      <w:r>
        <w:rPr>
          <w:i/>
        </w:rPr>
        <w:t xml:space="preserve">Implementation of Section 309(j) of the Communications Act – Competitive Bidding for Commercial Broadcast and Instructional Television Fixed </w:t>
      </w:r>
      <w:r>
        <w:rPr>
          <w:i/>
        </w:rPr>
        <w:t>Service Licenses et al.</w:t>
      </w:r>
      <w:r>
        <w:t xml:space="preserve">, MM Docket No. 97-234, Report and Order, 13 FCC Rcd 15920, </w:t>
      </w:r>
      <w:r w:rsidRPr="00D764A7">
        <w:t>15979-80</w:t>
      </w:r>
      <w:r>
        <w:t>,</w:t>
      </w:r>
      <w:r w:rsidRPr="00D764A7">
        <w:t xml:space="preserve"> para. 153</w:t>
      </w:r>
      <w:r>
        <w:t xml:space="preserve"> (1998)</w:t>
      </w:r>
      <w:r w:rsidRPr="00D764A7">
        <w:t>.  Th</w:t>
      </w:r>
      <w:r>
        <w:t>e</w:t>
      </w:r>
      <w:r w:rsidRPr="00D764A7">
        <w:t xml:space="preserve"> applicant</w:t>
      </w:r>
      <w:r>
        <w:t>, however,</w:t>
      </w:r>
      <w:r w:rsidRPr="00D764A7">
        <w:t xml:space="preserve"> will retain its status as an applicant in Auction </w:t>
      </w:r>
      <w:r>
        <w:t>107</w:t>
      </w:r>
      <w:r w:rsidRPr="00D764A7">
        <w:t xml:space="preserve"> and will remain subject to 47 CFR § 1.2105(c).  </w:t>
      </w:r>
      <w:r w:rsidRPr="00D764A7">
        <w:rPr>
          <w:i/>
        </w:rPr>
        <w:t>See Star Wireless,</w:t>
      </w:r>
      <w:r w:rsidRPr="00D764A7">
        <w:rPr>
          <w:i/>
        </w:rPr>
        <w:t xml:space="preserve"> LLC</w:t>
      </w:r>
      <w:r w:rsidRPr="00D764A7">
        <w:t>, Forfeiture Order, 19 FCC Rcd 18626, 18628</w:t>
      </w:r>
      <w:r>
        <w:t>,</w:t>
      </w:r>
      <w:r w:rsidRPr="00D764A7">
        <w:t xml:space="preserve"> para. 4 &amp; n.19 (E</w:t>
      </w:r>
      <w:r>
        <w:t xml:space="preserve">B </w:t>
      </w:r>
      <w:r w:rsidRPr="00D764A7">
        <w:t xml:space="preserve">2004), </w:t>
      </w:r>
      <w:r w:rsidRPr="00D764A7">
        <w:rPr>
          <w:i/>
        </w:rPr>
        <w:t>granted in part sub nom</w:t>
      </w:r>
      <w:r>
        <w:rPr>
          <w:i/>
        </w:rPr>
        <w:t>.</w:t>
      </w:r>
      <w:r w:rsidRPr="00D764A7">
        <w:t xml:space="preserve"> </w:t>
      </w:r>
      <w:r w:rsidRPr="00D764A7">
        <w:rPr>
          <w:i/>
        </w:rPr>
        <w:t xml:space="preserve">Star Wireless, LLC </w:t>
      </w:r>
      <w:r w:rsidRPr="00D764A7">
        <w:rPr>
          <w:i/>
          <w:color w:val="000000"/>
        </w:rPr>
        <w:t>and Northeast Communications of Wisconsin, Inc</w:t>
      </w:r>
      <w:r w:rsidRPr="00D764A7">
        <w:rPr>
          <w:color w:val="000000"/>
        </w:rPr>
        <w:t xml:space="preserve">., </w:t>
      </w:r>
      <w:r w:rsidRPr="00D764A7">
        <w:t xml:space="preserve">Order on Review, 22 FCC Rcd 8943 (2007), </w:t>
      </w:r>
      <w:r w:rsidRPr="00D764A7">
        <w:rPr>
          <w:i/>
        </w:rPr>
        <w:t xml:space="preserve">petition for review denied, Star Wireless, LLC </w:t>
      </w:r>
      <w:r w:rsidRPr="00D764A7">
        <w:rPr>
          <w:i/>
        </w:rPr>
        <w:t>v. FCC</w:t>
      </w:r>
      <w:r w:rsidRPr="00D764A7">
        <w:t>, 522 F.3d 469 (D.C. Cir. 2008).</w:t>
      </w:r>
    </w:p>
  </w:footnote>
  <w:footnote w:id="278">
    <w:p w:rsidR="00FE4F2B" w:rsidRPr="00D764A7" w:rsidP="00D6515C" w14:paraId="10CF2924" w14:textId="13D8CC46">
      <w:pPr>
        <w:pStyle w:val="FootnoteText"/>
      </w:pPr>
      <w:r w:rsidRPr="00D764A7">
        <w:rPr>
          <w:rStyle w:val="FootnoteReference"/>
        </w:rPr>
        <w:footnoteRef/>
      </w:r>
      <w:r w:rsidRPr="00D764A7">
        <w:t xml:space="preserve"> Only those bidders that are qualified to participate in Auction 10</w:t>
      </w:r>
      <w:r>
        <w:t>7</w:t>
      </w:r>
      <w:r w:rsidRPr="00D764A7">
        <w:t xml:space="preserve"> will be eligible to participate in the mock auction.</w:t>
      </w:r>
    </w:p>
  </w:footnote>
  <w:footnote w:id="279">
    <w:p w:rsidR="00FE4F2B" w:rsidRPr="00852F03" w:rsidP="00E438BA" w14:paraId="6DAB673B" w14:textId="77777777">
      <w:pPr>
        <w:pStyle w:val="FootnoteText"/>
      </w:pPr>
      <w:r w:rsidRPr="002F79F6">
        <w:rPr>
          <w:rStyle w:val="FootnoteReference"/>
        </w:rPr>
        <w:footnoteRef/>
      </w:r>
      <w:r w:rsidRPr="002F79F6">
        <w:t xml:space="preserve"> </w:t>
      </w:r>
      <w:r>
        <w:rPr>
          <w:i/>
        </w:rPr>
        <w:t>See</w:t>
      </w:r>
      <w:r w:rsidRPr="000C7353">
        <w:rPr>
          <w:i/>
        </w:rPr>
        <w:t xml:space="preserve"> </w:t>
      </w:r>
      <w:r w:rsidRPr="00852F03">
        <w:rPr>
          <w:kern w:val="28"/>
        </w:rPr>
        <w:t>47 CFR § 1.2104(i)</w:t>
      </w:r>
      <w:r>
        <w:rPr>
          <w:kern w:val="28"/>
        </w:rPr>
        <w:t>.</w:t>
      </w:r>
      <w:r w:rsidRPr="00852F03">
        <w:rPr>
          <w:kern w:val="28"/>
        </w:rPr>
        <w:t xml:space="preserve">  </w:t>
      </w:r>
    </w:p>
  </w:footnote>
  <w:footnote w:id="280">
    <w:p w:rsidR="00FE4F2B" w:rsidP="00062EAF" w14:paraId="6370420A" w14:textId="77777777">
      <w:pPr>
        <w:pStyle w:val="FootnoteText"/>
      </w:pPr>
      <w:r>
        <w:rPr>
          <w:rStyle w:val="FootnoteReference"/>
        </w:rPr>
        <w:footnoteRef/>
      </w:r>
      <w:r>
        <w:t xml:space="preserve"> </w:t>
      </w:r>
      <w:r w:rsidRPr="0012404F">
        <w:rPr>
          <w:i/>
          <w:iCs/>
        </w:rPr>
        <w:t>See</w:t>
      </w:r>
      <w:r>
        <w:rPr>
          <w:i/>
          <w:iCs/>
        </w:rPr>
        <w:t>, e.g.</w:t>
      </w:r>
      <w:r w:rsidRPr="008D172B">
        <w:t>,</w:t>
      </w:r>
      <w:r>
        <w:t xml:space="preserve"> AT&amp;T Comments at 1-2; U.S. Cellular Comments at 3-4; </w:t>
      </w:r>
      <w:r>
        <w:t>T-Mobile Comments at 1.</w:t>
      </w:r>
    </w:p>
  </w:footnote>
  <w:footnote w:id="281">
    <w:p w:rsidR="00FE4F2B" w:rsidRPr="00736B47" w:rsidP="00062EAF" w14:paraId="64A25E69" w14:textId="77777777">
      <w:pPr>
        <w:pStyle w:val="FootnoteText"/>
      </w:pPr>
      <w:r>
        <w:rPr>
          <w:rStyle w:val="FootnoteReference"/>
        </w:rPr>
        <w:footnoteRef/>
      </w:r>
      <w:r>
        <w:t xml:space="preserve"> The </w:t>
      </w:r>
      <w:r w:rsidRPr="00E437C2">
        <w:rPr>
          <w:iCs/>
        </w:rPr>
        <w:t>Auction 107 Clock Phase Technical Guide</w:t>
      </w:r>
      <w:r w:rsidRPr="004956B6">
        <w:rPr>
          <w:iCs/>
        </w:rPr>
        <w:t xml:space="preserve"> details the adopted </w:t>
      </w:r>
      <w:r w:rsidRPr="00CC69A8">
        <w:rPr>
          <w:iCs/>
        </w:rPr>
        <w:t>procedures for the clock phase of Auction 107</w:t>
      </w:r>
      <w:r w:rsidRPr="00E437C2">
        <w:rPr>
          <w:iCs/>
        </w:rPr>
        <w:t xml:space="preserve">.  The Auction 107 Assignment Phase Technical Guide </w:t>
      </w:r>
      <w:r w:rsidRPr="004956B6">
        <w:rPr>
          <w:iCs/>
        </w:rPr>
        <w:t>details</w:t>
      </w:r>
      <w:r>
        <w:t xml:space="preserve"> the adopted procedures for the assignment phase</w:t>
      </w:r>
      <w:r>
        <w:rPr>
          <w:i/>
        </w:rPr>
        <w:t>.</w:t>
      </w:r>
    </w:p>
  </w:footnote>
  <w:footnote w:id="282">
    <w:p w:rsidR="00FE4F2B" w:rsidRPr="00B97722" w:rsidP="00062EAF" w14:paraId="440CC7BF" w14:textId="77777777">
      <w:pPr>
        <w:pStyle w:val="FootnoteText"/>
      </w:pPr>
      <w:r>
        <w:rPr>
          <w:rStyle w:val="FootnoteReference"/>
        </w:rPr>
        <w:footnoteRef/>
      </w:r>
      <w:r>
        <w:t xml:space="preserve"> </w:t>
      </w:r>
      <w:r w:rsidRPr="00D6525E">
        <w:rPr>
          <w:i/>
          <w:iCs/>
        </w:rPr>
        <w:t>See</w:t>
      </w:r>
      <w:r>
        <w:t xml:space="preserve"> </w:t>
      </w:r>
      <w:r w:rsidRPr="00CA4CAA">
        <w:rPr>
          <w:i/>
        </w:rPr>
        <w:t>Auction</w:t>
      </w:r>
      <w:r>
        <w:rPr>
          <w:i/>
        </w:rPr>
        <w:t xml:space="preserve"> 107</w:t>
      </w:r>
      <w:r w:rsidRPr="00CA4CAA">
        <w:rPr>
          <w:i/>
        </w:rPr>
        <w:t xml:space="preserve"> Comment Public Notic</w:t>
      </w:r>
      <w:r>
        <w:rPr>
          <w:i/>
        </w:rPr>
        <w:t>e</w:t>
      </w:r>
      <w:r>
        <w:t>, 35 FCC Rcd at 2611, para. 36.</w:t>
      </w:r>
    </w:p>
  </w:footnote>
  <w:footnote w:id="283">
    <w:p w:rsidR="00FE4F2B" w:rsidRPr="003618B9" w:rsidP="00062EAF" w14:paraId="3957CFEA" w14:textId="77777777">
      <w:pPr>
        <w:pStyle w:val="FootnoteText"/>
      </w:pPr>
      <w:r>
        <w:rPr>
          <w:rStyle w:val="FootnoteReference"/>
        </w:rPr>
        <w:footnoteRef/>
      </w:r>
      <w:r>
        <w:t xml:space="preserve"> </w:t>
      </w:r>
      <w:r>
        <w:rPr>
          <w:i/>
        </w:rPr>
        <w:t xml:space="preserve">See </w:t>
      </w:r>
      <w:r>
        <w:rPr>
          <w:i/>
          <w:iCs/>
        </w:rPr>
        <w:t>id.</w:t>
      </w:r>
      <w:r>
        <w:t xml:space="preserve"> at 2610, para. 35.</w:t>
      </w:r>
    </w:p>
  </w:footnote>
  <w:footnote w:id="284">
    <w:p w:rsidR="00FE4F2B" w:rsidP="00062EAF" w14:paraId="78D02290" w14:textId="77777777">
      <w:pPr>
        <w:pStyle w:val="FootnoteText"/>
      </w:pPr>
      <w:r>
        <w:rPr>
          <w:rStyle w:val="FootnoteReference"/>
        </w:rPr>
        <w:footnoteRef/>
      </w:r>
      <w:r>
        <w:t xml:space="preserve"> </w:t>
      </w:r>
      <w:r w:rsidRPr="00867A8C">
        <w:rPr>
          <w:i/>
          <w:iCs/>
        </w:rPr>
        <w:t>See, e.g.</w:t>
      </w:r>
      <w:r>
        <w:t xml:space="preserve">, Verizon Comments at 4 (“[The alternative approach] </w:t>
      </w:r>
      <w:r w:rsidRPr="0096162F">
        <w:t>does not require bidders to consider switc</w:t>
      </w:r>
      <w:r w:rsidRPr="0096162F">
        <w:t xml:space="preserve">hing between categories (as they would have to do more often under the A/BC Approach). </w:t>
      </w:r>
      <w:r>
        <w:t xml:space="preserve"> </w:t>
      </w:r>
      <w:r w:rsidRPr="0096162F">
        <w:t>This simplification will speed up the auction and minimize the risk that a bidder ends up with demand trapped in a category it does not really prefer.”</w:t>
      </w:r>
      <w:r>
        <w:t xml:space="preserve">); </w:t>
      </w:r>
      <w:r w:rsidRPr="00867A8C">
        <w:rPr>
          <w:i/>
          <w:iCs/>
        </w:rPr>
        <w:t>see also</w:t>
      </w:r>
      <w:r>
        <w:t xml:space="preserve"> U.S. </w:t>
      </w:r>
      <w:r>
        <w:t>Cellular Comments at 7 (“[Under the alternative approach] [e]</w:t>
      </w:r>
      <w:r w:rsidRPr="00D50317">
        <w:t>very bidder in the 360 Phase II PEAs therefore</w:t>
      </w:r>
      <w:r>
        <w:t xml:space="preserve"> </w:t>
      </w:r>
      <w:r w:rsidRPr="00D50317">
        <w:t>would be guaranteed the technical benefits of contiguous blocks, including faster data rates, lower latency,</w:t>
      </w:r>
      <w:r w:rsidRPr="00FA62C6">
        <w:t xml:space="preserve"> and improved spectral efficiency.</w:t>
      </w:r>
      <w:r>
        <w:t>”); AT</w:t>
      </w:r>
      <w:r>
        <w:t xml:space="preserve">&amp;T Comments at 3-4; CCA Comments at 2-3; CTIA Reply at 4; T-Mobile Comments at 2.  </w:t>
      </w:r>
    </w:p>
  </w:footnote>
  <w:footnote w:id="285">
    <w:p w:rsidR="00FE4F2B" w:rsidP="00062EAF" w14:paraId="63CAF75B" w14:textId="77777777">
      <w:pPr>
        <w:pStyle w:val="FootnoteText"/>
      </w:pPr>
      <w:r>
        <w:rPr>
          <w:rStyle w:val="FootnoteReference"/>
        </w:rPr>
        <w:footnoteRef/>
      </w:r>
      <w:r>
        <w:t xml:space="preserve"> </w:t>
      </w:r>
      <w:r w:rsidRPr="0012404F">
        <w:rPr>
          <w:i/>
          <w:iCs/>
        </w:rPr>
        <w:t>See, e.g.</w:t>
      </w:r>
      <w:r>
        <w:t>, CCA Comments at 2 (“</w:t>
      </w:r>
      <w:r w:rsidRPr="00E32B89">
        <w:t>The Phase II A block licenses and the BC block licenses are sufficiently interchangeable that they can constitute a single group for purpos</w:t>
      </w:r>
      <w:r w:rsidRPr="00E32B89">
        <w:t>es of bidding in the clock phase</w:t>
      </w:r>
      <w:r>
        <w:t xml:space="preserve"> . . . .”); </w:t>
      </w:r>
      <w:r w:rsidRPr="0012404F">
        <w:rPr>
          <w:i/>
          <w:iCs/>
        </w:rPr>
        <w:t>see also</w:t>
      </w:r>
      <w:r>
        <w:t xml:space="preserve"> U.S. Cellular Comments at 6-7; Verizon Comments at 3; AT&amp;T Comments at 2-3; T-Mobile Comments at 2.</w:t>
      </w:r>
    </w:p>
  </w:footnote>
  <w:footnote w:id="286">
    <w:p w:rsidR="00FE4F2B" w:rsidP="00062EAF" w14:paraId="7C804070" w14:textId="29988DCB">
      <w:pPr>
        <w:pStyle w:val="FootnoteText"/>
      </w:pPr>
      <w:r>
        <w:rPr>
          <w:rStyle w:val="FootnoteReference"/>
        </w:rPr>
        <w:footnoteRef/>
      </w:r>
      <w:r>
        <w:t xml:space="preserve"> As explained in section IV.C (License Authorizations for Interim and Final Assignments), below, a win</w:t>
      </w:r>
      <w:r>
        <w:t xml:space="preserve">ner of a Category A block in the 46 PEAs with blocks subject to the Phase I deadline will be assigned one of the </w:t>
      </w:r>
      <w:r w:rsidRPr="00A077F4">
        <w:t>five blocks</w:t>
      </w:r>
      <w:r>
        <w:t xml:space="preserve"> subject to the Phase I deadline (</w:t>
      </w:r>
      <w:r w:rsidRPr="00A077F4">
        <w:t>A1–A5</w:t>
      </w:r>
      <w:r>
        <w:t>) as an interim assignment, but may be assigned any of the blocks in the band (A1</w:t>
      </w:r>
      <w:r w:rsidRPr="00A077F4">
        <w:t>–</w:t>
      </w:r>
      <w:r>
        <w:t>C4) as a fi</w:t>
      </w:r>
      <w:r>
        <w:t>nal assignment.  A winner of a Category BC block will be assigned one of the blocks in the band (A1</w:t>
      </w:r>
      <w:r w:rsidRPr="00A077F4">
        <w:t>–</w:t>
      </w:r>
      <w:r>
        <w:t xml:space="preserve">C4) as a final assignment and will not be assigned any block subject to the Phase I deadline.   </w:t>
      </w:r>
    </w:p>
  </w:footnote>
  <w:footnote w:id="287">
    <w:p w:rsidR="00FE4F2B" w:rsidP="00062EAF" w14:paraId="5F34F57B" w14:textId="65562D8D">
      <w:pPr>
        <w:pStyle w:val="FootnoteText"/>
      </w:pPr>
      <w:r>
        <w:rPr>
          <w:rStyle w:val="FootnoteReference"/>
        </w:rPr>
        <w:footnoteRef/>
      </w:r>
      <w:r>
        <w:t xml:space="preserve"> In the </w:t>
      </w:r>
      <w:r w:rsidRPr="0012404F">
        <w:rPr>
          <w:i/>
          <w:iCs/>
        </w:rPr>
        <w:t>Auction 107 Comment Public Notice</w:t>
      </w:r>
      <w:r>
        <w:t>, we suggested th</w:t>
      </w:r>
      <w:r>
        <w:t>e names P1 and P2 to refer to the alternative categories.  Under the procedures we adopt, Category A corresponds directly to the alternative Category P1.  In the 46 PEAs, Category BC corresponds to alternative Category P2, and ABC corresponds to alternativ</w:t>
      </w:r>
      <w:r>
        <w:t xml:space="preserve">e Category P2 in the remaining PEAs.  We adopt this nomenclature that differs from the suggested alternative strictly for technical implementation purposes.  The essential characteristic of the clock phase bidding categories we adopt is the same as in the </w:t>
      </w:r>
      <w:r>
        <w:t xml:space="preserve">alternative approach:  that clock phase bidding will not force bidders to bid in separate categories in PEAs where all blocks are available only in Phase II.     </w:t>
      </w:r>
    </w:p>
  </w:footnote>
  <w:footnote w:id="288">
    <w:p w:rsidR="00FE4F2B" w:rsidP="00062EAF" w14:paraId="0DBA6600" w14:textId="77777777">
      <w:pPr>
        <w:pStyle w:val="FootnoteText"/>
      </w:pPr>
      <w:r>
        <w:rPr>
          <w:rStyle w:val="FootnoteReference"/>
        </w:rPr>
        <w:footnoteRef/>
      </w:r>
      <w:r>
        <w:t xml:space="preserve"> </w:t>
      </w:r>
      <w:r>
        <w:rPr>
          <w:i/>
        </w:rPr>
        <w:t>See Auction 107 Comment Public Notice</w:t>
      </w:r>
      <w:r w:rsidRPr="00867A8C">
        <w:rPr>
          <w:iCs/>
        </w:rPr>
        <w:t>, 35 FCC Rcd</w:t>
      </w:r>
      <w:r w:rsidRPr="00CA4CAA">
        <w:t xml:space="preserve"> at</w:t>
      </w:r>
      <w:r>
        <w:t xml:space="preserve"> 2610, para. 32.</w:t>
      </w:r>
    </w:p>
  </w:footnote>
  <w:footnote w:id="289">
    <w:p w:rsidR="00FE4F2B" w:rsidRPr="00B97722" w:rsidP="00062EAF" w14:paraId="42E7BA35" w14:textId="77777777">
      <w:pPr>
        <w:pStyle w:val="FootnoteText"/>
      </w:pPr>
      <w:r>
        <w:rPr>
          <w:rStyle w:val="FootnoteReference"/>
        </w:rPr>
        <w:footnoteRef/>
      </w:r>
      <w:r>
        <w:t xml:space="preserve"> </w:t>
      </w:r>
      <w:r>
        <w:rPr>
          <w:i/>
        </w:rPr>
        <w:t>Id.</w:t>
      </w:r>
      <w:r>
        <w:t xml:space="preserve"> at 2611, para. 38.</w:t>
      </w:r>
    </w:p>
  </w:footnote>
  <w:footnote w:id="290">
    <w:p w:rsidR="00FE4F2B" w:rsidRPr="00E3661D" w:rsidP="00062EAF" w14:paraId="4EDF6389" w14:textId="77777777">
      <w:pPr>
        <w:pStyle w:val="FootnoteText"/>
      </w:pPr>
      <w:r>
        <w:rPr>
          <w:rStyle w:val="FootnoteReference"/>
        </w:rPr>
        <w:footnoteRef/>
      </w:r>
      <w:r>
        <w:t xml:space="preserve"> </w:t>
      </w:r>
      <w:r>
        <w:rPr>
          <w:i/>
        </w:rPr>
        <w:t>See id.</w:t>
      </w:r>
    </w:p>
  </w:footnote>
  <w:footnote w:id="291">
    <w:p w:rsidR="00FE4F2B" w:rsidRPr="00615648" w:rsidP="00062EAF" w14:paraId="6AFA6844" w14:textId="77777777">
      <w:pPr>
        <w:pStyle w:val="FootnoteText"/>
      </w:pPr>
      <w:r>
        <w:rPr>
          <w:rStyle w:val="FootnoteReference"/>
        </w:rPr>
        <w:footnoteRef/>
      </w:r>
      <w:r>
        <w:t xml:space="preserve"> </w:t>
      </w:r>
      <w:r>
        <w:rPr>
          <w:i/>
        </w:rPr>
        <w:t>Id.</w:t>
      </w:r>
    </w:p>
  </w:footnote>
  <w:footnote w:id="292">
    <w:p w:rsidR="00FE4F2B" w:rsidP="00062EAF" w14:paraId="237EEF51" w14:textId="77777777">
      <w:pPr>
        <w:pStyle w:val="FootnoteText"/>
      </w:pPr>
      <w:r>
        <w:rPr>
          <w:rStyle w:val="FootnoteReference"/>
        </w:rPr>
        <w:footnoteRef/>
      </w:r>
      <w:r>
        <w:t xml:space="preserve"> For more information on how to submit bids, see the Auction 107 Clock Phase Bidding System User Guide.</w:t>
      </w:r>
    </w:p>
  </w:footnote>
  <w:footnote w:id="293">
    <w:p w:rsidR="00FE4F2B" w:rsidP="00062EAF" w14:paraId="57AFBE95" w14:textId="082B208B">
      <w:pPr>
        <w:pStyle w:val="FootnoteText"/>
      </w:pPr>
      <w:r>
        <w:rPr>
          <w:rStyle w:val="FootnoteReference"/>
        </w:rPr>
        <w:footnoteRef/>
      </w:r>
      <w:r>
        <w:t xml:space="preserve"> </w:t>
      </w:r>
      <w:r>
        <w:rPr>
          <w:i/>
          <w:iCs/>
        </w:rPr>
        <w:t xml:space="preserve">See </w:t>
      </w:r>
      <w:r>
        <w:t xml:space="preserve">section IV.A.6 (Activity Requirement and Activity Upper Limit), below. </w:t>
      </w:r>
    </w:p>
  </w:footnote>
  <w:footnote w:id="294">
    <w:p w:rsidR="00FE4F2B" w:rsidRPr="00B97722" w:rsidP="00062EAF" w14:paraId="0C2F30E6" w14:textId="77777777">
      <w:pPr>
        <w:pStyle w:val="FootnoteText"/>
      </w:pPr>
      <w:r>
        <w:rPr>
          <w:rStyle w:val="FootnoteReference"/>
        </w:rPr>
        <w:footnoteRef/>
      </w:r>
      <w:r>
        <w:t xml:space="preserve"> </w:t>
      </w:r>
      <w:r w:rsidRPr="00D6525E">
        <w:rPr>
          <w:i/>
          <w:iCs/>
        </w:rPr>
        <w:t>See</w:t>
      </w:r>
      <w:r>
        <w:t xml:space="preserve"> </w:t>
      </w:r>
      <w:r>
        <w:rPr>
          <w:i/>
        </w:rPr>
        <w:t>Auction 107 Comment Public Noti</w:t>
      </w:r>
      <w:r>
        <w:rPr>
          <w:i/>
        </w:rPr>
        <w:t>ce</w:t>
      </w:r>
      <w:r>
        <w:t>, 35 FCC Rcd at 2611, para. 40.</w:t>
      </w:r>
    </w:p>
  </w:footnote>
  <w:footnote w:id="295">
    <w:p w:rsidR="00FE4F2B" w:rsidP="00062EAF" w14:paraId="0973A812" w14:textId="77777777">
      <w:pPr>
        <w:pStyle w:val="FootnoteText"/>
      </w:pPr>
      <w:r>
        <w:rPr>
          <w:rStyle w:val="FootnoteReference"/>
        </w:rPr>
        <w:footnoteRef/>
      </w:r>
      <w:r>
        <w:t xml:space="preserve"> No bids may be withdrawn after the close of a round.  </w:t>
      </w:r>
      <w:r w:rsidRPr="00557698">
        <w:t>Unlike an auction conducted using the Commission’s standard simultaneous multiple-round auction format for bidding on frequency-specific licenses (as opposed to gener</w:t>
      </w:r>
      <w:r w:rsidRPr="00557698">
        <w:t xml:space="preserve">ic blocks), there are no provisionally winning bids in a clock auction.  As a result, the concept of bid withdrawals </w:t>
      </w:r>
      <w:r>
        <w:t xml:space="preserve">as used in standard </w:t>
      </w:r>
      <w:r w:rsidRPr="00557698">
        <w:t>simultaneous multiple-round auction</w:t>
      </w:r>
      <w:r>
        <w:t>s</w:t>
      </w:r>
      <w:r w:rsidRPr="00557698">
        <w:t xml:space="preserve"> does not apply to a clock auction.  </w:t>
      </w:r>
    </w:p>
  </w:footnote>
  <w:footnote w:id="296">
    <w:p w:rsidR="00FE4F2B" w:rsidRPr="00BC4A16" w:rsidP="00062EAF" w14:paraId="35037D14" w14:textId="77777777">
      <w:pPr>
        <w:pStyle w:val="FootnoteText"/>
      </w:pPr>
      <w:r>
        <w:rPr>
          <w:rStyle w:val="FootnoteReference"/>
        </w:rPr>
        <w:footnoteRef/>
      </w:r>
      <w:r>
        <w:t xml:space="preserve"> </w:t>
      </w:r>
      <w:r>
        <w:rPr>
          <w:i/>
        </w:rPr>
        <w:t xml:space="preserve">See </w:t>
      </w:r>
      <w:r w:rsidRPr="00CA4CAA">
        <w:rPr>
          <w:i/>
        </w:rPr>
        <w:t>Auction</w:t>
      </w:r>
      <w:r>
        <w:rPr>
          <w:i/>
        </w:rPr>
        <w:t xml:space="preserve"> 107</w:t>
      </w:r>
      <w:r w:rsidRPr="00CA4CAA">
        <w:rPr>
          <w:i/>
        </w:rPr>
        <w:t xml:space="preserve"> Comment Public Notice</w:t>
      </w:r>
      <w:r>
        <w:rPr>
          <w:iCs/>
        </w:rPr>
        <w:t>, 35 F</w:t>
      </w:r>
      <w:r>
        <w:rPr>
          <w:iCs/>
        </w:rPr>
        <w:t xml:space="preserve">CC Rcd at 2611, </w:t>
      </w:r>
      <w:r>
        <w:t>para. 41.</w:t>
      </w:r>
    </w:p>
  </w:footnote>
  <w:footnote w:id="297">
    <w:p w:rsidR="00FE4F2B" w:rsidRPr="00852F03" w:rsidP="00062EAF" w14:paraId="61E22721" w14:textId="13E5CA9A">
      <w:pPr>
        <w:pStyle w:val="FootnoteText"/>
      </w:pPr>
      <w:r w:rsidRPr="00934C9B">
        <w:rPr>
          <w:rStyle w:val="FootnoteReference"/>
        </w:rPr>
        <w:footnoteRef/>
      </w:r>
      <w:r w:rsidRPr="00370AA2">
        <w:t xml:space="preserve"> </w:t>
      </w:r>
      <w:r w:rsidRPr="00185CDF">
        <w:t>The posted price of the previous round generally</w:t>
      </w:r>
      <w:r>
        <w:t xml:space="preserve"> is</w:t>
      </w:r>
      <w:r w:rsidRPr="00185CDF">
        <w:t xml:space="preserve">:  the clock price of the previous round if demand exceeds supply; the </w:t>
      </w:r>
      <w:r>
        <w:t xml:space="preserve">start-of-round </w:t>
      </w:r>
      <w:r w:rsidRPr="00185CDF">
        <w:t xml:space="preserve">price </w:t>
      </w:r>
      <w:r>
        <w:t xml:space="preserve">of the previous round </w:t>
      </w:r>
      <w:r w:rsidRPr="00185CDF">
        <w:t>if supply exceeds demand; or the price at which a reduction cau</w:t>
      </w:r>
      <w:r w:rsidRPr="00185CDF">
        <w:t xml:space="preserve">sed demand to equal supply.  See the </w:t>
      </w:r>
      <w:r w:rsidRPr="00D6525E">
        <w:rPr>
          <w:iCs/>
        </w:rPr>
        <w:t>Auction 10</w:t>
      </w:r>
      <w:r>
        <w:rPr>
          <w:iCs/>
        </w:rPr>
        <w:t>7</w:t>
      </w:r>
      <w:r w:rsidRPr="00D6525E">
        <w:rPr>
          <w:iCs/>
        </w:rPr>
        <w:t xml:space="preserve"> </w:t>
      </w:r>
      <w:r>
        <w:rPr>
          <w:iCs/>
        </w:rPr>
        <w:t xml:space="preserve">Clock Phase </w:t>
      </w:r>
      <w:r w:rsidRPr="00D6525E">
        <w:rPr>
          <w:iCs/>
        </w:rPr>
        <w:t>Technical Guide</w:t>
      </w:r>
      <w:r>
        <w:t xml:space="preserve"> </w:t>
      </w:r>
      <w:r w:rsidRPr="00185CDF">
        <w:t>for more details</w:t>
      </w:r>
      <w:r>
        <w:t>.</w:t>
      </w:r>
    </w:p>
  </w:footnote>
  <w:footnote w:id="298">
    <w:p w:rsidR="00FE4F2B" w:rsidP="00062EAF" w14:paraId="3C04060A" w14:textId="43FA1179">
      <w:pPr>
        <w:pStyle w:val="FootnoteText"/>
      </w:pPr>
      <w:r>
        <w:rPr>
          <w:rStyle w:val="FootnoteReference"/>
        </w:rPr>
        <w:footnoteRef/>
      </w:r>
      <w:r>
        <w:t xml:space="preserve"> </w:t>
      </w:r>
      <w:r w:rsidRPr="00CA4CAA">
        <w:rPr>
          <w:i/>
        </w:rPr>
        <w:t>Auction</w:t>
      </w:r>
      <w:r>
        <w:rPr>
          <w:i/>
        </w:rPr>
        <w:t xml:space="preserve"> 107</w:t>
      </w:r>
      <w:r w:rsidRPr="00CA4CAA">
        <w:rPr>
          <w:i/>
        </w:rPr>
        <w:t xml:space="preserve"> Comment Public Notice</w:t>
      </w:r>
      <w:r>
        <w:t xml:space="preserve">, 35 FCC Rcd at 2612, para. 42; </w:t>
      </w:r>
      <w:r>
        <w:rPr>
          <w:i/>
        </w:rPr>
        <w:t xml:space="preserve">see also </w:t>
      </w:r>
      <w:r>
        <w:t xml:space="preserve">section </w:t>
      </w:r>
      <w:r w:rsidRPr="00DB0ABB">
        <w:t>II.F</w:t>
      </w:r>
      <w:r>
        <w:t xml:space="preserve"> (Information Procedures During the Auction Process), above.</w:t>
      </w:r>
    </w:p>
  </w:footnote>
  <w:footnote w:id="299">
    <w:p w:rsidR="00FE4F2B" w:rsidRPr="00F45AE3" w:rsidP="00062EAF" w14:paraId="01687A70" w14:textId="77777777">
      <w:pPr>
        <w:pStyle w:val="FootnoteText"/>
      </w:pPr>
      <w:r>
        <w:rPr>
          <w:rStyle w:val="FootnoteReference"/>
        </w:rPr>
        <w:footnoteRef/>
      </w:r>
      <w:r>
        <w:t xml:space="preserve"> </w:t>
      </w:r>
      <w:r>
        <w:rPr>
          <w:i/>
        </w:rPr>
        <w:t xml:space="preserve">See </w:t>
      </w:r>
      <w:r w:rsidRPr="00CA4CAA">
        <w:rPr>
          <w:i/>
        </w:rPr>
        <w:t>Auction</w:t>
      </w:r>
      <w:r>
        <w:rPr>
          <w:i/>
        </w:rPr>
        <w:t xml:space="preserve"> 107</w:t>
      </w:r>
      <w:r w:rsidRPr="00CA4CAA">
        <w:rPr>
          <w:i/>
        </w:rPr>
        <w:t xml:space="preserve"> Comment Public Notice</w:t>
      </w:r>
      <w:r>
        <w:t>, 35 FCC Rcd at 2612, para. 43.</w:t>
      </w:r>
    </w:p>
  </w:footnote>
  <w:footnote w:id="300">
    <w:p w:rsidR="00FE4F2B" w:rsidRPr="00F45AE3" w:rsidP="00062EAF" w14:paraId="202DD522" w14:textId="77777777">
      <w:pPr>
        <w:pStyle w:val="FootnoteText"/>
      </w:pPr>
      <w:r>
        <w:rPr>
          <w:rStyle w:val="FootnoteReference"/>
        </w:rPr>
        <w:footnoteRef/>
      </w:r>
      <w:r>
        <w:t xml:space="preserve"> </w:t>
      </w:r>
      <w:r>
        <w:rPr>
          <w:i/>
        </w:rPr>
        <w:t>See id.</w:t>
      </w:r>
      <w:r>
        <w:t xml:space="preserve"> at 2612, para. 45.</w:t>
      </w:r>
    </w:p>
  </w:footnote>
  <w:footnote w:id="301">
    <w:p w:rsidR="00FE4F2B" w:rsidRPr="00F45AE3" w:rsidP="00062EAF" w14:paraId="195646E8" w14:textId="77777777">
      <w:pPr>
        <w:pStyle w:val="FootnoteText"/>
      </w:pPr>
      <w:r>
        <w:rPr>
          <w:rStyle w:val="FootnoteReference"/>
        </w:rPr>
        <w:footnoteRef/>
      </w:r>
      <w:r>
        <w:t xml:space="preserve"> </w:t>
      </w:r>
      <w:r>
        <w:rPr>
          <w:i/>
        </w:rPr>
        <w:t xml:space="preserve">See id. </w:t>
      </w:r>
      <w:r w:rsidRPr="00D75359">
        <w:rPr>
          <w:iCs/>
        </w:rPr>
        <w:t xml:space="preserve">at </w:t>
      </w:r>
      <w:r>
        <w:rPr>
          <w:iCs/>
        </w:rPr>
        <w:t>26</w:t>
      </w:r>
      <w:r w:rsidRPr="00D75359">
        <w:rPr>
          <w:iCs/>
        </w:rPr>
        <w:t>12, para. 46.</w:t>
      </w:r>
    </w:p>
  </w:footnote>
  <w:footnote w:id="302">
    <w:p w:rsidR="00FE4F2B" w:rsidRPr="000F160D" w:rsidP="00062EAF" w14:paraId="1DEAF130" w14:textId="0C555ADA">
      <w:pPr>
        <w:pStyle w:val="FootnoteText"/>
      </w:pPr>
      <w:r w:rsidRPr="0012404F">
        <w:rPr>
          <w:rStyle w:val="FootnoteReference"/>
          <w:sz w:val="20"/>
        </w:rPr>
        <w:footnoteRef/>
      </w:r>
      <w:r w:rsidRPr="000F160D">
        <w:t xml:space="preserve"> </w:t>
      </w:r>
      <w:r w:rsidRPr="00304CBE">
        <w:t xml:space="preserve">Bidders </w:t>
      </w:r>
      <w:r>
        <w:t>that</w:t>
      </w:r>
      <w:r w:rsidRPr="00304CBE">
        <w:t xml:space="preserve"> do not place any bids in the first round of the auc</w:t>
      </w:r>
      <w:r w:rsidRPr="00304CBE">
        <w:t xml:space="preserve">tion will have their eligibility reduced </w:t>
      </w:r>
      <w:r>
        <w:t xml:space="preserve">to zero, </w:t>
      </w:r>
      <w:r w:rsidRPr="00304CBE">
        <w:t xml:space="preserve">and will be eliminated from bidding </w:t>
      </w:r>
      <w:r>
        <w:t>during</w:t>
      </w:r>
      <w:r w:rsidRPr="000F160D">
        <w:t xml:space="preserve"> the remainder of the auction.</w:t>
      </w:r>
    </w:p>
  </w:footnote>
  <w:footnote w:id="303">
    <w:p w:rsidR="00FE4F2B" w:rsidP="00062EAF" w14:paraId="5933716D" w14:textId="7A832177">
      <w:pPr>
        <w:pStyle w:val="FootnoteText"/>
      </w:pPr>
      <w:r>
        <w:rPr>
          <w:rStyle w:val="FootnoteReference"/>
        </w:rPr>
        <w:footnoteRef/>
      </w:r>
      <w:r w:rsidRPr="005F33BA">
        <w:t xml:space="preserve"> </w:t>
      </w:r>
      <w:bookmarkStart w:id="2057" w:name="_Hlk34231764"/>
      <w:r>
        <w:t>The bidding system will reduce the bidder’s eligibility to the amount at which the bidder would be meeting the activity requirement</w:t>
      </w:r>
      <w:r>
        <w:t xml:space="preserve">, which can be calculated by multiplying the bidder’s activity by the reciprocal of the activity requirement.  </w:t>
      </w:r>
      <w:r w:rsidRPr="005F33BA">
        <w:rPr>
          <w:snapToGrid w:val="0"/>
        </w:rPr>
        <w:t>For example, with an activity requirement of 95%, the eligibility of a bidder not meeting the activity requirement would be calculated as the bid</w:t>
      </w:r>
      <w:r w:rsidRPr="005F33BA">
        <w:rPr>
          <w:snapToGrid w:val="0"/>
        </w:rPr>
        <w:t>der</w:t>
      </w:r>
      <w:r>
        <w:rPr>
          <w:snapToGrid w:val="0"/>
        </w:rPr>
        <w:t>’</w:t>
      </w:r>
      <w:r w:rsidRPr="005F33BA">
        <w:rPr>
          <w:snapToGrid w:val="0"/>
        </w:rPr>
        <w:t xml:space="preserve">s activity multiplied by </w:t>
      </w:r>
      <w:r>
        <w:rPr>
          <w:snapToGrid w:val="0"/>
        </w:rPr>
        <w:t>100/95</w:t>
      </w:r>
      <w:bookmarkEnd w:id="2057"/>
      <w:r>
        <w:rPr>
          <w:snapToGrid w:val="0"/>
        </w:rPr>
        <w:t>, rounded up to the nearest integer</w:t>
      </w:r>
      <w:r w:rsidRPr="005F33BA">
        <w:rPr>
          <w:snapToGrid w:val="0"/>
        </w:rPr>
        <w:t>.</w:t>
      </w:r>
    </w:p>
  </w:footnote>
  <w:footnote w:id="304">
    <w:p w:rsidR="00FE4F2B" w:rsidRPr="002B5F7B" w:rsidP="00062EAF" w14:paraId="25934086" w14:textId="77777777">
      <w:pPr>
        <w:pStyle w:val="FootnoteText"/>
      </w:pPr>
      <w:r w:rsidRPr="002F79F6">
        <w:rPr>
          <w:rStyle w:val="FootnoteReference"/>
        </w:rPr>
        <w:footnoteRef/>
      </w:r>
      <w:r w:rsidRPr="002F79F6">
        <w:t xml:space="preserve"> </w:t>
      </w:r>
      <w:bookmarkStart w:id="2058" w:name="_Hlk34231717"/>
      <w:r w:rsidRPr="00AE74E3">
        <w:t>Under the ascending clock auction format, the FCC auction bidding system will not allow a bidder to reduce the quantity of blocks it demands in a</w:t>
      </w:r>
      <w:r>
        <w:t xml:space="preserve"> product </w:t>
      </w:r>
      <w:r w:rsidRPr="00AE74E3">
        <w:t>if the reduction would resul</w:t>
      </w:r>
      <w:r w:rsidRPr="00AE74E3">
        <w:t xml:space="preserve">t in aggregate demand falling below (or further below) the available supply of blocks in the </w:t>
      </w:r>
      <w:bookmarkEnd w:id="2058"/>
      <w:r>
        <w:t>product.</w:t>
      </w:r>
    </w:p>
  </w:footnote>
  <w:footnote w:id="305">
    <w:p w:rsidR="00FE4F2B" w:rsidRPr="00F45AE3" w:rsidP="00062EAF" w14:paraId="1D1F0F47" w14:textId="77777777">
      <w:pPr>
        <w:pStyle w:val="FootnoteText"/>
      </w:pPr>
      <w:r>
        <w:rPr>
          <w:rStyle w:val="FootnoteReference"/>
        </w:rPr>
        <w:footnoteRef/>
      </w:r>
      <w:r>
        <w:t xml:space="preserve"> </w:t>
      </w:r>
      <w:r>
        <w:rPr>
          <w:i/>
        </w:rPr>
        <w:t xml:space="preserve">See </w:t>
      </w:r>
      <w:r w:rsidRPr="00CA4CAA">
        <w:rPr>
          <w:i/>
        </w:rPr>
        <w:t>Auction</w:t>
      </w:r>
      <w:r>
        <w:rPr>
          <w:i/>
        </w:rPr>
        <w:t xml:space="preserve"> 107</w:t>
      </w:r>
      <w:r w:rsidRPr="00CA4CAA">
        <w:rPr>
          <w:i/>
        </w:rPr>
        <w:t xml:space="preserve"> Comment Public Notice</w:t>
      </w:r>
      <w:r>
        <w:t>, 35 FCC Rcd at 2613, para. 47.</w:t>
      </w:r>
    </w:p>
  </w:footnote>
  <w:footnote w:id="306">
    <w:p w:rsidR="00FE4F2B" w:rsidP="00062EAF" w14:paraId="4B99CBEB" w14:textId="3BA9EABF">
      <w:pPr>
        <w:pStyle w:val="FootnoteText"/>
      </w:pPr>
      <w:r>
        <w:rPr>
          <w:rStyle w:val="FootnoteReference"/>
        </w:rPr>
        <w:footnoteRef/>
      </w:r>
      <w:r>
        <w:t xml:space="preserve"> </w:t>
      </w:r>
      <w:bookmarkStart w:id="2059" w:name="_Hlk34231640"/>
      <w:r>
        <w:t>This may occur, for example, if the bidder bids to reduce its demand in PEA X by two blocks (with 10 bidding units each) and bids to increase its demand by one block (with 20 bidding units) in PEA Y.  If the bidder’s demand can only be reduced by one block</w:t>
      </w:r>
      <w:r>
        <w:t xml:space="preserve"> in PEA X (because there is only one block of excess demand), the increase in PEA Y cannot be applied, and absent other bidding activity the bidder’s eligibility would be reduced.  </w:t>
      </w:r>
      <w:bookmarkEnd w:id="2059"/>
      <w:r w:rsidRPr="00114359">
        <w:rPr>
          <w:i/>
        </w:rPr>
        <w:t>See</w:t>
      </w:r>
      <w:r>
        <w:t xml:space="preserve"> sections IV.A.8.a and d </w:t>
      </w:r>
      <w:r w:rsidRPr="00852F03">
        <w:t>(</w:t>
      </w:r>
      <w:r>
        <w:t>No Excess Supply Rule for Bids to Reduce Deman</w:t>
      </w:r>
      <w:r>
        <w:t>d; and Processed Demands</w:t>
      </w:r>
      <w:r w:rsidRPr="00852F03">
        <w:t>)</w:t>
      </w:r>
      <w:r>
        <w:t>, for further details on bid processing.</w:t>
      </w:r>
    </w:p>
  </w:footnote>
  <w:footnote w:id="307">
    <w:p w:rsidR="00FE4F2B" w:rsidP="00062EAF" w14:paraId="6630C7E4" w14:textId="6E003FFA">
      <w:pPr>
        <w:pStyle w:val="FootnoteText"/>
      </w:pPr>
      <w:r>
        <w:rPr>
          <w:rStyle w:val="FootnoteReference"/>
        </w:rPr>
        <w:footnoteRef/>
      </w:r>
      <w:r>
        <w:t xml:space="preserve"> </w:t>
      </w:r>
      <w:bookmarkStart w:id="2060" w:name="_Hlk34231673"/>
      <w:r w:rsidRPr="00B84678">
        <w:t>For example, depending upon the bidder’s overall bidding eligibility and the activity limit percentage, a bidder could submit an “additional” bid or bids that would be considered (in price</w:t>
      </w:r>
      <w:r w:rsidRPr="00B84678">
        <w:t xml:space="preserve"> point order with its other bids) and applied as available eligibility permits during the bid processing.  </w:t>
      </w:r>
      <w:bookmarkEnd w:id="2060"/>
      <w:r w:rsidRPr="00D6525E">
        <w:t>See</w:t>
      </w:r>
      <w:r w:rsidRPr="00B84678">
        <w:t xml:space="preserve"> </w:t>
      </w:r>
      <w:r>
        <w:t xml:space="preserve">the </w:t>
      </w:r>
      <w:r w:rsidRPr="00B84678">
        <w:t>Auction 10</w:t>
      </w:r>
      <w:r>
        <w:t>7 Clock Phase</w:t>
      </w:r>
      <w:r w:rsidRPr="00B84678">
        <w:t xml:space="preserve"> Technical Guide for further details</w:t>
      </w:r>
      <w:r>
        <w:t xml:space="preserve"> and an example</w:t>
      </w:r>
      <w:r w:rsidRPr="00B84678">
        <w:t xml:space="preserve">. </w:t>
      </w:r>
    </w:p>
  </w:footnote>
  <w:footnote w:id="308">
    <w:p w:rsidR="00FE4F2B" w:rsidP="00062EAF" w14:paraId="787167A4" w14:textId="77777777">
      <w:pPr>
        <w:pStyle w:val="FootnoteText"/>
      </w:pPr>
      <w:r>
        <w:rPr>
          <w:rStyle w:val="FootnoteReference"/>
        </w:rPr>
        <w:footnoteRef/>
      </w:r>
      <w:r>
        <w:t xml:space="preserve"> </w:t>
      </w:r>
      <w:r w:rsidRPr="00E34B56">
        <w:rPr>
          <w:i/>
          <w:iCs/>
        </w:rPr>
        <w:t>See</w:t>
      </w:r>
      <w:r>
        <w:t xml:space="preserve"> U.S. Cellular Comments at 4-5.</w:t>
      </w:r>
    </w:p>
  </w:footnote>
  <w:footnote w:id="309">
    <w:p w:rsidR="00FE4F2B" w:rsidP="00062EAF" w14:paraId="31A1FB69" w14:textId="77777777">
      <w:pPr>
        <w:pStyle w:val="FootnoteText"/>
      </w:pPr>
      <w:r>
        <w:rPr>
          <w:rStyle w:val="FootnoteReference"/>
        </w:rPr>
        <w:footnoteRef/>
      </w:r>
      <w:r>
        <w:t xml:space="preserve"> </w:t>
      </w:r>
      <w:r w:rsidRPr="00867A8C">
        <w:rPr>
          <w:i/>
          <w:iCs/>
        </w:rPr>
        <w:t>See</w:t>
      </w:r>
      <w:r>
        <w:t xml:space="preserve"> Moise Comments at 14-</w:t>
      </w:r>
      <w:r>
        <w:t xml:space="preserve">15; Verizon Comments at 14; Verizon Reply at 7-8.  </w:t>
      </w:r>
    </w:p>
  </w:footnote>
  <w:footnote w:id="310">
    <w:p w:rsidR="00FE4F2B" w:rsidP="00062EAF" w14:paraId="2E36B64D" w14:textId="77777777">
      <w:pPr>
        <w:pStyle w:val="FootnoteText"/>
      </w:pPr>
      <w:r>
        <w:rPr>
          <w:rStyle w:val="FootnoteReference"/>
        </w:rPr>
        <w:footnoteRef/>
      </w:r>
      <w:r>
        <w:t xml:space="preserve"> </w:t>
      </w:r>
      <w:r w:rsidRPr="008F7184">
        <w:rPr>
          <w:i/>
          <w:iCs/>
        </w:rPr>
        <w:t>See</w:t>
      </w:r>
      <w:r>
        <w:t xml:space="preserve"> Moise Comments at 16-17; Verizon Reply at 7-8. </w:t>
      </w:r>
    </w:p>
  </w:footnote>
  <w:footnote w:id="311">
    <w:p w:rsidR="00FE4F2B" w:rsidP="00062EAF" w14:paraId="03FC6292" w14:textId="77777777">
      <w:pPr>
        <w:pStyle w:val="FootnoteText"/>
      </w:pPr>
      <w:r>
        <w:rPr>
          <w:rStyle w:val="FootnoteReference"/>
        </w:rPr>
        <w:footnoteRef/>
      </w:r>
      <w:r>
        <w:t xml:space="preserve"> </w:t>
      </w:r>
      <w:r w:rsidRPr="00867A8C">
        <w:rPr>
          <w:i/>
          <w:iCs/>
        </w:rPr>
        <w:t>See</w:t>
      </w:r>
      <w:r>
        <w:t xml:space="preserve"> Verizon Reply at 7-8.</w:t>
      </w:r>
    </w:p>
  </w:footnote>
  <w:footnote w:id="312">
    <w:p w:rsidR="00FE4F2B" w:rsidP="00062EAF" w14:paraId="045E302B" w14:textId="05CE9967">
      <w:pPr>
        <w:pStyle w:val="FootnoteText"/>
      </w:pPr>
      <w:r>
        <w:rPr>
          <w:rStyle w:val="FootnoteReference"/>
        </w:rPr>
        <w:footnoteRef/>
      </w:r>
      <w:r>
        <w:t xml:space="preserve"> </w:t>
      </w:r>
      <w:r w:rsidRPr="00717353">
        <w:rPr>
          <w:i/>
          <w:iCs/>
        </w:rPr>
        <w:t>See</w:t>
      </w:r>
      <w:r>
        <w:t xml:space="preserve"> section IV.A.8.d (Processed Demands) for a definition of price point.</w:t>
      </w:r>
    </w:p>
  </w:footnote>
  <w:footnote w:id="313">
    <w:p w:rsidR="00FE4F2B" w:rsidP="00062EAF" w14:paraId="2C6A8CC8" w14:textId="7378A0BF">
      <w:pPr>
        <w:pStyle w:val="FootnoteText"/>
      </w:pPr>
      <w:r>
        <w:rPr>
          <w:rStyle w:val="FootnoteReference"/>
        </w:rPr>
        <w:footnoteRef/>
      </w:r>
      <w:r>
        <w:t xml:space="preserve"> Verizon suggests instead</w:t>
      </w:r>
      <w:r w:rsidRPr="00FE145F">
        <w:t xml:space="preserve"> an initial activity</w:t>
      </w:r>
      <w:r w:rsidRPr="00FE145F">
        <w:t xml:space="preserve"> limit percentage of 110</w:t>
      </w:r>
      <w:r>
        <w:t>%</w:t>
      </w:r>
      <w:r w:rsidRPr="00FE145F">
        <w:t xml:space="preserve"> </w:t>
      </w:r>
      <w:r>
        <w:t>given that the activity upper limit has not yet been tested.  Verizon Comments at 14.  We decline to accept the suggestion but note that we will monitor the use of the activity upper limit and make adjustments during the auction i</w:t>
      </w:r>
      <w:r>
        <w:t>f we believe it advisable to do so.</w:t>
      </w:r>
    </w:p>
  </w:footnote>
  <w:footnote w:id="314">
    <w:p w:rsidR="00FE4F2B" w:rsidP="00062EAF" w14:paraId="0EA7A01D" w14:textId="77777777">
      <w:pPr>
        <w:pStyle w:val="FootnoteText"/>
      </w:pPr>
      <w:r>
        <w:rPr>
          <w:rStyle w:val="FootnoteReference"/>
        </w:rPr>
        <w:footnoteRef/>
      </w:r>
      <w:r>
        <w:t xml:space="preserve"> Verizon urges us “to </w:t>
      </w:r>
      <w:r w:rsidRPr="00FE145F">
        <w:t>reduce the maximum activity upper limit from 140 percent to 120 percent</w:t>
      </w:r>
      <w:r>
        <w:t>.”</w:t>
      </w:r>
      <w:r w:rsidRPr="00FE145F">
        <w:t xml:space="preserve"> </w:t>
      </w:r>
      <w:r>
        <w:t xml:space="preserve"> Verizon Comments at 14.  We decline to accept the suggestion but note that we will monitor the use of the activity upper l</w:t>
      </w:r>
      <w:r>
        <w:t>imit and make adjustments during the auction if we believe it advisable to do so.</w:t>
      </w:r>
    </w:p>
  </w:footnote>
  <w:footnote w:id="315">
    <w:p w:rsidR="00FE4F2B" w:rsidP="00062EAF" w14:paraId="4FB628A3" w14:textId="5F64F4F0">
      <w:pPr>
        <w:pStyle w:val="FootnoteText"/>
      </w:pPr>
      <w:r>
        <w:rPr>
          <w:rStyle w:val="FootnoteReference"/>
        </w:rPr>
        <w:footnoteRef/>
      </w:r>
      <w:r>
        <w:t xml:space="preserve"> See sections IV.A.8.a and c </w:t>
      </w:r>
      <w:r w:rsidRPr="00852F03">
        <w:t>(</w:t>
      </w:r>
      <w:r>
        <w:t xml:space="preserve">No Excess Supply Rule for Bids to Reduce Demand; and Partial Application of Bids) regarding partial application of bids.  </w:t>
      </w:r>
    </w:p>
  </w:footnote>
  <w:footnote w:id="316">
    <w:p w:rsidR="00FE4F2B" w:rsidRPr="00852F03" w:rsidP="00062EAF" w14:paraId="1A41E695" w14:textId="77777777">
      <w:pPr>
        <w:pStyle w:val="FootnoteText"/>
      </w:pPr>
      <w:r w:rsidRPr="002F79F6">
        <w:rPr>
          <w:rStyle w:val="FootnoteReference"/>
        </w:rPr>
        <w:footnoteRef/>
      </w:r>
      <w:r w:rsidRPr="002F79F6">
        <w:t xml:space="preserve"> </w:t>
      </w:r>
      <w:r w:rsidRPr="00852F03">
        <w:rPr>
          <w:i/>
        </w:rPr>
        <w:t>See Auction 1000 Procedures Public Notice</w:t>
      </w:r>
      <w:r w:rsidRPr="00852F03">
        <w:t>, 30 FCC Rcd at 90</w:t>
      </w:r>
      <w:r>
        <w:t>7</w:t>
      </w:r>
      <w:r w:rsidRPr="00852F03">
        <w:t>7, para. 213</w:t>
      </w:r>
      <w:r>
        <w:t xml:space="preserve">; </w:t>
      </w:r>
      <w:r>
        <w:rPr>
          <w:i/>
        </w:rPr>
        <w:t>Auctions 101 and 102 Procedures Public Notice,</w:t>
      </w:r>
      <w:r>
        <w:t xml:space="preserve"> 33 FCC Rcd</w:t>
      </w:r>
      <w:r>
        <w:t xml:space="preserve"> at 7650, para. 245</w:t>
      </w:r>
      <w:r w:rsidRPr="00F51A7F">
        <w:t xml:space="preserve">; </w:t>
      </w:r>
      <w:r>
        <w:rPr>
          <w:i/>
        </w:rPr>
        <w:t>Auction 103 Procedures Public Notice</w:t>
      </w:r>
      <w:r>
        <w:t xml:space="preserve">, 34 FCC Rcd at 5591, para. 195.  </w:t>
      </w:r>
      <w:r w:rsidRPr="00C86037">
        <w:t>In previous</w:t>
      </w:r>
      <w:r>
        <w:t xml:space="preserve"> FCC</w:t>
      </w:r>
      <w:r w:rsidRPr="00C86037">
        <w:t xml:space="preserve"> </w:t>
      </w:r>
      <w:r>
        <w:t xml:space="preserve">simultaneous </w:t>
      </w:r>
      <w:r w:rsidRPr="00C86037">
        <w:t>multiple round auctions</w:t>
      </w:r>
      <w:r>
        <w:t xml:space="preserve"> for frequency-specific licenses (as opposed to generic blocks)</w:t>
      </w:r>
      <w:r w:rsidRPr="00C86037">
        <w:t>, when a bidder’s eligibility in the current round</w:t>
      </w:r>
      <w:r w:rsidRPr="00C86037">
        <w:t xml:space="preserve"> was below a required minimum level, the bidder was able to preserve its current level of eligibility with a limited number of activity rule waivers.</w:t>
      </w:r>
      <w:r>
        <w:t xml:space="preserve">  </w:t>
      </w:r>
      <w:r w:rsidRPr="00852F03">
        <w:rPr>
          <w:i/>
        </w:rPr>
        <w:t>See, e.g.</w:t>
      </w:r>
      <w:r w:rsidRPr="0074339A">
        <w:rPr>
          <w:i/>
        </w:rPr>
        <w:t>,</w:t>
      </w:r>
      <w:r w:rsidRPr="00852F03">
        <w:t xml:space="preserve"> </w:t>
      </w:r>
      <w:r>
        <w:rPr>
          <w:i/>
        </w:rPr>
        <w:t xml:space="preserve">Auction of </w:t>
      </w:r>
      <w:r w:rsidRPr="00852F03">
        <w:rPr>
          <w:i/>
        </w:rPr>
        <w:t xml:space="preserve">H Block </w:t>
      </w:r>
      <w:r>
        <w:rPr>
          <w:i/>
        </w:rPr>
        <w:t>Licenses in the 1915-1920 MHz and 1995-2000 MHz Bands Scheduled for January</w:t>
      </w:r>
      <w:r>
        <w:rPr>
          <w:i/>
        </w:rPr>
        <w:t xml:space="preserve"> 14, 2014; Notice and Filing Requirements, Reserve Price, Minimum Opening Bids, Upfront Payments, and Other Procedures for Auction 96</w:t>
      </w:r>
      <w:r>
        <w:t>, AU Docket No. 13-178, Public Notice,</w:t>
      </w:r>
      <w:r w:rsidRPr="00852F03">
        <w:t xml:space="preserve"> </w:t>
      </w:r>
      <w:r w:rsidRPr="00852F03">
        <w:rPr>
          <w:bCs/>
          <w:shd w:val="clear" w:color="auto" w:fill="FFFFFF"/>
        </w:rPr>
        <w:t>28 FCC Rcd</w:t>
      </w:r>
      <w:r>
        <w:rPr>
          <w:bCs/>
          <w:shd w:val="clear" w:color="auto" w:fill="FFFFFF"/>
        </w:rPr>
        <w:t xml:space="preserve"> 13019, </w:t>
      </w:r>
      <w:r w:rsidRPr="002B5F7B">
        <w:rPr>
          <w:bCs/>
          <w:shd w:val="clear" w:color="auto" w:fill="FFFFFF"/>
        </w:rPr>
        <w:t>13060, paras. 157-60</w:t>
      </w:r>
      <w:r>
        <w:rPr>
          <w:bCs/>
          <w:shd w:val="clear" w:color="auto" w:fill="FFFFFF"/>
        </w:rPr>
        <w:t xml:space="preserve"> </w:t>
      </w:r>
      <w:r>
        <w:t>(WTB 2013)</w:t>
      </w:r>
      <w:r w:rsidRPr="002B5F7B">
        <w:rPr>
          <w:bCs/>
          <w:shd w:val="clear" w:color="auto" w:fill="FFFFFF"/>
        </w:rPr>
        <w:t>.</w:t>
      </w:r>
    </w:p>
  </w:footnote>
  <w:footnote w:id="317">
    <w:p w:rsidR="00FE4F2B" w:rsidRPr="00852F03" w:rsidP="00062EAF" w14:paraId="6D37B526" w14:textId="38875911">
      <w:pPr>
        <w:pStyle w:val="FootnoteText"/>
      </w:pPr>
      <w:r w:rsidRPr="002F79F6">
        <w:rPr>
          <w:rStyle w:val="FootnoteReference"/>
        </w:rPr>
        <w:footnoteRef/>
      </w:r>
      <w:r w:rsidRPr="002F79F6">
        <w:t xml:space="preserve"> </w:t>
      </w:r>
      <w:r w:rsidRPr="00852F03">
        <w:rPr>
          <w:i/>
        </w:rPr>
        <w:t xml:space="preserve">See </w:t>
      </w:r>
      <w:r>
        <w:t xml:space="preserve">sections IV.A.8.a and d </w:t>
      </w:r>
      <w:r w:rsidRPr="00852F03">
        <w:t>(</w:t>
      </w:r>
      <w:r>
        <w:t>No</w:t>
      </w:r>
      <w:r>
        <w:t xml:space="preserve"> Excess Supply Rule for Bids to Reduce Demand; and Processed Demands), </w:t>
      </w:r>
      <w:r w:rsidRPr="00852F03">
        <w:t>below.</w:t>
      </w:r>
    </w:p>
  </w:footnote>
  <w:footnote w:id="318">
    <w:p w:rsidR="00FE4F2B" w:rsidRPr="00F45AE3" w:rsidP="00062EAF" w14:paraId="0D2D568A" w14:textId="77777777">
      <w:pPr>
        <w:pStyle w:val="FootnoteText"/>
      </w:pPr>
      <w:r>
        <w:rPr>
          <w:rStyle w:val="FootnoteReference"/>
        </w:rPr>
        <w:footnoteRef/>
      </w:r>
      <w:r>
        <w:t xml:space="preserve"> </w:t>
      </w:r>
      <w:r w:rsidRPr="00CA4CAA">
        <w:rPr>
          <w:i/>
        </w:rPr>
        <w:t>Auction</w:t>
      </w:r>
      <w:r>
        <w:rPr>
          <w:i/>
        </w:rPr>
        <w:t xml:space="preserve"> 107 </w:t>
      </w:r>
      <w:r w:rsidRPr="00CA4CAA">
        <w:rPr>
          <w:i/>
        </w:rPr>
        <w:t>Comment Public Notice</w:t>
      </w:r>
      <w:r>
        <w:t xml:space="preserve">, 35 FCC Rcd at 2614, para. 53; </w:t>
      </w:r>
      <w:r>
        <w:rPr>
          <w:i/>
          <w:iCs/>
        </w:rPr>
        <w:t xml:space="preserve">see also </w:t>
      </w:r>
      <w:r>
        <w:t>47 U.S.C. § 309(j).</w:t>
      </w:r>
    </w:p>
  </w:footnote>
  <w:footnote w:id="319">
    <w:p w:rsidR="00FE4F2B" w:rsidRPr="00436DBA" w:rsidP="00062EAF" w14:paraId="1F5D969F" w14:textId="77777777">
      <w:pPr>
        <w:pStyle w:val="FootnoteText"/>
      </w:pPr>
      <w:r w:rsidRPr="002F79F6">
        <w:rPr>
          <w:rStyle w:val="FootnoteReference"/>
        </w:rPr>
        <w:footnoteRef/>
      </w:r>
      <w:r w:rsidRPr="002F79F6">
        <w:t xml:space="preserve"> </w:t>
      </w:r>
      <w:r w:rsidRPr="00852F03">
        <w:rPr>
          <w:i/>
          <w:iCs/>
        </w:rPr>
        <w:t>See</w:t>
      </w:r>
      <w:r w:rsidRPr="00D6525E">
        <w:rPr>
          <w:i/>
          <w:iCs/>
        </w:rPr>
        <w:t>,</w:t>
      </w:r>
      <w:r w:rsidRPr="00852F03">
        <w:t xml:space="preserve"> </w:t>
      </w:r>
      <w:r w:rsidRPr="00852F03">
        <w:rPr>
          <w:i/>
          <w:iCs/>
        </w:rPr>
        <w:t>e.g.</w:t>
      </w:r>
      <w:r w:rsidRPr="00852F03">
        <w:rPr>
          <w:i/>
        </w:rPr>
        <w:t>,</w:t>
      </w:r>
      <w:r w:rsidRPr="00852F03">
        <w:t xml:space="preserve"> </w:t>
      </w:r>
      <w:r w:rsidRPr="00852F03">
        <w:rPr>
          <w:i/>
        </w:rPr>
        <w:t xml:space="preserve">Auction </w:t>
      </w:r>
      <w:r>
        <w:rPr>
          <w:i/>
        </w:rPr>
        <w:t xml:space="preserve">97 Procedures </w:t>
      </w:r>
      <w:r w:rsidRPr="000C7353">
        <w:rPr>
          <w:i/>
        </w:rPr>
        <w:t>Public Notice</w:t>
      </w:r>
      <w:r w:rsidRPr="002B5F7B">
        <w:t xml:space="preserve">, </w:t>
      </w:r>
      <w:r>
        <w:t>29</w:t>
      </w:r>
      <w:r w:rsidRPr="002B5F7B">
        <w:t xml:space="preserve"> FCC Rcd </w:t>
      </w:r>
      <w:r>
        <w:t>at 8440</w:t>
      </w:r>
      <w:r w:rsidRPr="00C513D5">
        <w:t>, para. 19</w:t>
      </w:r>
      <w:r>
        <w:t>3</w:t>
      </w:r>
      <w:r w:rsidRPr="00C513D5">
        <w:t>.</w:t>
      </w:r>
    </w:p>
  </w:footnote>
  <w:footnote w:id="320">
    <w:p w:rsidR="00FE4F2B" w:rsidP="007D2674" w14:paraId="1204F562" w14:textId="0AAEBD17">
      <w:pPr>
        <w:pStyle w:val="FootnoteText"/>
      </w:pPr>
      <w:r>
        <w:rPr>
          <w:rStyle w:val="FootnoteReference"/>
        </w:rPr>
        <w:footnoteRef/>
      </w:r>
      <w:r>
        <w:t xml:space="preserve"> U.S. Cellular supports the proposed minimum opening bid amounts based on $0.03 per MHz-pop.  U.S. Cellular Comments at 4.  T-Mobile and CCA suggest the tiered approach that we adopt.  </w:t>
      </w:r>
      <w:r w:rsidRPr="00D27B0D">
        <w:rPr>
          <w:i/>
        </w:rPr>
        <w:t>See</w:t>
      </w:r>
      <w:r>
        <w:t xml:space="preserve"> T-Mobile Comments</w:t>
      </w:r>
      <w:r w:rsidRPr="00390D5B">
        <w:t xml:space="preserve"> </w:t>
      </w:r>
      <w:r>
        <w:t>at 4; CCA Comments at 3.  Verizon supports the p</w:t>
      </w:r>
      <w:r>
        <w:t xml:space="preserve">roposed minimum opening bid amounts but suggests that if the Commission adopts a tiered approach, it should increase the minimum opening bid amounts in the larger PEAs, rather than reduce them in the smaller PEAs as T-Mobile and CCA propose. </w:t>
      </w:r>
      <w:r w:rsidRPr="00426372">
        <w:rPr>
          <w:i/>
          <w:iCs/>
        </w:rPr>
        <w:t xml:space="preserve"> See</w:t>
      </w:r>
      <w:r>
        <w:t xml:space="preserve"> Verizon R</w:t>
      </w:r>
      <w:r>
        <w:t>eply at 6-7.</w:t>
      </w:r>
    </w:p>
  </w:footnote>
  <w:footnote w:id="321">
    <w:p w:rsidR="00FE4F2B" w:rsidRPr="00852F03" w:rsidP="008F6818" w14:paraId="03E8A118" w14:textId="19345E33">
      <w:pPr>
        <w:pStyle w:val="FootnoteText"/>
      </w:pPr>
      <w:r w:rsidRPr="00934C9B">
        <w:rPr>
          <w:rStyle w:val="FootnoteReference"/>
        </w:rPr>
        <w:footnoteRef/>
      </w:r>
      <w:r w:rsidRPr="002F79F6">
        <w:t xml:space="preserve"> </w:t>
      </w:r>
      <w:r>
        <w:rPr>
          <w:i/>
          <w:iCs/>
        </w:rPr>
        <w:t xml:space="preserve">See </w:t>
      </w:r>
      <w:r>
        <w:t>note 271 (concerning rounding), above.</w:t>
      </w:r>
    </w:p>
  </w:footnote>
  <w:footnote w:id="322">
    <w:p w:rsidR="00FE4F2B" w:rsidRPr="00995D55" w:rsidP="007D2674" w14:paraId="1DA56E83" w14:textId="1C8A633B">
      <w:pPr>
        <w:pStyle w:val="FootnoteText"/>
      </w:pPr>
      <w:r>
        <w:rPr>
          <w:rStyle w:val="FootnoteReference"/>
        </w:rPr>
        <w:footnoteRef/>
      </w:r>
      <w:r>
        <w:t xml:space="preserve"> </w:t>
      </w:r>
      <w:r>
        <w:rPr>
          <w:i/>
        </w:rPr>
        <w:t>See, e.g.</w:t>
      </w:r>
      <w:r w:rsidRPr="00426372">
        <w:rPr>
          <w:iCs/>
        </w:rPr>
        <w:t>,</w:t>
      </w:r>
      <w:r>
        <w:rPr>
          <w:i/>
        </w:rPr>
        <w:t xml:space="preserve"> </w:t>
      </w:r>
      <w:r w:rsidRPr="001A7F99">
        <w:rPr>
          <w:i/>
        </w:rPr>
        <w:t xml:space="preserve">Auction 1000 </w:t>
      </w:r>
      <w:r w:rsidRPr="001A7F99">
        <w:rPr>
          <w:i/>
          <w:iCs/>
        </w:rPr>
        <w:t>Comment P</w:t>
      </w:r>
      <w:r>
        <w:rPr>
          <w:i/>
          <w:iCs/>
        </w:rPr>
        <w:t xml:space="preserve">ublic </w:t>
      </w:r>
      <w:r w:rsidRPr="001A7F99">
        <w:rPr>
          <w:i/>
          <w:iCs/>
        </w:rPr>
        <w:t>N</w:t>
      </w:r>
      <w:r>
        <w:rPr>
          <w:i/>
          <w:iCs/>
        </w:rPr>
        <w:t>otice</w:t>
      </w:r>
      <w:r w:rsidRPr="001A7F99">
        <w:t xml:space="preserve">, 29 FCC Rcd </w:t>
      </w:r>
      <w:r>
        <w:t>at 15770, para. 51</w:t>
      </w:r>
      <w:r>
        <w:rPr>
          <w:iCs/>
        </w:rPr>
        <w:t>.</w:t>
      </w:r>
    </w:p>
  </w:footnote>
  <w:footnote w:id="323">
    <w:p w:rsidR="00FE4F2B" w:rsidP="007D2674" w14:paraId="6E8D48AA" w14:textId="62006237">
      <w:pPr>
        <w:pStyle w:val="FootnoteText"/>
      </w:pPr>
      <w:r>
        <w:rPr>
          <w:rStyle w:val="FootnoteReference"/>
        </w:rPr>
        <w:footnoteRef/>
      </w:r>
      <w:r>
        <w:t xml:space="preserve"> </w:t>
      </w:r>
      <w:r w:rsidRPr="00DF1FA9">
        <w:rPr>
          <w:i/>
        </w:rPr>
        <w:t>See</w:t>
      </w:r>
      <w:r>
        <w:rPr>
          <w:i/>
        </w:rPr>
        <w:t xml:space="preserve"> </w:t>
      </w:r>
      <w:r>
        <w:t>T-Mobile Reply at 4 (arguing that “</w:t>
      </w:r>
      <w:r w:rsidRPr="00426372">
        <w:t>the auction will not be unnecessarily prolonged by adjusting the minimum open</w:t>
      </w:r>
      <w:r w:rsidRPr="00426372">
        <w:t>ing bids in smaller markets, where there is a need for mid-band spectrum to help bridge the digital divide.</w:t>
      </w:r>
      <w:r>
        <w:t xml:space="preserve">”); </w:t>
      </w:r>
      <w:r w:rsidRPr="0038349A">
        <w:rPr>
          <w:i/>
        </w:rPr>
        <w:t>see also</w:t>
      </w:r>
      <w:r>
        <w:t xml:space="preserve"> </w:t>
      </w:r>
      <w:r w:rsidRPr="0038349A">
        <w:rPr>
          <w:i/>
        </w:rPr>
        <w:t>Auction</w:t>
      </w:r>
      <w:r>
        <w:rPr>
          <w:i/>
        </w:rPr>
        <w:t xml:space="preserve"> 107 </w:t>
      </w:r>
      <w:r w:rsidRPr="0038349A">
        <w:rPr>
          <w:i/>
        </w:rPr>
        <w:t>Comment Public Notice</w:t>
      </w:r>
      <w:r>
        <w:t>, 35 FCC Rcd at 2614, para. 54.</w:t>
      </w:r>
    </w:p>
  </w:footnote>
  <w:footnote w:id="324">
    <w:p w:rsidR="00FE4F2B" w:rsidP="00062EAF" w14:paraId="058F677C" w14:textId="77777777">
      <w:pPr>
        <w:pStyle w:val="FootnoteText"/>
      </w:pPr>
      <w:r>
        <w:rPr>
          <w:rStyle w:val="FootnoteReference"/>
        </w:rPr>
        <w:footnoteRef/>
      </w:r>
      <w:r>
        <w:t xml:space="preserve"> The start-of-round price is also referred to as the posted price of the previous round.</w:t>
      </w:r>
    </w:p>
  </w:footnote>
  <w:footnote w:id="325">
    <w:p w:rsidR="00FE4F2B" w:rsidP="00062EAF" w14:paraId="6981A150" w14:textId="77777777">
      <w:pPr>
        <w:pStyle w:val="FootnoteText"/>
      </w:pPr>
      <w:r>
        <w:rPr>
          <w:rStyle w:val="FootnoteReference"/>
        </w:rPr>
        <w:footnoteRef/>
      </w:r>
      <w:r>
        <w:t xml:space="preserve"> Aggregate demand for a product is equal to the total number of blocks for which bidders have processed demand.</w:t>
      </w:r>
    </w:p>
  </w:footnote>
  <w:footnote w:id="326">
    <w:p w:rsidR="00FE4F2B" w:rsidRPr="001106C5" w:rsidP="00062EAF" w14:paraId="2D166CC7" w14:textId="1E21A7CC">
      <w:pPr>
        <w:pStyle w:val="FootnoteText"/>
      </w:pPr>
      <w:r w:rsidRPr="002F79F6">
        <w:rPr>
          <w:rStyle w:val="FootnoteReference"/>
        </w:rPr>
        <w:footnoteRef/>
      </w:r>
      <w:r w:rsidRPr="002F79F6">
        <w:t xml:space="preserve"> For example, if the </w:t>
      </w:r>
      <w:r>
        <w:t xml:space="preserve">start-of-round </w:t>
      </w:r>
      <w:r w:rsidRPr="002F79F6">
        <w:t xml:space="preserve">price for </w:t>
      </w:r>
      <w:r>
        <w:t xml:space="preserve">a block in a given product </w:t>
      </w:r>
      <w:r w:rsidRPr="002F79F6">
        <w:t>is $1</w:t>
      </w:r>
      <w:r>
        <w:t>0,00</w:t>
      </w:r>
      <w:r w:rsidRPr="002F79F6">
        <w:t xml:space="preserve">0, and the </w:t>
      </w:r>
      <w:r>
        <w:t>percentage</w:t>
      </w:r>
      <w:r w:rsidRPr="002F79F6">
        <w:t xml:space="preserve"> increment is 20</w:t>
      </w:r>
      <w:r>
        <w:t>%</w:t>
      </w:r>
      <w:r w:rsidRPr="002F79F6">
        <w:t xml:space="preserve">, </w:t>
      </w:r>
      <w:r>
        <w:t xml:space="preserve">then </w:t>
      </w:r>
      <w:r w:rsidRPr="002F79F6">
        <w:t xml:space="preserve">the clock price for </w:t>
      </w:r>
      <w:r w:rsidRPr="00852F03">
        <w:t>the round will</w:t>
      </w:r>
      <w:r w:rsidRPr="002B5F7B">
        <w:t xml:space="preserve"> be $12</w:t>
      </w:r>
      <w:r>
        <w:t>,000</w:t>
      </w:r>
      <w:r w:rsidRPr="002B5F7B">
        <w:t>.</w:t>
      </w:r>
      <w:r>
        <w:t xml:space="preserve">  As in Auction 103, the result </w:t>
      </w:r>
      <w:r w:rsidRPr="007158A5">
        <w:t xml:space="preserve">will be rounded as follows:  </w:t>
      </w:r>
      <w:r>
        <w:t>R</w:t>
      </w:r>
      <w:r w:rsidRPr="007158A5">
        <w:t>esults above $10,000 will be rounded up to the nearest $1</w:t>
      </w:r>
      <w:r w:rsidRPr="007158A5">
        <w:t>,000; results below $10,000 but above $1,000 will be rounded up to the nearest $100; and results below $1,000 will be rounded up to the nearest $10.</w:t>
      </w:r>
      <w:r>
        <w:t xml:space="preserve"> </w:t>
      </w:r>
    </w:p>
  </w:footnote>
  <w:footnote w:id="327">
    <w:p w:rsidR="00FE4F2B" w:rsidP="00062EAF" w14:paraId="5057EBA7" w14:textId="77777777">
      <w:pPr>
        <w:pStyle w:val="FootnoteText"/>
      </w:pPr>
      <w:r>
        <w:rPr>
          <w:rStyle w:val="FootnoteReference"/>
        </w:rPr>
        <w:footnoteRef/>
      </w:r>
      <w:r>
        <w:t xml:space="preserve"> We received no comments on this proposal.</w:t>
      </w:r>
    </w:p>
  </w:footnote>
  <w:footnote w:id="328">
    <w:p w:rsidR="00FE4F2B" w:rsidP="00062EAF" w14:paraId="57F84BF2" w14:textId="77777777">
      <w:pPr>
        <w:pStyle w:val="FootnoteText"/>
      </w:pPr>
      <w:r>
        <w:rPr>
          <w:rStyle w:val="FootnoteReference"/>
        </w:rPr>
        <w:footnoteRef/>
      </w:r>
      <w:r>
        <w:t xml:space="preserve"> No commenters addressed this proposal.</w:t>
      </w:r>
    </w:p>
  </w:footnote>
  <w:footnote w:id="329">
    <w:p w:rsidR="00FE4F2B" w:rsidRPr="000560F2" w:rsidP="00062EAF" w14:paraId="6B865A6E" w14:textId="77777777">
      <w:pPr>
        <w:pStyle w:val="FootnoteText"/>
      </w:pPr>
      <w:r w:rsidRPr="000560F2">
        <w:rPr>
          <w:rStyle w:val="FootnoteReference"/>
        </w:rPr>
        <w:footnoteRef/>
      </w:r>
      <w:r w:rsidRPr="000560F2">
        <w:t xml:space="preserve"> </w:t>
      </w:r>
      <w:r w:rsidRPr="00CA4CAA">
        <w:rPr>
          <w:i/>
        </w:rPr>
        <w:t>Auction</w:t>
      </w:r>
      <w:r>
        <w:rPr>
          <w:i/>
        </w:rPr>
        <w:t xml:space="preserve"> 107</w:t>
      </w:r>
      <w:r w:rsidRPr="00CA4CAA">
        <w:rPr>
          <w:i/>
        </w:rPr>
        <w:t xml:space="preserve"> Comment</w:t>
      </w:r>
      <w:r w:rsidRPr="00CA4CAA">
        <w:rPr>
          <w:i/>
        </w:rPr>
        <w:t xml:space="preserve"> Public Notice</w:t>
      </w:r>
      <w:r>
        <w:t xml:space="preserve">, 35 FCC Rcd </w:t>
      </w:r>
      <w:r w:rsidRPr="00CA4CAA">
        <w:t xml:space="preserve">at </w:t>
      </w:r>
      <w:r>
        <w:t>2616, para. 66.</w:t>
      </w:r>
    </w:p>
  </w:footnote>
  <w:footnote w:id="330">
    <w:p w:rsidR="00FE4F2B" w:rsidP="00062EAF" w14:paraId="1C480DCC" w14:textId="77777777">
      <w:pPr>
        <w:pStyle w:val="FootnoteText"/>
      </w:pPr>
      <w:r>
        <w:rPr>
          <w:rStyle w:val="FootnoteReference"/>
        </w:rPr>
        <w:footnoteRef/>
      </w:r>
      <w:r>
        <w:rPr>
          <w:i/>
        </w:rPr>
        <w:t xml:space="preserve"> </w:t>
      </w:r>
      <w:r w:rsidRPr="00701DB5">
        <w:rPr>
          <w:i/>
        </w:rPr>
        <w:t>See</w:t>
      </w:r>
      <w:r>
        <w:rPr>
          <w:i/>
        </w:rPr>
        <w:t xml:space="preserve"> id. </w:t>
      </w:r>
      <w:r w:rsidRPr="00CA4CAA">
        <w:t xml:space="preserve">at </w:t>
      </w:r>
      <w:r>
        <w:t xml:space="preserve">2616, para. 67; </w:t>
      </w:r>
      <w:r w:rsidRPr="004D6E3E">
        <w:rPr>
          <w:i/>
          <w:iCs/>
        </w:rPr>
        <w:t>see also</w:t>
      </w:r>
      <w:r>
        <w:t xml:space="preserve"> U.S. Cellular Comments at 5 (supporting the Commission’s proposal not to incorporate any package bidding procedures into Auction 107).</w:t>
      </w:r>
    </w:p>
  </w:footnote>
  <w:footnote w:id="331">
    <w:p w:rsidR="00FE4F2B" w:rsidP="00062EAF" w14:paraId="13460AE0" w14:textId="77777777">
      <w:pPr>
        <w:pStyle w:val="FootnoteText"/>
      </w:pPr>
      <w:r>
        <w:rPr>
          <w:rStyle w:val="FootnoteReference"/>
        </w:rPr>
        <w:footnoteRef/>
      </w:r>
      <w:r>
        <w:t xml:space="preserve"> No commenters addressed these propo</w:t>
      </w:r>
      <w:r>
        <w:t>sed procedures.</w:t>
      </w:r>
    </w:p>
  </w:footnote>
  <w:footnote w:id="332">
    <w:p w:rsidR="00FE4F2B" w:rsidP="00062EAF" w14:paraId="011BFCF5" w14:textId="77777777">
      <w:pPr>
        <w:pStyle w:val="FootnoteText"/>
      </w:pPr>
      <w:r>
        <w:rPr>
          <w:rStyle w:val="FootnoteReference"/>
        </w:rPr>
        <w:footnoteRef/>
      </w:r>
      <w:r>
        <w:t xml:space="preserve"> </w:t>
      </w:r>
      <w:bookmarkStart w:id="2202" w:name="_Hlk34234232"/>
      <w:r>
        <w:t>Bids to maintain demand are always applied before the bidding system considers bids to change demand</w:t>
      </w:r>
      <w:bookmarkEnd w:id="2202"/>
      <w:r>
        <w:t>.</w:t>
      </w:r>
    </w:p>
  </w:footnote>
  <w:footnote w:id="333">
    <w:p w:rsidR="00FE4F2B" w:rsidRPr="00852F03" w:rsidP="00062EAF" w14:paraId="29C404B8" w14:textId="77777777">
      <w:pPr>
        <w:pStyle w:val="FootnoteText"/>
      </w:pPr>
      <w:r w:rsidRPr="002F79F6">
        <w:rPr>
          <w:rStyle w:val="FootnoteReference"/>
        </w:rPr>
        <w:footnoteRef/>
      </w:r>
      <w:r w:rsidRPr="002F79F6">
        <w:t xml:space="preserve"> </w:t>
      </w:r>
      <w:bookmarkStart w:id="2203" w:name="_Hlk34234167"/>
      <w:r w:rsidRPr="002F79F6">
        <w:t xml:space="preserve">For example, if the </w:t>
      </w:r>
      <w:r>
        <w:t xml:space="preserve">start-of-round </w:t>
      </w:r>
      <w:r w:rsidRPr="002F79F6">
        <w:t>price is $5,000 and the clock price is $6,000, a price of $5,100 will correspond to the 10</w:t>
      </w:r>
      <w:r>
        <w:t>%</w:t>
      </w:r>
      <w:r w:rsidRPr="002F79F6">
        <w:t xml:space="preserve"> price point, since it is 10</w:t>
      </w:r>
      <w:r>
        <w:t>%</w:t>
      </w:r>
      <w:r w:rsidRPr="002F79F6">
        <w:t xml:space="preserve"> of </w:t>
      </w:r>
      <w:r w:rsidRPr="00852F03">
        <w:t>the bidding interval between $5,000 and $6,000</w:t>
      </w:r>
      <w:bookmarkEnd w:id="2203"/>
      <w:r w:rsidRPr="00852F03">
        <w:t xml:space="preserve">.  </w:t>
      </w:r>
    </w:p>
  </w:footnote>
  <w:footnote w:id="334">
    <w:p w:rsidR="00FE4F2B" w:rsidP="00062EAF" w14:paraId="5FF5C5C8" w14:textId="77777777">
      <w:pPr>
        <w:pStyle w:val="FootnoteText"/>
      </w:pPr>
      <w:r>
        <w:rPr>
          <w:rStyle w:val="FootnoteReference"/>
        </w:rPr>
        <w:footnoteRef/>
      </w:r>
      <w:r>
        <w:t xml:space="preserve"> </w:t>
      </w:r>
      <w:bookmarkStart w:id="2204" w:name="_Hlk34234204"/>
      <w:r>
        <w:t>If there are multiple bids at a single price point, the system will process bids in order of a bid-specific pseudo-random number</w:t>
      </w:r>
      <w:bookmarkEnd w:id="2204"/>
      <w:r>
        <w:t>.</w:t>
      </w:r>
    </w:p>
  </w:footnote>
  <w:footnote w:id="335">
    <w:p w:rsidR="00FE4F2B" w:rsidRPr="001B134B" w:rsidP="00062EAF" w14:paraId="72B1852C" w14:textId="77777777">
      <w:pPr>
        <w:pStyle w:val="FootnoteText"/>
      </w:pPr>
      <w:r w:rsidRPr="002F79F6">
        <w:rPr>
          <w:rStyle w:val="FootnoteReference"/>
        </w:rPr>
        <w:footnoteRef/>
      </w:r>
      <w:r w:rsidRPr="002F79F6">
        <w:t xml:space="preserve"> This and other Auction </w:t>
      </w:r>
      <w:r>
        <w:t>107</w:t>
      </w:r>
      <w:r w:rsidRPr="002F79F6">
        <w:t xml:space="preserve"> bid processi</w:t>
      </w:r>
      <w:r w:rsidRPr="002F79F6">
        <w:t xml:space="preserve">ng details are addressed in </w:t>
      </w:r>
      <w:r w:rsidRPr="00852F03">
        <w:t xml:space="preserve">the </w:t>
      </w:r>
      <w:r w:rsidRPr="00D6525E">
        <w:rPr>
          <w:iCs/>
        </w:rPr>
        <w:t xml:space="preserve">Auction 107 </w:t>
      </w:r>
      <w:r>
        <w:rPr>
          <w:iCs/>
        </w:rPr>
        <w:t xml:space="preserve">Clock Phase </w:t>
      </w:r>
      <w:r w:rsidRPr="00D6525E">
        <w:rPr>
          <w:iCs/>
        </w:rPr>
        <w:t>Technical Guide</w:t>
      </w:r>
      <w:r>
        <w:t>.</w:t>
      </w:r>
    </w:p>
  </w:footnote>
  <w:footnote w:id="336">
    <w:p w:rsidR="00FE4F2B" w:rsidP="00062EAF" w14:paraId="30F5CC87" w14:textId="6197A3F7">
      <w:pPr>
        <w:pStyle w:val="FootnoteText"/>
      </w:pPr>
      <w:r>
        <w:rPr>
          <w:rStyle w:val="FootnoteReference"/>
        </w:rPr>
        <w:footnoteRef/>
      </w:r>
      <w:r>
        <w:t xml:space="preserve"> </w:t>
      </w:r>
      <w:r w:rsidRPr="00867A8C">
        <w:rPr>
          <w:i/>
          <w:iCs/>
        </w:rPr>
        <w:t>See, e.g.</w:t>
      </w:r>
      <w:r>
        <w:t>, CCA Comments a</w:t>
      </w:r>
      <w:r w:rsidRPr="00472D3F">
        <w:t>t 4</w:t>
      </w:r>
      <w:r>
        <w:t xml:space="preserve"> (</w:t>
      </w:r>
      <w:r w:rsidRPr="00472D3F">
        <w:t>“</w:t>
      </w:r>
      <w:r>
        <w:t>[T]</w:t>
      </w:r>
      <w:r w:rsidRPr="00472D3F">
        <w:t xml:space="preserve">he Commission should conduct an assignment round that accounts for all of the spectrum in a market, including Blocks A, B, and C, and should avoid </w:t>
      </w:r>
      <w:r w:rsidRPr="00472D3F">
        <w:t>any approach that will necessarily result in non-contiguous spectrum.”</w:t>
      </w:r>
      <w:r>
        <w:t>); Verizon Comments at 6 (“</w:t>
      </w:r>
      <w:r w:rsidRPr="00616362">
        <w:t>To facilitate the rapid and efficient deployment of spectrum for new services, the Commission should modify the assignment phase to (1) assign all winning bidd</w:t>
      </w:r>
      <w:r w:rsidRPr="00616362">
        <w:t xml:space="preserve">ers </w:t>
      </w:r>
      <w:r>
        <w:t>‘</w:t>
      </w:r>
      <w:r w:rsidRPr="00616362">
        <w:t>final</w:t>
      </w:r>
      <w:r>
        <w:t>’</w:t>
      </w:r>
      <w:r w:rsidRPr="00616362">
        <w:t xml:space="preserve"> frequency assignments that satisfy contiguity objectives across product categories within a PEA</w:t>
      </w:r>
      <w:r>
        <w:t xml:space="preserve"> . . . .”); AT&amp;T Reply at 4 (“</w:t>
      </w:r>
      <w:r w:rsidRPr="00B867B5">
        <w:t>The single most important factor that the Assignment Rounds must address</w:t>
      </w:r>
      <w:r>
        <w:t xml:space="preserve"> . . .</w:t>
      </w:r>
      <w:r w:rsidRPr="00B867B5">
        <w:t xml:space="preserve"> is to guarantee all bidders the full con</w:t>
      </w:r>
      <w:r w:rsidRPr="00B867B5">
        <w:t>tiguity of all spectrum won after the Phase II deadline.</w:t>
      </w:r>
      <w:r>
        <w:t>”); T-Mobile Comments at 5 (“[W]</w:t>
      </w:r>
      <w:r w:rsidRPr="007133E4">
        <w:t>inning bidders of spectrum in the lower 100 megahertz in the top 46 PEAs may wish to ensure that all</w:t>
      </w:r>
      <w:r>
        <w:t xml:space="preserve"> </w:t>
      </w:r>
      <w:r w:rsidRPr="007133E4">
        <w:t>spectrum for which they are ultimately licensed is contiguous – reg</w:t>
      </w:r>
      <w:r w:rsidRPr="007133E4">
        <w:t>ardless of initial clearing deadlines; a winning bidder for the lower 100 megahertz of C-band spectrum should have the opportunity to ensure that it is authorized for adjacent spectrum in the upper 180 megahertz in the same PEAs</w:t>
      </w:r>
      <w:r>
        <w:t xml:space="preserve">.”); </w:t>
      </w:r>
      <w:r w:rsidRPr="00867A8C">
        <w:rPr>
          <w:i/>
          <w:iCs/>
        </w:rPr>
        <w:t>see also</w:t>
      </w:r>
      <w:r>
        <w:t xml:space="preserve"> CTIA Reply at </w:t>
      </w:r>
      <w:r>
        <w:t>5; U.S. Cellular Reply at 3.</w:t>
      </w:r>
    </w:p>
  </w:footnote>
  <w:footnote w:id="337">
    <w:p w:rsidR="00FE4F2B" w:rsidP="00062EAF" w14:paraId="60B42CE9" w14:textId="0E80E808">
      <w:pPr>
        <w:pStyle w:val="FootnoteText"/>
      </w:pPr>
      <w:r>
        <w:rPr>
          <w:rStyle w:val="FootnoteReference"/>
        </w:rPr>
        <w:footnoteRef/>
      </w:r>
      <w:r>
        <w:t xml:space="preserve"> This approach is also logically consistent with our decision to adopt the bidding categories set forth in </w:t>
      </w:r>
      <w:r w:rsidRPr="00E34B56">
        <w:t>the</w:t>
      </w:r>
      <w:r w:rsidRPr="00867A8C">
        <w:rPr>
          <w:i/>
          <w:iCs/>
        </w:rPr>
        <w:t xml:space="preserve"> Auction 107 Comment Public Notice</w:t>
      </w:r>
      <w:r>
        <w:t xml:space="preserve"> as an alternative to our proposal in that, in the 360 PEAs with no blocks subject</w:t>
      </w:r>
      <w:r>
        <w:t xml:space="preserve"> to the Phase I deadline, all blocks make up a single clock phase bidding category ABC and therefore cannot be given separate assignments in the A and BC portions of the band, as we had proposed.   </w:t>
      </w:r>
    </w:p>
  </w:footnote>
  <w:footnote w:id="338">
    <w:p w:rsidR="00FE4F2B" w:rsidP="00062EAF" w14:paraId="7B2BC6A0" w14:textId="77777777">
      <w:pPr>
        <w:pStyle w:val="FootnoteText"/>
      </w:pPr>
      <w:r>
        <w:rPr>
          <w:rStyle w:val="FootnoteReference"/>
        </w:rPr>
        <w:footnoteRef/>
      </w:r>
      <w:r>
        <w:t xml:space="preserve"> </w:t>
      </w:r>
      <w:r w:rsidRPr="00867A8C">
        <w:rPr>
          <w:i/>
          <w:iCs/>
        </w:rPr>
        <w:t>See, e.g.</w:t>
      </w:r>
      <w:r>
        <w:t>, CTIA Reply at 2 (“</w:t>
      </w:r>
      <w:r w:rsidRPr="001E25CF">
        <w:t xml:space="preserve">CTIA </w:t>
      </w:r>
      <w:r>
        <w:t>. . .</w:t>
      </w:r>
      <w:r w:rsidRPr="001E25CF">
        <w:t xml:space="preserve"> highlight</w:t>
      </w:r>
      <w:r>
        <w:t>[s]</w:t>
      </w:r>
      <w:r w:rsidRPr="001E25CF">
        <w:t xml:space="preserve"> th</w:t>
      </w:r>
      <w:r w:rsidRPr="001E25CF">
        <w:t xml:space="preserve">e unanimous record support, including from wireless service providers of all sizes, for </w:t>
      </w:r>
      <w:r>
        <w:t>. . .</w:t>
      </w:r>
      <w:r w:rsidRPr="001E25CF">
        <w:t xml:space="preserve"> the </w:t>
      </w:r>
      <w:r>
        <w:t xml:space="preserve">. . . </w:t>
      </w:r>
      <w:r w:rsidRPr="001E25CF">
        <w:t xml:space="preserve">alternative, simplified proposal for establishing bidding categories and the across-the-board support for contiguous spectrum assignments. </w:t>
      </w:r>
      <w:r>
        <w:t xml:space="preserve"> </w:t>
      </w:r>
      <w:r w:rsidRPr="001E25CF">
        <w:t>The record r</w:t>
      </w:r>
      <w:r w:rsidRPr="001E25CF">
        <w:t>eflects unanimous agreement that the Commission should establish product categories based on specific clearing deadlines, i.e., Phase I or Phase II, and should adopt procedures that facilitate contiguous spectrum assignments</w:t>
      </w:r>
      <w:r>
        <w:t xml:space="preserve">.”).  No reply comments were received that opposed commenters’ suggestions to conduct the assignment phase in this way.  </w:t>
      </w:r>
    </w:p>
  </w:footnote>
  <w:footnote w:id="339">
    <w:p w:rsidR="00FE4F2B" w:rsidP="00062EAF" w14:paraId="596FDC1D" w14:textId="77777777">
      <w:pPr>
        <w:pStyle w:val="FootnoteText"/>
      </w:pPr>
      <w:r>
        <w:rPr>
          <w:rStyle w:val="FootnoteReference"/>
        </w:rPr>
        <w:footnoteRef/>
      </w:r>
      <w:r>
        <w:t xml:space="preserve"> CTIA Reply at 5 (citing </w:t>
      </w:r>
      <w:r w:rsidRPr="00E04F9C">
        <w:t>Letter from Jeffrey A. Marks, Head of Regulatory Affairs, Nokia to Marlene H. Dortch, Secretary, FCC, AU Doc</w:t>
      </w:r>
      <w:r w:rsidRPr="00E04F9C">
        <w:t xml:space="preserve">ket No. 20-25 (filed Mar. 31, 2020) (Nokia </w:t>
      </w:r>
      <w:r w:rsidRPr="00867A8C">
        <w:rPr>
          <w:i/>
          <w:iCs/>
        </w:rPr>
        <w:t>Ex Parte</w:t>
      </w:r>
      <w:r w:rsidRPr="00E04F9C">
        <w:t>)</w:t>
      </w:r>
      <w:r>
        <w:t>).</w:t>
      </w:r>
    </w:p>
  </w:footnote>
  <w:footnote w:id="340">
    <w:p w:rsidR="00FE4F2B" w:rsidP="00062EAF" w14:paraId="335C2545" w14:textId="77777777">
      <w:pPr>
        <w:pStyle w:val="FootnoteText"/>
      </w:pPr>
      <w:r>
        <w:rPr>
          <w:rStyle w:val="FootnoteReference"/>
        </w:rPr>
        <w:footnoteRef/>
      </w:r>
      <w:r>
        <w:t xml:space="preserve"> </w:t>
      </w:r>
      <w:r w:rsidRPr="00867A8C">
        <w:rPr>
          <w:i/>
          <w:iCs/>
        </w:rPr>
        <w:t>See, e.g.</w:t>
      </w:r>
      <w:r>
        <w:t xml:space="preserve">, Verizon Comments at 8. </w:t>
      </w:r>
    </w:p>
  </w:footnote>
  <w:footnote w:id="341">
    <w:p w:rsidR="00FE4F2B" w:rsidP="00062EAF" w14:paraId="710E8EA5" w14:textId="77777777">
      <w:pPr>
        <w:pStyle w:val="FootnoteText"/>
      </w:pPr>
      <w:r>
        <w:rPr>
          <w:rStyle w:val="FootnoteReference"/>
        </w:rPr>
        <w:footnoteRef/>
      </w:r>
      <w:r>
        <w:t xml:space="preserve"> Verizon Comments at 8 (“By the time a post-auction swap is consummated, each P1 license holder would have been operating—and therefore amortizing the original cos</w:t>
      </w:r>
      <w:r>
        <w:t>t of—each P1 license for at least two years,</w:t>
      </w:r>
      <w:r w:rsidRPr="00C97252">
        <w:t xml:space="preserve"> </w:t>
      </w:r>
      <w:r>
        <w:t>thereby creating significant built-in gain to be recognized in any post-auction swap (even assuming zero post-auction appreciation in license value—which appreciation would generate even more taxable gain on the</w:t>
      </w:r>
      <w:r>
        <w:t xml:space="preserve"> exchange, and more income tax liability).”).</w:t>
      </w:r>
    </w:p>
  </w:footnote>
  <w:footnote w:id="342">
    <w:p w:rsidR="00FE4F2B" w:rsidP="00E402DF" w14:paraId="19E4D42C" w14:textId="6ABB688D">
      <w:pPr>
        <w:pStyle w:val="FootnoteText"/>
      </w:pPr>
      <w:r>
        <w:rPr>
          <w:rStyle w:val="FootnoteReference"/>
        </w:rPr>
        <w:footnoteRef/>
      </w:r>
      <w:r>
        <w:t xml:space="preserve"> See section IV.C (License Authorizations for Interim and Final Assignments), below for a description of how interim and final frequency assignments will be licensed.</w:t>
      </w:r>
    </w:p>
  </w:footnote>
  <w:footnote w:id="343">
    <w:p w:rsidR="00FE4F2B" w:rsidP="00062EAF" w14:paraId="0741A635" w14:textId="77777777">
      <w:pPr>
        <w:pStyle w:val="FootnoteText"/>
      </w:pPr>
      <w:r>
        <w:rPr>
          <w:rStyle w:val="FootnoteReference"/>
        </w:rPr>
        <w:footnoteRef/>
      </w:r>
      <w:r>
        <w:t xml:space="preserve"> </w:t>
      </w:r>
      <w:r w:rsidRPr="00701DB5">
        <w:rPr>
          <w:i/>
        </w:rPr>
        <w:t>See</w:t>
      </w:r>
      <w:r>
        <w:rPr>
          <w:i/>
        </w:rPr>
        <w:t xml:space="preserve"> </w:t>
      </w:r>
      <w:r w:rsidRPr="00CA4CAA">
        <w:rPr>
          <w:i/>
        </w:rPr>
        <w:t>Auction</w:t>
      </w:r>
      <w:r>
        <w:rPr>
          <w:i/>
        </w:rPr>
        <w:t xml:space="preserve"> 107</w:t>
      </w:r>
      <w:r w:rsidRPr="00CA4CAA">
        <w:rPr>
          <w:i/>
        </w:rPr>
        <w:t xml:space="preserve"> Comment Public Notice</w:t>
      </w:r>
      <w:r>
        <w:t>, 3</w:t>
      </w:r>
      <w:r>
        <w:t xml:space="preserve">5 FCC Rcd </w:t>
      </w:r>
      <w:r w:rsidRPr="00CA4CAA">
        <w:t xml:space="preserve">at </w:t>
      </w:r>
      <w:r>
        <w:t>2618, para. 82.</w:t>
      </w:r>
    </w:p>
  </w:footnote>
  <w:footnote w:id="344">
    <w:p w:rsidR="00FE4F2B" w:rsidP="00062EAF" w14:paraId="7C9200E3" w14:textId="77777777">
      <w:pPr>
        <w:pStyle w:val="FootnoteText"/>
      </w:pPr>
      <w:r>
        <w:rPr>
          <w:rStyle w:val="FootnoteReference"/>
        </w:rPr>
        <w:footnoteRef/>
      </w:r>
      <w:r>
        <w:t xml:space="preserve"> Top 20 PEAs are PEAs 1–20.  </w:t>
      </w:r>
      <w:r w:rsidRPr="001A5A5D">
        <w:t xml:space="preserve">The six REAGs are: </w:t>
      </w:r>
      <w:r>
        <w:t xml:space="preserve"> </w:t>
      </w:r>
      <w:r w:rsidRPr="001A5A5D">
        <w:t>Northeast, Southeast, Great Lakes, Mississippi Valley, Central, and West.</w:t>
      </w:r>
      <w:r>
        <w:t xml:space="preserve">  T-Mobile supports this approach and notes that separate assignment rounds for the top 20 PEAs, rather </w:t>
      </w:r>
      <w:r>
        <w:t>than the top 40 PEAs as had been done in the past, was faster and worked well in Auction 103.  T-Mobile Comments at 6.</w:t>
      </w:r>
    </w:p>
  </w:footnote>
  <w:footnote w:id="345">
    <w:p w:rsidR="00FE4F2B" w:rsidP="00062EAF" w14:paraId="0839092B" w14:textId="77777777">
      <w:pPr>
        <w:pStyle w:val="FootnoteText"/>
      </w:pPr>
      <w:r>
        <w:rPr>
          <w:rStyle w:val="FootnoteReference"/>
        </w:rPr>
        <w:footnoteRef/>
      </w:r>
      <w:r>
        <w:t xml:space="preserve"> Although we do not commit to a round schedule at this point, we note that Verizon urges us to conduct the auction quickly.  </w:t>
      </w:r>
      <w:r w:rsidRPr="00867A8C">
        <w:rPr>
          <w:i/>
          <w:iCs/>
        </w:rPr>
        <w:t>See</w:t>
      </w:r>
      <w:r>
        <w:t xml:space="preserve"> Verizon</w:t>
      </w:r>
      <w:r>
        <w:t xml:space="preserve"> Comments at 15 (“</w:t>
      </w:r>
      <w:r w:rsidRPr="003E64D5">
        <w:t xml:space="preserve">The Commission should start with three rounds per day, but it should transition to a six round per day schedule by the third day. </w:t>
      </w:r>
      <w:r>
        <w:t xml:space="preserve"> </w:t>
      </w:r>
      <w:r w:rsidRPr="003E64D5">
        <w:t>The assignment phase should have seven rounds per day throughout, not just in the individual major PEA roun</w:t>
      </w:r>
      <w:r w:rsidRPr="003E64D5">
        <w:t>ds</w:t>
      </w:r>
      <w:r>
        <w:t>.”).</w:t>
      </w:r>
    </w:p>
  </w:footnote>
  <w:footnote w:id="346">
    <w:p w:rsidR="00FE4F2B" w:rsidP="00062EAF" w14:paraId="0E242773" w14:textId="0C2F0E2F">
      <w:pPr>
        <w:pStyle w:val="FootnoteText"/>
      </w:pPr>
      <w:r>
        <w:rPr>
          <w:rStyle w:val="FootnoteReference"/>
        </w:rPr>
        <w:footnoteRef/>
      </w:r>
      <w:r>
        <w:t xml:space="preserve"> A bidder will not see a separate set of bidding options for generic BC blocks won.  They will be assigned as part of the final joint assignment of A and BC blocks.  </w:t>
      </w:r>
      <w:r w:rsidRPr="00B73162">
        <w:t xml:space="preserve">For </w:t>
      </w:r>
      <w:r>
        <w:t>example</w:t>
      </w:r>
      <w:r w:rsidRPr="00B73162">
        <w:t xml:space="preserve">, </w:t>
      </w:r>
      <w:r>
        <w:t xml:space="preserve">suppose that, </w:t>
      </w:r>
      <w:r>
        <w:rPr>
          <w:szCs w:val="22"/>
        </w:rPr>
        <w:t>in one of the 46 PEAs subject to the Phase I deadline,</w:t>
      </w:r>
      <w:r w:rsidRPr="00B73162">
        <w:t xml:space="preserve"> </w:t>
      </w:r>
      <w:r w:rsidRPr="00B73162">
        <w:t xml:space="preserve">a bidder </w:t>
      </w:r>
      <w:r>
        <w:t>won</w:t>
      </w:r>
      <w:r w:rsidRPr="00B73162">
        <w:t xml:space="preserve"> </w:t>
      </w:r>
      <w:r>
        <w:t xml:space="preserve">three </w:t>
      </w:r>
      <w:r w:rsidRPr="00B73162">
        <w:t xml:space="preserve">Category A blocks and </w:t>
      </w:r>
      <w:r>
        <w:t>four</w:t>
      </w:r>
      <w:r w:rsidRPr="00B73162">
        <w:t xml:space="preserve"> Category BC block</w:t>
      </w:r>
      <w:r>
        <w:t>s.</w:t>
      </w:r>
      <w:r w:rsidRPr="00B73162">
        <w:t xml:space="preserve"> </w:t>
      </w:r>
      <w:r>
        <w:t xml:space="preserve"> T</w:t>
      </w:r>
      <w:r w:rsidRPr="00B73162">
        <w:t>hen</w:t>
      </w:r>
      <w:r>
        <w:t>, the bidder</w:t>
      </w:r>
      <w:r w:rsidRPr="00B73162">
        <w:t xml:space="preserve"> will</w:t>
      </w:r>
      <w:r>
        <w:t xml:space="preserve"> be assigned three blocks in the interim assignment and seven blocks in the final assignment.  The bidder will have</w:t>
      </w:r>
      <w:r w:rsidRPr="00B73162">
        <w:t xml:space="preserve"> </w:t>
      </w:r>
      <w:r>
        <w:t xml:space="preserve">three </w:t>
      </w:r>
      <w:r w:rsidRPr="00B73162">
        <w:t xml:space="preserve">bidding </w:t>
      </w:r>
      <w:r>
        <w:t xml:space="preserve">options </w:t>
      </w:r>
      <w:r w:rsidRPr="00B73162">
        <w:t xml:space="preserve">for </w:t>
      </w:r>
      <w:r>
        <w:t xml:space="preserve">the interim </w:t>
      </w:r>
      <w:r w:rsidRPr="00B73162">
        <w:t>frequency assi</w:t>
      </w:r>
      <w:r w:rsidRPr="00B73162">
        <w:t>gnment</w:t>
      </w:r>
      <w:r>
        <w:t xml:space="preserve"> (A1–A3, A2–A4, and A3–A5) and eight bidding options for the final frequency assignment (A1–B2, A2–B3, A3–B4, A4–B5, A5–C1, B1–C2, B2–C3, and B3–C4)</w:t>
      </w:r>
      <w:r w:rsidRPr="00B73162">
        <w:t>.</w:t>
      </w:r>
    </w:p>
  </w:footnote>
  <w:footnote w:id="347">
    <w:p w:rsidR="00FE4F2B" w:rsidP="00062EAF" w14:paraId="6A4F9C1F" w14:textId="77777777">
      <w:pPr>
        <w:pStyle w:val="FootnoteText"/>
      </w:pPr>
      <w:r>
        <w:rPr>
          <w:rStyle w:val="FootnoteReference"/>
        </w:rPr>
        <w:footnoteRef/>
      </w:r>
      <w:r>
        <w:t xml:space="preserve"> </w:t>
      </w:r>
      <w:r w:rsidRPr="0012404F">
        <w:rPr>
          <w:i/>
          <w:iCs/>
        </w:rPr>
        <w:t>See Auction 107 Comment Public Notice</w:t>
      </w:r>
      <w:r>
        <w:t>, 35 FCC Rcd at 2619, para. 86.</w:t>
      </w:r>
    </w:p>
  </w:footnote>
  <w:footnote w:id="348">
    <w:p w:rsidR="00FE4F2B" w:rsidP="00062EAF" w14:paraId="0B254481" w14:textId="4AAE1714">
      <w:pPr>
        <w:pStyle w:val="FootnoteText"/>
      </w:pPr>
      <w:r>
        <w:rPr>
          <w:rStyle w:val="FootnoteReference"/>
        </w:rPr>
        <w:footnoteRef/>
      </w:r>
      <w:r>
        <w:t xml:space="preserve"> A bidder will not see a separate set of bidding options for generic BC blocks won.  They will be assigned as part of the final joint assignment of A and BC blocks.  </w:t>
      </w:r>
      <w:r w:rsidRPr="00867A8C">
        <w:rPr>
          <w:i/>
          <w:iCs/>
        </w:rPr>
        <w:t>See, e.g.</w:t>
      </w:r>
      <w:r>
        <w:t xml:space="preserve">, </w:t>
      </w:r>
      <w:r w:rsidRPr="00B16820">
        <w:t xml:space="preserve">CCA </w:t>
      </w:r>
      <w:r>
        <w:t>Comments at 4; T-Mobile Comments at 7; AT&amp;T Reply at 4 (“[The alternative a</w:t>
      </w:r>
      <w:r>
        <w:t xml:space="preserve">ssignment phase] </w:t>
      </w:r>
      <w:r w:rsidRPr="003C6FC0">
        <w:t>approach imposes minimal burdens on bidders, but produces substantial public interest benefits by promoting creation of large combined spectrum blocks with increased efficiency.</w:t>
      </w:r>
      <w:r>
        <w:t xml:space="preserve">”); CTIA Reply at 6-7; Verizon June 10 </w:t>
      </w:r>
      <w:r w:rsidRPr="001F7E3B">
        <w:rPr>
          <w:i/>
          <w:iCs/>
        </w:rPr>
        <w:t>Ex Parte</w:t>
      </w:r>
      <w:r>
        <w:t xml:space="preserve"> at 2</w:t>
      </w:r>
      <w:r w:rsidRPr="00F569B7">
        <w:t xml:space="preserve"> </w:t>
      </w:r>
      <w:r>
        <w:t>(“A</w:t>
      </w:r>
      <w:r w:rsidRPr="00B927E1">
        <w:t xml:space="preserve"> dual </w:t>
      </w:r>
      <w:r w:rsidRPr="00B927E1">
        <w:t xml:space="preserve">assignment phase will allow this spectrum to be put to its highest use during all phases of the C-band transition. </w:t>
      </w:r>
      <w:r>
        <w:t xml:space="preserve"> </w:t>
      </w:r>
      <w:r w:rsidRPr="00B927E1">
        <w:t xml:space="preserve">The final assignment across all 280 MHz in every PEA will provide the opportunity for contiguous spectrum holdings desired for 5G. </w:t>
      </w:r>
      <w:r>
        <w:t xml:space="preserve"> </w:t>
      </w:r>
      <w:r w:rsidRPr="00B927E1">
        <w:t>An inter</w:t>
      </w:r>
      <w:r w:rsidRPr="00B927E1">
        <w:t>im assignment in just those 46 Phase I PEAs where winning bidders will access spectrum in December 2021 will at the same time allow early access without compromising the ability to obtain a final wideband channel.</w:t>
      </w:r>
      <w:r>
        <w:t xml:space="preserve">”); </w:t>
      </w:r>
      <w:r>
        <w:rPr>
          <w:i/>
          <w:iCs/>
        </w:rPr>
        <w:t xml:space="preserve">accord </w:t>
      </w:r>
      <w:r>
        <w:t xml:space="preserve">U.S. Cellular Reply at 3; </w:t>
      </w:r>
      <w:r w:rsidRPr="00867A8C">
        <w:rPr>
          <w:i/>
          <w:iCs/>
        </w:rPr>
        <w:t>see al</w:t>
      </w:r>
      <w:r w:rsidRPr="00867A8C">
        <w:rPr>
          <w:i/>
          <w:iCs/>
        </w:rPr>
        <w:t>so</w:t>
      </w:r>
      <w:r>
        <w:t xml:space="preserve"> Nokia </w:t>
      </w:r>
      <w:r w:rsidRPr="00867A8C">
        <w:rPr>
          <w:i/>
          <w:iCs/>
        </w:rPr>
        <w:t>Ex Parte</w:t>
      </w:r>
      <w:r>
        <w:t xml:space="preserve"> at 1 (</w:t>
      </w:r>
      <w:r w:rsidRPr="001B1FBE">
        <w:t xml:space="preserve">“C-Band auction winners </w:t>
      </w:r>
      <w:r>
        <w:t xml:space="preserve">[need] </w:t>
      </w:r>
      <w:r w:rsidRPr="001B1FBE">
        <w:t>to be able to deploy 5G services in contiguous blocks of spectrum after Phase 2 in order to realize the full potential of 5G.</w:t>
      </w:r>
      <w:r>
        <w:t>”).</w:t>
      </w:r>
    </w:p>
  </w:footnote>
  <w:footnote w:id="349">
    <w:p w:rsidR="00FE4F2B" w:rsidRPr="00AB294C" w:rsidP="00062EAF" w14:paraId="3879CF39" w14:textId="77777777">
      <w:pPr>
        <w:pStyle w:val="FootnoteText"/>
      </w:pPr>
      <w:r w:rsidRPr="000560F2">
        <w:rPr>
          <w:rStyle w:val="FootnoteReference"/>
        </w:rPr>
        <w:footnoteRef/>
      </w:r>
      <w:r w:rsidRPr="000560F2">
        <w:t xml:space="preserve"> </w:t>
      </w:r>
      <w:r w:rsidRPr="00AB294C">
        <w:t xml:space="preserve">The </w:t>
      </w:r>
      <w:r w:rsidRPr="00D6525E">
        <w:rPr>
          <w:iCs/>
        </w:rPr>
        <w:t>Auction 10</w:t>
      </w:r>
      <w:r>
        <w:rPr>
          <w:iCs/>
        </w:rPr>
        <w:t>7</w:t>
      </w:r>
      <w:r w:rsidRPr="00D6525E">
        <w:rPr>
          <w:iCs/>
        </w:rPr>
        <w:t xml:space="preserve"> </w:t>
      </w:r>
      <w:r w:rsidRPr="00D6525E">
        <w:rPr>
          <w:iCs/>
          <w:szCs w:val="22"/>
        </w:rPr>
        <w:t>Assignment Phase Technical Guide</w:t>
      </w:r>
      <w:r w:rsidRPr="00AB294C">
        <w:rPr>
          <w:i/>
          <w:szCs w:val="22"/>
        </w:rPr>
        <w:t xml:space="preserve"> </w:t>
      </w:r>
      <w:r w:rsidRPr="00AB294C">
        <w:t xml:space="preserve">provides </w:t>
      </w:r>
      <w:r>
        <w:t xml:space="preserve">further </w:t>
      </w:r>
      <w:r w:rsidRPr="00AB294C">
        <w:t>math</w:t>
      </w:r>
      <w:r w:rsidRPr="00AB294C">
        <w:t>ematical details</w:t>
      </w:r>
      <w:r>
        <w:t>.</w:t>
      </w:r>
    </w:p>
  </w:footnote>
  <w:footnote w:id="350">
    <w:p w:rsidR="00FE4F2B" w:rsidRPr="00AB294C" w:rsidP="00062EAF" w14:paraId="340F97D9" w14:textId="77777777">
      <w:pPr>
        <w:pStyle w:val="FootnoteText"/>
      </w:pPr>
      <w:r w:rsidRPr="00AB294C">
        <w:rPr>
          <w:rStyle w:val="FootnoteReference"/>
        </w:rPr>
        <w:footnoteRef/>
      </w:r>
      <w:r w:rsidRPr="00AB294C">
        <w:t xml:space="preserve"> Furthermore, if </w:t>
      </w:r>
      <w:r>
        <w:t xml:space="preserve">there are </w:t>
      </w:r>
      <w:r w:rsidRPr="00AB294C">
        <w:t xml:space="preserve">multiple blocks in </w:t>
      </w:r>
      <w:r>
        <w:t xml:space="preserve">a category that </w:t>
      </w:r>
      <w:r w:rsidRPr="00AB294C">
        <w:t>remain unsold, the unsold licenses will be contiguous</w:t>
      </w:r>
      <w:r>
        <w:t xml:space="preserve">.  </w:t>
      </w:r>
    </w:p>
  </w:footnote>
  <w:footnote w:id="351">
    <w:p w:rsidR="00FE4F2B" w:rsidRPr="00AB294C" w:rsidP="00062EAF" w14:paraId="55412703" w14:textId="77777777">
      <w:pPr>
        <w:pStyle w:val="FootnoteText"/>
      </w:pPr>
      <w:r w:rsidRPr="00AB294C">
        <w:rPr>
          <w:rStyle w:val="FootnoteReference"/>
        </w:rPr>
        <w:footnoteRef/>
      </w:r>
      <w:r w:rsidRPr="00AB294C">
        <w:t xml:space="preserve"> See the </w:t>
      </w:r>
      <w:r w:rsidRPr="00D6525E">
        <w:rPr>
          <w:iCs/>
        </w:rPr>
        <w:t>Auction 10</w:t>
      </w:r>
      <w:r>
        <w:rPr>
          <w:iCs/>
        </w:rPr>
        <w:t>7</w:t>
      </w:r>
      <w:r w:rsidRPr="00D6525E">
        <w:rPr>
          <w:iCs/>
        </w:rPr>
        <w:t xml:space="preserve"> </w:t>
      </w:r>
      <w:r w:rsidRPr="00D6525E">
        <w:rPr>
          <w:iCs/>
          <w:szCs w:val="22"/>
        </w:rPr>
        <w:t>Assignment Phase Technical Guide</w:t>
      </w:r>
      <w:r w:rsidRPr="00AB294C">
        <w:rPr>
          <w:i/>
          <w:szCs w:val="22"/>
        </w:rPr>
        <w:t xml:space="preserve"> </w:t>
      </w:r>
      <w:r w:rsidRPr="00AB294C">
        <w:t>for mathematical details.</w:t>
      </w:r>
    </w:p>
  </w:footnote>
  <w:footnote w:id="352">
    <w:p w:rsidR="00FE4F2B" w:rsidRPr="000560F2" w:rsidP="00062EAF" w14:paraId="3F828D5C" w14:textId="77777777">
      <w:pPr>
        <w:pStyle w:val="FootnoteText"/>
      </w:pPr>
      <w:r w:rsidRPr="00AB294C">
        <w:rPr>
          <w:rStyle w:val="FootnoteReference"/>
        </w:rPr>
        <w:footnoteRef/>
      </w:r>
      <w:r w:rsidRPr="00AB294C">
        <w:t xml:space="preserve"> The pricing approach is a version of a Vickrey-Clarke-Groves mechanism.  It is described in the </w:t>
      </w:r>
      <w:r w:rsidRPr="00D6525E">
        <w:rPr>
          <w:iCs/>
        </w:rPr>
        <w:t>Auction 10</w:t>
      </w:r>
      <w:r>
        <w:rPr>
          <w:iCs/>
        </w:rPr>
        <w:t>7</w:t>
      </w:r>
      <w:r w:rsidRPr="00D6525E">
        <w:rPr>
          <w:iCs/>
        </w:rPr>
        <w:t xml:space="preserve"> Assignment Phase Technical Guide</w:t>
      </w:r>
      <w:r w:rsidRPr="000D73CA">
        <w:rPr>
          <w:iCs/>
        </w:rPr>
        <w:t xml:space="preserve">.  </w:t>
      </w:r>
    </w:p>
  </w:footnote>
  <w:footnote w:id="353">
    <w:p w:rsidR="00FE4F2B" w:rsidRPr="004E5C17" w:rsidP="00062EAF" w14:paraId="0E75D226" w14:textId="45C389E3">
      <w:pPr>
        <w:pStyle w:val="FootnoteText"/>
      </w:pPr>
      <w:r>
        <w:rPr>
          <w:rStyle w:val="FootnoteReference"/>
        </w:rPr>
        <w:footnoteRef/>
      </w:r>
      <w:r>
        <w:t xml:space="preserve"> </w:t>
      </w:r>
      <w:r>
        <w:rPr>
          <w:i/>
        </w:rPr>
        <w:t xml:space="preserve">See </w:t>
      </w:r>
      <w:r>
        <w:t>section IV.B.2 (Acceptable Bids and Bid Processing), above.</w:t>
      </w:r>
    </w:p>
  </w:footnote>
  <w:footnote w:id="354">
    <w:p w:rsidR="00FE4F2B" w:rsidP="00062EAF" w14:paraId="590BB978" w14:textId="77777777">
      <w:pPr>
        <w:pStyle w:val="FootnoteText"/>
      </w:pPr>
      <w:r>
        <w:rPr>
          <w:rStyle w:val="FootnoteReference"/>
        </w:rPr>
        <w:footnoteRef/>
      </w:r>
      <w:r>
        <w:t xml:space="preserve"> </w:t>
      </w:r>
      <w:r w:rsidRPr="00AB294C">
        <w:t xml:space="preserve">See the </w:t>
      </w:r>
      <w:r w:rsidRPr="00D6525E">
        <w:rPr>
          <w:iCs/>
        </w:rPr>
        <w:t>Auction 10</w:t>
      </w:r>
      <w:r>
        <w:rPr>
          <w:iCs/>
        </w:rPr>
        <w:t>7</w:t>
      </w:r>
      <w:r w:rsidRPr="00D6525E">
        <w:rPr>
          <w:iCs/>
        </w:rPr>
        <w:t xml:space="preserve"> </w:t>
      </w:r>
      <w:r w:rsidRPr="00D6525E">
        <w:rPr>
          <w:iCs/>
          <w:szCs w:val="22"/>
        </w:rPr>
        <w:t xml:space="preserve">Assignment Phase Technical Guide </w:t>
      </w:r>
      <w:r w:rsidRPr="000D73CA">
        <w:rPr>
          <w:iCs/>
        </w:rPr>
        <w:t>for</w:t>
      </w:r>
      <w:r w:rsidRPr="00AB294C">
        <w:t xml:space="preserve"> mathematical details.</w:t>
      </w:r>
    </w:p>
  </w:footnote>
  <w:footnote w:id="355">
    <w:p w:rsidR="00FE4F2B" w:rsidP="00062EAF" w14:paraId="31D71D3E" w14:textId="4F774AFC">
      <w:pPr>
        <w:pStyle w:val="FootnoteText"/>
      </w:pPr>
      <w:r>
        <w:rPr>
          <w:rStyle w:val="FootnoteReference"/>
        </w:rPr>
        <w:footnoteRef/>
      </w:r>
      <w:r>
        <w:t xml:space="preserve"> </w:t>
      </w:r>
      <w:r w:rsidRPr="00E44413">
        <w:rPr>
          <w:i/>
          <w:iCs/>
        </w:rPr>
        <w:t>See</w:t>
      </w:r>
      <w:r>
        <w:t xml:space="preserve"> Verizon Comments at 7; Letter from William H. Johnson, Senior Vice President, Verizon, to Marlene H. Dortch, Secretary, FCC, GN Docket No. 18-122, AU Docket No. 20-25, at 3 (filed Apr. 17, 20</w:t>
      </w:r>
      <w:r>
        <w:t xml:space="preserve">20); Verizon June 10 </w:t>
      </w:r>
      <w:r w:rsidRPr="00E34B56">
        <w:rPr>
          <w:i/>
          <w:iCs/>
        </w:rPr>
        <w:t>Ex Parte</w:t>
      </w:r>
      <w:r>
        <w:t xml:space="preserve"> at 1.</w:t>
      </w:r>
    </w:p>
  </w:footnote>
  <w:footnote w:id="356">
    <w:p w:rsidR="00FE4F2B" w:rsidP="00062EAF" w14:paraId="2489958A" w14:textId="2E848AB4">
      <w:pPr>
        <w:pStyle w:val="FootnoteText"/>
      </w:pPr>
      <w:r>
        <w:rPr>
          <w:rStyle w:val="FootnoteReference"/>
        </w:rPr>
        <w:footnoteRef/>
      </w:r>
      <w:r>
        <w:t xml:space="preserve"> </w:t>
      </w:r>
      <w:r w:rsidRPr="00541CF0">
        <w:t>CTIA R</w:t>
      </w:r>
      <w:r>
        <w:t>eply</w:t>
      </w:r>
      <w:r w:rsidRPr="00541CF0">
        <w:t xml:space="preserve"> </w:t>
      </w:r>
      <w:r>
        <w:t>at</w:t>
      </w:r>
      <w:r w:rsidRPr="00541CF0">
        <w:t xml:space="preserve"> 5</w:t>
      </w:r>
      <w:r>
        <w:t>.</w:t>
      </w:r>
    </w:p>
  </w:footnote>
  <w:footnote w:id="357">
    <w:p w:rsidR="00FE4F2B" w:rsidP="00062EAF" w14:paraId="4D3A8395" w14:textId="2DC9D71C">
      <w:pPr>
        <w:pStyle w:val="FootnoteText"/>
      </w:pPr>
      <w:r>
        <w:rPr>
          <w:rStyle w:val="FootnoteReference"/>
        </w:rPr>
        <w:footnoteRef/>
      </w:r>
      <w:r>
        <w:t xml:space="preserve"> </w:t>
      </w:r>
      <w:r w:rsidRPr="00E44413">
        <w:rPr>
          <w:i/>
          <w:iCs/>
        </w:rPr>
        <w:t>See generally 3.7 GHz Report and Order</w:t>
      </w:r>
      <w:r>
        <w:t>, 35 FCC Rcd at 2391-467, paras. 110-331.</w:t>
      </w:r>
    </w:p>
  </w:footnote>
  <w:footnote w:id="358">
    <w:p w:rsidR="00FE4F2B" w:rsidP="00062EAF" w14:paraId="4329A5F0" w14:textId="09F0403D">
      <w:pPr>
        <w:pStyle w:val="FootnoteText"/>
      </w:pPr>
      <w:r>
        <w:rPr>
          <w:rStyle w:val="FootnoteReference"/>
        </w:rPr>
        <w:footnoteRef/>
      </w:r>
      <w:r>
        <w:t xml:space="preserve"> </w:t>
      </w:r>
      <w:r w:rsidRPr="00A53617">
        <w:rPr>
          <w:color w:val="000000"/>
        </w:rPr>
        <w:t xml:space="preserve">While the Commission has never previously issued licenses with </w:t>
      </w:r>
      <w:r>
        <w:rPr>
          <w:color w:val="000000"/>
        </w:rPr>
        <w:t xml:space="preserve">the </w:t>
      </w:r>
      <w:r w:rsidRPr="00A53617">
        <w:rPr>
          <w:color w:val="000000"/>
        </w:rPr>
        <w:t>precise type of provision</w:t>
      </w:r>
      <w:r>
        <w:rPr>
          <w:color w:val="000000"/>
        </w:rPr>
        <w:t xml:space="preserve"> we envision here</w:t>
      </w:r>
      <w:r w:rsidRPr="00A53617">
        <w:rPr>
          <w:color w:val="000000"/>
        </w:rPr>
        <w:t>, in the</w:t>
      </w:r>
      <w:r w:rsidRPr="00A53617">
        <w:rPr>
          <w:color w:val="000000"/>
        </w:rPr>
        <w:t xml:space="preserve"> 3.5 GHz proceeding</w:t>
      </w:r>
      <w:r>
        <w:rPr>
          <w:color w:val="000000"/>
        </w:rPr>
        <w:t>,</w:t>
      </w:r>
      <w:r w:rsidRPr="00A53617">
        <w:rPr>
          <w:color w:val="000000"/>
        </w:rPr>
        <w:t xml:space="preserve"> the Commission rejected arguments that it was required to issue “static” frequency assignments and instead issued licenses for operations on 10 megahertz, with the specific frequencies determined by a Spectrum Access System.  </w:t>
      </w:r>
      <w:r w:rsidRPr="00A53617">
        <w:rPr>
          <w:i/>
          <w:iCs/>
          <w:color w:val="000000"/>
        </w:rPr>
        <w:t>See, e.g.</w:t>
      </w:r>
      <w:r w:rsidRPr="00A53617">
        <w:rPr>
          <w:color w:val="000000"/>
        </w:rPr>
        <w:t xml:space="preserve">, </w:t>
      </w:r>
      <w:r>
        <w:rPr>
          <w:i/>
          <w:iCs/>
          <w:color w:val="000000"/>
        </w:rPr>
        <w:t>Amendment of the Commission’s Rules with Regard to Commercial Operations in the 3550–3650 MHz Band</w:t>
      </w:r>
      <w:r>
        <w:rPr>
          <w:color w:val="000000"/>
        </w:rPr>
        <w:t>, GN Docket No. 12-354</w:t>
      </w:r>
      <w:r w:rsidRPr="00A53617">
        <w:rPr>
          <w:color w:val="000000"/>
        </w:rPr>
        <w:t>,</w:t>
      </w:r>
      <w:r>
        <w:rPr>
          <w:color w:val="000000"/>
        </w:rPr>
        <w:t xml:space="preserve"> Report and Order and Second Further Notice of Proposed Rulemaking,</w:t>
      </w:r>
      <w:r w:rsidRPr="00A53617">
        <w:rPr>
          <w:color w:val="000000"/>
        </w:rPr>
        <w:t xml:space="preserve"> 30 FCC Rcd 3959</w:t>
      </w:r>
      <w:r>
        <w:rPr>
          <w:color w:val="000000"/>
        </w:rPr>
        <w:t xml:space="preserve">, 3985-86, </w:t>
      </w:r>
      <w:r w:rsidRPr="00A53617">
        <w:rPr>
          <w:color w:val="000000"/>
        </w:rPr>
        <w:t xml:space="preserve">paras. 80-83 (2015); </w:t>
      </w:r>
      <w:r w:rsidRPr="00A53617">
        <w:rPr>
          <w:i/>
          <w:iCs/>
          <w:color w:val="000000"/>
        </w:rPr>
        <w:t>cf</w:t>
      </w:r>
      <w:r w:rsidRPr="00A53617">
        <w:rPr>
          <w:color w:val="000000"/>
        </w:rPr>
        <w:t xml:space="preserve">. </w:t>
      </w:r>
      <w:r w:rsidRPr="00E0402A">
        <w:rPr>
          <w:i/>
          <w:iCs/>
          <w:color w:val="000000"/>
        </w:rPr>
        <w:t>Incentive Auct</w:t>
      </w:r>
      <w:r w:rsidRPr="00E0402A">
        <w:rPr>
          <w:i/>
          <w:iCs/>
          <w:color w:val="000000"/>
        </w:rPr>
        <w:t>ion Task Force and Media Bureau Adopt a Post-Incentive Auction Transition Scheduling Plan</w:t>
      </w:r>
      <w:r w:rsidRPr="00A53617">
        <w:rPr>
          <w:color w:val="000000"/>
        </w:rPr>
        <w:t xml:space="preserve">, </w:t>
      </w:r>
      <w:r>
        <w:rPr>
          <w:color w:val="000000"/>
        </w:rPr>
        <w:t xml:space="preserve">MB Docket No. 16-306, GN Docket No. 12-268, </w:t>
      </w:r>
      <w:r w:rsidRPr="00A53617">
        <w:rPr>
          <w:color w:val="000000"/>
        </w:rPr>
        <w:t>P</w:t>
      </w:r>
      <w:r>
        <w:rPr>
          <w:color w:val="000000"/>
        </w:rPr>
        <w:t xml:space="preserve">ublic </w:t>
      </w:r>
      <w:r w:rsidRPr="00A53617">
        <w:rPr>
          <w:color w:val="000000"/>
        </w:rPr>
        <w:t>N</w:t>
      </w:r>
      <w:r>
        <w:rPr>
          <w:color w:val="000000"/>
        </w:rPr>
        <w:t>otice</w:t>
      </w:r>
      <w:r w:rsidRPr="00A53617">
        <w:rPr>
          <w:color w:val="000000"/>
        </w:rPr>
        <w:t>, 32 FCC Rcd 890</w:t>
      </w:r>
      <w:r>
        <w:rPr>
          <w:color w:val="000000"/>
        </w:rPr>
        <w:t>, 915-17,</w:t>
      </w:r>
      <w:r w:rsidRPr="00A53617">
        <w:rPr>
          <w:color w:val="000000"/>
        </w:rPr>
        <w:t xml:space="preserve"> paras. 55-59 (MB 2017) (issuing temporary licenses as a supplement to permanent li</w:t>
      </w:r>
      <w:r w:rsidRPr="00A53617">
        <w:rPr>
          <w:color w:val="000000"/>
        </w:rPr>
        <w:t>censes already issued to broadcasters, in order to facilitate DTV transition).</w:t>
      </w:r>
    </w:p>
  </w:footnote>
  <w:footnote w:id="359">
    <w:p w:rsidR="00FE4F2B" w:rsidP="00E402DF" w14:paraId="6275B782" w14:textId="77777777">
      <w:pPr>
        <w:pStyle w:val="FootnoteText"/>
      </w:pPr>
      <w:r>
        <w:rPr>
          <w:rStyle w:val="FootnoteReference"/>
        </w:rPr>
        <w:footnoteRef/>
      </w:r>
      <w:r>
        <w:t xml:space="preserve"> The B1–C4 blocks in a PEA will be confirmed cleared consistent with the process for validation of a space station operator’s Certification of Accelerated Relocation that it sa</w:t>
      </w:r>
      <w:r>
        <w:t>tisfied the Phase II clearing deadline, as described in section 27.1412(g) of the Commission’s rules.  47 CFR § 27.1412(g).  It is possible, however, that space station operators may fail to meet the Phase II deadline and could potentially continue to oper</w:t>
      </w:r>
      <w:r>
        <w:t>ate until the final relocation deadline of December 5, 2025.  Tying expiration of the interim assignment to the earlier of December 5, 2025, or the date the PEA is confirmed cleared, avoids the possibility that an interim assignment in an A1–A5 block might</w:t>
      </w:r>
      <w:r>
        <w:t xml:space="preserve"> expire prior to clearing being completed in the B1–C4 blocks, which otherwise might require an operator to shut down existing operations in order to transition to its final assignment frequencies that are not yet cleared.</w:t>
      </w:r>
    </w:p>
  </w:footnote>
  <w:footnote w:id="360">
    <w:p w:rsidR="00FE4F2B" w:rsidP="00062EAF" w14:paraId="4F50A3DB" w14:textId="3CF8035F">
      <w:pPr>
        <w:pStyle w:val="FootnoteText"/>
      </w:pPr>
      <w:r>
        <w:rPr>
          <w:rStyle w:val="FootnoteReference"/>
        </w:rPr>
        <w:footnoteRef/>
      </w:r>
      <w:r>
        <w:t xml:space="preserve"> T</w:t>
      </w:r>
      <w:r w:rsidRPr="00BB51F8">
        <w:t xml:space="preserve">here is no restriction on </w:t>
      </w:r>
      <w:r>
        <w:t>spec</w:t>
      </w:r>
      <w:r>
        <w:t xml:space="preserve">trum </w:t>
      </w:r>
      <w:r w:rsidRPr="00BB51F8">
        <w:t xml:space="preserve">leasing </w:t>
      </w:r>
      <w:r>
        <w:t xml:space="preserve">for </w:t>
      </w:r>
      <w:r w:rsidRPr="00BB51F8">
        <w:t xml:space="preserve">either of the paired </w:t>
      </w:r>
      <w:r>
        <w:t>authorizations</w:t>
      </w:r>
      <w:r w:rsidRPr="00BB51F8">
        <w:t>.</w:t>
      </w:r>
    </w:p>
  </w:footnote>
  <w:footnote w:id="361">
    <w:p w:rsidR="00FE4F2B" w:rsidP="00062EAF" w14:paraId="63AAD535" w14:textId="77777777">
      <w:pPr>
        <w:pStyle w:val="FootnoteText"/>
      </w:pPr>
      <w:r>
        <w:rPr>
          <w:rStyle w:val="FootnoteReference"/>
        </w:rPr>
        <w:footnoteRef/>
      </w:r>
      <w:r>
        <w:t xml:space="preserve"> For example, if the bidder wins only BC or ABC blocks in the PEA in the clock phase.</w:t>
      </w:r>
    </w:p>
  </w:footnote>
  <w:footnote w:id="362">
    <w:p w:rsidR="00FE4F2B" w:rsidP="00062EAF" w14:paraId="2BC24B7D" w14:textId="2CA2C456">
      <w:pPr>
        <w:pStyle w:val="FootnoteText"/>
      </w:pPr>
      <w:r>
        <w:rPr>
          <w:rStyle w:val="FootnoteReference"/>
        </w:rPr>
        <w:footnoteRef/>
      </w:r>
      <w:r>
        <w:t xml:space="preserve"> The resulting final license will provide for operation on the earlier of December 5, 2025 or the date the relevan</w:t>
      </w:r>
      <w:r>
        <w:t>t PEA is confirmed cleared.</w:t>
      </w:r>
    </w:p>
  </w:footnote>
  <w:footnote w:id="363">
    <w:p w:rsidR="00FE4F2B" w:rsidRPr="000560F2" w:rsidP="00E402DF" w14:paraId="5E5876A8" w14:textId="296EDEA0">
      <w:pPr>
        <w:pStyle w:val="FootnoteText"/>
      </w:pPr>
      <w:r w:rsidRPr="000560F2">
        <w:rPr>
          <w:rStyle w:val="FootnoteReference"/>
        </w:rPr>
        <w:footnoteRef/>
      </w:r>
      <w:r w:rsidRPr="000560F2">
        <w:t xml:space="preserve"> </w:t>
      </w:r>
      <w:r w:rsidRPr="001B41CB">
        <w:t xml:space="preserve">See the </w:t>
      </w:r>
      <w:r w:rsidRPr="00D6525E">
        <w:rPr>
          <w:iCs/>
        </w:rPr>
        <w:t xml:space="preserve">Auction 107 </w:t>
      </w:r>
      <w:r>
        <w:rPr>
          <w:iCs/>
        </w:rPr>
        <w:t xml:space="preserve">Assignment Phase </w:t>
      </w:r>
      <w:r w:rsidRPr="00D6525E">
        <w:rPr>
          <w:iCs/>
        </w:rPr>
        <w:t>Technical Guide</w:t>
      </w:r>
      <w:r w:rsidRPr="00AA2848">
        <w:rPr>
          <w:iCs/>
        </w:rPr>
        <w:t xml:space="preserve"> for details</w:t>
      </w:r>
      <w:r>
        <w:t xml:space="preserve"> on how these prices are calculated.</w:t>
      </w:r>
    </w:p>
  </w:footnote>
  <w:footnote w:id="364">
    <w:p w:rsidR="00FE4F2B" w:rsidRPr="000560F2" w:rsidP="002F519E" w14:paraId="34C146C6" w14:textId="77777777">
      <w:pPr>
        <w:pStyle w:val="FootnoteText"/>
      </w:pPr>
      <w:r w:rsidRPr="000560F2">
        <w:rPr>
          <w:rStyle w:val="FootnoteReference"/>
        </w:rPr>
        <w:footnoteRef/>
      </w:r>
      <w:r>
        <w:t xml:space="preserve"> </w:t>
      </w:r>
      <w:r>
        <w:rPr>
          <w:i/>
          <w:iCs/>
        </w:rPr>
        <w:t xml:space="preserve">See </w:t>
      </w:r>
      <w:r w:rsidRPr="00094D1A">
        <w:t>47 CFR</w:t>
      </w:r>
      <w:r w:rsidRPr="00D764A7">
        <w:t xml:space="preserve"> § 1.210</w:t>
      </w:r>
      <w:r>
        <w:t>7</w:t>
      </w:r>
      <w:r w:rsidRPr="00D764A7">
        <w:t>(a</w:t>
      </w:r>
      <w:r>
        <w:t>)</w:t>
      </w:r>
      <w:r w:rsidRPr="00AB294C">
        <w:t>.</w:t>
      </w:r>
    </w:p>
  </w:footnote>
  <w:footnote w:id="365">
    <w:p w:rsidR="00FE4F2B" w:rsidRPr="00D764A7" w:rsidP="00D6515C" w14:paraId="42D716D7" w14:textId="79028CC1">
      <w:pPr>
        <w:pStyle w:val="FootnoteText"/>
        <w:rPr>
          <w:i/>
        </w:rPr>
      </w:pPr>
      <w:r w:rsidRPr="00D764A7">
        <w:rPr>
          <w:rStyle w:val="FootnoteReference"/>
        </w:rPr>
        <w:footnoteRef/>
      </w:r>
      <w:r w:rsidRPr="00D764A7">
        <w:t xml:space="preserve"> </w:t>
      </w:r>
      <w:r w:rsidRPr="00C1466B">
        <w:rPr>
          <w:i/>
          <w:iCs/>
        </w:rPr>
        <w:t>Id.</w:t>
      </w:r>
      <w:r w:rsidRPr="00D764A7">
        <w:t xml:space="preserve"> § 1.2109(a); </w:t>
      </w:r>
      <w:r w:rsidRPr="00D764A7">
        <w:rPr>
          <w:i/>
        </w:rPr>
        <w:t>see</w:t>
      </w:r>
      <w:r w:rsidRPr="00D764A7">
        <w:t xml:space="preserve"> </w:t>
      </w:r>
      <w:r w:rsidRPr="00D764A7">
        <w:rPr>
          <w:i/>
        </w:rPr>
        <w:t>CSEA/Part 1 Report and Order</w:t>
      </w:r>
      <w:r w:rsidRPr="00D764A7">
        <w:t xml:space="preserve">, 21 FCC Rcd </w:t>
      </w:r>
      <w:r>
        <w:t>at</w:t>
      </w:r>
      <w:r w:rsidRPr="00D764A7">
        <w:t xml:space="preserve"> 907-09</w:t>
      </w:r>
      <w:r>
        <w:t>,</w:t>
      </w:r>
      <w:r w:rsidRPr="00D764A7">
        <w:t xml:space="preserve"> paras. 43-46.  </w:t>
      </w:r>
    </w:p>
  </w:footnote>
  <w:footnote w:id="366">
    <w:p w:rsidR="00FE4F2B" w:rsidRPr="00D764A7" w:rsidP="00D6515C" w14:paraId="50941EDB" w14:textId="77777777">
      <w:pPr>
        <w:pStyle w:val="FootnoteText"/>
        <w:widowControl w:val="0"/>
      </w:pPr>
      <w:r w:rsidRPr="00D764A7">
        <w:rPr>
          <w:rStyle w:val="FootnoteReference"/>
        </w:rPr>
        <w:footnoteRef/>
      </w:r>
      <w:r w:rsidRPr="00D764A7">
        <w:t xml:space="preserve"> 47 CFR § 1.2107(c).</w:t>
      </w:r>
    </w:p>
  </w:footnote>
  <w:footnote w:id="367">
    <w:p w:rsidR="00FE4F2B" w:rsidRPr="00D764A7" w:rsidP="00D6515C" w14:paraId="5D708ED9" w14:textId="77777777">
      <w:pPr>
        <w:pStyle w:val="FootnoteText"/>
        <w:widowControl w:val="0"/>
      </w:pPr>
      <w:r w:rsidRPr="00D764A7">
        <w:rPr>
          <w:rStyle w:val="FootnoteReference"/>
        </w:rPr>
        <w:footnoteRef/>
      </w:r>
      <w:r w:rsidRPr="00D764A7">
        <w:t xml:space="preserve"> </w:t>
      </w:r>
      <w:r w:rsidRPr="004E4F46">
        <w:rPr>
          <w:i/>
        </w:rPr>
        <w:t>Id.</w:t>
      </w:r>
      <w:r w:rsidRPr="00D764A7">
        <w:t xml:space="preserve"> § 1.2112(b).</w:t>
      </w:r>
    </w:p>
  </w:footnote>
  <w:footnote w:id="368">
    <w:p w:rsidR="00FE4F2B" w:rsidRPr="00D764A7" w:rsidP="00D6515C" w14:paraId="42250C20" w14:textId="3450B33B">
      <w:pPr>
        <w:pStyle w:val="FootnoteText"/>
        <w:widowControl w:val="0"/>
      </w:pPr>
      <w:r w:rsidRPr="00D764A7">
        <w:rPr>
          <w:rStyle w:val="FootnoteReference"/>
        </w:rPr>
        <w:footnoteRef/>
      </w:r>
      <w:r w:rsidRPr="00D764A7">
        <w:t xml:space="preserve"> </w:t>
      </w:r>
      <w:r w:rsidRPr="004E4F46">
        <w:rPr>
          <w:i/>
        </w:rPr>
        <w:t>Id.</w:t>
      </w:r>
      <w:r w:rsidRPr="00D764A7">
        <w:t xml:space="preserve"> § 1.2107(g); </w:t>
      </w:r>
      <w:r w:rsidRPr="00D764A7">
        <w:rPr>
          <w:i/>
        </w:rPr>
        <w:t>see also CSEA/Part 1 Report and Order</w:t>
      </w:r>
      <w:r w:rsidRPr="00D764A7">
        <w:t xml:space="preserve">, 21 FCC Rcd at 911-12, paras. 51-52; </w:t>
      </w:r>
      <w:r>
        <w:rPr>
          <w:i/>
        </w:rPr>
        <w:t xml:space="preserve">Updating Part 1 </w:t>
      </w:r>
      <w:r w:rsidRPr="00D764A7">
        <w:rPr>
          <w:i/>
        </w:rPr>
        <w:t>Report and Order</w:t>
      </w:r>
      <w:r w:rsidRPr="00D764A7">
        <w:t>, 30 FCC Rcd at 7535, para. 101.</w:t>
      </w:r>
    </w:p>
  </w:footnote>
  <w:footnote w:id="369">
    <w:p w:rsidR="00FE4F2B" w:rsidRPr="00D764A7" w:rsidP="00D6515C" w14:paraId="224EF3AE" w14:textId="0736C587">
      <w:pPr>
        <w:pStyle w:val="FootnoteText"/>
        <w:rPr>
          <w:i/>
        </w:rPr>
      </w:pPr>
      <w:r w:rsidRPr="00D764A7">
        <w:rPr>
          <w:rStyle w:val="FootnoteReference"/>
        </w:rPr>
        <w:footnoteRef/>
      </w:r>
      <w:r w:rsidRPr="00D764A7">
        <w:t xml:space="preserve"> 47 CFR § 1.2107(g); s</w:t>
      </w:r>
      <w:r w:rsidRPr="00D764A7">
        <w:rPr>
          <w:i/>
        </w:rPr>
        <w:t>ee also</w:t>
      </w:r>
      <w:r w:rsidRPr="00D764A7">
        <w:t xml:space="preserve"> </w:t>
      </w:r>
      <w:r w:rsidRPr="004E4F46">
        <w:rPr>
          <w:i/>
        </w:rPr>
        <w:t>id.</w:t>
      </w:r>
      <w:r w:rsidRPr="00425C7C">
        <w:rPr>
          <w:i/>
        </w:rPr>
        <w:t xml:space="preserve"> </w:t>
      </w:r>
      <w:r w:rsidRPr="00D764A7">
        <w:t>§ 1.</w:t>
      </w:r>
      <w:r w:rsidRPr="00D764A7">
        <w:t xml:space="preserve">2110(b)(4)(i), (c)(6); </w:t>
      </w:r>
      <w:r>
        <w:rPr>
          <w:i/>
        </w:rPr>
        <w:t xml:space="preserve">Updating Part 1 </w:t>
      </w:r>
      <w:r w:rsidRPr="00D764A7">
        <w:rPr>
          <w:i/>
        </w:rPr>
        <w:t>Report and Order</w:t>
      </w:r>
      <w:r w:rsidRPr="00D764A7">
        <w:t>, 30 FCC Rcd at 7535-36, 7574, 7583-86, paras. 101-03, 190, 214-26</w:t>
      </w:r>
      <w:r w:rsidRPr="00D764A7">
        <w:rPr>
          <w:i/>
        </w:rPr>
        <w:t>.</w:t>
      </w:r>
    </w:p>
  </w:footnote>
  <w:footnote w:id="370">
    <w:p w:rsidR="00FE4F2B" w:rsidRPr="00D764A7" w:rsidP="00D6515C" w14:paraId="49E71BB3" w14:textId="77777777">
      <w:pPr>
        <w:pStyle w:val="FootnoteText"/>
        <w:widowControl w:val="0"/>
      </w:pPr>
      <w:r w:rsidRPr="00D764A7">
        <w:rPr>
          <w:rStyle w:val="FootnoteReference"/>
        </w:rPr>
        <w:footnoteRef/>
      </w:r>
      <w:r w:rsidRPr="00D764A7">
        <w:t xml:space="preserve"> 47 CFR §§ 1.913, 1.919, 1.2107(f), 1.2112.</w:t>
      </w:r>
    </w:p>
  </w:footnote>
  <w:footnote w:id="371">
    <w:p w:rsidR="00FE4F2B" w:rsidRPr="00D764A7" w:rsidP="00D6515C" w14:paraId="51F59D63" w14:textId="5B447387">
      <w:pPr>
        <w:pStyle w:val="FootnoteText"/>
      </w:pPr>
      <w:r w:rsidRPr="00D764A7">
        <w:rPr>
          <w:rStyle w:val="FootnoteReference"/>
        </w:rPr>
        <w:footnoteRef/>
      </w:r>
      <w:r w:rsidRPr="00D764A7">
        <w:t xml:space="preserve"> </w:t>
      </w:r>
      <w:r w:rsidRPr="00887CDB">
        <w:rPr>
          <w:i/>
          <w:iCs/>
        </w:rPr>
        <w:t xml:space="preserve">Id. </w:t>
      </w:r>
      <w:r w:rsidRPr="00D764A7">
        <w:t>§ 1.2104(g)(2).</w:t>
      </w:r>
    </w:p>
  </w:footnote>
  <w:footnote w:id="372">
    <w:p w:rsidR="00FE4F2B" w:rsidRPr="00D764A7" w:rsidP="00D6515C" w14:paraId="56A3C072" w14:textId="48A6DC80">
      <w:pPr>
        <w:pStyle w:val="FootnoteText"/>
      </w:pPr>
      <w:r w:rsidRPr="00D764A7">
        <w:rPr>
          <w:rStyle w:val="FootnoteReference"/>
        </w:rPr>
        <w:footnoteRef/>
      </w:r>
      <w:r w:rsidRPr="00D764A7">
        <w:t xml:space="preserve"> </w:t>
      </w:r>
      <w:r w:rsidRPr="004E4F46">
        <w:rPr>
          <w:i/>
        </w:rPr>
        <w:t>See</w:t>
      </w:r>
      <w:r>
        <w:t xml:space="preserve"> </w:t>
      </w:r>
      <w:r w:rsidRPr="00D764A7">
        <w:rPr>
          <w:i/>
        </w:rPr>
        <w:t>Auction</w:t>
      </w:r>
      <w:r>
        <w:rPr>
          <w:i/>
        </w:rPr>
        <w:t xml:space="preserve"> </w:t>
      </w:r>
      <w:r w:rsidRPr="00D764A7">
        <w:rPr>
          <w:i/>
        </w:rPr>
        <w:t>10</w:t>
      </w:r>
      <w:r>
        <w:rPr>
          <w:i/>
        </w:rPr>
        <w:t>7</w:t>
      </w:r>
      <w:r w:rsidRPr="00D764A7">
        <w:rPr>
          <w:i/>
        </w:rPr>
        <w:t xml:space="preserve"> Comment Public Notice</w:t>
      </w:r>
      <w:r>
        <w:t>, 35 FCC Rcd at 2620, para.</w:t>
      </w:r>
      <w:r>
        <w:t xml:space="preserve"> 91</w:t>
      </w:r>
      <w:r w:rsidRPr="00D764A7">
        <w:t>.</w:t>
      </w:r>
    </w:p>
  </w:footnote>
  <w:footnote w:id="373">
    <w:p w:rsidR="00FE4F2B" w:rsidRPr="00C3420A" w:rsidP="0088175D" w14:paraId="18BD682D" w14:textId="50C31443">
      <w:pPr>
        <w:pStyle w:val="FootnoteText"/>
      </w:pPr>
      <w:r>
        <w:rPr>
          <w:rStyle w:val="FootnoteReference"/>
        </w:rPr>
        <w:footnoteRef/>
      </w:r>
      <w:r>
        <w:t xml:space="preserve"> </w:t>
      </w:r>
      <w:r>
        <w:rPr>
          <w:i/>
          <w:iCs/>
        </w:rPr>
        <w:t xml:space="preserve">See </w:t>
      </w:r>
      <w:r>
        <w:t>section</w:t>
      </w:r>
      <w:r w:rsidRPr="008272DE">
        <w:t xml:space="preserve"> IV.</w:t>
      </w:r>
      <w:r>
        <w:t>D (Calculating Individual “Per-License” Prices), above</w:t>
      </w:r>
      <w:r>
        <w:rPr>
          <w:i/>
          <w:iCs/>
        </w:rPr>
        <w:t>.</w:t>
      </w:r>
      <w:r>
        <w:t xml:space="preserve">  These prices determine the defaulted bid amount on individual licenses.</w:t>
      </w:r>
    </w:p>
  </w:footnote>
  <w:footnote w:id="374">
    <w:p w:rsidR="00FE4F2B" w:rsidRPr="00D764A7" w:rsidP="00D6515C" w14:paraId="1390ED77" w14:textId="392B321D">
      <w:pPr>
        <w:pStyle w:val="FootnoteText"/>
      </w:pPr>
      <w:r w:rsidRPr="00D764A7">
        <w:rPr>
          <w:rStyle w:val="FootnoteReference"/>
        </w:rPr>
        <w:footnoteRef/>
      </w:r>
      <w:r w:rsidRPr="00D764A7">
        <w:t xml:space="preserve"> 47 CFR § 1.2109(b)-(c).</w:t>
      </w:r>
    </w:p>
  </w:footnote>
  <w:footnote w:id="375">
    <w:p w:rsidR="00FE4F2B" w:rsidRPr="00D764A7" w:rsidP="00D6515C" w14:paraId="39F2BC4E" w14:textId="77777777">
      <w:pPr>
        <w:pStyle w:val="FootnoteText"/>
      </w:pPr>
      <w:r w:rsidRPr="00D764A7">
        <w:rPr>
          <w:rStyle w:val="FootnoteReference"/>
        </w:rPr>
        <w:footnoteRef/>
      </w:r>
      <w:r w:rsidRPr="00D764A7">
        <w:t xml:space="preserve"> </w:t>
      </w:r>
      <w:r w:rsidRPr="004E4F46">
        <w:rPr>
          <w:i/>
        </w:rPr>
        <w:t>Id.</w:t>
      </w:r>
      <w:r w:rsidRPr="00425C7C">
        <w:rPr>
          <w:i/>
        </w:rPr>
        <w:t xml:space="preserve"> </w:t>
      </w:r>
      <w:r w:rsidRPr="00D764A7">
        <w:t>§ 1.2109(d).</w:t>
      </w:r>
    </w:p>
  </w:footnote>
  <w:footnote w:id="376">
    <w:p w:rsidR="00FE4F2B" w:rsidRPr="001A5A5D" w:rsidP="00D6515C" w14:paraId="302EE084" w14:textId="21A9DD6A">
      <w:pPr>
        <w:pStyle w:val="FootnoteText"/>
      </w:pPr>
      <w:r w:rsidRPr="001A5A5D">
        <w:rPr>
          <w:rStyle w:val="FootnoteReference"/>
          <w:color w:val="000000"/>
          <w:sz w:val="20"/>
        </w:rPr>
        <w:footnoteRef/>
      </w:r>
      <w:r w:rsidRPr="001A5A5D">
        <w:t xml:space="preserve"> 5 U.S.C. § 603.  The RFA</w:t>
      </w:r>
      <w:r>
        <w:t xml:space="preserve">, 5 U.S.C. </w:t>
      </w:r>
      <w:r w:rsidRPr="001A5A5D">
        <w:t xml:space="preserve">§§ 601-612, has been amended by the Small Business Regulatory Enforcement Fairness Act of 1996, Pub. L. No. 104-121, Title II, 110 Stat. 857 (1996). </w:t>
      </w:r>
    </w:p>
  </w:footnote>
  <w:footnote w:id="377">
    <w:p w:rsidR="00FE4F2B" w:rsidRPr="001A5A5D" w:rsidP="00D6515C" w14:paraId="1167FC2D" w14:textId="163A9375">
      <w:pPr>
        <w:pStyle w:val="FootnoteText"/>
      </w:pPr>
      <w:r w:rsidRPr="001A5A5D">
        <w:rPr>
          <w:rStyle w:val="FootnoteReference"/>
          <w:sz w:val="20"/>
        </w:rPr>
        <w:footnoteRef/>
      </w:r>
      <w:r w:rsidRPr="001A5A5D">
        <w:t xml:space="preserve"> </w:t>
      </w:r>
      <w:r w:rsidRPr="00760A52">
        <w:rPr>
          <w:i/>
        </w:rPr>
        <w:t>See</w:t>
      </w:r>
      <w:r>
        <w:rPr>
          <w:i/>
        </w:rPr>
        <w:t xml:space="preserve"> Expanding Flexible Use of the 3.7 to 4.2 GHz Band</w:t>
      </w:r>
      <w:r w:rsidRPr="00D84F14">
        <w:rPr>
          <w:i/>
        </w:rPr>
        <w:t xml:space="preserve"> et al</w:t>
      </w:r>
      <w:r w:rsidRPr="00786574">
        <w:t>., GN Docket No. 1</w:t>
      </w:r>
      <w:r>
        <w:t>8</w:t>
      </w:r>
      <w:r w:rsidRPr="00786574">
        <w:t>-</w:t>
      </w:r>
      <w:r>
        <w:t>122</w:t>
      </w:r>
      <w:r w:rsidRPr="00786574">
        <w:t xml:space="preserve"> et al., </w:t>
      </w:r>
      <w:r>
        <w:t xml:space="preserve">Order and </w:t>
      </w:r>
      <w:r w:rsidRPr="00E046AE">
        <w:t>Not</w:t>
      </w:r>
      <w:r w:rsidRPr="00E046AE">
        <w:t>ice of Proposed Rulemaking</w:t>
      </w:r>
      <w:r w:rsidRPr="00786574">
        <w:t xml:space="preserve">, </w:t>
      </w:r>
      <w:r>
        <w:t xml:space="preserve">Appx. B, </w:t>
      </w:r>
      <w:r w:rsidRPr="00786574">
        <w:t>3</w:t>
      </w:r>
      <w:r>
        <w:t>3</w:t>
      </w:r>
      <w:r w:rsidRPr="00786574">
        <w:t xml:space="preserve"> FCC Rcd </w:t>
      </w:r>
      <w:r>
        <w:t xml:space="preserve">6915, 6990-7003, paras. 1-51 </w:t>
      </w:r>
      <w:r w:rsidRPr="00786574">
        <w:t>(201</w:t>
      </w:r>
      <w:r>
        <w:t>8</w:t>
      </w:r>
      <w:r w:rsidRPr="00786574">
        <w:t>)</w:t>
      </w:r>
      <w:r>
        <w:t xml:space="preserve"> (</w:t>
      </w:r>
      <w:r w:rsidRPr="007B6E41">
        <w:rPr>
          <w:i/>
          <w:iCs/>
        </w:rPr>
        <w:t>3.7 GHz</w:t>
      </w:r>
      <w:r>
        <w:t xml:space="preserve"> </w:t>
      </w:r>
      <w:r>
        <w:rPr>
          <w:i/>
        </w:rPr>
        <w:t>NPRM</w:t>
      </w:r>
      <w:r w:rsidRPr="00786574">
        <w:t>)</w:t>
      </w:r>
      <w:r>
        <w:t xml:space="preserve">; </w:t>
      </w:r>
      <w:r w:rsidRPr="00E046AE">
        <w:rPr>
          <w:i/>
        </w:rPr>
        <w:t>3.</w:t>
      </w:r>
      <w:r>
        <w:rPr>
          <w:i/>
        </w:rPr>
        <w:t>7</w:t>
      </w:r>
      <w:r w:rsidRPr="00E046AE">
        <w:rPr>
          <w:i/>
        </w:rPr>
        <w:t xml:space="preserve"> GHz </w:t>
      </w:r>
      <w:r>
        <w:rPr>
          <w:i/>
        </w:rPr>
        <w:t xml:space="preserve">Report and </w:t>
      </w:r>
      <w:r w:rsidRPr="00E046AE">
        <w:rPr>
          <w:i/>
        </w:rPr>
        <w:t>Order</w:t>
      </w:r>
      <w:r w:rsidRPr="005D1209">
        <w:rPr>
          <w:iCs/>
        </w:rPr>
        <w:t>, Appx. B</w:t>
      </w:r>
      <w:r>
        <w:rPr>
          <w:iCs/>
        </w:rPr>
        <w:t>, 35 FCC Rcd</w:t>
      </w:r>
      <w:r>
        <w:t xml:space="preserve"> at 2563-75, paras. 1-56. </w:t>
      </w:r>
    </w:p>
  </w:footnote>
  <w:footnote w:id="378">
    <w:p w:rsidR="00FE4F2B" w:rsidP="00D6515C" w14:paraId="5D42041E" w14:textId="77777777">
      <w:pPr>
        <w:pStyle w:val="FootnoteText"/>
      </w:pPr>
      <w:r>
        <w:rPr>
          <w:rStyle w:val="FootnoteReference"/>
        </w:rPr>
        <w:footnoteRef/>
      </w:r>
      <w:r>
        <w:t xml:space="preserve"> </w:t>
      </w:r>
      <w:r w:rsidRPr="0068065B">
        <w:rPr>
          <w:i/>
          <w:iCs/>
        </w:rPr>
        <w:t xml:space="preserve">See </w:t>
      </w:r>
      <w:r w:rsidRPr="0068065B">
        <w:t>5 U.S.C. § 604.</w:t>
      </w:r>
    </w:p>
  </w:footnote>
  <w:footnote w:id="379">
    <w:p w:rsidR="00FE4F2B" w:rsidRPr="001A5A5D" w:rsidP="00D6515C" w14:paraId="48A4CE76" w14:textId="5D2BE1AC">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31454D">
        <w:rPr>
          <w:i/>
          <w:iCs/>
        </w:rPr>
        <w:t xml:space="preserve"> </w:t>
      </w:r>
      <w:r w:rsidRPr="001A5A5D">
        <w:rPr>
          <w:i/>
        </w:rPr>
        <w:t xml:space="preserve">Competitive Bidding Second Report and </w:t>
      </w:r>
      <w:r w:rsidRPr="001A5A5D">
        <w:rPr>
          <w:i/>
        </w:rPr>
        <w:t>Order</w:t>
      </w:r>
      <w:r w:rsidRPr="001A5A5D">
        <w:t xml:space="preserve">, 9 FCC Rcd at 2360-75, paras. 68-159. </w:t>
      </w:r>
    </w:p>
  </w:footnote>
  <w:footnote w:id="380">
    <w:p w:rsidR="00FE4F2B" w:rsidRPr="00563EB7" w:rsidP="00D6515C" w14:paraId="75915D5B" w14:textId="77777777">
      <w:pPr>
        <w:pStyle w:val="FootnoteText"/>
      </w:pPr>
      <w:r w:rsidRPr="00563EB7">
        <w:rPr>
          <w:rStyle w:val="FootnoteReference"/>
          <w:sz w:val="20"/>
        </w:rPr>
        <w:footnoteRef/>
      </w:r>
      <w:r w:rsidRPr="00563EB7">
        <w:t xml:space="preserve"> 5 U.S.C. § 604(a)(3).</w:t>
      </w:r>
    </w:p>
  </w:footnote>
  <w:footnote w:id="381">
    <w:p w:rsidR="00FE4F2B" w:rsidRPr="001A5A5D" w:rsidP="00D6515C" w14:paraId="64B759C0" w14:textId="77777777">
      <w:pPr>
        <w:pStyle w:val="FootnoteText"/>
      </w:pPr>
      <w:r w:rsidRPr="001A5A5D">
        <w:rPr>
          <w:vertAlign w:val="superscript"/>
        </w:rPr>
        <w:footnoteRef/>
      </w:r>
      <w:r w:rsidRPr="001A5A5D">
        <w:rPr>
          <w:vertAlign w:val="superscript"/>
        </w:rPr>
        <w:t xml:space="preserve"> </w:t>
      </w:r>
      <w:r>
        <w:rPr>
          <w:i/>
        </w:rPr>
        <w:t>Id</w:t>
      </w:r>
      <w:r w:rsidRPr="001A5A5D">
        <w:t>.</w:t>
      </w:r>
    </w:p>
  </w:footnote>
  <w:footnote w:id="382">
    <w:p w:rsidR="00FE4F2B" w:rsidRPr="001A5A5D" w:rsidP="00D6515C" w14:paraId="68FB17F4" w14:textId="77777777">
      <w:pPr>
        <w:pStyle w:val="FootnoteText"/>
      </w:pPr>
      <w:r w:rsidRPr="001A5A5D">
        <w:rPr>
          <w:vertAlign w:val="superscript"/>
        </w:rPr>
        <w:footnoteRef/>
      </w:r>
      <w:r w:rsidRPr="001A5A5D">
        <w:t xml:space="preserve"> </w:t>
      </w:r>
      <w:r w:rsidRPr="001A5A5D">
        <w:rPr>
          <w:i/>
        </w:rPr>
        <w:t>Id.</w:t>
      </w:r>
      <w:r w:rsidRPr="001A5A5D">
        <w:t xml:space="preserve"> § 601(6).</w:t>
      </w:r>
    </w:p>
  </w:footnote>
  <w:footnote w:id="383">
    <w:p w:rsidR="00FE4F2B" w:rsidRPr="001A5A5D" w:rsidP="00D6515C" w14:paraId="03D2D97D" w14:textId="77777777">
      <w:pPr>
        <w:pStyle w:val="FootnoteText"/>
      </w:pPr>
      <w:r w:rsidRPr="001A5A5D">
        <w:rPr>
          <w:vertAlign w:val="superscript"/>
        </w:rPr>
        <w:footnoteRef/>
      </w:r>
      <w:r w:rsidRPr="001A5A5D">
        <w:t xml:space="preserve"> </w:t>
      </w:r>
      <w:r w:rsidRPr="001A5A5D">
        <w:rPr>
          <w:i/>
        </w:rPr>
        <w:t>Id.</w:t>
      </w:r>
      <w:r w:rsidRPr="001A5A5D">
        <w:t xml:space="preserve"> § 601(3) (incorporating by reference the definition of “small business concern” in the Small Business Act, 15 U.S.C. § 632).  Pursuant to 5 U.S.C. § 601(3), the statutory definition of a small business applies “unless an agency, after consultation with th</w:t>
      </w:r>
      <w:r w:rsidRPr="001A5A5D">
        <w:t>e Office of Advocacy of the Small Business Administration and after opportunity for public comment, establishes one or more definitions of such term which are appropriate to the activities of the agency and publishes such definition(s) in the Federal Regis</w:t>
      </w:r>
      <w:r w:rsidRPr="001A5A5D">
        <w:t>ter.”</w:t>
      </w:r>
    </w:p>
  </w:footnote>
  <w:footnote w:id="384">
    <w:p w:rsidR="00FE4F2B" w:rsidRPr="001A5A5D" w:rsidP="00D6515C" w14:paraId="4AEE4ED3" w14:textId="77777777">
      <w:pPr>
        <w:pStyle w:val="FootnoteText"/>
      </w:pPr>
      <w:r w:rsidRPr="001A5A5D">
        <w:rPr>
          <w:vertAlign w:val="superscript"/>
        </w:rPr>
        <w:footnoteRef/>
      </w:r>
      <w:r w:rsidRPr="001A5A5D">
        <w:t xml:space="preserve"> 15 U.S.C. § 632.</w:t>
      </w:r>
    </w:p>
  </w:footnote>
  <w:footnote w:id="385">
    <w:p w:rsidR="00FE4F2B" w:rsidRPr="001A5A5D" w:rsidP="00D6515C" w14:paraId="3352DA42" w14:textId="54D39860">
      <w:pPr>
        <w:pStyle w:val="FootnoteText"/>
      </w:pPr>
      <w:r w:rsidRPr="001A5A5D">
        <w:rPr>
          <w:rStyle w:val="FootnoteReference"/>
          <w:sz w:val="20"/>
        </w:rPr>
        <w:footnoteRef/>
      </w:r>
      <w:r w:rsidRPr="001A5A5D">
        <w:t xml:space="preserve"> </w:t>
      </w:r>
      <w:r w:rsidRPr="007B6E41">
        <w:rPr>
          <w:i/>
        </w:rPr>
        <w:t>See 3.7 GHz NPRM</w:t>
      </w:r>
      <w:r w:rsidRPr="00786574">
        <w:t xml:space="preserve">, </w:t>
      </w:r>
      <w:r>
        <w:t xml:space="preserve">Appx. B, </w:t>
      </w:r>
      <w:r w:rsidRPr="00786574">
        <w:t>3</w:t>
      </w:r>
      <w:r>
        <w:t>3</w:t>
      </w:r>
      <w:r w:rsidRPr="00786574">
        <w:t xml:space="preserve"> FCC Rcd </w:t>
      </w:r>
      <w:r>
        <w:t xml:space="preserve">at 6991-94, paras. 8-13; </w:t>
      </w:r>
      <w:r w:rsidRPr="00E046AE">
        <w:rPr>
          <w:i/>
        </w:rPr>
        <w:t>3.</w:t>
      </w:r>
      <w:r>
        <w:rPr>
          <w:i/>
        </w:rPr>
        <w:t>7</w:t>
      </w:r>
      <w:r w:rsidRPr="00E046AE">
        <w:rPr>
          <w:i/>
        </w:rPr>
        <w:t xml:space="preserve"> GHz </w:t>
      </w:r>
      <w:r>
        <w:rPr>
          <w:i/>
        </w:rPr>
        <w:t xml:space="preserve">Report and </w:t>
      </w:r>
      <w:r w:rsidRPr="00E046AE">
        <w:rPr>
          <w:i/>
        </w:rPr>
        <w:t>Order</w:t>
      </w:r>
      <w:r>
        <w:t>, Appx. B, 35 FCC Rcd at 2564-67, paras. 9-14.</w:t>
      </w:r>
    </w:p>
  </w:footnote>
  <w:footnote w:id="386">
    <w:p w:rsidR="00FE4F2B" w:rsidRPr="001A5A5D" w:rsidP="00D6515C" w14:paraId="6B7CA4A3"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Competitive Bidding</w:t>
      </w:r>
      <w:r w:rsidRPr="001A5A5D">
        <w:t xml:space="preserve"> </w:t>
      </w:r>
      <w:r w:rsidRPr="001A5A5D">
        <w:rPr>
          <w:i/>
        </w:rPr>
        <w:t>Second Report and Order</w:t>
      </w:r>
      <w:r w:rsidRPr="001A5A5D">
        <w:t>, 9 FCC Rcd at 2376-77, paras. 163-66.</w:t>
      </w:r>
    </w:p>
  </w:footnote>
  <w:footnote w:id="387">
    <w:p w:rsidR="00FE4F2B" w:rsidRPr="001A5A5D" w:rsidP="00D6515C" w14:paraId="27C4E3E6" w14:textId="61F4D747">
      <w:pPr>
        <w:pStyle w:val="FootnoteText"/>
      </w:pPr>
      <w:r w:rsidRPr="001A5A5D">
        <w:rPr>
          <w:rStyle w:val="FootnoteReference"/>
          <w:sz w:val="20"/>
        </w:rPr>
        <w:footnoteRef/>
      </w:r>
      <w:r w:rsidRPr="001A5A5D">
        <w:t xml:space="preserve"> 5 U.S</w:t>
      </w:r>
      <w:r w:rsidRPr="001A5A5D">
        <w:t xml:space="preserve">.C. </w:t>
      </w:r>
      <w:r w:rsidRPr="00D764A7">
        <w:t>§</w:t>
      </w:r>
      <w:r w:rsidRPr="001A5A5D">
        <w:t xml:space="preserve"> 60</w:t>
      </w:r>
      <w:r>
        <w:t>4</w:t>
      </w:r>
      <w:r w:rsidRPr="001A5A5D">
        <w:t>(</w:t>
      </w:r>
      <w:r>
        <w:t>a</w:t>
      </w:r>
      <w:r w:rsidRPr="001A5A5D">
        <w:t>)(</w:t>
      </w:r>
      <w:r>
        <w:t>6</w:t>
      </w:r>
      <w:r w:rsidRPr="001A5A5D">
        <w:t>).</w:t>
      </w:r>
    </w:p>
  </w:footnote>
  <w:footnote w:id="388">
    <w:p w:rsidR="00FE4F2B" w:rsidRPr="001A5A5D" w:rsidP="00D6515C" w14:paraId="4767AA92"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1A5A5D">
        <w:t xml:space="preserve"> </w:t>
      </w:r>
      <w:r w:rsidRPr="001A5A5D">
        <w:rPr>
          <w:i/>
        </w:rPr>
        <w:t>Competitive Bidding Second Report and Order</w:t>
      </w:r>
      <w:r w:rsidRPr="001A5A5D">
        <w:t xml:space="preserve">, 9 FCC Rcd at 2360-75, paras. 68-159. </w:t>
      </w:r>
    </w:p>
  </w:footnote>
  <w:footnote w:id="389">
    <w:p w:rsidR="00FE4F2B" w:rsidRPr="0068065B" w:rsidP="00D6515C" w14:paraId="6F078FD5" w14:textId="77777777">
      <w:pPr>
        <w:pStyle w:val="FootnoteText"/>
      </w:pPr>
      <w:r w:rsidRPr="0068065B">
        <w:rPr>
          <w:rStyle w:val="FootnoteReference"/>
        </w:rPr>
        <w:footnoteRef/>
      </w:r>
      <w:r w:rsidRPr="0068065B">
        <w:t xml:space="preserve"> </w:t>
      </w:r>
      <w:r w:rsidRPr="0068065B">
        <w:rPr>
          <w:i/>
        </w:rPr>
        <w:t>See</w:t>
      </w:r>
      <w:r w:rsidRPr="0068065B">
        <w:t xml:space="preserve"> 5 U.S.C. § 801(a)(1)(A).</w:t>
      </w:r>
    </w:p>
  </w:footnote>
  <w:footnote w:id="390">
    <w:p w:rsidR="00FE4F2B" w:rsidRPr="00563EB7" w:rsidP="00D6515C" w14:paraId="1025D4B2" w14:textId="77777777">
      <w:pPr>
        <w:pStyle w:val="FootnoteText"/>
      </w:pPr>
      <w:r w:rsidRPr="00563EB7">
        <w:rPr>
          <w:rStyle w:val="FootnoteReference"/>
          <w:sz w:val="20"/>
        </w:rPr>
        <w:footnoteRef/>
      </w:r>
      <w:r w:rsidRPr="00563EB7">
        <w:t xml:space="preserve"> </w:t>
      </w:r>
      <w:r w:rsidRPr="00563EB7">
        <w:rPr>
          <w:i/>
        </w:rPr>
        <w:t>See</w:t>
      </w:r>
      <w:r w:rsidRPr="00563EB7">
        <w:t xml:space="preserve"> </w:t>
      </w:r>
      <w:r w:rsidRPr="00653264">
        <w:rPr>
          <w:i/>
        </w:rPr>
        <w:t xml:space="preserve">id. </w:t>
      </w:r>
      <w:r w:rsidRPr="00563EB7">
        <w:t xml:space="preserve">§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2B" w:rsidRPr="009838BC" w:rsidP="009838BC" w14:paraId="0B9FE5CB" w14:textId="4539D3FC">
    <w:pPr>
      <w:tabs>
        <w:tab w:val="center" w:pos="4680"/>
        <w:tab w:val="right" w:pos="9360"/>
      </w:tabs>
    </w:pPr>
    <w:r w:rsidRPr="009838BC">
      <w:rPr>
        <w:b/>
      </w:rPr>
      <w:tab/>
      <w:t>Federal Communications Commission</w:t>
    </w:r>
    <w:r w:rsidRPr="009838BC">
      <w:rPr>
        <w:b/>
      </w:rPr>
      <w:tab/>
    </w:r>
    <w:r>
      <w:rPr>
        <w:b/>
      </w:rPr>
      <w:t>FCC 20-</w:t>
    </w:r>
    <w:r w:rsidR="00D766B7">
      <w:rPr>
        <w:b/>
      </w:rPr>
      <w:t>110</w:t>
    </w:r>
  </w:p>
  <w:p w:rsidR="00FE4F2B" w:rsidRPr="009838BC" w:rsidP="009838BC" w14:paraId="103F63EE"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49024" o:allowincell="f" fillcolor="black" stroked="f" strokeweight="0.05pt">
          <w10:wrap anchorx="margin"/>
        </v:rect>
      </w:pict>
    </w:r>
  </w:p>
  <w:p w:rsidR="00FE4F2B" w:rsidRPr="009838BC" w:rsidP="009838BC" w14:paraId="6AE96A5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2B" w:rsidRPr="00A866AC" w:rsidP="00605DF2" w14:paraId="63CD6519" w14:textId="77777777">
    <w:pPr>
      <w:spacing w:before="40"/>
      <w:jc w:val="center"/>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cc_logo" style="width:41.75pt;height:41.75pt;margin-top:7.75pt;margin-left:-0.65pt;position:absolute;visibility:visible;z-index:251663360"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_x0000_s2051" type="#_x0000_t202" style="width:244.8pt;height:50.4pt;margin-top:58.35pt;margin-left:-4.5pt;mso-position-horizontal-relative:margin;position:absolute;visibility:visible;z-index:251662336" o:allowincell="f" stroked="f">
          <v:textbox>
            <w:txbxContent>
              <w:p w:rsidR="00FE4F2B" w:rsidP="009838BC" w14:paraId="16C3972B" w14:textId="77777777">
                <w:pPr>
                  <w:rPr>
                    <w:rFonts w:ascii="Arial" w:hAnsi="Arial"/>
                    <w:b/>
                  </w:rPr>
                </w:pPr>
                <w:r>
                  <w:rPr>
                    <w:rFonts w:ascii="Arial" w:hAnsi="Arial"/>
                    <w:b/>
                  </w:rPr>
                  <w:t>Federal Communications Commission</w:t>
                </w:r>
              </w:p>
              <w:p w:rsidR="00FE4F2B" w:rsidP="009838BC" w14:paraId="688B0BA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FE4F2B" w:rsidP="009838BC" w14:paraId="394A3CD7" w14:textId="77777777">
                <w:pPr>
                  <w:rPr>
                    <w:rFonts w:ascii="Arial" w:hAnsi="Arial"/>
                    <w:sz w:val="24"/>
                  </w:rPr>
                </w:pPr>
                <w:r>
                  <w:rPr>
                    <w:rFonts w:ascii="Arial" w:hAnsi="Arial"/>
                    <w:b/>
                  </w:rPr>
                  <w:t>Washington, DC 20554</w:t>
                </w:r>
              </w:p>
            </w:txbxContent>
          </v:textbox>
          <w10:wrap anchorx="margin"/>
        </v:shape>
      </w:pict>
    </w:r>
    <w:r w:rsidRPr="00A866AC">
      <w:rPr>
        <w:rFonts w:ascii="Arial" w:hAnsi="Arial" w:cs="Arial"/>
        <w:b/>
        <w:sz w:val="96"/>
      </w:rPr>
      <w:t>PUBLIC NOTICE</w:t>
    </w:r>
  </w:p>
  <w:p w:rsidR="00FE4F2B" w:rsidRPr="00357D50" w:rsidP="009838BC" w14:paraId="59AC698A" w14:textId="77777777">
    <w:pPr>
      <w:spacing w:before="40"/>
      <w:rPr>
        <w:rFonts w:ascii="Arial" w:hAnsi="Arial" w:cs="Arial"/>
        <w:b/>
        <w:sz w:val="96"/>
      </w:rPr>
    </w:pPr>
    <w:r>
      <w:rPr>
        <w:noProof/>
      </w:rPr>
      <w:pict>
        <v:line id="_x0000_s2052" style="mso-position-horizontal:right;mso-position-horizontal-relative:margin;position:absolute;visibility:visible;z-index:251664384" from="96292pt,56.7pt" to="96760pt,56.7pt" o:allowincell="f">
          <w10:wrap anchorx="margin"/>
        </v:line>
      </w:pict>
    </w:r>
    <w:r>
      <w:rPr>
        <w:noProof/>
      </w:rPr>
      <w:pict>
        <v:shape id="_x0000_s2053" type="#_x0000_t202" style="width:207.95pt;height:35.25pt;margin-top:14.05pt;margin-left:263.25pt;position:absolute;visibility:visible;z-index:251665408" o:allowincell="f" stroked="f">
          <v:textbox inset=",0,,0">
            <w:txbxContent>
              <w:p w:rsidR="00FE4F2B" w:rsidP="009838BC" w14:paraId="357B0351" w14:textId="2F86CE97">
                <w:pPr>
                  <w:spacing w:before="40"/>
                  <w:jc w:val="right"/>
                  <w:rPr>
                    <w:rFonts w:ascii="Arial" w:hAnsi="Arial"/>
                    <w:b/>
                    <w:sz w:val="16"/>
                  </w:rPr>
                </w:pPr>
                <w:r>
                  <w:rPr>
                    <w:rFonts w:ascii="Arial" w:hAnsi="Arial"/>
                    <w:b/>
                    <w:sz w:val="16"/>
                  </w:rPr>
                  <w:t>News Media Information: 202-418-0500</w:t>
                </w:r>
              </w:p>
              <w:p w:rsidR="00FE4F2B" w:rsidP="009838BC" w14:paraId="4B3B0115" w14:textId="77777777">
                <w:pPr>
                  <w:jc w:val="right"/>
                  <w:rPr>
                    <w:rFonts w:ascii="Arial" w:hAnsi="Arial"/>
                    <w:b/>
                    <w:sz w:val="16"/>
                  </w:rPr>
                </w:pPr>
                <w:r>
                  <w:rPr>
                    <w:rFonts w:ascii="Arial" w:hAnsi="Arial"/>
                    <w:b/>
                    <w:sz w:val="16"/>
                  </w:rPr>
                  <w:t xml:space="preserve">Internet: </w:t>
                </w:r>
                <w:hyperlink r:id="rId2" w:history="1">
                  <w:r w:rsidRPr="00315547">
                    <w:rPr>
                      <w:rStyle w:val="Hyperlink"/>
                      <w:rFonts w:ascii="Arial" w:hAnsi="Arial"/>
                      <w:b/>
                      <w:sz w:val="16"/>
                    </w:rPr>
                    <w:t>www.fcc.gov</w:t>
                  </w:r>
                </w:hyperlink>
              </w:p>
              <w:p w:rsidR="00FE4F2B" w:rsidP="009838BC" w14:paraId="31A5677C" w14:textId="77777777">
                <w:pPr>
                  <w:jc w:val="right"/>
                </w:pPr>
                <w:r>
                  <w:rPr>
                    <w:rFonts w:ascii="Arial" w:hAnsi="Arial"/>
                    <w:b/>
                    <w:sz w:val="16"/>
                  </w:rPr>
                  <w:t>TTY: 888-835-5322</w:t>
                </w:r>
              </w:p>
            </w:txbxContent>
          </v:textbox>
        </v:shape>
      </w:pict>
    </w:r>
  </w:p>
  <w:p w:rsidR="00FE4F2B" w:rsidRPr="00EF4DAD" w:rsidP="008A37AB" w14:paraId="4659BDD5"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2B" w:rsidRPr="009838BC" w:rsidP="009838BC" w14:paraId="1D9B42C8" w14:textId="012E7B82">
    <w:pPr>
      <w:tabs>
        <w:tab w:val="center" w:pos="4680"/>
        <w:tab w:val="right" w:pos="9360"/>
      </w:tabs>
    </w:pPr>
    <w:r w:rsidRPr="009838BC">
      <w:rPr>
        <w:b/>
      </w:rPr>
      <w:tab/>
      <w:t>Federal Communications Commission</w:t>
    </w:r>
    <w:r w:rsidRPr="009838BC">
      <w:rPr>
        <w:b/>
      </w:rPr>
      <w:tab/>
    </w:r>
    <w:r>
      <w:rPr>
        <w:b/>
      </w:rPr>
      <w:t>FCC 20-</w:t>
    </w:r>
    <w:r w:rsidR="00FD627A">
      <w:rPr>
        <w:b/>
      </w:rPr>
      <w:t>110</w:t>
    </w:r>
  </w:p>
  <w:p w:rsidR="00FE4F2B" w:rsidRPr="009838BC" w:rsidP="009838BC" w14:paraId="685DA23C" w14:textId="77777777">
    <w:pPr>
      <w:tabs>
        <w:tab w:val="left" w:pos="-720"/>
      </w:tabs>
      <w:suppressAutoHyphens/>
      <w:spacing w:line="19" w:lineRule="exact"/>
      <w:rPr>
        <w:spacing w:val="-2"/>
      </w:rPr>
    </w:pPr>
    <w:r>
      <w:rPr>
        <w:noProof/>
      </w:rPr>
      <w:pict>
        <v:rect id="Rectangle 15" o:spid="_x0000_s2054" style="width:468pt;height:0.95pt;margin-top:0;margin-left:0;mso-position-horizontal-relative:margin;position:absolute;visibility:visible;z-index:-251650048" o:allowincell="f" fillcolor="black" stroked="f" strokeweight="0.05pt">
          <w10:wrap anchorx="margin"/>
        </v:rect>
      </w:pict>
    </w:r>
  </w:p>
  <w:p w:rsidR="00FE4F2B" w:rsidRPr="009838BC" w:rsidP="009838BC" w14:paraId="6B25BEBF" w14:textId="77777777">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2B" w:rsidRPr="00A866AC" w:rsidP="009838BC" w14:paraId="4A76853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5" type="#_x0000_t202" style="width:244.8pt;height:50.4pt;margin-top:58.35pt;margin-left:-4.5pt;mso-position-horizontal-relative:margin;position:absolute;visibility:visible;z-index:251658240" o:allowincell="f" stroked="f">
          <v:textbox>
            <w:txbxContent>
              <w:p w:rsidR="00FE4F2B" w:rsidP="009838BC" w14:paraId="0DE58D06" w14:textId="77777777">
                <w:pPr>
                  <w:rPr>
                    <w:rFonts w:ascii="Arial" w:hAnsi="Arial"/>
                    <w:b/>
                  </w:rPr>
                </w:pPr>
                <w:r>
                  <w:rPr>
                    <w:rFonts w:ascii="Arial" w:hAnsi="Arial"/>
                    <w:b/>
                  </w:rPr>
                  <w:t>Federal Communications Commission</w:t>
                </w:r>
              </w:p>
              <w:p w:rsidR="00FE4F2B" w:rsidP="009838BC" w14:paraId="3A5FD7C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E4F2B" w:rsidP="009838BC" w14:paraId="09E4BF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6"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FE4F2B" w:rsidRPr="00357D50" w:rsidP="009838BC" w14:paraId="3FE1DAB6" w14:textId="77777777">
    <w:pPr>
      <w:spacing w:before="40"/>
      <w:rPr>
        <w:rFonts w:ascii="Arial" w:hAnsi="Arial" w:cs="Arial"/>
        <w:b/>
        <w:sz w:val="96"/>
      </w:rPr>
    </w:pPr>
    <w:r>
      <w:rPr>
        <w:noProof/>
      </w:rPr>
      <w:pict>
        <v:line id="Straight Connector 10" o:spid="_x0000_s2057" style="mso-position-horizontal:right;mso-position-horizontal-relative:margin;position:absolute;visibility:visible;z-index:251660288" from="96292pt,56.7pt" to="96760pt,56.7pt" o:allowincell="f">
          <w10:wrap anchorx="margin"/>
        </v:line>
      </w:pict>
    </w:r>
    <w:r>
      <w:rPr>
        <w:noProof/>
      </w:rPr>
      <w:pict>
        <v:shape id="Text Box 9" o:spid="_x0000_s2058" type="#_x0000_t202" style="width:207.95pt;height:35.25pt;margin-top:14.05pt;margin-left:263.25pt;position:absolute;visibility:visible;z-index:251661312" o:allowincell="f" stroked="f">
          <v:textbox inset=",0,,0">
            <w:txbxContent>
              <w:p w:rsidR="00FE4F2B" w:rsidP="009838BC" w14:paraId="375CE6AC" w14:textId="77777777">
                <w:pPr>
                  <w:spacing w:before="40"/>
                  <w:jc w:val="right"/>
                  <w:rPr>
                    <w:rFonts w:ascii="Arial" w:hAnsi="Arial"/>
                    <w:b/>
                    <w:sz w:val="16"/>
                  </w:rPr>
                </w:pPr>
                <w:r>
                  <w:rPr>
                    <w:rFonts w:ascii="Arial" w:hAnsi="Arial"/>
                    <w:b/>
                    <w:sz w:val="16"/>
                  </w:rPr>
                  <w:t>News Media Information 202 / 418-0500</w:t>
                </w:r>
              </w:p>
              <w:p w:rsidR="00FE4F2B" w:rsidP="009838BC" w14:paraId="020A16F3" w14:textId="77777777">
                <w:pPr>
                  <w:jc w:val="right"/>
                  <w:rPr>
                    <w:rFonts w:ascii="Arial" w:hAnsi="Arial"/>
                    <w:b/>
                    <w:sz w:val="16"/>
                  </w:rPr>
                </w:pPr>
                <w:r>
                  <w:rPr>
                    <w:rFonts w:ascii="Arial" w:hAnsi="Arial"/>
                    <w:b/>
                    <w:sz w:val="16"/>
                  </w:rPr>
                  <w:t xml:space="preserve">Internet: </w:t>
                </w:r>
                <w:bookmarkStart w:id="2607" w:name="_Hlt233824"/>
                <w:hyperlink r:id="rId2" w:history="1">
                  <w:r w:rsidRPr="00D216CD">
                    <w:rPr>
                      <w:rStyle w:val="Hyperlink"/>
                      <w:rFonts w:ascii="Arial" w:hAnsi="Arial"/>
                      <w:b/>
                      <w:sz w:val="16"/>
                    </w:rPr>
                    <w:t>h</w:t>
                  </w:r>
                  <w:bookmarkEnd w:id="2607"/>
                  <w:r w:rsidRPr="00D216CD">
                    <w:rPr>
                      <w:rStyle w:val="Hyperlink"/>
                      <w:rFonts w:ascii="Arial" w:hAnsi="Arial"/>
                      <w:b/>
                      <w:sz w:val="16"/>
                    </w:rPr>
                    <w:t>ttps://www.fcc.gov</w:t>
                  </w:r>
                </w:hyperlink>
              </w:p>
              <w:p w:rsidR="00FE4F2B" w:rsidP="009838BC" w14:paraId="581F202C" w14:textId="77777777">
                <w:pPr>
                  <w:jc w:val="right"/>
                </w:pPr>
                <w:r>
                  <w:rPr>
                    <w:rFonts w:ascii="Arial" w:hAnsi="Arial"/>
                    <w:b/>
                    <w:sz w:val="16"/>
                  </w:rPr>
                  <w:t xml:space="preserve">TTY: </w:t>
                </w:r>
                <w:r>
                  <w:rPr>
                    <w:rFonts w:ascii="Arial" w:hAnsi="Arial"/>
                    <w:b/>
                    <w:sz w:val="16"/>
                  </w:rPr>
                  <w:t>1-888-835-5322</w:t>
                </w:r>
              </w:p>
            </w:txbxContent>
          </v:textbox>
        </v:shape>
      </w:pict>
    </w:r>
  </w:p>
  <w:p w:rsidR="00FE4F2B" w:rsidRPr="009838BC" w:rsidP="008A37AB" w14:paraId="56904D62"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07C87" w:rsidP="00407C87" w14:paraId="0883962E" w14:textId="77777777">
    <w:pPr>
      <w:tabs>
        <w:tab w:val="center" w:pos="4680"/>
        <w:tab w:val="right" w:pos="9360"/>
      </w:tabs>
      <w:rPr>
        <w:b/>
      </w:rPr>
    </w:pPr>
    <w:r>
      <w:tab/>
    </w:r>
    <w:r w:rsidRPr="00407C87">
      <w:rPr>
        <w:b/>
      </w:rPr>
      <w:t>Federal Communications Commission</w:t>
    </w:r>
    <w:r w:rsidRPr="00407C87">
      <w:rPr>
        <w:b/>
      </w:rPr>
      <w:tab/>
      <w:t>FCC 20-110</w:t>
    </w:r>
  </w:p>
  <w:p w:rsidR="00D25FB5" w14:paraId="3B252480" w14:textId="77777777">
    <w:pPr>
      <w:tabs>
        <w:tab w:val="left" w:pos="-720"/>
      </w:tabs>
      <w:suppressAutoHyphens/>
      <w:spacing w:line="19" w:lineRule="exact"/>
      <w:rPr>
        <w:spacing w:val="-2"/>
      </w:rPr>
    </w:pPr>
    <w:r>
      <w:rPr>
        <w:noProof/>
      </w:rPr>
      <w:pict>
        <v:rect id="Rectangle 1" o:spid="_x0000_s2059" style="width:468pt;height:0.95pt;margin-top:0;margin-left:0;mso-position-horizontal-relative:margin;position:absolute;visibility:visible;z-index:-251648000" o:allowincell="f" fillcolor="black" stroked="f" strokeweight="0.05pt">
          <w10:wrap anchorx="margin"/>
        </v:rect>
      </w:pict>
    </w:r>
  </w:p>
  <w:p w:rsidR="00896A65" w14:paraId="24351C69"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F3022" w:rsidP="00A565DB" w14:paraId="6C7B5331" w14:textId="77777777">
    <w:pPr>
      <w:tabs>
        <w:tab w:val="center" w:pos="4680"/>
        <w:tab w:val="right" w:pos="9360"/>
      </w:tabs>
    </w:pPr>
    <w:r>
      <w:rPr>
        <w:noProof/>
      </w:rPr>
      <w:pict>
        <v:rect id="Rectangle 3" o:spid="_x0000_s2060" style="width:468pt;height:0.95pt;margin-top:12.65pt;margin-left:0.6pt;mso-position-horizontal-relative:margin;position:absolute;visibility:visible;z-index:-251646976" o:allowincell="f" fillcolor="black" stroked="f" strokeweight="0.05pt">
          <w10:wrap anchorx="margin"/>
        </v:rect>
      </w:pict>
    </w:r>
    <w:r w:rsidRPr="00CF3022" w:rsidR="00D705E1">
      <w:tab/>
    </w:r>
    <w:r w:rsidRPr="00A565DB" w:rsidR="00D705E1">
      <w:rPr>
        <w:b/>
      </w:rPr>
      <w:t>Federal Communications Commission</w:t>
    </w:r>
    <w:r w:rsidRPr="00A565DB" w:rsidR="00D705E1">
      <w:rPr>
        <w:b/>
      </w:rPr>
      <w:tab/>
      <w:t>FCC 20-110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6FAE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44D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44A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8C3A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4AA7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B8E1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340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9C4B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0636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CC5D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A3C4892"/>
    <w:multiLevelType w:val="hybridMultilevel"/>
    <w:tmpl w:val="B87E49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69633FD"/>
    <w:multiLevelType w:val="hybridMultilevel"/>
    <w:tmpl w:val="7220D2A4"/>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6">
    <w:nsid w:val="248246F3"/>
    <w:multiLevelType w:val="singleLevel"/>
    <w:tmpl w:val="B1F45678"/>
    <w:lvl w:ilvl="0">
      <w:start w:val="1"/>
      <w:numFmt w:val="decimal"/>
      <w:lvlText w:val="%1."/>
      <w:lvlJc w:val="left"/>
      <w:pPr>
        <w:tabs>
          <w:tab w:val="num" w:pos="1080"/>
        </w:tabs>
        <w:ind w:left="0" w:firstLine="720"/>
      </w:pPr>
    </w:lvl>
  </w:abstractNum>
  <w:abstractNum w:abstractNumId="1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4FC1511"/>
    <w:multiLevelType w:val="hybridMultilevel"/>
    <w:tmpl w:val="9AAAFC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5"/>
  </w:num>
  <w:num w:numId="2">
    <w:abstractNumId w:val="21"/>
  </w:num>
  <w:num w:numId="3">
    <w:abstractNumId w:val="17"/>
  </w:num>
  <w:num w:numId="4">
    <w:abstractNumId w:val="13"/>
  </w:num>
  <w:num w:numId="5">
    <w:abstractNumId w:val="14"/>
  </w:num>
  <w:num w:numId="6">
    <w:abstractNumId w:val="12"/>
  </w:num>
  <w:num w:numId="7">
    <w:abstractNumId w:val="11"/>
  </w:num>
  <w:num w:numId="8">
    <w:abstractNumId w:val="20"/>
  </w:num>
  <w:num w:numId="9">
    <w:abstractNumId w:val="19"/>
  </w:num>
  <w:num w:numId="10">
    <w:abstractNumId w:val="18"/>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D6515C"/>
    <w:rsid w:val="00000031"/>
    <w:rsid w:val="000009EB"/>
    <w:rsid w:val="00000BD2"/>
    <w:rsid w:val="00000D10"/>
    <w:rsid w:val="00000DAF"/>
    <w:rsid w:val="0000129A"/>
    <w:rsid w:val="00001626"/>
    <w:rsid w:val="000020B9"/>
    <w:rsid w:val="000023A1"/>
    <w:rsid w:val="00002551"/>
    <w:rsid w:val="0000260C"/>
    <w:rsid w:val="0000266A"/>
    <w:rsid w:val="0000297B"/>
    <w:rsid w:val="00002AEE"/>
    <w:rsid w:val="00002B33"/>
    <w:rsid w:val="00002C80"/>
    <w:rsid w:val="00002EC1"/>
    <w:rsid w:val="00002F1E"/>
    <w:rsid w:val="00002F33"/>
    <w:rsid w:val="0000309C"/>
    <w:rsid w:val="00003361"/>
    <w:rsid w:val="000036C8"/>
    <w:rsid w:val="0000374C"/>
    <w:rsid w:val="00003B6E"/>
    <w:rsid w:val="00003C62"/>
    <w:rsid w:val="00003D2C"/>
    <w:rsid w:val="00003DAD"/>
    <w:rsid w:val="00004078"/>
    <w:rsid w:val="000043E9"/>
    <w:rsid w:val="0000449F"/>
    <w:rsid w:val="000044D8"/>
    <w:rsid w:val="000044DD"/>
    <w:rsid w:val="00004B8A"/>
    <w:rsid w:val="00004BEA"/>
    <w:rsid w:val="00004F7D"/>
    <w:rsid w:val="00004FAA"/>
    <w:rsid w:val="000052A1"/>
    <w:rsid w:val="00005390"/>
    <w:rsid w:val="00005488"/>
    <w:rsid w:val="00005498"/>
    <w:rsid w:val="000059AB"/>
    <w:rsid w:val="0000600A"/>
    <w:rsid w:val="0000674A"/>
    <w:rsid w:val="00006801"/>
    <w:rsid w:val="00006B51"/>
    <w:rsid w:val="00006BF0"/>
    <w:rsid w:val="00006D89"/>
    <w:rsid w:val="000070A1"/>
    <w:rsid w:val="0000717C"/>
    <w:rsid w:val="000072CC"/>
    <w:rsid w:val="000072CE"/>
    <w:rsid w:val="000074BB"/>
    <w:rsid w:val="000078E8"/>
    <w:rsid w:val="00007ACA"/>
    <w:rsid w:val="00007DE5"/>
    <w:rsid w:val="00007FA7"/>
    <w:rsid w:val="00007FFE"/>
    <w:rsid w:val="00010041"/>
    <w:rsid w:val="0001032F"/>
    <w:rsid w:val="00010680"/>
    <w:rsid w:val="00010AA0"/>
    <w:rsid w:val="00010C35"/>
    <w:rsid w:val="00010CCE"/>
    <w:rsid w:val="00010EEC"/>
    <w:rsid w:val="000110AD"/>
    <w:rsid w:val="000110BA"/>
    <w:rsid w:val="000116CD"/>
    <w:rsid w:val="00011869"/>
    <w:rsid w:val="000119ED"/>
    <w:rsid w:val="00011D71"/>
    <w:rsid w:val="00011E18"/>
    <w:rsid w:val="00011F4D"/>
    <w:rsid w:val="00011FB1"/>
    <w:rsid w:val="00012069"/>
    <w:rsid w:val="0001256F"/>
    <w:rsid w:val="000125FD"/>
    <w:rsid w:val="00012733"/>
    <w:rsid w:val="000129EE"/>
    <w:rsid w:val="00012E81"/>
    <w:rsid w:val="00012EB5"/>
    <w:rsid w:val="0001306E"/>
    <w:rsid w:val="00013154"/>
    <w:rsid w:val="00013488"/>
    <w:rsid w:val="00013606"/>
    <w:rsid w:val="0001370D"/>
    <w:rsid w:val="000137F7"/>
    <w:rsid w:val="000139B6"/>
    <w:rsid w:val="00013A8B"/>
    <w:rsid w:val="00013B6C"/>
    <w:rsid w:val="00013C56"/>
    <w:rsid w:val="00013DDA"/>
    <w:rsid w:val="00013ED0"/>
    <w:rsid w:val="00014062"/>
    <w:rsid w:val="000141D1"/>
    <w:rsid w:val="00014200"/>
    <w:rsid w:val="000142C2"/>
    <w:rsid w:val="000143FE"/>
    <w:rsid w:val="0001440F"/>
    <w:rsid w:val="00014593"/>
    <w:rsid w:val="0001465C"/>
    <w:rsid w:val="00014770"/>
    <w:rsid w:val="00014F06"/>
    <w:rsid w:val="00014F44"/>
    <w:rsid w:val="00015173"/>
    <w:rsid w:val="00015A4A"/>
    <w:rsid w:val="00015F65"/>
    <w:rsid w:val="00016225"/>
    <w:rsid w:val="000162BB"/>
    <w:rsid w:val="00016380"/>
    <w:rsid w:val="000163D2"/>
    <w:rsid w:val="000168DB"/>
    <w:rsid w:val="00016A58"/>
    <w:rsid w:val="00016C02"/>
    <w:rsid w:val="00016DD2"/>
    <w:rsid w:val="00016F53"/>
    <w:rsid w:val="0001715D"/>
    <w:rsid w:val="00017284"/>
    <w:rsid w:val="00017296"/>
    <w:rsid w:val="000174FB"/>
    <w:rsid w:val="00017775"/>
    <w:rsid w:val="00017D4F"/>
    <w:rsid w:val="00017EF7"/>
    <w:rsid w:val="00020961"/>
    <w:rsid w:val="00020AC7"/>
    <w:rsid w:val="00020E56"/>
    <w:rsid w:val="00020E73"/>
    <w:rsid w:val="00020EBD"/>
    <w:rsid w:val="00020F29"/>
    <w:rsid w:val="0002106C"/>
    <w:rsid w:val="00021127"/>
    <w:rsid w:val="00021165"/>
    <w:rsid w:val="0002141E"/>
    <w:rsid w:val="00021445"/>
    <w:rsid w:val="0002159D"/>
    <w:rsid w:val="00021A0E"/>
    <w:rsid w:val="00021A8F"/>
    <w:rsid w:val="00021AD5"/>
    <w:rsid w:val="00021B19"/>
    <w:rsid w:val="00021B5F"/>
    <w:rsid w:val="00021BEA"/>
    <w:rsid w:val="00021E79"/>
    <w:rsid w:val="00022244"/>
    <w:rsid w:val="00022286"/>
    <w:rsid w:val="000222B4"/>
    <w:rsid w:val="000226AA"/>
    <w:rsid w:val="00022AC9"/>
    <w:rsid w:val="00022C82"/>
    <w:rsid w:val="00022CC8"/>
    <w:rsid w:val="00022EDC"/>
    <w:rsid w:val="000236D8"/>
    <w:rsid w:val="00023820"/>
    <w:rsid w:val="00023B9F"/>
    <w:rsid w:val="00024048"/>
    <w:rsid w:val="00024413"/>
    <w:rsid w:val="00024582"/>
    <w:rsid w:val="00024777"/>
    <w:rsid w:val="00024B6D"/>
    <w:rsid w:val="00024DA2"/>
    <w:rsid w:val="00024EB8"/>
    <w:rsid w:val="000252A9"/>
    <w:rsid w:val="000258E8"/>
    <w:rsid w:val="00025994"/>
    <w:rsid w:val="00025A40"/>
    <w:rsid w:val="00025A54"/>
    <w:rsid w:val="00025A60"/>
    <w:rsid w:val="00025C0E"/>
    <w:rsid w:val="00025F5F"/>
    <w:rsid w:val="00026032"/>
    <w:rsid w:val="0002669F"/>
    <w:rsid w:val="00026C1C"/>
    <w:rsid w:val="00026F94"/>
    <w:rsid w:val="00026FB0"/>
    <w:rsid w:val="000270A6"/>
    <w:rsid w:val="000270CF"/>
    <w:rsid w:val="00027175"/>
    <w:rsid w:val="00027184"/>
    <w:rsid w:val="00027B04"/>
    <w:rsid w:val="00027EE6"/>
    <w:rsid w:val="00030381"/>
    <w:rsid w:val="00030487"/>
    <w:rsid w:val="000304D8"/>
    <w:rsid w:val="00030860"/>
    <w:rsid w:val="00030B45"/>
    <w:rsid w:val="00030BCF"/>
    <w:rsid w:val="00030D73"/>
    <w:rsid w:val="0003100F"/>
    <w:rsid w:val="00031210"/>
    <w:rsid w:val="0003135E"/>
    <w:rsid w:val="000313A2"/>
    <w:rsid w:val="0003147A"/>
    <w:rsid w:val="00031528"/>
    <w:rsid w:val="0003161C"/>
    <w:rsid w:val="00031725"/>
    <w:rsid w:val="0003173E"/>
    <w:rsid w:val="000319DD"/>
    <w:rsid w:val="00031A5A"/>
    <w:rsid w:val="00031C85"/>
    <w:rsid w:val="00031EEE"/>
    <w:rsid w:val="00032155"/>
    <w:rsid w:val="0003249A"/>
    <w:rsid w:val="0003274C"/>
    <w:rsid w:val="0003284F"/>
    <w:rsid w:val="00032AA4"/>
    <w:rsid w:val="00032BB1"/>
    <w:rsid w:val="00032FFD"/>
    <w:rsid w:val="000330AE"/>
    <w:rsid w:val="00033265"/>
    <w:rsid w:val="000333B0"/>
    <w:rsid w:val="00033552"/>
    <w:rsid w:val="00033946"/>
    <w:rsid w:val="00033ABF"/>
    <w:rsid w:val="00033B2C"/>
    <w:rsid w:val="00033BA4"/>
    <w:rsid w:val="00033C75"/>
    <w:rsid w:val="00033CCE"/>
    <w:rsid w:val="00033CE7"/>
    <w:rsid w:val="00033CEC"/>
    <w:rsid w:val="00033D7F"/>
    <w:rsid w:val="00033FB1"/>
    <w:rsid w:val="0003485E"/>
    <w:rsid w:val="0003497D"/>
    <w:rsid w:val="000349E9"/>
    <w:rsid w:val="000349ED"/>
    <w:rsid w:val="00034A2C"/>
    <w:rsid w:val="00034A4E"/>
    <w:rsid w:val="00034D58"/>
    <w:rsid w:val="00035396"/>
    <w:rsid w:val="00035586"/>
    <w:rsid w:val="000355CB"/>
    <w:rsid w:val="00035992"/>
    <w:rsid w:val="00035A15"/>
    <w:rsid w:val="00035AC8"/>
    <w:rsid w:val="00035BC4"/>
    <w:rsid w:val="00035CAC"/>
    <w:rsid w:val="00036039"/>
    <w:rsid w:val="00036051"/>
    <w:rsid w:val="000360FD"/>
    <w:rsid w:val="00036101"/>
    <w:rsid w:val="00036A39"/>
    <w:rsid w:val="00036B66"/>
    <w:rsid w:val="00036B9E"/>
    <w:rsid w:val="00036C25"/>
    <w:rsid w:val="00036C75"/>
    <w:rsid w:val="00036E06"/>
    <w:rsid w:val="0003755B"/>
    <w:rsid w:val="0003759B"/>
    <w:rsid w:val="000377EC"/>
    <w:rsid w:val="00037967"/>
    <w:rsid w:val="000379D8"/>
    <w:rsid w:val="00037B3D"/>
    <w:rsid w:val="00037DE3"/>
    <w:rsid w:val="00037F90"/>
    <w:rsid w:val="00040037"/>
    <w:rsid w:val="00040237"/>
    <w:rsid w:val="000407AC"/>
    <w:rsid w:val="000407B9"/>
    <w:rsid w:val="00040A00"/>
    <w:rsid w:val="00040C03"/>
    <w:rsid w:val="00040CBB"/>
    <w:rsid w:val="00041068"/>
    <w:rsid w:val="000411E8"/>
    <w:rsid w:val="00041338"/>
    <w:rsid w:val="0004166E"/>
    <w:rsid w:val="000416B9"/>
    <w:rsid w:val="000416C5"/>
    <w:rsid w:val="00041852"/>
    <w:rsid w:val="00041912"/>
    <w:rsid w:val="00041B89"/>
    <w:rsid w:val="00041D48"/>
    <w:rsid w:val="00041DE1"/>
    <w:rsid w:val="00042464"/>
    <w:rsid w:val="000424FC"/>
    <w:rsid w:val="00042DEE"/>
    <w:rsid w:val="0004304F"/>
    <w:rsid w:val="00043412"/>
    <w:rsid w:val="000434C8"/>
    <w:rsid w:val="00043587"/>
    <w:rsid w:val="000435F4"/>
    <w:rsid w:val="0004385D"/>
    <w:rsid w:val="00043974"/>
    <w:rsid w:val="00043A0C"/>
    <w:rsid w:val="00043A67"/>
    <w:rsid w:val="00043B09"/>
    <w:rsid w:val="00043D1A"/>
    <w:rsid w:val="00043DB5"/>
    <w:rsid w:val="00043EB4"/>
    <w:rsid w:val="0004415A"/>
    <w:rsid w:val="0004445E"/>
    <w:rsid w:val="00044716"/>
    <w:rsid w:val="0004479E"/>
    <w:rsid w:val="00044AA3"/>
    <w:rsid w:val="00045870"/>
    <w:rsid w:val="000458AD"/>
    <w:rsid w:val="00045964"/>
    <w:rsid w:val="00045A31"/>
    <w:rsid w:val="00045E8D"/>
    <w:rsid w:val="00046049"/>
    <w:rsid w:val="00046314"/>
    <w:rsid w:val="0004647C"/>
    <w:rsid w:val="00046798"/>
    <w:rsid w:val="0004679F"/>
    <w:rsid w:val="000468A4"/>
    <w:rsid w:val="00046902"/>
    <w:rsid w:val="00046932"/>
    <w:rsid w:val="00046A59"/>
    <w:rsid w:val="00046BDD"/>
    <w:rsid w:val="00046CC5"/>
    <w:rsid w:val="00046E96"/>
    <w:rsid w:val="00047075"/>
    <w:rsid w:val="0004713C"/>
    <w:rsid w:val="00047544"/>
    <w:rsid w:val="0004768A"/>
    <w:rsid w:val="0004771D"/>
    <w:rsid w:val="00047875"/>
    <w:rsid w:val="00047933"/>
    <w:rsid w:val="0004794D"/>
    <w:rsid w:val="00047DA2"/>
    <w:rsid w:val="00050062"/>
    <w:rsid w:val="0005025A"/>
    <w:rsid w:val="00050262"/>
    <w:rsid w:val="00050653"/>
    <w:rsid w:val="000506AE"/>
    <w:rsid w:val="00050811"/>
    <w:rsid w:val="000508A5"/>
    <w:rsid w:val="00050972"/>
    <w:rsid w:val="00050C7F"/>
    <w:rsid w:val="00050DAA"/>
    <w:rsid w:val="00050E76"/>
    <w:rsid w:val="00050EF9"/>
    <w:rsid w:val="00050F25"/>
    <w:rsid w:val="00051039"/>
    <w:rsid w:val="0005112F"/>
    <w:rsid w:val="00051497"/>
    <w:rsid w:val="000514E1"/>
    <w:rsid w:val="00051865"/>
    <w:rsid w:val="000518D3"/>
    <w:rsid w:val="000518F5"/>
    <w:rsid w:val="00051A0E"/>
    <w:rsid w:val="00051A29"/>
    <w:rsid w:val="00051BD5"/>
    <w:rsid w:val="00051CA0"/>
    <w:rsid w:val="00051D53"/>
    <w:rsid w:val="00051DA8"/>
    <w:rsid w:val="000521C3"/>
    <w:rsid w:val="0005224F"/>
    <w:rsid w:val="00052517"/>
    <w:rsid w:val="000526D7"/>
    <w:rsid w:val="00052889"/>
    <w:rsid w:val="0005288D"/>
    <w:rsid w:val="00052C20"/>
    <w:rsid w:val="00052C2F"/>
    <w:rsid w:val="00052F68"/>
    <w:rsid w:val="00053696"/>
    <w:rsid w:val="00053A3A"/>
    <w:rsid w:val="00053C21"/>
    <w:rsid w:val="00053C84"/>
    <w:rsid w:val="00053C9E"/>
    <w:rsid w:val="00053DAF"/>
    <w:rsid w:val="000542DC"/>
    <w:rsid w:val="0005448C"/>
    <w:rsid w:val="000545DA"/>
    <w:rsid w:val="000546C2"/>
    <w:rsid w:val="000547F6"/>
    <w:rsid w:val="00054C90"/>
    <w:rsid w:val="00054F96"/>
    <w:rsid w:val="000555A8"/>
    <w:rsid w:val="000556DE"/>
    <w:rsid w:val="00055A21"/>
    <w:rsid w:val="00055B4E"/>
    <w:rsid w:val="00055C2E"/>
    <w:rsid w:val="00055C5C"/>
    <w:rsid w:val="0005608F"/>
    <w:rsid w:val="000560F2"/>
    <w:rsid w:val="000561AA"/>
    <w:rsid w:val="000563DB"/>
    <w:rsid w:val="000566C1"/>
    <w:rsid w:val="0005670A"/>
    <w:rsid w:val="00056B20"/>
    <w:rsid w:val="000573A7"/>
    <w:rsid w:val="000574AF"/>
    <w:rsid w:val="000574EB"/>
    <w:rsid w:val="0005773F"/>
    <w:rsid w:val="000578CA"/>
    <w:rsid w:val="00057A83"/>
    <w:rsid w:val="00057AE1"/>
    <w:rsid w:val="00060025"/>
    <w:rsid w:val="000606EA"/>
    <w:rsid w:val="000607AE"/>
    <w:rsid w:val="00060865"/>
    <w:rsid w:val="00060889"/>
    <w:rsid w:val="00060A4B"/>
    <w:rsid w:val="00060A58"/>
    <w:rsid w:val="00060BBF"/>
    <w:rsid w:val="00060BE5"/>
    <w:rsid w:val="00060FD6"/>
    <w:rsid w:val="00061097"/>
    <w:rsid w:val="00061237"/>
    <w:rsid w:val="0006136C"/>
    <w:rsid w:val="00061563"/>
    <w:rsid w:val="0006172A"/>
    <w:rsid w:val="00061825"/>
    <w:rsid w:val="0006185B"/>
    <w:rsid w:val="00061B3D"/>
    <w:rsid w:val="00061B63"/>
    <w:rsid w:val="00061FF2"/>
    <w:rsid w:val="00062011"/>
    <w:rsid w:val="00062097"/>
    <w:rsid w:val="00062205"/>
    <w:rsid w:val="000628AB"/>
    <w:rsid w:val="00062BE5"/>
    <w:rsid w:val="00062C04"/>
    <w:rsid w:val="00062E33"/>
    <w:rsid w:val="00062EAF"/>
    <w:rsid w:val="00063367"/>
    <w:rsid w:val="00063422"/>
    <w:rsid w:val="000634CD"/>
    <w:rsid w:val="0006374B"/>
    <w:rsid w:val="00063811"/>
    <w:rsid w:val="000638E2"/>
    <w:rsid w:val="00063F86"/>
    <w:rsid w:val="00064112"/>
    <w:rsid w:val="0006413E"/>
    <w:rsid w:val="000642FA"/>
    <w:rsid w:val="0006462C"/>
    <w:rsid w:val="00064BEC"/>
    <w:rsid w:val="00064C7C"/>
    <w:rsid w:val="00064DBA"/>
    <w:rsid w:val="00064E85"/>
    <w:rsid w:val="0006517B"/>
    <w:rsid w:val="00065188"/>
    <w:rsid w:val="0006564A"/>
    <w:rsid w:val="0006595E"/>
    <w:rsid w:val="00065CB4"/>
    <w:rsid w:val="00065CD1"/>
    <w:rsid w:val="00065CE8"/>
    <w:rsid w:val="000661A0"/>
    <w:rsid w:val="000661F2"/>
    <w:rsid w:val="00066403"/>
    <w:rsid w:val="0006654D"/>
    <w:rsid w:val="00066865"/>
    <w:rsid w:val="00066BAD"/>
    <w:rsid w:val="00066D95"/>
    <w:rsid w:val="00067050"/>
    <w:rsid w:val="000670A8"/>
    <w:rsid w:val="000671E9"/>
    <w:rsid w:val="000672F4"/>
    <w:rsid w:val="000679A8"/>
    <w:rsid w:val="000679CD"/>
    <w:rsid w:val="00067CA9"/>
    <w:rsid w:val="00067FBD"/>
    <w:rsid w:val="00067FC9"/>
    <w:rsid w:val="00070292"/>
    <w:rsid w:val="00070724"/>
    <w:rsid w:val="000709C2"/>
    <w:rsid w:val="00070C26"/>
    <w:rsid w:val="00070D02"/>
    <w:rsid w:val="00070EDD"/>
    <w:rsid w:val="00070EFA"/>
    <w:rsid w:val="00071069"/>
    <w:rsid w:val="0007131F"/>
    <w:rsid w:val="00071700"/>
    <w:rsid w:val="0007187D"/>
    <w:rsid w:val="0007191E"/>
    <w:rsid w:val="00071ACC"/>
    <w:rsid w:val="00071C54"/>
    <w:rsid w:val="00071D3B"/>
    <w:rsid w:val="00071E59"/>
    <w:rsid w:val="00071FAF"/>
    <w:rsid w:val="0007211B"/>
    <w:rsid w:val="000721EE"/>
    <w:rsid w:val="000722D7"/>
    <w:rsid w:val="000723E0"/>
    <w:rsid w:val="000723EE"/>
    <w:rsid w:val="00072412"/>
    <w:rsid w:val="00072790"/>
    <w:rsid w:val="000727BD"/>
    <w:rsid w:val="000728C9"/>
    <w:rsid w:val="00072BDD"/>
    <w:rsid w:val="00072D4F"/>
    <w:rsid w:val="00072DDA"/>
    <w:rsid w:val="00073223"/>
    <w:rsid w:val="0007322A"/>
    <w:rsid w:val="00073328"/>
    <w:rsid w:val="00073D43"/>
    <w:rsid w:val="00073E73"/>
    <w:rsid w:val="00073E9A"/>
    <w:rsid w:val="00073EC5"/>
    <w:rsid w:val="000740F2"/>
    <w:rsid w:val="000743A4"/>
    <w:rsid w:val="00074509"/>
    <w:rsid w:val="00074592"/>
    <w:rsid w:val="0007461D"/>
    <w:rsid w:val="0007470D"/>
    <w:rsid w:val="00074CD8"/>
    <w:rsid w:val="00074CDD"/>
    <w:rsid w:val="00074F2F"/>
    <w:rsid w:val="00075069"/>
    <w:rsid w:val="00075114"/>
    <w:rsid w:val="00075460"/>
    <w:rsid w:val="000754A5"/>
    <w:rsid w:val="00075D27"/>
    <w:rsid w:val="000765E4"/>
    <w:rsid w:val="000770AF"/>
    <w:rsid w:val="000770D6"/>
    <w:rsid w:val="000770F5"/>
    <w:rsid w:val="0007723F"/>
    <w:rsid w:val="000772D9"/>
    <w:rsid w:val="0007748C"/>
    <w:rsid w:val="000776D0"/>
    <w:rsid w:val="000778D1"/>
    <w:rsid w:val="00077907"/>
    <w:rsid w:val="00077A00"/>
    <w:rsid w:val="00077C06"/>
    <w:rsid w:val="00077FAB"/>
    <w:rsid w:val="0008014C"/>
    <w:rsid w:val="0008018A"/>
    <w:rsid w:val="0008059A"/>
    <w:rsid w:val="00080613"/>
    <w:rsid w:val="00080736"/>
    <w:rsid w:val="000807B4"/>
    <w:rsid w:val="00080BE8"/>
    <w:rsid w:val="00080C77"/>
    <w:rsid w:val="00080EEE"/>
    <w:rsid w:val="0008112F"/>
    <w:rsid w:val="000812B1"/>
    <w:rsid w:val="00081478"/>
    <w:rsid w:val="00081542"/>
    <w:rsid w:val="000815E3"/>
    <w:rsid w:val="000816FA"/>
    <w:rsid w:val="0008192B"/>
    <w:rsid w:val="00081A9F"/>
    <w:rsid w:val="00081AA5"/>
    <w:rsid w:val="00081AB4"/>
    <w:rsid w:val="00081B6D"/>
    <w:rsid w:val="00081DA1"/>
    <w:rsid w:val="00081E7B"/>
    <w:rsid w:val="0008206C"/>
    <w:rsid w:val="00082191"/>
    <w:rsid w:val="00082237"/>
    <w:rsid w:val="00082573"/>
    <w:rsid w:val="0008271B"/>
    <w:rsid w:val="000828B8"/>
    <w:rsid w:val="00082909"/>
    <w:rsid w:val="00082A3A"/>
    <w:rsid w:val="00082DDB"/>
    <w:rsid w:val="00082EEC"/>
    <w:rsid w:val="000835EB"/>
    <w:rsid w:val="000836A0"/>
    <w:rsid w:val="000837A0"/>
    <w:rsid w:val="00083DC5"/>
    <w:rsid w:val="00083EBA"/>
    <w:rsid w:val="00083EF3"/>
    <w:rsid w:val="00084372"/>
    <w:rsid w:val="000843CE"/>
    <w:rsid w:val="00084613"/>
    <w:rsid w:val="000846F8"/>
    <w:rsid w:val="000849A5"/>
    <w:rsid w:val="00084A23"/>
    <w:rsid w:val="00084ADC"/>
    <w:rsid w:val="00084CAF"/>
    <w:rsid w:val="000852B9"/>
    <w:rsid w:val="000852C5"/>
    <w:rsid w:val="00085446"/>
    <w:rsid w:val="00085813"/>
    <w:rsid w:val="00086253"/>
    <w:rsid w:val="0008627E"/>
    <w:rsid w:val="000862DE"/>
    <w:rsid w:val="0008664C"/>
    <w:rsid w:val="0008675B"/>
    <w:rsid w:val="00086B74"/>
    <w:rsid w:val="00086D04"/>
    <w:rsid w:val="00086D9A"/>
    <w:rsid w:val="000871AB"/>
    <w:rsid w:val="00087479"/>
    <w:rsid w:val="000875BF"/>
    <w:rsid w:val="0008775B"/>
    <w:rsid w:val="000879A6"/>
    <w:rsid w:val="00087A3A"/>
    <w:rsid w:val="00087ACB"/>
    <w:rsid w:val="00087B67"/>
    <w:rsid w:val="00087CD7"/>
    <w:rsid w:val="00090133"/>
    <w:rsid w:val="00090330"/>
    <w:rsid w:val="000903CA"/>
    <w:rsid w:val="0009055B"/>
    <w:rsid w:val="000906B3"/>
    <w:rsid w:val="000907B0"/>
    <w:rsid w:val="00090881"/>
    <w:rsid w:val="000908C2"/>
    <w:rsid w:val="000909CD"/>
    <w:rsid w:val="000909D7"/>
    <w:rsid w:val="00090C34"/>
    <w:rsid w:val="00090E58"/>
    <w:rsid w:val="00090EB5"/>
    <w:rsid w:val="000913AA"/>
    <w:rsid w:val="000915DA"/>
    <w:rsid w:val="0009163E"/>
    <w:rsid w:val="00091702"/>
    <w:rsid w:val="000918DE"/>
    <w:rsid w:val="0009193D"/>
    <w:rsid w:val="00091D30"/>
    <w:rsid w:val="00092942"/>
    <w:rsid w:val="00092E72"/>
    <w:rsid w:val="00092EAD"/>
    <w:rsid w:val="00092EB5"/>
    <w:rsid w:val="00092F67"/>
    <w:rsid w:val="0009307E"/>
    <w:rsid w:val="00093097"/>
    <w:rsid w:val="0009329E"/>
    <w:rsid w:val="000933B8"/>
    <w:rsid w:val="00093502"/>
    <w:rsid w:val="0009363C"/>
    <w:rsid w:val="00093771"/>
    <w:rsid w:val="00093F78"/>
    <w:rsid w:val="00093F81"/>
    <w:rsid w:val="00093FD7"/>
    <w:rsid w:val="00094514"/>
    <w:rsid w:val="0009455D"/>
    <w:rsid w:val="0009461F"/>
    <w:rsid w:val="000946D8"/>
    <w:rsid w:val="00094CD0"/>
    <w:rsid w:val="00094D1A"/>
    <w:rsid w:val="00094D3E"/>
    <w:rsid w:val="0009545E"/>
    <w:rsid w:val="000956BF"/>
    <w:rsid w:val="0009593A"/>
    <w:rsid w:val="0009596E"/>
    <w:rsid w:val="00095F4F"/>
    <w:rsid w:val="0009606F"/>
    <w:rsid w:val="000965FF"/>
    <w:rsid w:val="00096624"/>
    <w:rsid w:val="0009689A"/>
    <w:rsid w:val="00096D8C"/>
    <w:rsid w:val="0009724F"/>
    <w:rsid w:val="0009726F"/>
    <w:rsid w:val="000972BB"/>
    <w:rsid w:val="0009755C"/>
    <w:rsid w:val="00097675"/>
    <w:rsid w:val="00097835"/>
    <w:rsid w:val="000979B0"/>
    <w:rsid w:val="00097A4D"/>
    <w:rsid w:val="00097A8E"/>
    <w:rsid w:val="00097C77"/>
    <w:rsid w:val="00097D68"/>
    <w:rsid w:val="00097E07"/>
    <w:rsid w:val="00097E83"/>
    <w:rsid w:val="00097FAD"/>
    <w:rsid w:val="000A0204"/>
    <w:rsid w:val="000A0233"/>
    <w:rsid w:val="000A026E"/>
    <w:rsid w:val="000A0318"/>
    <w:rsid w:val="000A0416"/>
    <w:rsid w:val="000A054F"/>
    <w:rsid w:val="000A07E8"/>
    <w:rsid w:val="000A09A5"/>
    <w:rsid w:val="000A1432"/>
    <w:rsid w:val="000A1558"/>
    <w:rsid w:val="000A1658"/>
    <w:rsid w:val="000A1955"/>
    <w:rsid w:val="000A1BCC"/>
    <w:rsid w:val="000A1C5B"/>
    <w:rsid w:val="000A1CD9"/>
    <w:rsid w:val="000A1EF3"/>
    <w:rsid w:val="000A2083"/>
    <w:rsid w:val="000A2094"/>
    <w:rsid w:val="000A2507"/>
    <w:rsid w:val="000A2799"/>
    <w:rsid w:val="000A285A"/>
    <w:rsid w:val="000A2973"/>
    <w:rsid w:val="000A2A23"/>
    <w:rsid w:val="000A2B38"/>
    <w:rsid w:val="000A2B81"/>
    <w:rsid w:val="000A2E24"/>
    <w:rsid w:val="000A2F64"/>
    <w:rsid w:val="000A3130"/>
    <w:rsid w:val="000A3329"/>
    <w:rsid w:val="000A3369"/>
    <w:rsid w:val="000A3496"/>
    <w:rsid w:val="000A3744"/>
    <w:rsid w:val="000A3A7E"/>
    <w:rsid w:val="000A3B00"/>
    <w:rsid w:val="000A3B76"/>
    <w:rsid w:val="000A3E6F"/>
    <w:rsid w:val="000A3F23"/>
    <w:rsid w:val="000A480F"/>
    <w:rsid w:val="000A4934"/>
    <w:rsid w:val="000A4DB0"/>
    <w:rsid w:val="000A505D"/>
    <w:rsid w:val="000A53DD"/>
    <w:rsid w:val="000A5475"/>
    <w:rsid w:val="000A54C6"/>
    <w:rsid w:val="000A55F2"/>
    <w:rsid w:val="000A5965"/>
    <w:rsid w:val="000A59B2"/>
    <w:rsid w:val="000A59F0"/>
    <w:rsid w:val="000A5A90"/>
    <w:rsid w:val="000A5CF2"/>
    <w:rsid w:val="000A5E25"/>
    <w:rsid w:val="000A5FFA"/>
    <w:rsid w:val="000A62AF"/>
    <w:rsid w:val="000A658F"/>
    <w:rsid w:val="000A65F9"/>
    <w:rsid w:val="000A66A8"/>
    <w:rsid w:val="000A67B3"/>
    <w:rsid w:val="000A6CD2"/>
    <w:rsid w:val="000A6D1C"/>
    <w:rsid w:val="000A6F08"/>
    <w:rsid w:val="000A6F69"/>
    <w:rsid w:val="000A746A"/>
    <w:rsid w:val="000A7886"/>
    <w:rsid w:val="000A78D6"/>
    <w:rsid w:val="000A7C79"/>
    <w:rsid w:val="000B0148"/>
    <w:rsid w:val="000B0265"/>
    <w:rsid w:val="000B030B"/>
    <w:rsid w:val="000B032E"/>
    <w:rsid w:val="000B0411"/>
    <w:rsid w:val="000B0609"/>
    <w:rsid w:val="000B0630"/>
    <w:rsid w:val="000B0894"/>
    <w:rsid w:val="000B0957"/>
    <w:rsid w:val="000B0A24"/>
    <w:rsid w:val="000B0AD9"/>
    <w:rsid w:val="000B0F19"/>
    <w:rsid w:val="000B14BE"/>
    <w:rsid w:val="000B1AD1"/>
    <w:rsid w:val="000B1B89"/>
    <w:rsid w:val="000B2020"/>
    <w:rsid w:val="000B21FC"/>
    <w:rsid w:val="000B2222"/>
    <w:rsid w:val="000B2429"/>
    <w:rsid w:val="000B2598"/>
    <w:rsid w:val="000B26DD"/>
    <w:rsid w:val="000B2C86"/>
    <w:rsid w:val="000B2CA4"/>
    <w:rsid w:val="000B2D0B"/>
    <w:rsid w:val="000B316D"/>
    <w:rsid w:val="000B3252"/>
    <w:rsid w:val="000B3625"/>
    <w:rsid w:val="000B3834"/>
    <w:rsid w:val="000B3909"/>
    <w:rsid w:val="000B3D62"/>
    <w:rsid w:val="000B3F30"/>
    <w:rsid w:val="000B4067"/>
    <w:rsid w:val="000B472C"/>
    <w:rsid w:val="000B47FD"/>
    <w:rsid w:val="000B4C00"/>
    <w:rsid w:val="000B576D"/>
    <w:rsid w:val="000B57E6"/>
    <w:rsid w:val="000B5829"/>
    <w:rsid w:val="000B59F6"/>
    <w:rsid w:val="000B5AEE"/>
    <w:rsid w:val="000B5E47"/>
    <w:rsid w:val="000B6514"/>
    <w:rsid w:val="000B656F"/>
    <w:rsid w:val="000B66D4"/>
    <w:rsid w:val="000B6ACA"/>
    <w:rsid w:val="000B7103"/>
    <w:rsid w:val="000B71C2"/>
    <w:rsid w:val="000B71FF"/>
    <w:rsid w:val="000B738B"/>
    <w:rsid w:val="000B73AE"/>
    <w:rsid w:val="000B73B7"/>
    <w:rsid w:val="000B750B"/>
    <w:rsid w:val="000B7685"/>
    <w:rsid w:val="000B7750"/>
    <w:rsid w:val="000B77B8"/>
    <w:rsid w:val="000B789C"/>
    <w:rsid w:val="000B7AB4"/>
    <w:rsid w:val="000B7ACD"/>
    <w:rsid w:val="000B7CFA"/>
    <w:rsid w:val="000C0259"/>
    <w:rsid w:val="000C0599"/>
    <w:rsid w:val="000C0736"/>
    <w:rsid w:val="000C0760"/>
    <w:rsid w:val="000C099A"/>
    <w:rsid w:val="000C0B65"/>
    <w:rsid w:val="000C0D02"/>
    <w:rsid w:val="000C0E61"/>
    <w:rsid w:val="000C115B"/>
    <w:rsid w:val="000C1746"/>
    <w:rsid w:val="000C1AF9"/>
    <w:rsid w:val="000C220C"/>
    <w:rsid w:val="000C230C"/>
    <w:rsid w:val="000C2442"/>
    <w:rsid w:val="000C287C"/>
    <w:rsid w:val="000C2A6F"/>
    <w:rsid w:val="000C2D92"/>
    <w:rsid w:val="000C2EA4"/>
    <w:rsid w:val="000C2EDE"/>
    <w:rsid w:val="000C2F84"/>
    <w:rsid w:val="000C3102"/>
    <w:rsid w:val="000C328C"/>
    <w:rsid w:val="000C33F1"/>
    <w:rsid w:val="000C35FE"/>
    <w:rsid w:val="000C39BB"/>
    <w:rsid w:val="000C3B9D"/>
    <w:rsid w:val="000C3CAA"/>
    <w:rsid w:val="000C3D46"/>
    <w:rsid w:val="000C3DD3"/>
    <w:rsid w:val="000C3FE8"/>
    <w:rsid w:val="000C41C5"/>
    <w:rsid w:val="000C442E"/>
    <w:rsid w:val="000C453F"/>
    <w:rsid w:val="000C46BE"/>
    <w:rsid w:val="000C4703"/>
    <w:rsid w:val="000C48D0"/>
    <w:rsid w:val="000C4A14"/>
    <w:rsid w:val="000C4A78"/>
    <w:rsid w:val="000C4CAD"/>
    <w:rsid w:val="000C4E85"/>
    <w:rsid w:val="000C5259"/>
    <w:rsid w:val="000C550D"/>
    <w:rsid w:val="000C564E"/>
    <w:rsid w:val="000C5C67"/>
    <w:rsid w:val="000C5E9A"/>
    <w:rsid w:val="000C6004"/>
    <w:rsid w:val="000C6414"/>
    <w:rsid w:val="000C65CD"/>
    <w:rsid w:val="000C65DF"/>
    <w:rsid w:val="000C683E"/>
    <w:rsid w:val="000C69E3"/>
    <w:rsid w:val="000C6D28"/>
    <w:rsid w:val="000C6E30"/>
    <w:rsid w:val="000C70F3"/>
    <w:rsid w:val="000C7298"/>
    <w:rsid w:val="000C7353"/>
    <w:rsid w:val="000C7729"/>
    <w:rsid w:val="000C7785"/>
    <w:rsid w:val="000C77B4"/>
    <w:rsid w:val="000C7A4B"/>
    <w:rsid w:val="000D00AF"/>
    <w:rsid w:val="000D00DE"/>
    <w:rsid w:val="000D011F"/>
    <w:rsid w:val="000D0126"/>
    <w:rsid w:val="000D08C7"/>
    <w:rsid w:val="000D0984"/>
    <w:rsid w:val="000D0A3A"/>
    <w:rsid w:val="000D0CD8"/>
    <w:rsid w:val="000D0F63"/>
    <w:rsid w:val="000D1217"/>
    <w:rsid w:val="000D150A"/>
    <w:rsid w:val="000D170A"/>
    <w:rsid w:val="000D18C9"/>
    <w:rsid w:val="000D1A74"/>
    <w:rsid w:val="000D1ABA"/>
    <w:rsid w:val="000D1E77"/>
    <w:rsid w:val="000D205E"/>
    <w:rsid w:val="000D20D5"/>
    <w:rsid w:val="000D219F"/>
    <w:rsid w:val="000D2256"/>
    <w:rsid w:val="000D242B"/>
    <w:rsid w:val="000D24F6"/>
    <w:rsid w:val="000D27C5"/>
    <w:rsid w:val="000D326F"/>
    <w:rsid w:val="000D34C3"/>
    <w:rsid w:val="000D350C"/>
    <w:rsid w:val="000D35C8"/>
    <w:rsid w:val="000D37B9"/>
    <w:rsid w:val="000D3849"/>
    <w:rsid w:val="000D3916"/>
    <w:rsid w:val="000D3A30"/>
    <w:rsid w:val="000D3C4C"/>
    <w:rsid w:val="000D3CB1"/>
    <w:rsid w:val="000D3D63"/>
    <w:rsid w:val="000D40F5"/>
    <w:rsid w:val="000D4344"/>
    <w:rsid w:val="000D43D2"/>
    <w:rsid w:val="000D45DF"/>
    <w:rsid w:val="000D48D7"/>
    <w:rsid w:val="000D4A4A"/>
    <w:rsid w:val="000D4B04"/>
    <w:rsid w:val="000D4E90"/>
    <w:rsid w:val="000D50D0"/>
    <w:rsid w:val="000D53F9"/>
    <w:rsid w:val="000D5407"/>
    <w:rsid w:val="000D542B"/>
    <w:rsid w:val="000D5455"/>
    <w:rsid w:val="000D57F5"/>
    <w:rsid w:val="000D5904"/>
    <w:rsid w:val="000D5ACD"/>
    <w:rsid w:val="000D5B18"/>
    <w:rsid w:val="000D5D8D"/>
    <w:rsid w:val="000D6147"/>
    <w:rsid w:val="000D6148"/>
    <w:rsid w:val="000D625A"/>
    <w:rsid w:val="000D626F"/>
    <w:rsid w:val="000D62AE"/>
    <w:rsid w:val="000D672E"/>
    <w:rsid w:val="000D683B"/>
    <w:rsid w:val="000D6B23"/>
    <w:rsid w:val="000D6B7F"/>
    <w:rsid w:val="000D6F85"/>
    <w:rsid w:val="000D73CA"/>
    <w:rsid w:val="000D74D8"/>
    <w:rsid w:val="000D7931"/>
    <w:rsid w:val="000D7997"/>
    <w:rsid w:val="000D7C3A"/>
    <w:rsid w:val="000D7F3A"/>
    <w:rsid w:val="000E01A0"/>
    <w:rsid w:val="000E0265"/>
    <w:rsid w:val="000E0634"/>
    <w:rsid w:val="000E0711"/>
    <w:rsid w:val="000E07D8"/>
    <w:rsid w:val="000E0806"/>
    <w:rsid w:val="000E08AB"/>
    <w:rsid w:val="000E0B69"/>
    <w:rsid w:val="000E109E"/>
    <w:rsid w:val="000E12E5"/>
    <w:rsid w:val="000E149F"/>
    <w:rsid w:val="000E155F"/>
    <w:rsid w:val="000E1AF6"/>
    <w:rsid w:val="000E1B95"/>
    <w:rsid w:val="000E1D1E"/>
    <w:rsid w:val="000E2054"/>
    <w:rsid w:val="000E23B0"/>
    <w:rsid w:val="000E24E6"/>
    <w:rsid w:val="000E2C53"/>
    <w:rsid w:val="000E2CF8"/>
    <w:rsid w:val="000E2E8E"/>
    <w:rsid w:val="000E3330"/>
    <w:rsid w:val="000E34D1"/>
    <w:rsid w:val="000E355D"/>
    <w:rsid w:val="000E389B"/>
    <w:rsid w:val="000E38B9"/>
    <w:rsid w:val="000E3C00"/>
    <w:rsid w:val="000E3CB0"/>
    <w:rsid w:val="000E3D42"/>
    <w:rsid w:val="000E4098"/>
    <w:rsid w:val="000E4475"/>
    <w:rsid w:val="000E44BB"/>
    <w:rsid w:val="000E476F"/>
    <w:rsid w:val="000E4804"/>
    <w:rsid w:val="000E4A5D"/>
    <w:rsid w:val="000E4B03"/>
    <w:rsid w:val="000E4BF1"/>
    <w:rsid w:val="000E4D3F"/>
    <w:rsid w:val="000E50B8"/>
    <w:rsid w:val="000E51DC"/>
    <w:rsid w:val="000E52DF"/>
    <w:rsid w:val="000E52FA"/>
    <w:rsid w:val="000E5884"/>
    <w:rsid w:val="000E5931"/>
    <w:rsid w:val="000E5A69"/>
    <w:rsid w:val="000E5BCF"/>
    <w:rsid w:val="000E6015"/>
    <w:rsid w:val="000E6092"/>
    <w:rsid w:val="000E6159"/>
    <w:rsid w:val="000E6174"/>
    <w:rsid w:val="000E666B"/>
    <w:rsid w:val="000E66D7"/>
    <w:rsid w:val="000E6812"/>
    <w:rsid w:val="000E6B46"/>
    <w:rsid w:val="000E6E04"/>
    <w:rsid w:val="000E6F92"/>
    <w:rsid w:val="000E71BD"/>
    <w:rsid w:val="000E733C"/>
    <w:rsid w:val="000E73B7"/>
    <w:rsid w:val="000E779F"/>
    <w:rsid w:val="000E79E7"/>
    <w:rsid w:val="000E7A91"/>
    <w:rsid w:val="000E7B01"/>
    <w:rsid w:val="000E7F76"/>
    <w:rsid w:val="000F02E7"/>
    <w:rsid w:val="000F0389"/>
    <w:rsid w:val="000F0420"/>
    <w:rsid w:val="000F0FA9"/>
    <w:rsid w:val="000F1012"/>
    <w:rsid w:val="000F10FB"/>
    <w:rsid w:val="000F120F"/>
    <w:rsid w:val="000F160D"/>
    <w:rsid w:val="000F161B"/>
    <w:rsid w:val="000F167C"/>
    <w:rsid w:val="000F185C"/>
    <w:rsid w:val="000F1A10"/>
    <w:rsid w:val="000F1B16"/>
    <w:rsid w:val="000F1DD7"/>
    <w:rsid w:val="000F2069"/>
    <w:rsid w:val="000F234D"/>
    <w:rsid w:val="000F2353"/>
    <w:rsid w:val="000F238F"/>
    <w:rsid w:val="000F2A11"/>
    <w:rsid w:val="000F2AB4"/>
    <w:rsid w:val="000F2C12"/>
    <w:rsid w:val="000F2DC9"/>
    <w:rsid w:val="000F325F"/>
    <w:rsid w:val="000F33D4"/>
    <w:rsid w:val="000F33E2"/>
    <w:rsid w:val="000F33EA"/>
    <w:rsid w:val="000F3410"/>
    <w:rsid w:val="000F346B"/>
    <w:rsid w:val="000F3512"/>
    <w:rsid w:val="000F35CB"/>
    <w:rsid w:val="000F373A"/>
    <w:rsid w:val="000F37C7"/>
    <w:rsid w:val="000F3C97"/>
    <w:rsid w:val="000F3E95"/>
    <w:rsid w:val="000F412A"/>
    <w:rsid w:val="000F44DC"/>
    <w:rsid w:val="000F4533"/>
    <w:rsid w:val="000F481B"/>
    <w:rsid w:val="000F48A2"/>
    <w:rsid w:val="000F4C68"/>
    <w:rsid w:val="000F4CB2"/>
    <w:rsid w:val="000F4CD7"/>
    <w:rsid w:val="000F4EE4"/>
    <w:rsid w:val="000F509B"/>
    <w:rsid w:val="000F5368"/>
    <w:rsid w:val="000F5430"/>
    <w:rsid w:val="000F5573"/>
    <w:rsid w:val="000F5727"/>
    <w:rsid w:val="000F5921"/>
    <w:rsid w:val="000F59BD"/>
    <w:rsid w:val="000F5B10"/>
    <w:rsid w:val="000F5B2B"/>
    <w:rsid w:val="000F5DFB"/>
    <w:rsid w:val="000F6052"/>
    <w:rsid w:val="000F619A"/>
    <w:rsid w:val="000F62EE"/>
    <w:rsid w:val="000F63D8"/>
    <w:rsid w:val="000F6447"/>
    <w:rsid w:val="000F6463"/>
    <w:rsid w:val="000F680D"/>
    <w:rsid w:val="000F6B41"/>
    <w:rsid w:val="000F6B97"/>
    <w:rsid w:val="000F6EF4"/>
    <w:rsid w:val="000F7076"/>
    <w:rsid w:val="000F735E"/>
    <w:rsid w:val="000F7765"/>
    <w:rsid w:val="000F7806"/>
    <w:rsid w:val="000F7861"/>
    <w:rsid w:val="000F7AC6"/>
    <w:rsid w:val="000F7F35"/>
    <w:rsid w:val="000F7FAC"/>
    <w:rsid w:val="00100294"/>
    <w:rsid w:val="0010053C"/>
    <w:rsid w:val="00100545"/>
    <w:rsid w:val="0010098B"/>
    <w:rsid w:val="00100ABF"/>
    <w:rsid w:val="00101215"/>
    <w:rsid w:val="001015A0"/>
    <w:rsid w:val="001015B5"/>
    <w:rsid w:val="00101769"/>
    <w:rsid w:val="00101782"/>
    <w:rsid w:val="00101858"/>
    <w:rsid w:val="00101880"/>
    <w:rsid w:val="00101A97"/>
    <w:rsid w:val="00101CD5"/>
    <w:rsid w:val="00101D43"/>
    <w:rsid w:val="00101D85"/>
    <w:rsid w:val="00101FE4"/>
    <w:rsid w:val="001022CD"/>
    <w:rsid w:val="001022E2"/>
    <w:rsid w:val="00102328"/>
    <w:rsid w:val="001023A1"/>
    <w:rsid w:val="00102912"/>
    <w:rsid w:val="00102968"/>
    <w:rsid w:val="001029A6"/>
    <w:rsid w:val="00102CF3"/>
    <w:rsid w:val="00102E6C"/>
    <w:rsid w:val="00102E90"/>
    <w:rsid w:val="0010315C"/>
    <w:rsid w:val="001034B3"/>
    <w:rsid w:val="001034EC"/>
    <w:rsid w:val="00103A58"/>
    <w:rsid w:val="00103A7B"/>
    <w:rsid w:val="00103B15"/>
    <w:rsid w:val="00103F45"/>
    <w:rsid w:val="00104425"/>
    <w:rsid w:val="00104BDA"/>
    <w:rsid w:val="00104D14"/>
    <w:rsid w:val="00104E16"/>
    <w:rsid w:val="00104EF7"/>
    <w:rsid w:val="00104F01"/>
    <w:rsid w:val="00104FE7"/>
    <w:rsid w:val="001051E9"/>
    <w:rsid w:val="00105452"/>
    <w:rsid w:val="00105534"/>
    <w:rsid w:val="001055A0"/>
    <w:rsid w:val="0010603D"/>
    <w:rsid w:val="001060F3"/>
    <w:rsid w:val="001061AD"/>
    <w:rsid w:val="00106582"/>
    <w:rsid w:val="001070DF"/>
    <w:rsid w:val="00107100"/>
    <w:rsid w:val="001071BB"/>
    <w:rsid w:val="001075D2"/>
    <w:rsid w:val="00107705"/>
    <w:rsid w:val="0010770C"/>
    <w:rsid w:val="001079F3"/>
    <w:rsid w:val="00107A37"/>
    <w:rsid w:val="00107AE4"/>
    <w:rsid w:val="00107CBF"/>
    <w:rsid w:val="00107D76"/>
    <w:rsid w:val="00107E40"/>
    <w:rsid w:val="00110010"/>
    <w:rsid w:val="001100DE"/>
    <w:rsid w:val="00110175"/>
    <w:rsid w:val="001101C7"/>
    <w:rsid w:val="00110207"/>
    <w:rsid w:val="00110267"/>
    <w:rsid w:val="0011028C"/>
    <w:rsid w:val="001105E2"/>
    <w:rsid w:val="001106A1"/>
    <w:rsid w:val="001106C5"/>
    <w:rsid w:val="00110950"/>
    <w:rsid w:val="00110A63"/>
    <w:rsid w:val="00110FF9"/>
    <w:rsid w:val="001112ED"/>
    <w:rsid w:val="0011137E"/>
    <w:rsid w:val="00111960"/>
    <w:rsid w:val="00111B37"/>
    <w:rsid w:val="00111BFC"/>
    <w:rsid w:val="00111E9D"/>
    <w:rsid w:val="00111EEB"/>
    <w:rsid w:val="00111FE8"/>
    <w:rsid w:val="001121A6"/>
    <w:rsid w:val="0011222B"/>
    <w:rsid w:val="001122BC"/>
    <w:rsid w:val="001128F3"/>
    <w:rsid w:val="0011292D"/>
    <w:rsid w:val="00112959"/>
    <w:rsid w:val="00112968"/>
    <w:rsid w:val="00112D5C"/>
    <w:rsid w:val="00112E68"/>
    <w:rsid w:val="00112E7F"/>
    <w:rsid w:val="001130D2"/>
    <w:rsid w:val="001130D7"/>
    <w:rsid w:val="001137A8"/>
    <w:rsid w:val="00113972"/>
    <w:rsid w:val="001139B4"/>
    <w:rsid w:val="00113C5E"/>
    <w:rsid w:val="00113D3C"/>
    <w:rsid w:val="00113DF8"/>
    <w:rsid w:val="00113E87"/>
    <w:rsid w:val="00114156"/>
    <w:rsid w:val="00114315"/>
    <w:rsid w:val="00114359"/>
    <w:rsid w:val="001146D4"/>
    <w:rsid w:val="0011491C"/>
    <w:rsid w:val="00114C31"/>
    <w:rsid w:val="00115028"/>
    <w:rsid w:val="00115403"/>
    <w:rsid w:val="001154C1"/>
    <w:rsid w:val="00115637"/>
    <w:rsid w:val="00115CF6"/>
    <w:rsid w:val="00115D13"/>
    <w:rsid w:val="00115DF6"/>
    <w:rsid w:val="001162CB"/>
    <w:rsid w:val="00116336"/>
    <w:rsid w:val="0011640C"/>
    <w:rsid w:val="0011649A"/>
    <w:rsid w:val="001165E7"/>
    <w:rsid w:val="00116640"/>
    <w:rsid w:val="0011676F"/>
    <w:rsid w:val="00116879"/>
    <w:rsid w:val="00116A08"/>
    <w:rsid w:val="00116BAE"/>
    <w:rsid w:val="00116F74"/>
    <w:rsid w:val="00117047"/>
    <w:rsid w:val="0011731C"/>
    <w:rsid w:val="001174DF"/>
    <w:rsid w:val="001174E6"/>
    <w:rsid w:val="001176D9"/>
    <w:rsid w:val="00117747"/>
    <w:rsid w:val="00117A61"/>
    <w:rsid w:val="00117C26"/>
    <w:rsid w:val="00117E50"/>
    <w:rsid w:val="0012002A"/>
    <w:rsid w:val="00120182"/>
    <w:rsid w:val="001203DD"/>
    <w:rsid w:val="00120472"/>
    <w:rsid w:val="00120831"/>
    <w:rsid w:val="00120856"/>
    <w:rsid w:val="0012096D"/>
    <w:rsid w:val="00120A41"/>
    <w:rsid w:val="00120A96"/>
    <w:rsid w:val="00120CFC"/>
    <w:rsid w:val="00120E89"/>
    <w:rsid w:val="00120EBD"/>
    <w:rsid w:val="00120F9A"/>
    <w:rsid w:val="0012160F"/>
    <w:rsid w:val="0012170B"/>
    <w:rsid w:val="001219CC"/>
    <w:rsid w:val="00121A00"/>
    <w:rsid w:val="001225C0"/>
    <w:rsid w:val="001226A3"/>
    <w:rsid w:val="001227C8"/>
    <w:rsid w:val="001227E5"/>
    <w:rsid w:val="00122811"/>
    <w:rsid w:val="00122BD5"/>
    <w:rsid w:val="00122CEE"/>
    <w:rsid w:val="00122D1C"/>
    <w:rsid w:val="00122EE2"/>
    <w:rsid w:val="00122FD8"/>
    <w:rsid w:val="001232CE"/>
    <w:rsid w:val="001233C4"/>
    <w:rsid w:val="001233E6"/>
    <w:rsid w:val="0012346D"/>
    <w:rsid w:val="001235E2"/>
    <w:rsid w:val="00123A5D"/>
    <w:rsid w:val="0012404F"/>
    <w:rsid w:val="0012413D"/>
    <w:rsid w:val="001241E1"/>
    <w:rsid w:val="00124358"/>
    <w:rsid w:val="001245CB"/>
    <w:rsid w:val="001248B3"/>
    <w:rsid w:val="001249F1"/>
    <w:rsid w:val="00124D5F"/>
    <w:rsid w:val="0012502F"/>
    <w:rsid w:val="0012539D"/>
    <w:rsid w:val="00125E47"/>
    <w:rsid w:val="00125F06"/>
    <w:rsid w:val="001261F9"/>
    <w:rsid w:val="00126209"/>
    <w:rsid w:val="00126730"/>
    <w:rsid w:val="00126BD1"/>
    <w:rsid w:val="00126D6D"/>
    <w:rsid w:val="0012703A"/>
    <w:rsid w:val="00127214"/>
    <w:rsid w:val="0012740C"/>
    <w:rsid w:val="00127613"/>
    <w:rsid w:val="00127970"/>
    <w:rsid w:val="00127990"/>
    <w:rsid w:val="00127A94"/>
    <w:rsid w:val="001303EC"/>
    <w:rsid w:val="00130433"/>
    <w:rsid w:val="001304A8"/>
    <w:rsid w:val="00130501"/>
    <w:rsid w:val="00130AFA"/>
    <w:rsid w:val="00130C74"/>
    <w:rsid w:val="00130D77"/>
    <w:rsid w:val="001312B6"/>
    <w:rsid w:val="001314D9"/>
    <w:rsid w:val="00131581"/>
    <w:rsid w:val="0013171B"/>
    <w:rsid w:val="001319BF"/>
    <w:rsid w:val="001319E5"/>
    <w:rsid w:val="00131E39"/>
    <w:rsid w:val="00131E70"/>
    <w:rsid w:val="0013231D"/>
    <w:rsid w:val="00132C62"/>
    <w:rsid w:val="00132C92"/>
    <w:rsid w:val="00132D52"/>
    <w:rsid w:val="00132E61"/>
    <w:rsid w:val="00133144"/>
    <w:rsid w:val="00133547"/>
    <w:rsid w:val="0013357C"/>
    <w:rsid w:val="00133698"/>
    <w:rsid w:val="001336EB"/>
    <w:rsid w:val="0013374F"/>
    <w:rsid w:val="00133D29"/>
    <w:rsid w:val="00133D55"/>
    <w:rsid w:val="00133E7B"/>
    <w:rsid w:val="00133EB3"/>
    <w:rsid w:val="00133F1E"/>
    <w:rsid w:val="0013483A"/>
    <w:rsid w:val="00134A76"/>
    <w:rsid w:val="00134C46"/>
    <w:rsid w:val="00134C82"/>
    <w:rsid w:val="00134CBF"/>
    <w:rsid w:val="00134DB6"/>
    <w:rsid w:val="001351A2"/>
    <w:rsid w:val="001358B7"/>
    <w:rsid w:val="00135CB6"/>
    <w:rsid w:val="001364B6"/>
    <w:rsid w:val="00136587"/>
    <w:rsid w:val="001366FA"/>
    <w:rsid w:val="0013685A"/>
    <w:rsid w:val="00136BD1"/>
    <w:rsid w:val="00136E72"/>
    <w:rsid w:val="00136E8D"/>
    <w:rsid w:val="00136EEA"/>
    <w:rsid w:val="001372C0"/>
    <w:rsid w:val="00137974"/>
    <w:rsid w:val="00137A4A"/>
    <w:rsid w:val="00137B23"/>
    <w:rsid w:val="00137C0F"/>
    <w:rsid w:val="00137E27"/>
    <w:rsid w:val="00137FA7"/>
    <w:rsid w:val="00140146"/>
    <w:rsid w:val="001402B5"/>
    <w:rsid w:val="0014056B"/>
    <w:rsid w:val="0014059C"/>
    <w:rsid w:val="001406E9"/>
    <w:rsid w:val="0014084A"/>
    <w:rsid w:val="00140B0C"/>
    <w:rsid w:val="00140B4E"/>
    <w:rsid w:val="00140DC8"/>
    <w:rsid w:val="00140E33"/>
    <w:rsid w:val="00141092"/>
    <w:rsid w:val="00141162"/>
    <w:rsid w:val="00141447"/>
    <w:rsid w:val="00141636"/>
    <w:rsid w:val="00141D95"/>
    <w:rsid w:val="00141E85"/>
    <w:rsid w:val="00141FDB"/>
    <w:rsid w:val="0014268E"/>
    <w:rsid w:val="001426DC"/>
    <w:rsid w:val="00142912"/>
    <w:rsid w:val="0014298B"/>
    <w:rsid w:val="00142AA2"/>
    <w:rsid w:val="00142BD5"/>
    <w:rsid w:val="00142F56"/>
    <w:rsid w:val="00142F78"/>
    <w:rsid w:val="00143455"/>
    <w:rsid w:val="0014366F"/>
    <w:rsid w:val="0014373B"/>
    <w:rsid w:val="001438D2"/>
    <w:rsid w:val="00143B59"/>
    <w:rsid w:val="00143CC0"/>
    <w:rsid w:val="00143FE7"/>
    <w:rsid w:val="0014485F"/>
    <w:rsid w:val="001448F7"/>
    <w:rsid w:val="0014496C"/>
    <w:rsid w:val="00144AC4"/>
    <w:rsid w:val="00144BF1"/>
    <w:rsid w:val="00145031"/>
    <w:rsid w:val="00145497"/>
    <w:rsid w:val="0014556C"/>
    <w:rsid w:val="001458DF"/>
    <w:rsid w:val="00145C16"/>
    <w:rsid w:val="00145FDF"/>
    <w:rsid w:val="001461DA"/>
    <w:rsid w:val="00146290"/>
    <w:rsid w:val="001462B2"/>
    <w:rsid w:val="00146395"/>
    <w:rsid w:val="0014671B"/>
    <w:rsid w:val="00146A28"/>
    <w:rsid w:val="00146B17"/>
    <w:rsid w:val="00146C68"/>
    <w:rsid w:val="0014712E"/>
    <w:rsid w:val="00147297"/>
    <w:rsid w:val="001474A3"/>
    <w:rsid w:val="00147771"/>
    <w:rsid w:val="001477F8"/>
    <w:rsid w:val="001478A5"/>
    <w:rsid w:val="0014793F"/>
    <w:rsid w:val="00147AA7"/>
    <w:rsid w:val="00147D1B"/>
    <w:rsid w:val="00147E66"/>
    <w:rsid w:val="00147EEF"/>
    <w:rsid w:val="0015005D"/>
    <w:rsid w:val="001505DA"/>
    <w:rsid w:val="00150656"/>
    <w:rsid w:val="00150A5F"/>
    <w:rsid w:val="00150CB1"/>
    <w:rsid w:val="00151046"/>
    <w:rsid w:val="00151394"/>
    <w:rsid w:val="001515DC"/>
    <w:rsid w:val="0015168B"/>
    <w:rsid w:val="0015173A"/>
    <w:rsid w:val="00151746"/>
    <w:rsid w:val="00151911"/>
    <w:rsid w:val="00151A8B"/>
    <w:rsid w:val="00151B2E"/>
    <w:rsid w:val="00151B58"/>
    <w:rsid w:val="00151BF3"/>
    <w:rsid w:val="00151D35"/>
    <w:rsid w:val="00151E10"/>
    <w:rsid w:val="00151F5B"/>
    <w:rsid w:val="00151FCF"/>
    <w:rsid w:val="00152134"/>
    <w:rsid w:val="00152531"/>
    <w:rsid w:val="00152679"/>
    <w:rsid w:val="00152716"/>
    <w:rsid w:val="0015299E"/>
    <w:rsid w:val="00152B45"/>
    <w:rsid w:val="00152C88"/>
    <w:rsid w:val="00152F3B"/>
    <w:rsid w:val="00152FA0"/>
    <w:rsid w:val="0015318B"/>
    <w:rsid w:val="001532E4"/>
    <w:rsid w:val="0015346D"/>
    <w:rsid w:val="00153495"/>
    <w:rsid w:val="00153A1A"/>
    <w:rsid w:val="00153C19"/>
    <w:rsid w:val="00154410"/>
    <w:rsid w:val="00154548"/>
    <w:rsid w:val="00154608"/>
    <w:rsid w:val="00154669"/>
    <w:rsid w:val="00154945"/>
    <w:rsid w:val="00154A76"/>
    <w:rsid w:val="00154AB0"/>
    <w:rsid w:val="00154C50"/>
    <w:rsid w:val="00154D21"/>
    <w:rsid w:val="00154E72"/>
    <w:rsid w:val="00154E8D"/>
    <w:rsid w:val="00154FC5"/>
    <w:rsid w:val="001550F6"/>
    <w:rsid w:val="001552BB"/>
    <w:rsid w:val="001554FE"/>
    <w:rsid w:val="001556A3"/>
    <w:rsid w:val="001558FD"/>
    <w:rsid w:val="0015596C"/>
    <w:rsid w:val="001559A6"/>
    <w:rsid w:val="00155BC5"/>
    <w:rsid w:val="00155DCE"/>
    <w:rsid w:val="00156180"/>
    <w:rsid w:val="001561DB"/>
    <w:rsid w:val="00156352"/>
    <w:rsid w:val="00156394"/>
    <w:rsid w:val="0015667F"/>
    <w:rsid w:val="001566A1"/>
    <w:rsid w:val="00156BFD"/>
    <w:rsid w:val="00156C09"/>
    <w:rsid w:val="0015714B"/>
    <w:rsid w:val="00157851"/>
    <w:rsid w:val="0015797F"/>
    <w:rsid w:val="0015798F"/>
    <w:rsid w:val="00157F1F"/>
    <w:rsid w:val="001604A3"/>
    <w:rsid w:val="0016051C"/>
    <w:rsid w:val="0016051D"/>
    <w:rsid w:val="0016058A"/>
    <w:rsid w:val="001606C0"/>
    <w:rsid w:val="001609D6"/>
    <w:rsid w:val="00160B16"/>
    <w:rsid w:val="00160CAD"/>
    <w:rsid w:val="00160E55"/>
    <w:rsid w:val="001613D2"/>
    <w:rsid w:val="001617A3"/>
    <w:rsid w:val="00161822"/>
    <w:rsid w:val="00161878"/>
    <w:rsid w:val="001619AF"/>
    <w:rsid w:val="00161A7A"/>
    <w:rsid w:val="00161B8B"/>
    <w:rsid w:val="00161D60"/>
    <w:rsid w:val="00161EFA"/>
    <w:rsid w:val="001626E1"/>
    <w:rsid w:val="001629B7"/>
    <w:rsid w:val="00162ED0"/>
    <w:rsid w:val="001631BC"/>
    <w:rsid w:val="0016372E"/>
    <w:rsid w:val="00163D68"/>
    <w:rsid w:val="00163F25"/>
    <w:rsid w:val="0016401E"/>
    <w:rsid w:val="001640C0"/>
    <w:rsid w:val="00164129"/>
    <w:rsid w:val="00164243"/>
    <w:rsid w:val="00164461"/>
    <w:rsid w:val="00164496"/>
    <w:rsid w:val="00164A9E"/>
    <w:rsid w:val="00164C86"/>
    <w:rsid w:val="00164D3F"/>
    <w:rsid w:val="00165068"/>
    <w:rsid w:val="001650BF"/>
    <w:rsid w:val="001653D3"/>
    <w:rsid w:val="00165423"/>
    <w:rsid w:val="00165594"/>
    <w:rsid w:val="00165621"/>
    <w:rsid w:val="00165694"/>
    <w:rsid w:val="00165698"/>
    <w:rsid w:val="00165AA6"/>
    <w:rsid w:val="00165F32"/>
    <w:rsid w:val="00165FAD"/>
    <w:rsid w:val="0016673A"/>
    <w:rsid w:val="00166D30"/>
    <w:rsid w:val="00166E5F"/>
    <w:rsid w:val="00167649"/>
    <w:rsid w:val="00167739"/>
    <w:rsid w:val="001677FC"/>
    <w:rsid w:val="00167930"/>
    <w:rsid w:val="00167AFB"/>
    <w:rsid w:val="00167D74"/>
    <w:rsid w:val="00167EC7"/>
    <w:rsid w:val="00167FC3"/>
    <w:rsid w:val="001702F3"/>
    <w:rsid w:val="001706BD"/>
    <w:rsid w:val="00170A30"/>
    <w:rsid w:val="00170D9C"/>
    <w:rsid w:val="00170F21"/>
    <w:rsid w:val="0017116F"/>
    <w:rsid w:val="001715D5"/>
    <w:rsid w:val="0017186D"/>
    <w:rsid w:val="00171A98"/>
    <w:rsid w:val="00171BFD"/>
    <w:rsid w:val="00171D5E"/>
    <w:rsid w:val="00171DBC"/>
    <w:rsid w:val="00171E0F"/>
    <w:rsid w:val="001724F8"/>
    <w:rsid w:val="00172756"/>
    <w:rsid w:val="00172DCD"/>
    <w:rsid w:val="001733C3"/>
    <w:rsid w:val="00173559"/>
    <w:rsid w:val="001735DE"/>
    <w:rsid w:val="0017392F"/>
    <w:rsid w:val="0017395F"/>
    <w:rsid w:val="00173B24"/>
    <w:rsid w:val="00173DF6"/>
    <w:rsid w:val="00173E5A"/>
    <w:rsid w:val="00173F60"/>
    <w:rsid w:val="0017401A"/>
    <w:rsid w:val="00174254"/>
    <w:rsid w:val="00174381"/>
    <w:rsid w:val="0017451F"/>
    <w:rsid w:val="00174547"/>
    <w:rsid w:val="001748E2"/>
    <w:rsid w:val="001749C7"/>
    <w:rsid w:val="00174C62"/>
    <w:rsid w:val="0017507B"/>
    <w:rsid w:val="00175169"/>
    <w:rsid w:val="001752FA"/>
    <w:rsid w:val="00175339"/>
    <w:rsid w:val="001755AD"/>
    <w:rsid w:val="001755FB"/>
    <w:rsid w:val="00175646"/>
    <w:rsid w:val="001756B6"/>
    <w:rsid w:val="0017578C"/>
    <w:rsid w:val="00175817"/>
    <w:rsid w:val="00175A58"/>
    <w:rsid w:val="00175AC5"/>
    <w:rsid w:val="00175B74"/>
    <w:rsid w:val="00175F51"/>
    <w:rsid w:val="001762E2"/>
    <w:rsid w:val="00176752"/>
    <w:rsid w:val="00176783"/>
    <w:rsid w:val="00176C71"/>
    <w:rsid w:val="00177247"/>
    <w:rsid w:val="0017761D"/>
    <w:rsid w:val="00177691"/>
    <w:rsid w:val="001777AC"/>
    <w:rsid w:val="00177857"/>
    <w:rsid w:val="00177BE7"/>
    <w:rsid w:val="00177E18"/>
    <w:rsid w:val="00177EF8"/>
    <w:rsid w:val="00177F7D"/>
    <w:rsid w:val="0018004D"/>
    <w:rsid w:val="00180063"/>
    <w:rsid w:val="001802D4"/>
    <w:rsid w:val="0018038C"/>
    <w:rsid w:val="001804C1"/>
    <w:rsid w:val="001806E3"/>
    <w:rsid w:val="0018189F"/>
    <w:rsid w:val="00181D77"/>
    <w:rsid w:val="001825EC"/>
    <w:rsid w:val="0018281B"/>
    <w:rsid w:val="00182921"/>
    <w:rsid w:val="001829C1"/>
    <w:rsid w:val="00182A9C"/>
    <w:rsid w:val="00182FDB"/>
    <w:rsid w:val="00183093"/>
    <w:rsid w:val="00183371"/>
    <w:rsid w:val="00183529"/>
    <w:rsid w:val="001835D9"/>
    <w:rsid w:val="00183C07"/>
    <w:rsid w:val="00183FF3"/>
    <w:rsid w:val="00184010"/>
    <w:rsid w:val="00184161"/>
    <w:rsid w:val="00184229"/>
    <w:rsid w:val="001842C8"/>
    <w:rsid w:val="0018444F"/>
    <w:rsid w:val="001847B4"/>
    <w:rsid w:val="0018491E"/>
    <w:rsid w:val="00184AF9"/>
    <w:rsid w:val="00184BEA"/>
    <w:rsid w:val="00184C19"/>
    <w:rsid w:val="001853E2"/>
    <w:rsid w:val="0018550A"/>
    <w:rsid w:val="001859A8"/>
    <w:rsid w:val="001859BF"/>
    <w:rsid w:val="00185ADF"/>
    <w:rsid w:val="00185B52"/>
    <w:rsid w:val="00185B73"/>
    <w:rsid w:val="00185CDF"/>
    <w:rsid w:val="00186273"/>
    <w:rsid w:val="00186780"/>
    <w:rsid w:val="001867EB"/>
    <w:rsid w:val="00186B48"/>
    <w:rsid w:val="00186FC6"/>
    <w:rsid w:val="00187011"/>
    <w:rsid w:val="001871B7"/>
    <w:rsid w:val="00187508"/>
    <w:rsid w:val="00187A44"/>
    <w:rsid w:val="00187B34"/>
    <w:rsid w:val="00187C5D"/>
    <w:rsid w:val="001900FF"/>
    <w:rsid w:val="001904C1"/>
    <w:rsid w:val="001905F4"/>
    <w:rsid w:val="00190EEF"/>
    <w:rsid w:val="00190FE3"/>
    <w:rsid w:val="0019108D"/>
    <w:rsid w:val="001915C4"/>
    <w:rsid w:val="00191B1D"/>
    <w:rsid w:val="00191B28"/>
    <w:rsid w:val="00191DC7"/>
    <w:rsid w:val="00191EB0"/>
    <w:rsid w:val="00191FAF"/>
    <w:rsid w:val="00192033"/>
    <w:rsid w:val="00192232"/>
    <w:rsid w:val="0019240C"/>
    <w:rsid w:val="00192686"/>
    <w:rsid w:val="00192794"/>
    <w:rsid w:val="00192912"/>
    <w:rsid w:val="00192ABE"/>
    <w:rsid w:val="00192AC0"/>
    <w:rsid w:val="00192B83"/>
    <w:rsid w:val="00192D5B"/>
    <w:rsid w:val="0019335D"/>
    <w:rsid w:val="00193605"/>
    <w:rsid w:val="001936EB"/>
    <w:rsid w:val="00193781"/>
    <w:rsid w:val="00193833"/>
    <w:rsid w:val="001939CA"/>
    <w:rsid w:val="00193B34"/>
    <w:rsid w:val="00193BAC"/>
    <w:rsid w:val="00193CD6"/>
    <w:rsid w:val="00193E0E"/>
    <w:rsid w:val="00193EBA"/>
    <w:rsid w:val="0019410B"/>
    <w:rsid w:val="00194283"/>
    <w:rsid w:val="00194308"/>
    <w:rsid w:val="0019430B"/>
    <w:rsid w:val="00194428"/>
    <w:rsid w:val="00194457"/>
    <w:rsid w:val="001946F4"/>
    <w:rsid w:val="0019542C"/>
    <w:rsid w:val="001956CF"/>
    <w:rsid w:val="001957BF"/>
    <w:rsid w:val="00195A10"/>
    <w:rsid w:val="00195C42"/>
    <w:rsid w:val="00195C82"/>
    <w:rsid w:val="00195D0D"/>
    <w:rsid w:val="00195D80"/>
    <w:rsid w:val="00195E59"/>
    <w:rsid w:val="0019621A"/>
    <w:rsid w:val="001964EE"/>
    <w:rsid w:val="00196514"/>
    <w:rsid w:val="00196707"/>
    <w:rsid w:val="00196C7C"/>
    <w:rsid w:val="00196F1C"/>
    <w:rsid w:val="00196F4B"/>
    <w:rsid w:val="00197217"/>
    <w:rsid w:val="00197320"/>
    <w:rsid w:val="00197330"/>
    <w:rsid w:val="00197760"/>
    <w:rsid w:val="0019799D"/>
    <w:rsid w:val="001979D9"/>
    <w:rsid w:val="00197A16"/>
    <w:rsid w:val="00197AD1"/>
    <w:rsid w:val="00197B1F"/>
    <w:rsid w:val="00197B33"/>
    <w:rsid w:val="00197CE1"/>
    <w:rsid w:val="00197E69"/>
    <w:rsid w:val="001A0560"/>
    <w:rsid w:val="001A05A2"/>
    <w:rsid w:val="001A09B1"/>
    <w:rsid w:val="001A0B0A"/>
    <w:rsid w:val="001A0B3E"/>
    <w:rsid w:val="001A117A"/>
    <w:rsid w:val="001A119C"/>
    <w:rsid w:val="001A1444"/>
    <w:rsid w:val="001A1494"/>
    <w:rsid w:val="001A14CF"/>
    <w:rsid w:val="001A15A2"/>
    <w:rsid w:val="001A1B99"/>
    <w:rsid w:val="001A1DA2"/>
    <w:rsid w:val="001A1DD0"/>
    <w:rsid w:val="001A20B9"/>
    <w:rsid w:val="001A215C"/>
    <w:rsid w:val="001A23D7"/>
    <w:rsid w:val="001A23F2"/>
    <w:rsid w:val="001A245B"/>
    <w:rsid w:val="001A2570"/>
    <w:rsid w:val="001A2591"/>
    <w:rsid w:val="001A2748"/>
    <w:rsid w:val="001A2BDD"/>
    <w:rsid w:val="001A2BEF"/>
    <w:rsid w:val="001A2CC7"/>
    <w:rsid w:val="001A2DF2"/>
    <w:rsid w:val="001A2E89"/>
    <w:rsid w:val="001A307A"/>
    <w:rsid w:val="001A3206"/>
    <w:rsid w:val="001A3426"/>
    <w:rsid w:val="001A3608"/>
    <w:rsid w:val="001A37E2"/>
    <w:rsid w:val="001A37E6"/>
    <w:rsid w:val="001A3805"/>
    <w:rsid w:val="001A3A7C"/>
    <w:rsid w:val="001A3A93"/>
    <w:rsid w:val="001A3C50"/>
    <w:rsid w:val="001A3D6A"/>
    <w:rsid w:val="001A3F41"/>
    <w:rsid w:val="001A4193"/>
    <w:rsid w:val="001A41E3"/>
    <w:rsid w:val="001A42FA"/>
    <w:rsid w:val="001A436C"/>
    <w:rsid w:val="001A463C"/>
    <w:rsid w:val="001A4759"/>
    <w:rsid w:val="001A478E"/>
    <w:rsid w:val="001A47A9"/>
    <w:rsid w:val="001A4955"/>
    <w:rsid w:val="001A498D"/>
    <w:rsid w:val="001A4AE6"/>
    <w:rsid w:val="001A4F52"/>
    <w:rsid w:val="001A5519"/>
    <w:rsid w:val="001A5536"/>
    <w:rsid w:val="001A565E"/>
    <w:rsid w:val="001A56F1"/>
    <w:rsid w:val="001A57A5"/>
    <w:rsid w:val="001A57DA"/>
    <w:rsid w:val="001A5A5D"/>
    <w:rsid w:val="001A5B8B"/>
    <w:rsid w:val="001A5DEC"/>
    <w:rsid w:val="001A5F70"/>
    <w:rsid w:val="001A5FC1"/>
    <w:rsid w:val="001A617C"/>
    <w:rsid w:val="001A61DB"/>
    <w:rsid w:val="001A6486"/>
    <w:rsid w:val="001A6675"/>
    <w:rsid w:val="001A673A"/>
    <w:rsid w:val="001A6ABF"/>
    <w:rsid w:val="001A6DB0"/>
    <w:rsid w:val="001A6EAF"/>
    <w:rsid w:val="001A729A"/>
    <w:rsid w:val="001A73C0"/>
    <w:rsid w:val="001A7970"/>
    <w:rsid w:val="001A7B54"/>
    <w:rsid w:val="001A7B7E"/>
    <w:rsid w:val="001A7E39"/>
    <w:rsid w:val="001A7EF3"/>
    <w:rsid w:val="001A7F99"/>
    <w:rsid w:val="001A7FD1"/>
    <w:rsid w:val="001B01C8"/>
    <w:rsid w:val="001B0275"/>
    <w:rsid w:val="001B0368"/>
    <w:rsid w:val="001B0432"/>
    <w:rsid w:val="001B04EB"/>
    <w:rsid w:val="001B0544"/>
    <w:rsid w:val="001B096F"/>
    <w:rsid w:val="001B0F52"/>
    <w:rsid w:val="001B134B"/>
    <w:rsid w:val="001B141A"/>
    <w:rsid w:val="001B163F"/>
    <w:rsid w:val="001B1FBE"/>
    <w:rsid w:val="001B2649"/>
    <w:rsid w:val="001B2929"/>
    <w:rsid w:val="001B2AC8"/>
    <w:rsid w:val="001B2B88"/>
    <w:rsid w:val="001B2BB9"/>
    <w:rsid w:val="001B2C92"/>
    <w:rsid w:val="001B2C99"/>
    <w:rsid w:val="001B2D5A"/>
    <w:rsid w:val="001B2FFB"/>
    <w:rsid w:val="001B3000"/>
    <w:rsid w:val="001B31C7"/>
    <w:rsid w:val="001B31E2"/>
    <w:rsid w:val="001B3499"/>
    <w:rsid w:val="001B35C6"/>
    <w:rsid w:val="001B35CB"/>
    <w:rsid w:val="001B370F"/>
    <w:rsid w:val="001B399E"/>
    <w:rsid w:val="001B3A7E"/>
    <w:rsid w:val="001B3D08"/>
    <w:rsid w:val="001B3FA5"/>
    <w:rsid w:val="001B406F"/>
    <w:rsid w:val="001B41CB"/>
    <w:rsid w:val="001B442D"/>
    <w:rsid w:val="001B447D"/>
    <w:rsid w:val="001B465D"/>
    <w:rsid w:val="001B4686"/>
    <w:rsid w:val="001B49C0"/>
    <w:rsid w:val="001B4AE8"/>
    <w:rsid w:val="001B4E23"/>
    <w:rsid w:val="001B4ECA"/>
    <w:rsid w:val="001B5126"/>
    <w:rsid w:val="001B5326"/>
    <w:rsid w:val="001B536A"/>
    <w:rsid w:val="001B59EF"/>
    <w:rsid w:val="001B5A03"/>
    <w:rsid w:val="001B5A30"/>
    <w:rsid w:val="001B5D33"/>
    <w:rsid w:val="001B5ECD"/>
    <w:rsid w:val="001B5FF9"/>
    <w:rsid w:val="001B6168"/>
    <w:rsid w:val="001B61D4"/>
    <w:rsid w:val="001B636E"/>
    <w:rsid w:val="001B63E1"/>
    <w:rsid w:val="001B6626"/>
    <w:rsid w:val="001B6A58"/>
    <w:rsid w:val="001B70E8"/>
    <w:rsid w:val="001B73F1"/>
    <w:rsid w:val="001B74E9"/>
    <w:rsid w:val="001B767B"/>
    <w:rsid w:val="001B77AD"/>
    <w:rsid w:val="001B797C"/>
    <w:rsid w:val="001B7B77"/>
    <w:rsid w:val="001B7C99"/>
    <w:rsid w:val="001B7C9B"/>
    <w:rsid w:val="001B7F01"/>
    <w:rsid w:val="001B7F12"/>
    <w:rsid w:val="001C00CF"/>
    <w:rsid w:val="001C0554"/>
    <w:rsid w:val="001C0706"/>
    <w:rsid w:val="001C09A2"/>
    <w:rsid w:val="001C0F6C"/>
    <w:rsid w:val="001C1537"/>
    <w:rsid w:val="001C15E5"/>
    <w:rsid w:val="001C17AD"/>
    <w:rsid w:val="001C19CB"/>
    <w:rsid w:val="001C19F7"/>
    <w:rsid w:val="001C1BBC"/>
    <w:rsid w:val="001C2301"/>
    <w:rsid w:val="001C233C"/>
    <w:rsid w:val="001C2365"/>
    <w:rsid w:val="001C2519"/>
    <w:rsid w:val="001C2576"/>
    <w:rsid w:val="001C2709"/>
    <w:rsid w:val="001C28FA"/>
    <w:rsid w:val="001C2AB6"/>
    <w:rsid w:val="001C2E6C"/>
    <w:rsid w:val="001C2EA0"/>
    <w:rsid w:val="001C2EC8"/>
    <w:rsid w:val="001C3883"/>
    <w:rsid w:val="001C3BD1"/>
    <w:rsid w:val="001C4AD2"/>
    <w:rsid w:val="001C4BCF"/>
    <w:rsid w:val="001C536C"/>
    <w:rsid w:val="001C5442"/>
    <w:rsid w:val="001C5703"/>
    <w:rsid w:val="001C596F"/>
    <w:rsid w:val="001C5B07"/>
    <w:rsid w:val="001C5CF9"/>
    <w:rsid w:val="001C5EC8"/>
    <w:rsid w:val="001C6257"/>
    <w:rsid w:val="001C63B6"/>
    <w:rsid w:val="001C6477"/>
    <w:rsid w:val="001C652A"/>
    <w:rsid w:val="001C6A6A"/>
    <w:rsid w:val="001C6AAF"/>
    <w:rsid w:val="001C6B86"/>
    <w:rsid w:val="001C6BD2"/>
    <w:rsid w:val="001C6C0C"/>
    <w:rsid w:val="001C6E81"/>
    <w:rsid w:val="001C6EA1"/>
    <w:rsid w:val="001C6FD9"/>
    <w:rsid w:val="001C71DC"/>
    <w:rsid w:val="001C71DD"/>
    <w:rsid w:val="001C71F7"/>
    <w:rsid w:val="001C751C"/>
    <w:rsid w:val="001C7563"/>
    <w:rsid w:val="001C7586"/>
    <w:rsid w:val="001C7654"/>
    <w:rsid w:val="001C76CF"/>
    <w:rsid w:val="001C7835"/>
    <w:rsid w:val="001C7915"/>
    <w:rsid w:val="001C7AB9"/>
    <w:rsid w:val="001C7E35"/>
    <w:rsid w:val="001C7E56"/>
    <w:rsid w:val="001D00A8"/>
    <w:rsid w:val="001D00FF"/>
    <w:rsid w:val="001D0471"/>
    <w:rsid w:val="001D05C5"/>
    <w:rsid w:val="001D088F"/>
    <w:rsid w:val="001D0BDD"/>
    <w:rsid w:val="001D0C10"/>
    <w:rsid w:val="001D0C94"/>
    <w:rsid w:val="001D10F2"/>
    <w:rsid w:val="001D1112"/>
    <w:rsid w:val="001D12AD"/>
    <w:rsid w:val="001D13B0"/>
    <w:rsid w:val="001D1442"/>
    <w:rsid w:val="001D149D"/>
    <w:rsid w:val="001D16C2"/>
    <w:rsid w:val="001D21CF"/>
    <w:rsid w:val="001D220A"/>
    <w:rsid w:val="001D2520"/>
    <w:rsid w:val="001D253D"/>
    <w:rsid w:val="001D26AF"/>
    <w:rsid w:val="001D2708"/>
    <w:rsid w:val="001D28A4"/>
    <w:rsid w:val="001D29F4"/>
    <w:rsid w:val="001D29FD"/>
    <w:rsid w:val="001D2AA6"/>
    <w:rsid w:val="001D3099"/>
    <w:rsid w:val="001D325F"/>
    <w:rsid w:val="001D37F6"/>
    <w:rsid w:val="001D3A76"/>
    <w:rsid w:val="001D3B4A"/>
    <w:rsid w:val="001D4120"/>
    <w:rsid w:val="001D415D"/>
    <w:rsid w:val="001D4349"/>
    <w:rsid w:val="001D4642"/>
    <w:rsid w:val="001D48E6"/>
    <w:rsid w:val="001D490F"/>
    <w:rsid w:val="001D4A5A"/>
    <w:rsid w:val="001D4E2C"/>
    <w:rsid w:val="001D4E76"/>
    <w:rsid w:val="001D4FCC"/>
    <w:rsid w:val="001D501F"/>
    <w:rsid w:val="001D5141"/>
    <w:rsid w:val="001D5532"/>
    <w:rsid w:val="001D5682"/>
    <w:rsid w:val="001D5765"/>
    <w:rsid w:val="001D597D"/>
    <w:rsid w:val="001D5993"/>
    <w:rsid w:val="001D5AFD"/>
    <w:rsid w:val="001D5D0B"/>
    <w:rsid w:val="001D5D19"/>
    <w:rsid w:val="001D5E85"/>
    <w:rsid w:val="001D5E8A"/>
    <w:rsid w:val="001D5EC1"/>
    <w:rsid w:val="001D640E"/>
    <w:rsid w:val="001D64E4"/>
    <w:rsid w:val="001D65B5"/>
    <w:rsid w:val="001D68B1"/>
    <w:rsid w:val="001D69E5"/>
    <w:rsid w:val="001D6BCF"/>
    <w:rsid w:val="001D6E0D"/>
    <w:rsid w:val="001D713C"/>
    <w:rsid w:val="001D7501"/>
    <w:rsid w:val="001D758E"/>
    <w:rsid w:val="001D7904"/>
    <w:rsid w:val="001D7A25"/>
    <w:rsid w:val="001D7D30"/>
    <w:rsid w:val="001E0114"/>
    <w:rsid w:val="001E01CA"/>
    <w:rsid w:val="001E0298"/>
    <w:rsid w:val="001E03E5"/>
    <w:rsid w:val="001E0855"/>
    <w:rsid w:val="001E08A6"/>
    <w:rsid w:val="001E0BBF"/>
    <w:rsid w:val="001E0C7C"/>
    <w:rsid w:val="001E1556"/>
    <w:rsid w:val="001E16A4"/>
    <w:rsid w:val="001E18B6"/>
    <w:rsid w:val="001E19F3"/>
    <w:rsid w:val="001E1A51"/>
    <w:rsid w:val="001E1A69"/>
    <w:rsid w:val="001E1B36"/>
    <w:rsid w:val="001E1C5E"/>
    <w:rsid w:val="001E1F15"/>
    <w:rsid w:val="001E2002"/>
    <w:rsid w:val="001E203D"/>
    <w:rsid w:val="001E21CE"/>
    <w:rsid w:val="001E22FD"/>
    <w:rsid w:val="001E24CB"/>
    <w:rsid w:val="001E25CF"/>
    <w:rsid w:val="001E2803"/>
    <w:rsid w:val="001E29B3"/>
    <w:rsid w:val="001E2A76"/>
    <w:rsid w:val="001E2AAB"/>
    <w:rsid w:val="001E2F92"/>
    <w:rsid w:val="001E3286"/>
    <w:rsid w:val="001E3322"/>
    <w:rsid w:val="001E3735"/>
    <w:rsid w:val="001E3856"/>
    <w:rsid w:val="001E3BA2"/>
    <w:rsid w:val="001E3D64"/>
    <w:rsid w:val="001E3E54"/>
    <w:rsid w:val="001E40CE"/>
    <w:rsid w:val="001E442F"/>
    <w:rsid w:val="001E471E"/>
    <w:rsid w:val="001E50F4"/>
    <w:rsid w:val="001E529D"/>
    <w:rsid w:val="001E52FB"/>
    <w:rsid w:val="001E5D37"/>
    <w:rsid w:val="001E60DD"/>
    <w:rsid w:val="001E6221"/>
    <w:rsid w:val="001E6427"/>
    <w:rsid w:val="001E68A7"/>
    <w:rsid w:val="001E68EC"/>
    <w:rsid w:val="001E6C37"/>
    <w:rsid w:val="001E6CB0"/>
    <w:rsid w:val="001E709E"/>
    <w:rsid w:val="001E711C"/>
    <w:rsid w:val="001E74B1"/>
    <w:rsid w:val="001E7E4C"/>
    <w:rsid w:val="001F0006"/>
    <w:rsid w:val="001F0088"/>
    <w:rsid w:val="001F02DC"/>
    <w:rsid w:val="001F034C"/>
    <w:rsid w:val="001F037C"/>
    <w:rsid w:val="001F0488"/>
    <w:rsid w:val="001F0726"/>
    <w:rsid w:val="001F074C"/>
    <w:rsid w:val="001F088D"/>
    <w:rsid w:val="001F0A9A"/>
    <w:rsid w:val="001F0B06"/>
    <w:rsid w:val="001F0B0F"/>
    <w:rsid w:val="001F0B37"/>
    <w:rsid w:val="001F0B55"/>
    <w:rsid w:val="001F0C58"/>
    <w:rsid w:val="001F0DD9"/>
    <w:rsid w:val="001F0EDE"/>
    <w:rsid w:val="001F12FE"/>
    <w:rsid w:val="001F135C"/>
    <w:rsid w:val="001F1415"/>
    <w:rsid w:val="001F1492"/>
    <w:rsid w:val="001F15C8"/>
    <w:rsid w:val="001F1649"/>
    <w:rsid w:val="001F1670"/>
    <w:rsid w:val="001F1849"/>
    <w:rsid w:val="001F219B"/>
    <w:rsid w:val="001F21F7"/>
    <w:rsid w:val="001F2286"/>
    <w:rsid w:val="001F2391"/>
    <w:rsid w:val="001F250E"/>
    <w:rsid w:val="001F2605"/>
    <w:rsid w:val="001F3161"/>
    <w:rsid w:val="001F320D"/>
    <w:rsid w:val="001F33BE"/>
    <w:rsid w:val="001F34A2"/>
    <w:rsid w:val="001F34B0"/>
    <w:rsid w:val="001F368B"/>
    <w:rsid w:val="001F3746"/>
    <w:rsid w:val="001F377A"/>
    <w:rsid w:val="001F396F"/>
    <w:rsid w:val="001F3C6C"/>
    <w:rsid w:val="001F3D3D"/>
    <w:rsid w:val="001F4052"/>
    <w:rsid w:val="001F4110"/>
    <w:rsid w:val="001F4295"/>
    <w:rsid w:val="001F4419"/>
    <w:rsid w:val="001F4424"/>
    <w:rsid w:val="001F48B9"/>
    <w:rsid w:val="001F50CB"/>
    <w:rsid w:val="001F5139"/>
    <w:rsid w:val="001F5596"/>
    <w:rsid w:val="001F5811"/>
    <w:rsid w:val="001F5A93"/>
    <w:rsid w:val="001F5BB3"/>
    <w:rsid w:val="001F5C81"/>
    <w:rsid w:val="001F5D0B"/>
    <w:rsid w:val="001F6107"/>
    <w:rsid w:val="001F623C"/>
    <w:rsid w:val="001F635F"/>
    <w:rsid w:val="001F6388"/>
    <w:rsid w:val="001F66D5"/>
    <w:rsid w:val="001F683C"/>
    <w:rsid w:val="001F68FC"/>
    <w:rsid w:val="001F69C6"/>
    <w:rsid w:val="001F69E6"/>
    <w:rsid w:val="001F6CBA"/>
    <w:rsid w:val="001F78CE"/>
    <w:rsid w:val="001F79C5"/>
    <w:rsid w:val="001F7A9E"/>
    <w:rsid w:val="001F7D55"/>
    <w:rsid w:val="001F7DB0"/>
    <w:rsid w:val="001F7E3B"/>
    <w:rsid w:val="001F7ED9"/>
    <w:rsid w:val="00200709"/>
    <w:rsid w:val="00200857"/>
    <w:rsid w:val="00200A49"/>
    <w:rsid w:val="00200BC2"/>
    <w:rsid w:val="00200D1B"/>
    <w:rsid w:val="002013A3"/>
    <w:rsid w:val="00201749"/>
    <w:rsid w:val="00201808"/>
    <w:rsid w:val="0020188B"/>
    <w:rsid w:val="002019AC"/>
    <w:rsid w:val="00201B8C"/>
    <w:rsid w:val="00202076"/>
    <w:rsid w:val="0020218D"/>
    <w:rsid w:val="002022F5"/>
    <w:rsid w:val="002023A3"/>
    <w:rsid w:val="00202411"/>
    <w:rsid w:val="002025A0"/>
    <w:rsid w:val="002027E0"/>
    <w:rsid w:val="002028FC"/>
    <w:rsid w:val="00202A47"/>
    <w:rsid w:val="00202C73"/>
    <w:rsid w:val="002036C7"/>
    <w:rsid w:val="00203C78"/>
    <w:rsid w:val="00203CDB"/>
    <w:rsid w:val="00203E01"/>
    <w:rsid w:val="002044BB"/>
    <w:rsid w:val="0020453D"/>
    <w:rsid w:val="0020473D"/>
    <w:rsid w:val="002048AC"/>
    <w:rsid w:val="00204B5A"/>
    <w:rsid w:val="00204CA3"/>
    <w:rsid w:val="00204EAF"/>
    <w:rsid w:val="002052E9"/>
    <w:rsid w:val="002052F1"/>
    <w:rsid w:val="00205335"/>
    <w:rsid w:val="0020535A"/>
    <w:rsid w:val="002053FA"/>
    <w:rsid w:val="00205476"/>
    <w:rsid w:val="00205583"/>
    <w:rsid w:val="0020568B"/>
    <w:rsid w:val="002058AA"/>
    <w:rsid w:val="00205998"/>
    <w:rsid w:val="002059B3"/>
    <w:rsid w:val="00205AA4"/>
    <w:rsid w:val="0020605B"/>
    <w:rsid w:val="002060D9"/>
    <w:rsid w:val="0020630A"/>
    <w:rsid w:val="00206668"/>
    <w:rsid w:val="00206785"/>
    <w:rsid w:val="00206A46"/>
    <w:rsid w:val="00206ACE"/>
    <w:rsid w:val="00206C9A"/>
    <w:rsid w:val="00206F5E"/>
    <w:rsid w:val="00206FA0"/>
    <w:rsid w:val="00207074"/>
    <w:rsid w:val="0020710B"/>
    <w:rsid w:val="00207152"/>
    <w:rsid w:val="0020730C"/>
    <w:rsid w:val="0020733E"/>
    <w:rsid w:val="00207400"/>
    <w:rsid w:val="00207C74"/>
    <w:rsid w:val="00207D48"/>
    <w:rsid w:val="00207D69"/>
    <w:rsid w:val="00207D9D"/>
    <w:rsid w:val="00207F5A"/>
    <w:rsid w:val="0021022A"/>
    <w:rsid w:val="0021030A"/>
    <w:rsid w:val="00210338"/>
    <w:rsid w:val="002104F6"/>
    <w:rsid w:val="00210722"/>
    <w:rsid w:val="00210791"/>
    <w:rsid w:val="002107CA"/>
    <w:rsid w:val="00210A55"/>
    <w:rsid w:val="00210AA3"/>
    <w:rsid w:val="00210DF2"/>
    <w:rsid w:val="00211438"/>
    <w:rsid w:val="002116C5"/>
    <w:rsid w:val="002118EB"/>
    <w:rsid w:val="00211999"/>
    <w:rsid w:val="002119AB"/>
    <w:rsid w:val="002119C2"/>
    <w:rsid w:val="00211DE4"/>
    <w:rsid w:val="00211F5D"/>
    <w:rsid w:val="00212153"/>
    <w:rsid w:val="00213006"/>
    <w:rsid w:val="0021304A"/>
    <w:rsid w:val="00213411"/>
    <w:rsid w:val="002135F5"/>
    <w:rsid w:val="00213650"/>
    <w:rsid w:val="00213891"/>
    <w:rsid w:val="00213B05"/>
    <w:rsid w:val="00213E4E"/>
    <w:rsid w:val="002141D1"/>
    <w:rsid w:val="00214278"/>
    <w:rsid w:val="002142D7"/>
    <w:rsid w:val="00214606"/>
    <w:rsid w:val="0021493B"/>
    <w:rsid w:val="00214E48"/>
    <w:rsid w:val="00214F61"/>
    <w:rsid w:val="0021500C"/>
    <w:rsid w:val="00215236"/>
    <w:rsid w:val="002152CA"/>
    <w:rsid w:val="002155D3"/>
    <w:rsid w:val="00215713"/>
    <w:rsid w:val="002158E4"/>
    <w:rsid w:val="00215D78"/>
    <w:rsid w:val="00215FE1"/>
    <w:rsid w:val="002160FC"/>
    <w:rsid w:val="0021657E"/>
    <w:rsid w:val="00216975"/>
    <w:rsid w:val="00216A64"/>
    <w:rsid w:val="00216EE0"/>
    <w:rsid w:val="00217260"/>
    <w:rsid w:val="00217631"/>
    <w:rsid w:val="0021764E"/>
    <w:rsid w:val="002176F5"/>
    <w:rsid w:val="00217942"/>
    <w:rsid w:val="00217C10"/>
    <w:rsid w:val="00217C7D"/>
    <w:rsid w:val="002200D4"/>
    <w:rsid w:val="0022022E"/>
    <w:rsid w:val="002202A7"/>
    <w:rsid w:val="00220320"/>
    <w:rsid w:val="0022039B"/>
    <w:rsid w:val="00220407"/>
    <w:rsid w:val="00220510"/>
    <w:rsid w:val="00220621"/>
    <w:rsid w:val="0022064D"/>
    <w:rsid w:val="00220864"/>
    <w:rsid w:val="002208DA"/>
    <w:rsid w:val="002209AE"/>
    <w:rsid w:val="00220A25"/>
    <w:rsid w:val="00220B85"/>
    <w:rsid w:val="00220B8F"/>
    <w:rsid w:val="00220D4B"/>
    <w:rsid w:val="00220E3F"/>
    <w:rsid w:val="002210AA"/>
    <w:rsid w:val="002210D7"/>
    <w:rsid w:val="002210E1"/>
    <w:rsid w:val="00221362"/>
    <w:rsid w:val="0022165E"/>
    <w:rsid w:val="00221811"/>
    <w:rsid w:val="00221B45"/>
    <w:rsid w:val="00221B58"/>
    <w:rsid w:val="00221C2A"/>
    <w:rsid w:val="00221F72"/>
    <w:rsid w:val="002220B6"/>
    <w:rsid w:val="002220CB"/>
    <w:rsid w:val="00222109"/>
    <w:rsid w:val="002222D1"/>
    <w:rsid w:val="0022255C"/>
    <w:rsid w:val="00222625"/>
    <w:rsid w:val="002226C0"/>
    <w:rsid w:val="00222716"/>
    <w:rsid w:val="00222CED"/>
    <w:rsid w:val="00222E0A"/>
    <w:rsid w:val="00222EE4"/>
    <w:rsid w:val="00223127"/>
    <w:rsid w:val="00223745"/>
    <w:rsid w:val="002238F8"/>
    <w:rsid w:val="00223CC1"/>
    <w:rsid w:val="00223CFC"/>
    <w:rsid w:val="00223E70"/>
    <w:rsid w:val="002242F6"/>
    <w:rsid w:val="0022441A"/>
    <w:rsid w:val="002245AD"/>
    <w:rsid w:val="002245AE"/>
    <w:rsid w:val="0022471A"/>
    <w:rsid w:val="002247E6"/>
    <w:rsid w:val="00224B01"/>
    <w:rsid w:val="00224EF4"/>
    <w:rsid w:val="00224F38"/>
    <w:rsid w:val="0022543F"/>
    <w:rsid w:val="002254CF"/>
    <w:rsid w:val="00225686"/>
    <w:rsid w:val="00225875"/>
    <w:rsid w:val="00225A79"/>
    <w:rsid w:val="00225B0E"/>
    <w:rsid w:val="00225C86"/>
    <w:rsid w:val="00225FE0"/>
    <w:rsid w:val="00226088"/>
    <w:rsid w:val="00226222"/>
    <w:rsid w:val="00226316"/>
    <w:rsid w:val="00226817"/>
    <w:rsid w:val="00226822"/>
    <w:rsid w:val="002269EF"/>
    <w:rsid w:val="00226C7E"/>
    <w:rsid w:val="00226D06"/>
    <w:rsid w:val="00226E6C"/>
    <w:rsid w:val="0022726E"/>
    <w:rsid w:val="00227357"/>
    <w:rsid w:val="0022744E"/>
    <w:rsid w:val="0022774D"/>
    <w:rsid w:val="00227AE4"/>
    <w:rsid w:val="00227D58"/>
    <w:rsid w:val="00227E86"/>
    <w:rsid w:val="00227FE0"/>
    <w:rsid w:val="0023035A"/>
    <w:rsid w:val="002305CF"/>
    <w:rsid w:val="00230BB0"/>
    <w:rsid w:val="00230BBC"/>
    <w:rsid w:val="00230E25"/>
    <w:rsid w:val="00230E8B"/>
    <w:rsid w:val="00230ED1"/>
    <w:rsid w:val="00230F12"/>
    <w:rsid w:val="002314BA"/>
    <w:rsid w:val="002316F9"/>
    <w:rsid w:val="002318E2"/>
    <w:rsid w:val="00231CD3"/>
    <w:rsid w:val="00231D92"/>
    <w:rsid w:val="00232303"/>
    <w:rsid w:val="0023242C"/>
    <w:rsid w:val="002324AA"/>
    <w:rsid w:val="00232A1F"/>
    <w:rsid w:val="00232E49"/>
    <w:rsid w:val="00232E8C"/>
    <w:rsid w:val="00232F87"/>
    <w:rsid w:val="002331D0"/>
    <w:rsid w:val="0023374A"/>
    <w:rsid w:val="0023377D"/>
    <w:rsid w:val="00233791"/>
    <w:rsid w:val="002337E4"/>
    <w:rsid w:val="00233934"/>
    <w:rsid w:val="002345E7"/>
    <w:rsid w:val="002345E8"/>
    <w:rsid w:val="0023474B"/>
    <w:rsid w:val="002349BC"/>
    <w:rsid w:val="00234CF8"/>
    <w:rsid w:val="00235204"/>
    <w:rsid w:val="002354B1"/>
    <w:rsid w:val="0023582E"/>
    <w:rsid w:val="00235848"/>
    <w:rsid w:val="0023593C"/>
    <w:rsid w:val="00235E61"/>
    <w:rsid w:val="00235EC4"/>
    <w:rsid w:val="00235F1B"/>
    <w:rsid w:val="002362D9"/>
    <w:rsid w:val="0023658E"/>
    <w:rsid w:val="002366E2"/>
    <w:rsid w:val="002367F7"/>
    <w:rsid w:val="00236A1A"/>
    <w:rsid w:val="00236B78"/>
    <w:rsid w:val="00236D53"/>
    <w:rsid w:val="00236E3B"/>
    <w:rsid w:val="00236E71"/>
    <w:rsid w:val="00236FFA"/>
    <w:rsid w:val="002370DB"/>
    <w:rsid w:val="00237263"/>
    <w:rsid w:val="002374E6"/>
    <w:rsid w:val="0023786D"/>
    <w:rsid w:val="00237ABC"/>
    <w:rsid w:val="00237EFA"/>
    <w:rsid w:val="002401A6"/>
    <w:rsid w:val="002401A7"/>
    <w:rsid w:val="0024033C"/>
    <w:rsid w:val="00240385"/>
    <w:rsid w:val="00240444"/>
    <w:rsid w:val="0024087E"/>
    <w:rsid w:val="00240913"/>
    <w:rsid w:val="00240A88"/>
    <w:rsid w:val="00240F65"/>
    <w:rsid w:val="002411DA"/>
    <w:rsid w:val="002411EC"/>
    <w:rsid w:val="002412F9"/>
    <w:rsid w:val="0024134A"/>
    <w:rsid w:val="0024206F"/>
    <w:rsid w:val="002421BA"/>
    <w:rsid w:val="00242444"/>
    <w:rsid w:val="002425D0"/>
    <w:rsid w:val="00242C78"/>
    <w:rsid w:val="00242E5F"/>
    <w:rsid w:val="00242EE4"/>
    <w:rsid w:val="00242F1B"/>
    <w:rsid w:val="0024303F"/>
    <w:rsid w:val="002434E8"/>
    <w:rsid w:val="00243552"/>
    <w:rsid w:val="002436A0"/>
    <w:rsid w:val="002436A7"/>
    <w:rsid w:val="0024378E"/>
    <w:rsid w:val="002437CF"/>
    <w:rsid w:val="002439B8"/>
    <w:rsid w:val="00243D2F"/>
    <w:rsid w:val="00243D65"/>
    <w:rsid w:val="0024415C"/>
    <w:rsid w:val="00244562"/>
    <w:rsid w:val="0024471C"/>
    <w:rsid w:val="00244936"/>
    <w:rsid w:val="002449A1"/>
    <w:rsid w:val="00244EA8"/>
    <w:rsid w:val="00245946"/>
    <w:rsid w:val="002459A9"/>
    <w:rsid w:val="00245AAF"/>
    <w:rsid w:val="00245B32"/>
    <w:rsid w:val="00245EB1"/>
    <w:rsid w:val="00246072"/>
    <w:rsid w:val="00246684"/>
    <w:rsid w:val="00246A92"/>
    <w:rsid w:val="00246B6E"/>
    <w:rsid w:val="00246BDE"/>
    <w:rsid w:val="002471B4"/>
    <w:rsid w:val="00247214"/>
    <w:rsid w:val="00247AFE"/>
    <w:rsid w:val="00247F1B"/>
    <w:rsid w:val="00247F97"/>
    <w:rsid w:val="0025021D"/>
    <w:rsid w:val="00250899"/>
    <w:rsid w:val="00250977"/>
    <w:rsid w:val="002509D3"/>
    <w:rsid w:val="00250C01"/>
    <w:rsid w:val="00250D5E"/>
    <w:rsid w:val="00250DE2"/>
    <w:rsid w:val="00250E41"/>
    <w:rsid w:val="0025107A"/>
    <w:rsid w:val="00251082"/>
    <w:rsid w:val="002512FE"/>
    <w:rsid w:val="0025158E"/>
    <w:rsid w:val="00251926"/>
    <w:rsid w:val="00251939"/>
    <w:rsid w:val="00251CF7"/>
    <w:rsid w:val="00251DBC"/>
    <w:rsid w:val="00251F57"/>
    <w:rsid w:val="002523DB"/>
    <w:rsid w:val="002527AB"/>
    <w:rsid w:val="002528D3"/>
    <w:rsid w:val="00252A6E"/>
    <w:rsid w:val="00252AFB"/>
    <w:rsid w:val="00252D21"/>
    <w:rsid w:val="00252ECA"/>
    <w:rsid w:val="002532F9"/>
    <w:rsid w:val="002534FB"/>
    <w:rsid w:val="0025362E"/>
    <w:rsid w:val="00253785"/>
    <w:rsid w:val="00253DB3"/>
    <w:rsid w:val="00254033"/>
    <w:rsid w:val="0025406D"/>
    <w:rsid w:val="0025420E"/>
    <w:rsid w:val="002543C8"/>
    <w:rsid w:val="00254413"/>
    <w:rsid w:val="00254630"/>
    <w:rsid w:val="0025491A"/>
    <w:rsid w:val="00254C58"/>
    <w:rsid w:val="00254DB5"/>
    <w:rsid w:val="00254FEF"/>
    <w:rsid w:val="00255036"/>
    <w:rsid w:val="002556EC"/>
    <w:rsid w:val="00255887"/>
    <w:rsid w:val="002558D8"/>
    <w:rsid w:val="00255B50"/>
    <w:rsid w:val="00255CC3"/>
    <w:rsid w:val="00255D8D"/>
    <w:rsid w:val="00255E8B"/>
    <w:rsid w:val="00255F0C"/>
    <w:rsid w:val="0025616E"/>
    <w:rsid w:val="00256294"/>
    <w:rsid w:val="002562DE"/>
    <w:rsid w:val="00256595"/>
    <w:rsid w:val="002565E6"/>
    <w:rsid w:val="002566DC"/>
    <w:rsid w:val="0025690D"/>
    <w:rsid w:val="00256981"/>
    <w:rsid w:val="00256C5C"/>
    <w:rsid w:val="00256CDD"/>
    <w:rsid w:val="00256D3F"/>
    <w:rsid w:val="00256F64"/>
    <w:rsid w:val="00256FA1"/>
    <w:rsid w:val="00256FA2"/>
    <w:rsid w:val="002578B2"/>
    <w:rsid w:val="00257941"/>
    <w:rsid w:val="0025795F"/>
    <w:rsid w:val="00257BDA"/>
    <w:rsid w:val="002600E6"/>
    <w:rsid w:val="002602DC"/>
    <w:rsid w:val="002604EB"/>
    <w:rsid w:val="0026054D"/>
    <w:rsid w:val="00260594"/>
    <w:rsid w:val="00260657"/>
    <w:rsid w:val="002606F6"/>
    <w:rsid w:val="0026070D"/>
    <w:rsid w:val="002608FA"/>
    <w:rsid w:val="00260CEB"/>
    <w:rsid w:val="00260D6F"/>
    <w:rsid w:val="00260DE5"/>
    <w:rsid w:val="00260F16"/>
    <w:rsid w:val="00260FF9"/>
    <w:rsid w:val="00261203"/>
    <w:rsid w:val="002612AE"/>
    <w:rsid w:val="002617BE"/>
    <w:rsid w:val="00261AC8"/>
    <w:rsid w:val="00261CDF"/>
    <w:rsid w:val="00261E59"/>
    <w:rsid w:val="0026216F"/>
    <w:rsid w:val="0026247F"/>
    <w:rsid w:val="00262561"/>
    <w:rsid w:val="00262B26"/>
    <w:rsid w:val="00262B96"/>
    <w:rsid w:val="002630C6"/>
    <w:rsid w:val="002632F6"/>
    <w:rsid w:val="00263558"/>
    <w:rsid w:val="00263C60"/>
    <w:rsid w:val="0026423C"/>
    <w:rsid w:val="00264444"/>
    <w:rsid w:val="002645B5"/>
    <w:rsid w:val="0026467E"/>
    <w:rsid w:val="00264BA7"/>
    <w:rsid w:val="00264CC2"/>
    <w:rsid w:val="00264DDC"/>
    <w:rsid w:val="002651A1"/>
    <w:rsid w:val="00265401"/>
    <w:rsid w:val="0026548C"/>
    <w:rsid w:val="002654AF"/>
    <w:rsid w:val="002656FF"/>
    <w:rsid w:val="00265942"/>
    <w:rsid w:val="00265CFF"/>
    <w:rsid w:val="00265F5C"/>
    <w:rsid w:val="00266532"/>
    <w:rsid w:val="0026717A"/>
    <w:rsid w:val="002671FC"/>
    <w:rsid w:val="00267242"/>
    <w:rsid w:val="0026729B"/>
    <w:rsid w:val="0026737F"/>
    <w:rsid w:val="002673DA"/>
    <w:rsid w:val="00267473"/>
    <w:rsid w:val="0026760D"/>
    <w:rsid w:val="0026769A"/>
    <w:rsid w:val="0026781C"/>
    <w:rsid w:val="00267864"/>
    <w:rsid w:val="00267980"/>
    <w:rsid w:val="00267C70"/>
    <w:rsid w:val="00267FE3"/>
    <w:rsid w:val="002709CB"/>
    <w:rsid w:val="002709D2"/>
    <w:rsid w:val="00270E21"/>
    <w:rsid w:val="00271746"/>
    <w:rsid w:val="002718DA"/>
    <w:rsid w:val="00271A5D"/>
    <w:rsid w:val="00271B98"/>
    <w:rsid w:val="00271BCF"/>
    <w:rsid w:val="00271C10"/>
    <w:rsid w:val="00271CB7"/>
    <w:rsid w:val="00271F02"/>
    <w:rsid w:val="0027201E"/>
    <w:rsid w:val="0027266A"/>
    <w:rsid w:val="00272B17"/>
    <w:rsid w:val="00272C4E"/>
    <w:rsid w:val="00272DAB"/>
    <w:rsid w:val="00272E8D"/>
    <w:rsid w:val="00273130"/>
    <w:rsid w:val="00273699"/>
    <w:rsid w:val="002739F7"/>
    <w:rsid w:val="00273BD5"/>
    <w:rsid w:val="00273D4B"/>
    <w:rsid w:val="00273DA6"/>
    <w:rsid w:val="00273F8E"/>
    <w:rsid w:val="0027410E"/>
    <w:rsid w:val="00274269"/>
    <w:rsid w:val="0027454C"/>
    <w:rsid w:val="002746A9"/>
    <w:rsid w:val="00274CFC"/>
    <w:rsid w:val="002753BC"/>
    <w:rsid w:val="0027562A"/>
    <w:rsid w:val="00275840"/>
    <w:rsid w:val="00275CC3"/>
    <w:rsid w:val="00275CDB"/>
    <w:rsid w:val="00275E42"/>
    <w:rsid w:val="0027600D"/>
    <w:rsid w:val="002760F1"/>
    <w:rsid w:val="002765B1"/>
    <w:rsid w:val="002766FF"/>
    <w:rsid w:val="0027687D"/>
    <w:rsid w:val="00276AA8"/>
    <w:rsid w:val="00276B3B"/>
    <w:rsid w:val="002773BD"/>
    <w:rsid w:val="002777C4"/>
    <w:rsid w:val="00277973"/>
    <w:rsid w:val="00277976"/>
    <w:rsid w:val="00277A18"/>
    <w:rsid w:val="00277CD9"/>
    <w:rsid w:val="00277D63"/>
    <w:rsid w:val="00277F7A"/>
    <w:rsid w:val="002800DE"/>
    <w:rsid w:val="00280814"/>
    <w:rsid w:val="00280B70"/>
    <w:rsid w:val="00280C04"/>
    <w:rsid w:val="00280DBC"/>
    <w:rsid w:val="00280F79"/>
    <w:rsid w:val="002813AB"/>
    <w:rsid w:val="00281422"/>
    <w:rsid w:val="00281639"/>
    <w:rsid w:val="00281861"/>
    <w:rsid w:val="00281B84"/>
    <w:rsid w:val="00281CAF"/>
    <w:rsid w:val="00281D24"/>
    <w:rsid w:val="00281DA8"/>
    <w:rsid w:val="00281DCB"/>
    <w:rsid w:val="002820AF"/>
    <w:rsid w:val="002826F4"/>
    <w:rsid w:val="00282745"/>
    <w:rsid w:val="00282AD2"/>
    <w:rsid w:val="00282C55"/>
    <w:rsid w:val="00282D6C"/>
    <w:rsid w:val="00282E04"/>
    <w:rsid w:val="00282EB1"/>
    <w:rsid w:val="00282FAE"/>
    <w:rsid w:val="0028323B"/>
    <w:rsid w:val="002834FC"/>
    <w:rsid w:val="002836C5"/>
    <w:rsid w:val="00283859"/>
    <w:rsid w:val="002839F5"/>
    <w:rsid w:val="00283AC1"/>
    <w:rsid w:val="00283BDE"/>
    <w:rsid w:val="00283DEB"/>
    <w:rsid w:val="00283E80"/>
    <w:rsid w:val="00283F61"/>
    <w:rsid w:val="00284BA9"/>
    <w:rsid w:val="00284BC2"/>
    <w:rsid w:val="00284BE9"/>
    <w:rsid w:val="00284EED"/>
    <w:rsid w:val="00285017"/>
    <w:rsid w:val="00285020"/>
    <w:rsid w:val="0028508C"/>
    <w:rsid w:val="00285483"/>
    <w:rsid w:val="00285A5F"/>
    <w:rsid w:val="00285E6C"/>
    <w:rsid w:val="00286201"/>
    <w:rsid w:val="0028662A"/>
    <w:rsid w:val="002869DC"/>
    <w:rsid w:val="00286BC4"/>
    <w:rsid w:val="0028700E"/>
    <w:rsid w:val="002872E2"/>
    <w:rsid w:val="002875F5"/>
    <w:rsid w:val="00287705"/>
    <w:rsid w:val="00287832"/>
    <w:rsid w:val="002878FF"/>
    <w:rsid w:val="0028797A"/>
    <w:rsid w:val="00287AD5"/>
    <w:rsid w:val="00287D5B"/>
    <w:rsid w:val="00287D62"/>
    <w:rsid w:val="00287DB9"/>
    <w:rsid w:val="00287E00"/>
    <w:rsid w:val="00287E59"/>
    <w:rsid w:val="00287FF8"/>
    <w:rsid w:val="002900F2"/>
    <w:rsid w:val="002906C3"/>
    <w:rsid w:val="00290AF8"/>
    <w:rsid w:val="00290C9D"/>
    <w:rsid w:val="00290F3F"/>
    <w:rsid w:val="00291109"/>
    <w:rsid w:val="0029110D"/>
    <w:rsid w:val="0029142C"/>
    <w:rsid w:val="002915AD"/>
    <w:rsid w:val="002915B1"/>
    <w:rsid w:val="002917AC"/>
    <w:rsid w:val="00291886"/>
    <w:rsid w:val="0029198E"/>
    <w:rsid w:val="002919E1"/>
    <w:rsid w:val="00292031"/>
    <w:rsid w:val="0029210D"/>
    <w:rsid w:val="0029219D"/>
    <w:rsid w:val="002923ED"/>
    <w:rsid w:val="00292670"/>
    <w:rsid w:val="0029268F"/>
    <w:rsid w:val="002926A3"/>
    <w:rsid w:val="0029276C"/>
    <w:rsid w:val="00292877"/>
    <w:rsid w:val="00292889"/>
    <w:rsid w:val="00292A2D"/>
    <w:rsid w:val="00292AD8"/>
    <w:rsid w:val="00292BA0"/>
    <w:rsid w:val="00292CE1"/>
    <w:rsid w:val="00292F48"/>
    <w:rsid w:val="00293198"/>
    <w:rsid w:val="0029359D"/>
    <w:rsid w:val="002936F7"/>
    <w:rsid w:val="0029376B"/>
    <w:rsid w:val="00293C41"/>
    <w:rsid w:val="00293DC3"/>
    <w:rsid w:val="00293DDD"/>
    <w:rsid w:val="002942A8"/>
    <w:rsid w:val="00294329"/>
    <w:rsid w:val="002943F5"/>
    <w:rsid w:val="0029468F"/>
    <w:rsid w:val="002949BA"/>
    <w:rsid w:val="00294A51"/>
    <w:rsid w:val="00294E32"/>
    <w:rsid w:val="002954F8"/>
    <w:rsid w:val="00295901"/>
    <w:rsid w:val="00295B75"/>
    <w:rsid w:val="002960BD"/>
    <w:rsid w:val="002966AC"/>
    <w:rsid w:val="00296B1C"/>
    <w:rsid w:val="00296D96"/>
    <w:rsid w:val="00297064"/>
    <w:rsid w:val="0029763A"/>
    <w:rsid w:val="00297A5C"/>
    <w:rsid w:val="00297BC4"/>
    <w:rsid w:val="00297F2C"/>
    <w:rsid w:val="002A0033"/>
    <w:rsid w:val="002A0244"/>
    <w:rsid w:val="002A0299"/>
    <w:rsid w:val="002A030D"/>
    <w:rsid w:val="002A033C"/>
    <w:rsid w:val="002A05A2"/>
    <w:rsid w:val="002A0B51"/>
    <w:rsid w:val="002A0BEF"/>
    <w:rsid w:val="002A0D3B"/>
    <w:rsid w:val="002A0E5A"/>
    <w:rsid w:val="002A0FCB"/>
    <w:rsid w:val="002A186E"/>
    <w:rsid w:val="002A1AE6"/>
    <w:rsid w:val="002A1B49"/>
    <w:rsid w:val="002A2D2E"/>
    <w:rsid w:val="002A31D6"/>
    <w:rsid w:val="002A337F"/>
    <w:rsid w:val="002A3385"/>
    <w:rsid w:val="002A33F6"/>
    <w:rsid w:val="002A3629"/>
    <w:rsid w:val="002A38DF"/>
    <w:rsid w:val="002A3C29"/>
    <w:rsid w:val="002A3E0C"/>
    <w:rsid w:val="002A42D2"/>
    <w:rsid w:val="002A42E2"/>
    <w:rsid w:val="002A4437"/>
    <w:rsid w:val="002A4644"/>
    <w:rsid w:val="002A4679"/>
    <w:rsid w:val="002A470E"/>
    <w:rsid w:val="002A48A1"/>
    <w:rsid w:val="002A4D12"/>
    <w:rsid w:val="002A53B4"/>
    <w:rsid w:val="002A5424"/>
    <w:rsid w:val="002A5527"/>
    <w:rsid w:val="002A5752"/>
    <w:rsid w:val="002A578C"/>
    <w:rsid w:val="002A594C"/>
    <w:rsid w:val="002A59CE"/>
    <w:rsid w:val="002A5AC7"/>
    <w:rsid w:val="002A5CB5"/>
    <w:rsid w:val="002A5CC2"/>
    <w:rsid w:val="002A5DD5"/>
    <w:rsid w:val="002A5F10"/>
    <w:rsid w:val="002A600B"/>
    <w:rsid w:val="002A62B2"/>
    <w:rsid w:val="002A65F6"/>
    <w:rsid w:val="002A680B"/>
    <w:rsid w:val="002A69B9"/>
    <w:rsid w:val="002A72F5"/>
    <w:rsid w:val="002A734E"/>
    <w:rsid w:val="002A78E1"/>
    <w:rsid w:val="002A791E"/>
    <w:rsid w:val="002A79F4"/>
    <w:rsid w:val="002A7B0C"/>
    <w:rsid w:val="002A7FC1"/>
    <w:rsid w:val="002B0032"/>
    <w:rsid w:val="002B018D"/>
    <w:rsid w:val="002B06E8"/>
    <w:rsid w:val="002B078A"/>
    <w:rsid w:val="002B0848"/>
    <w:rsid w:val="002B0974"/>
    <w:rsid w:val="002B0AEC"/>
    <w:rsid w:val="002B0B94"/>
    <w:rsid w:val="002B0E33"/>
    <w:rsid w:val="002B0E69"/>
    <w:rsid w:val="002B0EF8"/>
    <w:rsid w:val="002B112B"/>
    <w:rsid w:val="002B1150"/>
    <w:rsid w:val="002B122C"/>
    <w:rsid w:val="002B14AB"/>
    <w:rsid w:val="002B1672"/>
    <w:rsid w:val="002B1BA8"/>
    <w:rsid w:val="002B1FD5"/>
    <w:rsid w:val="002B212B"/>
    <w:rsid w:val="002B21C8"/>
    <w:rsid w:val="002B2209"/>
    <w:rsid w:val="002B23C3"/>
    <w:rsid w:val="002B2447"/>
    <w:rsid w:val="002B2564"/>
    <w:rsid w:val="002B26A2"/>
    <w:rsid w:val="002B26FA"/>
    <w:rsid w:val="002B2A83"/>
    <w:rsid w:val="002B2C5D"/>
    <w:rsid w:val="002B3206"/>
    <w:rsid w:val="002B3225"/>
    <w:rsid w:val="002B3523"/>
    <w:rsid w:val="002B3945"/>
    <w:rsid w:val="002B3999"/>
    <w:rsid w:val="002B3CAF"/>
    <w:rsid w:val="002B3D23"/>
    <w:rsid w:val="002B3D81"/>
    <w:rsid w:val="002B3F8F"/>
    <w:rsid w:val="002B414D"/>
    <w:rsid w:val="002B4532"/>
    <w:rsid w:val="002B478D"/>
    <w:rsid w:val="002B48EF"/>
    <w:rsid w:val="002B4A68"/>
    <w:rsid w:val="002B4DD0"/>
    <w:rsid w:val="002B50A0"/>
    <w:rsid w:val="002B5386"/>
    <w:rsid w:val="002B5C3D"/>
    <w:rsid w:val="002B5EFF"/>
    <w:rsid w:val="002B5F7B"/>
    <w:rsid w:val="002B60CF"/>
    <w:rsid w:val="002B6289"/>
    <w:rsid w:val="002B62FC"/>
    <w:rsid w:val="002B663B"/>
    <w:rsid w:val="002B66E7"/>
    <w:rsid w:val="002B67DC"/>
    <w:rsid w:val="002B6B09"/>
    <w:rsid w:val="002B6B8C"/>
    <w:rsid w:val="002B6E83"/>
    <w:rsid w:val="002B6EA7"/>
    <w:rsid w:val="002B6F19"/>
    <w:rsid w:val="002B72FF"/>
    <w:rsid w:val="002B750A"/>
    <w:rsid w:val="002B77CA"/>
    <w:rsid w:val="002B7806"/>
    <w:rsid w:val="002B7A92"/>
    <w:rsid w:val="002B7C90"/>
    <w:rsid w:val="002B7FDA"/>
    <w:rsid w:val="002C04E5"/>
    <w:rsid w:val="002C04FF"/>
    <w:rsid w:val="002C0757"/>
    <w:rsid w:val="002C079E"/>
    <w:rsid w:val="002C0A3D"/>
    <w:rsid w:val="002C0A53"/>
    <w:rsid w:val="002C0D5D"/>
    <w:rsid w:val="002C0F45"/>
    <w:rsid w:val="002C0FA3"/>
    <w:rsid w:val="002C0FF8"/>
    <w:rsid w:val="002C0FFB"/>
    <w:rsid w:val="002C1165"/>
    <w:rsid w:val="002C1485"/>
    <w:rsid w:val="002C14BA"/>
    <w:rsid w:val="002C1711"/>
    <w:rsid w:val="002C1853"/>
    <w:rsid w:val="002C18B3"/>
    <w:rsid w:val="002C198F"/>
    <w:rsid w:val="002C1BA3"/>
    <w:rsid w:val="002C1D82"/>
    <w:rsid w:val="002C1DA7"/>
    <w:rsid w:val="002C1E1C"/>
    <w:rsid w:val="002C1EAC"/>
    <w:rsid w:val="002C1F5C"/>
    <w:rsid w:val="002C2105"/>
    <w:rsid w:val="002C26EB"/>
    <w:rsid w:val="002C28F7"/>
    <w:rsid w:val="002C2B07"/>
    <w:rsid w:val="002C3301"/>
    <w:rsid w:val="002C3636"/>
    <w:rsid w:val="002C377F"/>
    <w:rsid w:val="002C37A5"/>
    <w:rsid w:val="002C37D3"/>
    <w:rsid w:val="002C3919"/>
    <w:rsid w:val="002C3AFF"/>
    <w:rsid w:val="002C3BB3"/>
    <w:rsid w:val="002C3C79"/>
    <w:rsid w:val="002C3C92"/>
    <w:rsid w:val="002C4008"/>
    <w:rsid w:val="002C428F"/>
    <w:rsid w:val="002C470C"/>
    <w:rsid w:val="002C4859"/>
    <w:rsid w:val="002C4F31"/>
    <w:rsid w:val="002C50BD"/>
    <w:rsid w:val="002C52FA"/>
    <w:rsid w:val="002C54DF"/>
    <w:rsid w:val="002C5B3B"/>
    <w:rsid w:val="002C5BDC"/>
    <w:rsid w:val="002C5CAD"/>
    <w:rsid w:val="002C5DC3"/>
    <w:rsid w:val="002C5E9D"/>
    <w:rsid w:val="002C62AB"/>
    <w:rsid w:val="002C6340"/>
    <w:rsid w:val="002C635F"/>
    <w:rsid w:val="002C6361"/>
    <w:rsid w:val="002C65D9"/>
    <w:rsid w:val="002C6AA5"/>
    <w:rsid w:val="002C6C9D"/>
    <w:rsid w:val="002C6D9B"/>
    <w:rsid w:val="002C6E4F"/>
    <w:rsid w:val="002C6F02"/>
    <w:rsid w:val="002C6F51"/>
    <w:rsid w:val="002C6FD2"/>
    <w:rsid w:val="002C70BF"/>
    <w:rsid w:val="002C7204"/>
    <w:rsid w:val="002C744E"/>
    <w:rsid w:val="002C74EE"/>
    <w:rsid w:val="002C7593"/>
    <w:rsid w:val="002C7825"/>
    <w:rsid w:val="002C783B"/>
    <w:rsid w:val="002C799F"/>
    <w:rsid w:val="002C7BDF"/>
    <w:rsid w:val="002C7EB9"/>
    <w:rsid w:val="002C7FD6"/>
    <w:rsid w:val="002D0108"/>
    <w:rsid w:val="002D01BA"/>
    <w:rsid w:val="002D02E1"/>
    <w:rsid w:val="002D03DD"/>
    <w:rsid w:val="002D04FF"/>
    <w:rsid w:val="002D06A5"/>
    <w:rsid w:val="002D0902"/>
    <w:rsid w:val="002D09B1"/>
    <w:rsid w:val="002D0B9C"/>
    <w:rsid w:val="002D0BDA"/>
    <w:rsid w:val="002D0C84"/>
    <w:rsid w:val="002D0D93"/>
    <w:rsid w:val="002D0DA6"/>
    <w:rsid w:val="002D0EB1"/>
    <w:rsid w:val="002D137A"/>
    <w:rsid w:val="002D13E4"/>
    <w:rsid w:val="002D1C66"/>
    <w:rsid w:val="002D200F"/>
    <w:rsid w:val="002D2036"/>
    <w:rsid w:val="002D209B"/>
    <w:rsid w:val="002D2197"/>
    <w:rsid w:val="002D24F9"/>
    <w:rsid w:val="002D2D9C"/>
    <w:rsid w:val="002D34DD"/>
    <w:rsid w:val="002D3571"/>
    <w:rsid w:val="002D35E3"/>
    <w:rsid w:val="002D36FA"/>
    <w:rsid w:val="002D39C6"/>
    <w:rsid w:val="002D39CD"/>
    <w:rsid w:val="002D3F06"/>
    <w:rsid w:val="002D4116"/>
    <w:rsid w:val="002D434F"/>
    <w:rsid w:val="002D4360"/>
    <w:rsid w:val="002D4455"/>
    <w:rsid w:val="002D44C0"/>
    <w:rsid w:val="002D455B"/>
    <w:rsid w:val="002D493E"/>
    <w:rsid w:val="002D499B"/>
    <w:rsid w:val="002D4B3E"/>
    <w:rsid w:val="002D4CC5"/>
    <w:rsid w:val="002D4F99"/>
    <w:rsid w:val="002D53AC"/>
    <w:rsid w:val="002D5796"/>
    <w:rsid w:val="002D59C5"/>
    <w:rsid w:val="002D5C0D"/>
    <w:rsid w:val="002D5DB3"/>
    <w:rsid w:val="002D5EC4"/>
    <w:rsid w:val="002D6008"/>
    <w:rsid w:val="002D66A3"/>
    <w:rsid w:val="002D6888"/>
    <w:rsid w:val="002D6E4C"/>
    <w:rsid w:val="002D6F06"/>
    <w:rsid w:val="002D6F18"/>
    <w:rsid w:val="002D746C"/>
    <w:rsid w:val="002D7751"/>
    <w:rsid w:val="002D79C0"/>
    <w:rsid w:val="002D7CC9"/>
    <w:rsid w:val="002E017D"/>
    <w:rsid w:val="002E054A"/>
    <w:rsid w:val="002E077B"/>
    <w:rsid w:val="002E0A85"/>
    <w:rsid w:val="002E0BC6"/>
    <w:rsid w:val="002E0C24"/>
    <w:rsid w:val="002E0EE1"/>
    <w:rsid w:val="002E0F39"/>
    <w:rsid w:val="002E0FDE"/>
    <w:rsid w:val="002E138B"/>
    <w:rsid w:val="002E1504"/>
    <w:rsid w:val="002E165A"/>
    <w:rsid w:val="002E196F"/>
    <w:rsid w:val="002E1CAE"/>
    <w:rsid w:val="002E1E9F"/>
    <w:rsid w:val="002E1F84"/>
    <w:rsid w:val="002E26E8"/>
    <w:rsid w:val="002E2A55"/>
    <w:rsid w:val="002E3248"/>
    <w:rsid w:val="002E32BB"/>
    <w:rsid w:val="002E335D"/>
    <w:rsid w:val="002E34FF"/>
    <w:rsid w:val="002E3DD5"/>
    <w:rsid w:val="002E3E64"/>
    <w:rsid w:val="002E3E89"/>
    <w:rsid w:val="002E400D"/>
    <w:rsid w:val="002E4738"/>
    <w:rsid w:val="002E4763"/>
    <w:rsid w:val="002E47F9"/>
    <w:rsid w:val="002E4807"/>
    <w:rsid w:val="002E49B3"/>
    <w:rsid w:val="002E4A8B"/>
    <w:rsid w:val="002E4C3A"/>
    <w:rsid w:val="002E5057"/>
    <w:rsid w:val="002E512C"/>
    <w:rsid w:val="002E51C0"/>
    <w:rsid w:val="002E51D7"/>
    <w:rsid w:val="002E51E3"/>
    <w:rsid w:val="002E5354"/>
    <w:rsid w:val="002E558F"/>
    <w:rsid w:val="002E571B"/>
    <w:rsid w:val="002E5843"/>
    <w:rsid w:val="002E5CEA"/>
    <w:rsid w:val="002E5E24"/>
    <w:rsid w:val="002E5FB4"/>
    <w:rsid w:val="002E6430"/>
    <w:rsid w:val="002E6581"/>
    <w:rsid w:val="002E6715"/>
    <w:rsid w:val="002E6940"/>
    <w:rsid w:val="002E6B7F"/>
    <w:rsid w:val="002E6BDD"/>
    <w:rsid w:val="002E6E0C"/>
    <w:rsid w:val="002E703D"/>
    <w:rsid w:val="002E7635"/>
    <w:rsid w:val="002E770C"/>
    <w:rsid w:val="002E7B96"/>
    <w:rsid w:val="002E7DBD"/>
    <w:rsid w:val="002E7F00"/>
    <w:rsid w:val="002E7F03"/>
    <w:rsid w:val="002F01D7"/>
    <w:rsid w:val="002F0242"/>
    <w:rsid w:val="002F0562"/>
    <w:rsid w:val="002F0791"/>
    <w:rsid w:val="002F0E63"/>
    <w:rsid w:val="002F0F2B"/>
    <w:rsid w:val="002F109F"/>
    <w:rsid w:val="002F1495"/>
    <w:rsid w:val="002F1502"/>
    <w:rsid w:val="002F1692"/>
    <w:rsid w:val="002F1B07"/>
    <w:rsid w:val="002F1B8B"/>
    <w:rsid w:val="002F1E89"/>
    <w:rsid w:val="002F212D"/>
    <w:rsid w:val="002F24ED"/>
    <w:rsid w:val="002F25D8"/>
    <w:rsid w:val="002F287E"/>
    <w:rsid w:val="002F28A9"/>
    <w:rsid w:val="002F2977"/>
    <w:rsid w:val="002F2AE1"/>
    <w:rsid w:val="002F31A7"/>
    <w:rsid w:val="002F3353"/>
    <w:rsid w:val="002F353B"/>
    <w:rsid w:val="002F3601"/>
    <w:rsid w:val="002F36C0"/>
    <w:rsid w:val="002F3758"/>
    <w:rsid w:val="002F3839"/>
    <w:rsid w:val="002F3881"/>
    <w:rsid w:val="002F389C"/>
    <w:rsid w:val="002F39F6"/>
    <w:rsid w:val="002F3A9C"/>
    <w:rsid w:val="002F3D2C"/>
    <w:rsid w:val="002F3DD2"/>
    <w:rsid w:val="002F40D6"/>
    <w:rsid w:val="002F41E9"/>
    <w:rsid w:val="002F4223"/>
    <w:rsid w:val="002F43C3"/>
    <w:rsid w:val="002F43E6"/>
    <w:rsid w:val="002F4439"/>
    <w:rsid w:val="002F48EA"/>
    <w:rsid w:val="002F48F4"/>
    <w:rsid w:val="002F496B"/>
    <w:rsid w:val="002F4CC7"/>
    <w:rsid w:val="002F4CD4"/>
    <w:rsid w:val="002F4D5C"/>
    <w:rsid w:val="002F4F34"/>
    <w:rsid w:val="002F4FDB"/>
    <w:rsid w:val="002F519E"/>
    <w:rsid w:val="002F5461"/>
    <w:rsid w:val="002F5557"/>
    <w:rsid w:val="002F557E"/>
    <w:rsid w:val="002F558C"/>
    <w:rsid w:val="002F5706"/>
    <w:rsid w:val="002F5EFE"/>
    <w:rsid w:val="002F5FDB"/>
    <w:rsid w:val="002F604A"/>
    <w:rsid w:val="002F6B71"/>
    <w:rsid w:val="002F6DF3"/>
    <w:rsid w:val="002F6EDC"/>
    <w:rsid w:val="002F7016"/>
    <w:rsid w:val="002F71D1"/>
    <w:rsid w:val="002F7423"/>
    <w:rsid w:val="002F765C"/>
    <w:rsid w:val="002F768F"/>
    <w:rsid w:val="002F795D"/>
    <w:rsid w:val="002F79F6"/>
    <w:rsid w:val="002F7AD2"/>
    <w:rsid w:val="002F7B1A"/>
    <w:rsid w:val="002F7CD2"/>
    <w:rsid w:val="002F7F0D"/>
    <w:rsid w:val="00300089"/>
    <w:rsid w:val="00300217"/>
    <w:rsid w:val="003002CF"/>
    <w:rsid w:val="00300471"/>
    <w:rsid w:val="00300486"/>
    <w:rsid w:val="003004D3"/>
    <w:rsid w:val="0030074E"/>
    <w:rsid w:val="00300A31"/>
    <w:rsid w:val="00300BD6"/>
    <w:rsid w:val="003010D3"/>
    <w:rsid w:val="003012A0"/>
    <w:rsid w:val="00301461"/>
    <w:rsid w:val="00301544"/>
    <w:rsid w:val="00301694"/>
    <w:rsid w:val="00301A0E"/>
    <w:rsid w:val="00301A26"/>
    <w:rsid w:val="00301E1D"/>
    <w:rsid w:val="00302113"/>
    <w:rsid w:val="003022C7"/>
    <w:rsid w:val="003023A1"/>
    <w:rsid w:val="003025E0"/>
    <w:rsid w:val="00302855"/>
    <w:rsid w:val="00302980"/>
    <w:rsid w:val="00302FED"/>
    <w:rsid w:val="003031DA"/>
    <w:rsid w:val="00303264"/>
    <w:rsid w:val="00303508"/>
    <w:rsid w:val="003035F5"/>
    <w:rsid w:val="003037D5"/>
    <w:rsid w:val="00303827"/>
    <w:rsid w:val="00303A1B"/>
    <w:rsid w:val="00303E36"/>
    <w:rsid w:val="00303EB3"/>
    <w:rsid w:val="00303F05"/>
    <w:rsid w:val="00303FCF"/>
    <w:rsid w:val="003041BA"/>
    <w:rsid w:val="0030433F"/>
    <w:rsid w:val="00304578"/>
    <w:rsid w:val="003047FA"/>
    <w:rsid w:val="00304CBE"/>
    <w:rsid w:val="00305057"/>
    <w:rsid w:val="0030511D"/>
    <w:rsid w:val="003054C2"/>
    <w:rsid w:val="003054CE"/>
    <w:rsid w:val="0030576C"/>
    <w:rsid w:val="0030578F"/>
    <w:rsid w:val="00305925"/>
    <w:rsid w:val="00305CAF"/>
    <w:rsid w:val="00305F1D"/>
    <w:rsid w:val="003062F5"/>
    <w:rsid w:val="003067B3"/>
    <w:rsid w:val="003068E1"/>
    <w:rsid w:val="00306A12"/>
    <w:rsid w:val="00306ACD"/>
    <w:rsid w:val="00306C8C"/>
    <w:rsid w:val="00306CB0"/>
    <w:rsid w:val="00306D8B"/>
    <w:rsid w:val="00306E71"/>
    <w:rsid w:val="00306F2C"/>
    <w:rsid w:val="0030732C"/>
    <w:rsid w:val="00307635"/>
    <w:rsid w:val="00307847"/>
    <w:rsid w:val="003078FD"/>
    <w:rsid w:val="00307C9F"/>
    <w:rsid w:val="00307CE6"/>
    <w:rsid w:val="0031012D"/>
    <w:rsid w:val="00310482"/>
    <w:rsid w:val="00310487"/>
    <w:rsid w:val="003104EB"/>
    <w:rsid w:val="0031070B"/>
    <w:rsid w:val="003107C2"/>
    <w:rsid w:val="00310832"/>
    <w:rsid w:val="00310C22"/>
    <w:rsid w:val="00310D88"/>
    <w:rsid w:val="00310EEC"/>
    <w:rsid w:val="00311047"/>
    <w:rsid w:val="003112A0"/>
    <w:rsid w:val="00311375"/>
    <w:rsid w:val="0031150E"/>
    <w:rsid w:val="00311706"/>
    <w:rsid w:val="003118E1"/>
    <w:rsid w:val="00311C99"/>
    <w:rsid w:val="00311ED6"/>
    <w:rsid w:val="00311F32"/>
    <w:rsid w:val="00311FAA"/>
    <w:rsid w:val="00311FCA"/>
    <w:rsid w:val="00312599"/>
    <w:rsid w:val="003126AB"/>
    <w:rsid w:val="0031280F"/>
    <w:rsid w:val="003128A8"/>
    <w:rsid w:val="0031298A"/>
    <w:rsid w:val="00312BC7"/>
    <w:rsid w:val="00312DFC"/>
    <w:rsid w:val="00312E34"/>
    <w:rsid w:val="00312E4A"/>
    <w:rsid w:val="00312E9F"/>
    <w:rsid w:val="00313630"/>
    <w:rsid w:val="003137D9"/>
    <w:rsid w:val="00313900"/>
    <w:rsid w:val="00313AEA"/>
    <w:rsid w:val="00313C2B"/>
    <w:rsid w:val="00313C4D"/>
    <w:rsid w:val="00313C95"/>
    <w:rsid w:val="00313FB4"/>
    <w:rsid w:val="00313FC2"/>
    <w:rsid w:val="0031400E"/>
    <w:rsid w:val="003140BD"/>
    <w:rsid w:val="0031454D"/>
    <w:rsid w:val="0031464F"/>
    <w:rsid w:val="00314679"/>
    <w:rsid w:val="0031490B"/>
    <w:rsid w:val="00314A61"/>
    <w:rsid w:val="00314DF4"/>
    <w:rsid w:val="003151F9"/>
    <w:rsid w:val="003154DC"/>
    <w:rsid w:val="00315547"/>
    <w:rsid w:val="003157E8"/>
    <w:rsid w:val="00315895"/>
    <w:rsid w:val="003159B3"/>
    <w:rsid w:val="00315A44"/>
    <w:rsid w:val="00315D23"/>
    <w:rsid w:val="00315DAE"/>
    <w:rsid w:val="00315E40"/>
    <w:rsid w:val="00315E99"/>
    <w:rsid w:val="00315EC7"/>
    <w:rsid w:val="0031639E"/>
    <w:rsid w:val="003167BF"/>
    <w:rsid w:val="00316822"/>
    <w:rsid w:val="00316A3C"/>
    <w:rsid w:val="00316B03"/>
    <w:rsid w:val="00316B85"/>
    <w:rsid w:val="00316C70"/>
    <w:rsid w:val="003172C3"/>
    <w:rsid w:val="00317404"/>
    <w:rsid w:val="00317814"/>
    <w:rsid w:val="00317CBB"/>
    <w:rsid w:val="0032017E"/>
    <w:rsid w:val="003201B5"/>
    <w:rsid w:val="0032070F"/>
    <w:rsid w:val="003207C0"/>
    <w:rsid w:val="003207DF"/>
    <w:rsid w:val="0032089E"/>
    <w:rsid w:val="003208C0"/>
    <w:rsid w:val="0032095A"/>
    <w:rsid w:val="00320B8E"/>
    <w:rsid w:val="003210AA"/>
    <w:rsid w:val="0032113B"/>
    <w:rsid w:val="00321650"/>
    <w:rsid w:val="003217C2"/>
    <w:rsid w:val="0032181F"/>
    <w:rsid w:val="003218B4"/>
    <w:rsid w:val="00321A18"/>
    <w:rsid w:val="00321C21"/>
    <w:rsid w:val="00321D5D"/>
    <w:rsid w:val="00321DB2"/>
    <w:rsid w:val="00321F3C"/>
    <w:rsid w:val="00322329"/>
    <w:rsid w:val="003227A0"/>
    <w:rsid w:val="00322C5F"/>
    <w:rsid w:val="00322F7D"/>
    <w:rsid w:val="00322FF3"/>
    <w:rsid w:val="0032319B"/>
    <w:rsid w:val="00323349"/>
    <w:rsid w:val="00323616"/>
    <w:rsid w:val="003237E0"/>
    <w:rsid w:val="0032386C"/>
    <w:rsid w:val="00323B81"/>
    <w:rsid w:val="00323C77"/>
    <w:rsid w:val="00324045"/>
    <w:rsid w:val="00324139"/>
    <w:rsid w:val="003244D8"/>
    <w:rsid w:val="003249A9"/>
    <w:rsid w:val="00324A52"/>
    <w:rsid w:val="00324CE7"/>
    <w:rsid w:val="00324E77"/>
    <w:rsid w:val="003250A2"/>
    <w:rsid w:val="003252D6"/>
    <w:rsid w:val="00325403"/>
    <w:rsid w:val="0032547B"/>
    <w:rsid w:val="0032559A"/>
    <w:rsid w:val="0032575D"/>
    <w:rsid w:val="00325AAA"/>
    <w:rsid w:val="00325BE8"/>
    <w:rsid w:val="00325F1F"/>
    <w:rsid w:val="0032625B"/>
    <w:rsid w:val="00326287"/>
    <w:rsid w:val="003263BA"/>
    <w:rsid w:val="003265C7"/>
    <w:rsid w:val="00326B35"/>
    <w:rsid w:val="00326BB2"/>
    <w:rsid w:val="003271E4"/>
    <w:rsid w:val="00327247"/>
    <w:rsid w:val="0032789D"/>
    <w:rsid w:val="00327967"/>
    <w:rsid w:val="00327A47"/>
    <w:rsid w:val="00327A8E"/>
    <w:rsid w:val="00327B38"/>
    <w:rsid w:val="00330592"/>
    <w:rsid w:val="003307A0"/>
    <w:rsid w:val="00330958"/>
    <w:rsid w:val="0033099C"/>
    <w:rsid w:val="003309E4"/>
    <w:rsid w:val="00330E09"/>
    <w:rsid w:val="00331B22"/>
    <w:rsid w:val="00331C1F"/>
    <w:rsid w:val="00331ED8"/>
    <w:rsid w:val="00331F4C"/>
    <w:rsid w:val="0033213B"/>
    <w:rsid w:val="0033218E"/>
    <w:rsid w:val="003322BA"/>
    <w:rsid w:val="003326CC"/>
    <w:rsid w:val="003328E5"/>
    <w:rsid w:val="003329B7"/>
    <w:rsid w:val="00332ACA"/>
    <w:rsid w:val="00332B1C"/>
    <w:rsid w:val="00332CFB"/>
    <w:rsid w:val="00332FD3"/>
    <w:rsid w:val="00333103"/>
    <w:rsid w:val="003336BD"/>
    <w:rsid w:val="0033393E"/>
    <w:rsid w:val="00334228"/>
    <w:rsid w:val="003342DC"/>
    <w:rsid w:val="0033433B"/>
    <w:rsid w:val="0033435E"/>
    <w:rsid w:val="00334598"/>
    <w:rsid w:val="0033486C"/>
    <w:rsid w:val="003348E2"/>
    <w:rsid w:val="00334B5F"/>
    <w:rsid w:val="00334C73"/>
    <w:rsid w:val="00335234"/>
    <w:rsid w:val="00335319"/>
    <w:rsid w:val="00335326"/>
    <w:rsid w:val="003353AB"/>
    <w:rsid w:val="0033542E"/>
    <w:rsid w:val="0033584B"/>
    <w:rsid w:val="003358E3"/>
    <w:rsid w:val="00335931"/>
    <w:rsid w:val="00335AC3"/>
    <w:rsid w:val="00335C6D"/>
    <w:rsid w:val="00335C8F"/>
    <w:rsid w:val="00335CCB"/>
    <w:rsid w:val="00335F44"/>
    <w:rsid w:val="0033612F"/>
    <w:rsid w:val="00336241"/>
    <w:rsid w:val="0033635C"/>
    <w:rsid w:val="00336453"/>
    <w:rsid w:val="0033665E"/>
    <w:rsid w:val="003366E4"/>
    <w:rsid w:val="00336878"/>
    <w:rsid w:val="00336C0E"/>
    <w:rsid w:val="00336D12"/>
    <w:rsid w:val="00336E6B"/>
    <w:rsid w:val="00336EE2"/>
    <w:rsid w:val="00337063"/>
    <w:rsid w:val="00337078"/>
    <w:rsid w:val="003370BB"/>
    <w:rsid w:val="0033717C"/>
    <w:rsid w:val="003376EC"/>
    <w:rsid w:val="003377CB"/>
    <w:rsid w:val="003378BA"/>
    <w:rsid w:val="00337903"/>
    <w:rsid w:val="00337A5A"/>
    <w:rsid w:val="00337A71"/>
    <w:rsid w:val="00337F55"/>
    <w:rsid w:val="0034012E"/>
    <w:rsid w:val="003402C6"/>
    <w:rsid w:val="00340311"/>
    <w:rsid w:val="003405D4"/>
    <w:rsid w:val="00340778"/>
    <w:rsid w:val="0034090B"/>
    <w:rsid w:val="00340CB3"/>
    <w:rsid w:val="00340E80"/>
    <w:rsid w:val="00340E88"/>
    <w:rsid w:val="003417DC"/>
    <w:rsid w:val="003417F0"/>
    <w:rsid w:val="00341965"/>
    <w:rsid w:val="00341BCE"/>
    <w:rsid w:val="00341E9F"/>
    <w:rsid w:val="00341FBA"/>
    <w:rsid w:val="00341FD4"/>
    <w:rsid w:val="0034200B"/>
    <w:rsid w:val="0034232D"/>
    <w:rsid w:val="00342333"/>
    <w:rsid w:val="0034314A"/>
    <w:rsid w:val="00343166"/>
    <w:rsid w:val="0034320C"/>
    <w:rsid w:val="0034337C"/>
    <w:rsid w:val="00343741"/>
    <w:rsid w:val="00343749"/>
    <w:rsid w:val="003437B6"/>
    <w:rsid w:val="0034384D"/>
    <w:rsid w:val="00343885"/>
    <w:rsid w:val="00343CDA"/>
    <w:rsid w:val="00343D77"/>
    <w:rsid w:val="00344055"/>
    <w:rsid w:val="00344170"/>
    <w:rsid w:val="0034419D"/>
    <w:rsid w:val="003441A4"/>
    <w:rsid w:val="00344207"/>
    <w:rsid w:val="0034446B"/>
    <w:rsid w:val="003444CA"/>
    <w:rsid w:val="0034461C"/>
    <w:rsid w:val="0034469C"/>
    <w:rsid w:val="00344F2A"/>
    <w:rsid w:val="00345206"/>
    <w:rsid w:val="0034561E"/>
    <w:rsid w:val="00345744"/>
    <w:rsid w:val="0034594C"/>
    <w:rsid w:val="00345990"/>
    <w:rsid w:val="003459EB"/>
    <w:rsid w:val="00345F31"/>
    <w:rsid w:val="0034634A"/>
    <w:rsid w:val="00346390"/>
    <w:rsid w:val="00346507"/>
    <w:rsid w:val="00346609"/>
    <w:rsid w:val="00346758"/>
    <w:rsid w:val="0034690A"/>
    <w:rsid w:val="00346A95"/>
    <w:rsid w:val="00346AB0"/>
    <w:rsid w:val="0034703C"/>
    <w:rsid w:val="003471B7"/>
    <w:rsid w:val="00347206"/>
    <w:rsid w:val="00347375"/>
    <w:rsid w:val="00347665"/>
    <w:rsid w:val="0034766B"/>
    <w:rsid w:val="003476CB"/>
    <w:rsid w:val="0034773B"/>
    <w:rsid w:val="003479D8"/>
    <w:rsid w:val="00347BB2"/>
    <w:rsid w:val="00347FBA"/>
    <w:rsid w:val="0035001E"/>
    <w:rsid w:val="00350204"/>
    <w:rsid w:val="003502F9"/>
    <w:rsid w:val="00350463"/>
    <w:rsid w:val="003504AA"/>
    <w:rsid w:val="003504AF"/>
    <w:rsid w:val="003505AF"/>
    <w:rsid w:val="00350A2B"/>
    <w:rsid w:val="00350C7D"/>
    <w:rsid w:val="00350D2E"/>
    <w:rsid w:val="00350E9E"/>
    <w:rsid w:val="003510B4"/>
    <w:rsid w:val="00351428"/>
    <w:rsid w:val="0035166C"/>
    <w:rsid w:val="003517AD"/>
    <w:rsid w:val="00351AD8"/>
    <w:rsid w:val="00351E02"/>
    <w:rsid w:val="00352445"/>
    <w:rsid w:val="00352579"/>
    <w:rsid w:val="00352711"/>
    <w:rsid w:val="00353918"/>
    <w:rsid w:val="00353929"/>
    <w:rsid w:val="003539F9"/>
    <w:rsid w:val="00353B67"/>
    <w:rsid w:val="00353D1B"/>
    <w:rsid w:val="00353F31"/>
    <w:rsid w:val="00354079"/>
    <w:rsid w:val="003541C1"/>
    <w:rsid w:val="003542F1"/>
    <w:rsid w:val="003543C1"/>
    <w:rsid w:val="00354500"/>
    <w:rsid w:val="00354530"/>
    <w:rsid w:val="003547F1"/>
    <w:rsid w:val="00354B7B"/>
    <w:rsid w:val="00354BD5"/>
    <w:rsid w:val="00354DD1"/>
    <w:rsid w:val="00354EAD"/>
    <w:rsid w:val="00355233"/>
    <w:rsid w:val="003554D7"/>
    <w:rsid w:val="00355716"/>
    <w:rsid w:val="00355766"/>
    <w:rsid w:val="0035577B"/>
    <w:rsid w:val="003558D3"/>
    <w:rsid w:val="003559DF"/>
    <w:rsid w:val="00355B86"/>
    <w:rsid w:val="00355E8E"/>
    <w:rsid w:val="00356679"/>
    <w:rsid w:val="003566E5"/>
    <w:rsid w:val="00356C04"/>
    <w:rsid w:val="00356C30"/>
    <w:rsid w:val="00356D11"/>
    <w:rsid w:val="00356E73"/>
    <w:rsid w:val="00356ED9"/>
    <w:rsid w:val="003570A7"/>
    <w:rsid w:val="003572B5"/>
    <w:rsid w:val="003572FF"/>
    <w:rsid w:val="00357348"/>
    <w:rsid w:val="003573EE"/>
    <w:rsid w:val="00357A8E"/>
    <w:rsid w:val="00357B85"/>
    <w:rsid w:val="00357CFA"/>
    <w:rsid w:val="00357CFD"/>
    <w:rsid w:val="00357D50"/>
    <w:rsid w:val="00357F55"/>
    <w:rsid w:val="003600FD"/>
    <w:rsid w:val="00360234"/>
    <w:rsid w:val="0036041E"/>
    <w:rsid w:val="00360546"/>
    <w:rsid w:val="00360589"/>
    <w:rsid w:val="003608B7"/>
    <w:rsid w:val="00360B19"/>
    <w:rsid w:val="00360D94"/>
    <w:rsid w:val="00360E13"/>
    <w:rsid w:val="00361137"/>
    <w:rsid w:val="003612DE"/>
    <w:rsid w:val="003613DB"/>
    <w:rsid w:val="003613EC"/>
    <w:rsid w:val="003617F9"/>
    <w:rsid w:val="003618B9"/>
    <w:rsid w:val="00361A65"/>
    <w:rsid w:val="00361AD0"/>
    <w:rsid w:val="00361B0E"/>
    <w:rsid w:val="00361B1F"/>
    <w:rsid w:val="00361C05"/>
    <w:rsid w:val="00361DB0"/>
    <w:rsid w:val="00361E65"/>
    <w:rsid w:val="0036204E"/>
    <w:rsid w:val="00362427"/>
    <w:rsid w:val="00362475"/>
    <w:rsid w:val="003625B5"/>
    <w:rsid w:val="003629D8"/>
    <w:rsid w:val="00362AC5"/>
    <w:rsid w:val="00362BC0"/>
    <w:rsid w:val="00362EA8"/>
    <w:rsid w:val="00363101"/>
    <w:rsid w:val="003635C7"/>
    <w:rsid w:val="003635E1"/>
    <w:rsid w:val="00363A56"/>
    <w:rsid w:val="00363C0C"/>
    <w:rsid w:val="00363C3E"/>
    <w:rsid w:val="0036414B"/>
    <w:rsid w:val="00364164"/>
    <w:rsid w:val="003645FE"/>
    <w:rsid w:val="00364D9D"/>
    <w:rsid w:val="0036508A"/>
    <w:rsid w:val="00365700"/>
    <w:rsid w:val="00365CBF"/>
    <w:rsid w:val="00365D56"/>
    <w:rsid w:val="00365DFC"/>
    <w:rsid w:val="00365E9A"/>
    <w:rsid w:val="0036688D"/>
    <w:rsid w:val="00366993"/>
    <w:rsid w:val="00366C9C"/>
    <w:rsid w:val="00366CD5"/>
    <w:rsid w:val="00366D52"/>
    <w:rsid w:val="00366E0F"/>
    <w:rsid w:val="00366F3D"/>
    <w:rsid w:val="0036706A"/>
    <w:rsid w:val="003670C4"/>
    <w:rsid w:val="0036711A"/>
    <w:rsid w:val="0036719B"/>
    <w:rsid w:val="00367344"/>
    <w:rsid w:val="003676E1"/>
    <w:rsid w:val="00370A2B"/>
    <w:rsid w:val="00370A9F"/>
    <w:rsid w:val="00370AA2"/>
    <w:rsid w:val="00370E47"/>
    <w:rsid w:val="00370F2B"/>
    <w:rsid w:val="00370FE1"/>
    <w:rsid w:val="0037114F"/>
    <w:rsid w:val="003713F7"/>
    <w:rsid w:val="003718AD"/>
    <w:rsid w:val="00371979"/>
    <w:rsid w:val="00371E24"/>
    <w:rsid w:val="0037223A"/>
    <w:rsid w:val="0037249F"/>
    <w:rsid w:val="003725DE"/>
    <w:rsid w:val="00372770"/>
    <w:rsid w:val="003729FE"/>
    <w:rsid w:val="00372D13"/>
    <w:rsid w:val="00373519"/>
    <w:rsid w:val="00373755"/>
    <w:rsid w:val="00373C10"/>
    <w:rsid w:val="00373CB3"/>
    <w:rsid w:val="00373D3C"/>
    <w:rsid w:val="00374205"/>
    <w:rsid w:val="00374726"/>
    <w:rsid w:val="003747B3"/>
    <w:rsid w:val="0037486E"/>
    <w:rsid w:val="00374A32"/>
    <w:rsid w:val="00374C5A"/>
    <w:rsid w:val="00374C6E"/>
    <w:rsid w:val="003754B2"/>
    <w:rsid w:val="0037563E"/>
    <w:rsid w:val="0037584C"/>
    <w:rsid w:val="003759AF"/>
    <w:rsid w:val="00375D63"/>
    <w:rsid w:val="00375F44"/>
    <w:rsid w:val="0037656B"/>
    <w:rsid w:val="0037673C"/>
    <w:rsid w:val="0037692C"/>
    <w:rsid w:val="00377026"/>
    <w:rsid w:val="003771BD"/>
    <w:rsid w:val="00377277"/>
    <w:rsid w:val="00377283"/>
    <w:rsid w:val="0037744A"/>
    <w:rsid w:val="003777A5"/>
    <w:rsid w:val="0037783C"/>
    <w:rsid w:val="00377BEA"/>
    <w:rsid w:val="00377CF5"/>
    <w:rsid w:val="00377DA9"/>
    <w:rsid w:val="00377E56"/>
    <w:rsid w:val="00377EC9"/>
    <w:rsid w:val="00377FF1"/>
    <w:rsid w:val="00380383"/>
    <w:rsid w:val="00380508"/>
    <w:rsid w:val="003805D7"/>
    <w:rsid w:val="0038066B"/>
    <w:rsid w:val="003806EC"/>
    <w:rsid w:val="00380714"/>
    <w:rsid w:val="00380782"/>
    <w:rsid w:val="003809EB"/>
    <w:rsid w:val="00380A43"/>
    <w:rsid w:val="00380C30"/>
    <w:rsid w:val="00380C6C"/>
    <w:rsid w:val="00380E08"/>
    <w:rsid w:val="00381778"/>
    <w:rsid w:val="003819B5"/>
    <w:rsid w:val="003819D6"/>
    <w:rsid w:val="003819F0"/>
    <w:rsid w:val="00381A4C"/>
    <w:rsid w:val="00381C80"/>
    <w:rsid w:val="00381CEB"/>
    <w:rsid w:val="003822D1"/>
    <w:rsid w:val="0038236C"/>
    <w:rsid w:val="003824B1"/>
    <w:rsid w:val="003826BB"/>
    <w:rsid w:val="003826BD"/>
    <w:rsid w:val="00382AEE"/>
    <w:rsid w:val="00382CC6"/>
    <w:rsid w:val="00382DFF"/>
    <w:rsid w:val="00382FDC"/>
    <w:rsid w:val="003830BB"/>
    <w:rsid w:val="0038332E"/>
    <w:rsid w:val="0038349A"/>
    <w:rsid w:val="0038365A"/>
    <w:rsid w:val="003836D8"/>
    <w:rsid w:val="00383948"/>
    <w:rsid w:val="0038425E"/>
    <w:rsid w:val="00384331"/>
    <w:rsid w:val="0038458E"/>
    <w:rsid w:val="003848FE"/>
    <w:rsid w:val="00384A62"/>
    <w:rsid w:val="00384C12"/>
    <w:rsid w:val="00384E77"/>
    <w:rsid w:val="00385445"/>
    <w:rsid w:val="003854E7"/>
    <w:rsid w:val="00385EC4"/>
    <w:rsid w:val="00386224"/>
    <w:rsid w:val="00386346"/>
    <w:rsid w:val="00386681"/>
    <w:rsid w:val="003866C6"/>
    <w:rsid w:val="003866D6"/>
    <w:rsid w:val="003867B0"/>
    <w:rsid w:val="0038684A"/>
    <w:rsid w:val="00386AD7"/>
    <w:rsid w:val="00386AE5"/>
    <w:rsid w:val="00386B51"/>
    <w:rsid w:val="00386BDC"/>
    <w:rsid w:val="00386C14"/>
    <w:rsid w:val="00386EF1"/>
    <w:rsid w:val="00386F8D"/>
    <w:rsid w:val="00387157"/>
    <w:rsid w:val="003872D3"/>
    <w:rsid w:val="00387456"/>
    <w:rsid w:val="00387734"/>
    <w:rsid w:val="003878EC"/>
    <w:rsid w:val="00387917"/>
    <w:rsid w:val="00387A7A"/>
    <w:rsid w:val="00387E2A"/>
    <w:rsid w:val="00387F73"/>
    <w:rsid w:val="003900BD"/>
    <w:rsid w:val="00390424"/>
    <w:rsid w:val="0039042D"/>
    <w:rsid w:val="0039048B"/>
    <w:rsid w:val="003907EB"/>
    <w:rsid w:val="003909A9"/>
    <w:rsid w:val="00390A37"/>
    <w:rsid w:val="00390CFE"/>
    <w:rsid w:val="00390D5B"/>
    <w:rsid w:val="00390F4F"/>
    <w:rsid w:val="00391444"/>
    <w:rsid w:val="0039157F"/>
    <w:rsid w:val="003919EE"/>
    <w:rsid w:val="00391AE9"/>
    <w:rsid w:val="00391BFC"/>
    <w:rsid w:val="00391C43"/>
    <w:rsid w:val="003925DC"/>
    <w:rsid w:val="00392B6F"/>
    <w:rsid w:val="00392BE3"/>
    <w:rsid w:val="00392E72"/>
    <w:rsid w:val="003931D5"/>
    <w:rsid w:val="003931E8"/>
    <w:rsid w:val="00393332"/>
    <w:rsid w:val="003937DD"/>
    <w:rsid w:val="003939D9"/>
    <w:rsid w:val="00393A2B"/>
    <w:rsid w:val="00393AC1"/>
    <w:rsid w:val="0039410C"/>
    <w:rsid w:val="003941E4"/>
    <w:rsid w:val="0039460A"/>
    <w:rsid w:val="00394695"/>
    <w:rsid w:val="00394AAF"/>
    <w:rsid w:val="00394B77"/>
    <w:rsid w:val="00394C36"/>
    <w:rsid w:val="00394C59"/>
    <w:rsid w:val="00394E82"/>
    <w:rsid w:val="00394E85"/>
    <w:rsid w:val="00394F38"/>
    <w:rsid w:val="003951A5"/>
    <w:rsid w:val="003952C0"/>
    <w:rsid w:val="003954A8"/>
    <w:rsid w:val="00395596"/>
    <w:rsid w:val="003958A5"/>
    <w:rsid w:val="00395A5D"/>
    <w:rsid w:val="00395B53"/>
    <w:rsid w:val="00395B88"/>
    <w:rsid w:val="00395D1D"/>
    <w:rsid w:val="00396485"/>
    <w:rsid w:val="003965DD"/>
    <w:rsid w:val="00396836"/>
    <w:rsid w:val="00396BD2"/>
    <w:rsid w:val="003971ED"/>
    <w:rsid w:val="0039726B"/>
    <w:rsid w:val="00397349"/>
    <w:rsid w:val="00397AD8"/>
    <w:rsid w:val="00397CAC"/>
    <w:rsid w:val="00397D6F"/>
    <w:rsid w:val="00397D8C"/>
    <w:rsid w:val="00397F6E"/>
    <w:rsid w:val="003A00D1"/>
    <w:rsid w:val="003A0455"/>
    <w:rsid w:val="003A0791"/>
    <w:rsid w:val="003A09F2"/>
    <w:rsid w:val="003A09F8"/>
    <w:rsid w:val="003A0AEF"/>
    <w:rsid w:val="003A0CE7"/>
    <w:rsid w:val="003A0F53"/>
    <w:rsid w:val="003A16AA"/>
    <w:rsid w:val="003A1934"/>
    <w:rsid w:val="003A1964"/>
    <w:rsid w:val="003A1BD4"/>
    <w:rsid w:val="003A20AA"/>
    <w:rsid w:val="003A2119"/>
    <w:rsid w:val="003A2148"/>
    <w:rsid w:val="003A2353"/>
    <w:rsid w:val="003A243C"/>
    <w:rsid w:val="003A25F1"/>
    <w:rsid w:val="003A26C4"/>
    <w:rsid w:val="003A2914"/>
    <w:rsid w:val="003A2A06"/>
    <w:rsid w:val="003A2A52"/>
    <w:rsid w:val="003A2A67"/>
    <w:rsid w:val="003A2A75"/>
    <w:rsid w:val="003A2AA1"/>
    <w:rsid w:val="003A2E0D"/>
    <w:rsid w:val="003A315A"/>
    <w:rsid w:val="003A3173"/>
    <w:rsid w:val="003A32B7"/>
    <w:rsid w:val="003A3649"/>
    <w:rsid w:val="003A3696"/>
    <w:rsid w:val="003A3A29"/>
    <w:rsid w:val="003A3E35"/>
    <w:rsid w:val="003A3F21"/>
    <w:rsid w:val="003A3F5F"/>
    <w:rsid w:val="003A407D"/>
    <w:rsid w:val="003A43A3"/>
    <w:rsid w:val="003A4585"/>
    <w:rsid w:val="003A4653"/>
    <w:rsid w:val="003A47CA"/>
    <w:rsid w:val="003A4AAD"/>
    <w:rsid w:val="003A4C78"/>
    <w:rsid w:val="003A4CE4"/>
    <w:rsid w:val="003A4DA6"/>
    <w:rsid w:val="003A4DF9"/>
    <w:rsid w:val="003A4EF9"/>
    <w:rsid w:val="003A4F30"/>
    <w:rsid w:val="003A5883"/>
    <w:rsid w:val="003A5A22"/>
    <w:rsid w:val="003A5B0B"/>
    <w:rsid w:val="003A5C24"/>
    <w:rsid w:val="003A5C73"/>
    <w:rsid w:val="003A5F87"/>
    <w:rsid w:val="003A5FFA"/>
    <w:rsid w:val="003A6007"/>
    <w:rsid w:val="003A604B"/>
    <w:rsid w:val="003A609A"/>
    <w:rsid w:val="003A6215"/>
    <w:rsid w:val="003A623E"/>
    <w:rsid w:val="003A6361"/>
    <w:rsid w:val="003A6948"/>
    <w:rsid w:val="003A7032"/>
    <w:rsid w:val="003A745E"/>
    <w:rsid w:val="003A7471"/>
    <w:rsid w:val="003A756A"/>
    <w:rsid w:val="003A75CC"/>
    <w:rsid w:val="003A76B5"/>
    <w:rsid w:val="003A77E3"/>
    <w:rsid w:val="003A790B"/>
    <w:rsid w:val="003A7ABA"/>
    <w:rsid w:val="003A7B22"/>
    <w:rsid w:val="003B0053"/>
    <w:rsid w:val="003B0067"/>
    <w:rsid w:val="003B01D1"/>
    <w:rsid w:val="003B0427"/>
    <w:rsid w:val="003B0550"/>
    <w:rsid w:val="003B05B4"/>
    <w:rsid w:val="003B066A"/>
    <w:rsid w:val="003B0B9C"/>
    <w:rsid w:val="003B0C6F"/>
    <w:rsid w:val="003B0E88"/>
    <w:rsid w:val="003B11D5"/>
    <w:rsid w:val="003B13E9"/>
    <w:rsid w:val="003B1560"/>
    <w:rsid w:val="003B16D2"/>
    <w:rsid w:val="003B180F"/>
    <w:rsid w:val="003B1A95"/>
    <w:rsid w:val="003B1B63"/>
    <w:rsid w:val="003B1DC5"/>
    <w:rsid w:val="003B1ED6"/>
    <w:rsid w:val="003B2934"/>
    <w:rsid w:val="003B2A0E"/>
    <w:rsid w:val="003B2BFD"/>
    <w:rsid w:val="003B2DB6"/>
    <w:rsid w:val="003B2E51"/>
    <w:rsid w:val="003B31E6"/>
    <w:rsid w:val="003B32F8"/>
    <w:rsid w:val="003B33E9"/>
    <w:rsid w:val="003B3471"/>
    <w:rsid w:val="003B379A"/>
    <w:rsid w:val="003B3A4B"/>
    <w:rsid w:val="003B3B2B"/>
    <w:rsid w:val="003B3B76"/>
    <w:rsid w:val="003B3C24"/>
    <w:rsid w:val="003B3D32"/>
    <w:rsid w:val="003B3EFC"/>
    <w:rsid w:val="003B4198"/>
    <w:rsid w:val="003B47A5"/>
    <w:rsid w:val="003B4889"/>
    <w:rsid w:val="003B4983"/>
    <w:rsid w:val="003B4A3C"/>
    <w:rsid w:val="003B4AB9"/>
    <w:rsid w:val="003B4B3F"/>
    <w:rsid w:val="003B4CA0"/>
    <w:rsid w:val="003B4D1A"/>
    <w:rsid w:val="003B4D69"/>
    <w:rsid w:val="003B5448"/>
    <w:rsid w:val="003B581A"/>
    <w:rsid w:val="003B5ABE"/>
    <w:rsid w:val="003B5F7B"/>
    <w:rsid w:val="003B6275"/>
    <w:rsid w:val="003B62A4"/>
    <w:rsid w:val="003B637D"/>
    <w:rsid w:val="003B66F9"/>
    <w:rsid w:val="003B6894"/>
    <w:rsid w:val="003B6909"/>
    <w:rsid w:val="003B694F"/>
    <w:rsid w:val="003B69DF"/>
    <w:rsid w:val="003B6D6C"/>
    <w:rsid w:val="003B6E6C"/>
    <w:rsid w:val="003B7060"/>
    <w:rsid w:val="003B7995"/>
    <w:rsid w:val="003B7CC8"/>
    <w:rsid w:val="003C00FB"/>
    <w:rsid w:val="003C025B"/>
    <w:rsid w:val="003C031B"/>
    <w:rsid w:val="003C0596"/>
    <w:rsid w:val="003C082A"/>
    <w:rsid w:val="003C0901"/>
    <w:rsid w:val="003C0DDA"/>
    <w:rsid w:val="003C0FB6"/>
    <w:rsid w:val="003C0FF5"/>
    <w:rsid w:val="003C12C6"/>
    <w:rsid w:val="003C14BA"/>
    <w:rsid w:val="003C1596"/>
    <w:rsid w:val="003C1A42"/>
    <w:rsid w:val="003C1B06"/>
    <w:rsid w:val="003C1D73"/>
    <w:rsid w:val="003C1E15"/>
    <w:rsid w:val="003C1F93"/>
    <w:rsid w:val="003C22DC"/>
    <w:rsid w:val="003C22E1"/>
    <w:rsid w:val="003C2311"/>
    <w:rsid w:val="003C23E4"/>
    <w:rsid w:val="003C2687"/>
    <w:rsid w:val="003C27F6"/>
    <w:rsid w:val="003C2805"/>
    <w:rsid w:val="003C2902"/>
    <w:rsid w:val="003C2982"/>
    <w:rsid w:val="003C2A40"/>
    <w:rsid w:val="003C2AD0"/>
    <w:rsid w:val="003C31A3"/>
    <w:rsid w:val="003C3297"/>
    <w:rsid w:val="003C37AD"/>
    <w:rsid w:val="003C3A04"/>
    <w:rsid w:val="003C3BCB"/>
    <w:rsid w:val="003C3DE8"/>
    <w:rsid w:val="003C3EC2"/>
    <w:rsid w:val="003C40FD"/>
    <w:rsid w:val="003C411F"/>
    <w:rsid w:val="003C4126"/>
    <w:rsid w:val="003C41EC"/>
    <w:rsid w:val="003C43CC"/>
    <w:rsid w:val="003C46C4"/>
    <w:rsid w:val="003C4767"/>
    <w:rsid w:val="003C47C5"/>
    <w:rsid w:val="003C4866"/>
    <w:rsid w:val="003C4A69"/>
    <w:rsid w:val="003C4BC8"/>
    <w:rsid w:val="003C4C8D"/>
    <w:rsid w:val="003C4D24"/>
    <w:rsid w:val="003C4D7E"/>
    <w:rsid w:val="003C4E95"/>
    <w:rsid w:val="003C5148"/>
    <w:rsid w:val="003C517C"/>
    <w:rsid w:val="003C54C0"/>
    <w:rsid w:val="003C56CE"/>
    <w:rsid w:val="003C59EA"/>
    <w:rsid w:val="003C5ABB"/>
    <w:rsid w:val="003C5CEA"/>
    <w:rsid w:val="003C5EFF"/>
    <w:rsid w:val="003C5F04"/>
    <w:rsid w:val="003C613B"/>
    <w:rsid w:val="003C63B6"/>
    <w:rsid w:val="003C6764"/>
    <w:rsid w:val="003C67F1"/>
    <w:rsid w:val="003C6A1B"/>
    <w:rsid w:val="003C6BE4"/>
    <w:rsid w:val="003C6FB8"/>
    <w:rsid w:val="003C6FC0"/>
    <w:rsid w:val="003C70BC"/>
    <w:rsid w:val="003C72CD"/>
    <w:rsid w:val="003C7311"/>
    <w:rsid w:val="003C76BB"/>
    <w:rsid w:val="003C76BC"/>
    <w:rsid w:val="003C7851"/>
    <w:rsid w:val="003C79CE"/>
    <w:rsid w:val="003C7AC7"/>
    <w:rsid w:val="003C7D92"/>
    <w:rsid w:val="003C7E80"/>
    <w:rsid w:val="003C7F2C"/>
    <w:rsid w:val="003D012A"/>
    <w:rsid w:val="003D08EE"/>
    <w:rsid w:val="003D0BA2"/>
    <w:rsid w:val="003D0BA8"/>
    <w:rsid w:val="003D0EBA"/>
    <w:rsid w:val="003D102C"/>
    <w:rsid w:val="003D107A"/>
    <w:rsid w:val="003D1091"/>
    <w:rsid w:val="003D12D0"/>
    <w:rsid w:val="003D1499"/>
    <w:rsid w:val="003D14D6"/>
    <w:rsid w:val="003D1815"/>
    <w:rsid w:val="003D1B5C"/>
    <w:rsid w:val="003D20A8"/>
    <w:rsid w:val="003D20B8"/>
    <w:rsid w:val="003D20CC"/>
    <w:rsid w:val="003D2252"/>
    <w:rsid w:val="003D2CEF"/>
    <w:rsid w:val="003D2F54"/>
    <w:rsid w:val="003D3013"/>
    <w:rsid w:val="003D31D9"/>
    <w:rsid w:val="003D32FD"/>
    <w:rsid w:val="003D37CB"/>
    <w:rsid w:val="003D38A1"/>
    <w:rsid w:val="003D39C9"/>
    <w:rsid w:val="003D3B30"/>
    <w:rsid w:val="003D3D52"/>
    <w:rsid w:val="003D3DF1"/>
    <w:rsid w:val="003D4242"/>
    <w:rsid w:val="003D42D9"/>
    <w:rsid w:val="003D4516"/>
    <w:rsid w:val="003D451A"/>
    <w:rsid w:val="003D4577"/>
    <w:rsid w:val="003D46DA"/>
    <w:rsid w:val="003D4A14"/>
    <w:rsid w:val="003D4BF8"/>
    <w:rsid w:val="003D4CD8"/>
    <w:rsid w:val="003D5423"/>
    <w:rsid w:val="003D55DA"/>
    <w:rsid w:val="003D56C5"/>
    <w:rsid w:val="003D59DD"/>
    <w:rsid w:val="003D5D25"/>
    <w:rsid w:val="003D5D69"/>
    <w:rsid w:val="003D6245"/>
    <w:rsid w:val="003D6285"/>
    <w:rsid w:val="003D63D8"/>
    <w:rsid w:val="003D63F6"/>
    <w:rsid w:val="003D65E6"/>
    <w:rsid w:val="003D66D6"/>
    <w:rsid w:val="003D6772"/>
    <w:rsid w:val="003D6778"/>
    <w:rsid w:val="003D677E"/>
    <w:rsid w:val="003D6788"/>
    <w:rsid w:val="003D6BF0"/>
    <w:rsid w:val="003D6CF1"/>
    <w:rsid w:val="003D6D5E"/>
    <w:rsid w:val="003D6DE5"/>
    <w:rsid w:val="003D6EB4"/>
    <w:rsid w:val="003D6F07"/>
    <w:rsid w:val="003D7018"/>
    <w:rsid w:val="003D7209"/>
    <w:rsid w:val="003D721B"/>
    <w:rsid w:val="003D7654"/>
    <w:rsid w:val="003D7AF7"/>
    <w:rsid w:val="003D7C9B"/>
    <w:rsid w:val="003D7CFB"/>
    <w:rsid w:val="003D7EF0"/>
    <w:rsid w:val="003E00C3"/>
    <w:rsid w:val="003E05D1"/>
    <w:rsid w:val="003E0912"/>
    <w:rsid w:val="003E0A0D"/>
    <w:rsid w:val="003E0AAB"/>
    <w:rsid w:val="003E0AFA"/>
    <w:rsid w:val="003E0BA4"/>
    <w:rsid w:val="003E0C95"/>
    <w:rsid w:val="003E0CE1"/>
    <w:rsid w:val="003E0E73"/>
    <w:rsid w:val="003E0F78"/>
    <w:rsid w:val="003E12AE"/>
    <w:rsid w:val="003E1539"/>
    <w:rsid w:val="003E18CD"/>
    <w:rsid w:val="003E1E05"/>
    <w:rsid w:val="003E1E46"/>
    <w:rsid w:val="003E20E3"/>
    <w:rsid w:val="003E2315"/>
    <w:rsid w:val="003E242F"/>
    <w:rsid w:val="003E2448"/>
    <w:rsid w:val="003E2615"/>
    <w:rsid w:val="003E271E"/>
    <w:rsid w:val="003E27B0"/>
    <w:rsid w:val="003E27C8"/>
    <w:rsid w:val="003E298A"/>
    <w:rsid w:val="003E2A39"/>
    <w:rsid w:val="003E2AC7"/>
    <w:rsid w:val="003E2C59"/>
    <w:rsid w:val="003E2CC7"/>
    <w:rsid w:val="003E2D61"/>
    <w:rsid w:val="003E2D9D"/>
    <w:rsid w:val="003E305F"/>
    <w:rsid w:val="003E3237"/>
    <w:rsid w:val="003E337A"/>
    <w:rsid w:val="003E33A3"/>
    <w:rsid w:val="003E33EA"/>
    <w:rsid w:val="003E353A"/>
    <w:rsid w:val="003E38C7"/>
    <w:rsid w:val="003E38CD"/>
    <w:rsid w:val="003E3D63"/>
    <w:rsid w:val="003E3F72"/>
    <w:rsid w:val="003E3FAD"/>
    <w:rsid w:val="003E40C1"/>
    <w:rsid w:val="003E459E"/>
    <w:rsid w:val="003E45D3"/>
    <w:rsid w:val="003E4651"/>
    <w:rsid w:val="003E472A"/>
    <w:rsid w:val="003E4B41"/>
    <w:rsid w:val="003E4FFA"/>
    <w:rsid w:val="003E50FF"/>
    <w:rsid w:val="003E56AF"/>
    <w:rsid w:val="003E588A"/>
    <w:rsid w:val="003E58A4"/>
    <w:rsid w:val="003E59EA"/>
    <w:rsid w:val="003E5AB2"/>
    <w:rsid w:val="003E5B32"/>
    <w:rsid w:val="003E5C1C"/>
    <w:rsid w:val="003E5CAF"/>
    <w:rsid w:val="003E5D1D"/>
    <w:rsid w:val="003E5D39"/>
    <w:rsid w:val="003E5EC1"/>
    <w:rsid w:val="003E6206"/>
    <w:rsid w:val="003E625D"/>
    <w:rsid w:val="003E6479"/>
    <w:rsid w:val="003E64D5"/>
    <w:rsid w:val="003E67FC"/>
    <w:rsid w:val="003E68A2"/>
    <w:rsid w:val="003E6C3A"/>
    <w:rsid w:val="003E6C4C"/>
    <w:rsid w:val="003E6D22"/>
    <w:rsid w:val="003E6DFA"/>
    <w:rsid w:val="003E7132"/>
    <w:rsid w:val="003E7225"/>
    <w:rsid w:val="003E72F9"/>
    <w:rsid w:val="003E7A82"/>
    <w:rsid w:val="003E7C16"/>
    <w:rsid w:val="003E7CF7"/>
    <w:rsid w:val="003E7EAD"/>
    <w:rsid w:val="003E7ED8"/>
    <w:rsid w:val="003E7FF1"/>
    <w:rsid w:val="003F0396"/>
    <w:rsid w:val="003F0475"/>
    <w:rsid w:val="003F0668"/>
    <w:rsid w:val="003F0B1D"/>
    <w:rsid w:val="003F0D69"/>
    <w:rsid w:val="003F110A"/>
    <w:rsid w:val="003F1184"/>
    <w:rsid w:val="003F135A"/>
    <w:rsid w:val="003F166B"/>
    <w:rsid w:val="003F171C"/>
    <w:rsid w:val="003F17E8"/>
    <w:rsid w:val="003F19D3"/>
    <w:rsid w:val="003F1D61"/>
    <w:rsid w:val="003F1EA5"/>
    <w:rsid w:val="003F1F19"/>
    <w:rsid w:val="003F2285"/>
    <w:rsid w:val="003F24B5"/>
    <w:rsid w:val="003F260A"/>
    <w:rsid w:val="003F2765"/>
    <w:rsid w:val="003F2A68"/>
    <w:rsid w:val="003F2AC7"/>
    <w:rsid w:val="003F2B9B"/>
    <w:rsid w:val="003F2BC1"/>
    <w:rsid w:val="003F307D"/>
    <w:rsid w:val="003F308B"/>
    <w:rsid w:val="003F32B0"/>
    <w:rsid w:val="003F38AB"/>
    <w:rsid w:val="003F39BF"/>
    <w:rsid w:val="003F3A0B"/>
    <w:rsid w:val="003F3B89"/>
    <w:rsid w:val="003F3BB8"/>
    <w:rsid w:val="003F3E02"/>
    <w:rsid w:val="003F40A6"/>
    <w:rsid w:val="003F4B54"/>
    <w:rsid w:val="003F4C3E"/>
    <w:rsid w:val="003F4C6C"/>
    <w:rsid w:val="003F4E20"/>
    <w:rsid w:val="003F535A"/>
    <w:rsid w:val="003F560D"/>
    <w:rsid w:val="003F56DC"/>
    <w:rsid w:val="003F576D"/>
    <w:rsid w:val="003F57AD"/>
    <w:rsid w:val="003F5AC6"/>
    <w:rsid w:val="003F5B96"/>
    <w:rsid w:val="003F5BFD"/>
    <w:rsid w:val="003F5C97"/>
    <w:rsid w:val="003F5EE3"/>
    <w:rsid w:val="003F6202"/>
    <w:rsid w:val="003F6345"/>
    <w:rsid w:val="003F64E3"/>
    <w:rsid w:val="003F65D6"/>
    <w:rsid w:val="003F6604"/>
    <w:rsid w:val="003F6758"/>
    <w:rsid w:val="003F6860"/>
    <w:rsid w:val="003F68C9"/>
    <w:rsid w:val="003F68D1"/>
    <w:rsid w:val="003F6D27"/>
    <w:rsid w:val="003F6F90"/>
    <w:rsid w:val="003F715A"/>
    <w:rsid w:val="003F7179"/>
    <w:rsid w:val="003F74F0"/>
    <w:rsid w:val="003F7685"/>
    <w:rsid w:val="003F77A8"/>
    <w:rsid w:val="003F7995"/>
    <w:rsid w:val="003F7CA1"/>
    <w:rsid w:val="003F7EAD"/>
    <w:rsid w:val="003F7FF5"/>
    <w:rsid w:val="0040033C"/>
    <w:rsid w:val="00400514"/>
    <w:rsid w:val="004006F0"/>
    <w:rsid w:val="00400A82"/>
    <w:rsid w:val="00401567"/>
    <w:rsid w:val="00401CB6"/>
    <w:rsid w:val="004026A7"/>
    <w:rsid w:val="00402733"/>
    <w:rsid w:val="0040293B"/>
    <w:rsid w:val="004031F4"/>
    <w:rsid w:val="0040320D"/>
    <w:rsid w:val="00403CFC"/>
    <w:rsid w:val="00403D92"/>
    <w:rsid w:val="00403F78"/>
    <w:rsid w:val="00403FEB"/>
    <w:rsid w:val="00404480"/>
    <w:rsid w:val="00404669"/>
    <w:rsid w:val="00404759"/>
    <w:rsid w:val="0040478D"/>
    <w:rsid w:val="00404A73"/>
    <w:rsid w:val="00404B7D"/>
    <w:rsid w:val="00404C95"/>
    <w:rsid w:val="00404D35"/>
    <w:rsid w:val="00404F18"/>
    <w:rsid w:val="00404FC8"/>
    <w:rsid w:val="00405009"/>
    <w:rsid w:val="004051A0"/>
    <w:rsid w:val="0040524D"/>
    <w:rsid w:val="0040549A"/>
    <w:rsid w:val="00405617"/>
    <w:rsid w:val="00405809"/>
    <w:rsid w:val="004058DB"/>
    <w:rsid w:val="00405B33"/>
    <w:rsid w:val="00405C42"/>
    <w:rsid w:val="00405DD9"/>
    <w:rsid w:val="00405F93"/>
    <w:rsid w:val="004063CC"/>
    <w:rsid w:val="00406464"/>
    <w:rsid w:val="004064D7"/>
    <w:rsid w:val="004064F7"/>
    <w:rsid w:val="0040665B"/>
    <w:rsid w:val="00406684"/>
    <w:rsid w:val="004067EE"/>
    <w:rsid w:val="00406C4A"/>
    <w:rsid w:val="00406D9F"/>
    <w:rsid w:val="00407098"/>
    <w:rsid w:val="00407C87"/>
    <w:rsid w:val="00407CAA"/>
    <w:rsid w:val="00407D0B"/>
    <w:rsid w:val="0041031A"/>
    <w:rsid w:val="0041041C"/>
    <w:rsid w:val="004106C3"/>
    <w:rsid w:val="004106C6"/>
    <w:rsid w:val="004109DD"/>
    <w:rsid w:val="00410A79"/>
    <w:rsid w:val="00410DCE"/>
    <w:rsid w:val="00410F3F"/>
    <w:rsid w:val="004113CD"/>
    <w:rsid w:val="00411AF8"/>
    <w:rsid w:val="00412928"/>
    <w:rsid w:val="00412A96"/>
    <w:rsid w:val="00412AEE"/>
    <w:rsid w:val="00412FC5"/>
    <w:rsid w:val="004131D5"/>
    <w:rsid w:val="0041351A"/>
    <w:rsid w:val="00413534"/>
    <w:rsid w:val="00413DA6"/>
    <w:rsid w:val="00413F85"/>
    <w:rsid w:val="00414148"/>
    <w:rsid w:val="00414328"/>
    <w:rsid w:val="00414603"/>
    <w:rsid w:val="0041486D"/>
    <w:rsid w:val="004148E4"/>
    <w:rsid w:val="0041490F"/>
    <w:rsid w:val="0041493A"/>
    <w:rsid w:val="00414B13"/>
    <w:rsid w:val="00414D76"/>
    <w:rsid w:val="00414D97"/>
    <w:rsid w:val="004154A6"/>
    <w:rsid w:val="00415735"/>
    <w:rsid w:val="00415EC2"/>
    <w:rsid w:val="004161EE"/>
    <w:rsid w:val="00416324"/>
    <w:rsid w:val="0041640C"/>
    <w:rsid w:val="004164CA"/>
    <w:rsid w:val="00416646"/>
    <w:rsid w:val="00416679"/>
    <w:rsid w:val="0041686E"/>
    <w:rsid w:val="00416D57"/>
    <w:rsid w:val="00416F62"/>
    <w:rsid w:val="004170E0"/>
    <w:rsid w:val="00417368"/>
    <w:rsid w:val="00417439"/>
    <w:rsid w:val="00417494"/>
    <w:rsid w:val="00417C96"/>
    <w:rsid w:val="00417D52"/>
    <w:rsid w:val="00417D76"/>
    <w:rsid w:val="00417F0D"/>
    <w:rsid w:val="00417FA3"/>
    <w:rsid w:val="00420025"/>
    <w:rsid w:val="00420086"/>
    <w:rsid w:val="004200F7"/>
    <w:rsid w:val="004201A9"/>
    <w:rsid w:val="00420277"/>
    <w:rsid w:val="00420279"/>
    <w:rsid w:val="00420459"/>
    <w:rsid w:val="00420870"/>
    <w:rsid w:val="0042091A"/>
    <w:rsid w:val="004209E4"/>
    <w:rsid w:val="00420C74"/>
    <w:rsid w:val="00420E1D"/>
    <w:rsid w:val="00420F85"/>
    <w:rsid w:val="00421004"/>
    <w:rsid w:val="004213A0"/>
    <w:rsid w:val="004214F5"/>
    <w:rsid w:val="004216DD"/>
    <w:rsid w:val="004216E7"/>
    <w:rsid w:val="00421E7D"/>
    <w:rsid w:val="00422049"/>
    <w:rsid w:val="004220DC"/>
    <w:rsid w:val="00422276"/>
    <w:rsid w:val="004227B9"/>
    <w:rsid w:val="004227D9"/>
    <w:rsid w:val="00422F05"/>
    <w:rsid w:val="00422FE2"/>
    <w:rsid w:val="0042309D"/>
    <w:rsid w:val="00423106"/>
    <w:rsid w:val="00423150"/>
    <w:rsid w:val="004232AB"/>
    <w:rsid w:val="00423612"/>
    <w:rsid w:val="00423838"/>
    <w:rsid w:val="004239EA"/>
    <w:rsid w:val="00423C11"/>
    <w:rsid w:val="00423EF8"/>
    <w:rsid w:val="00424299"/>
    <w:rsid w:val="004242F1"/>
    <w:rsid w:val="0042436E"/>
    <w:rsid w:val="004244CD"/>
    <w:rsid w:val="0042470D"/>
    <w:rsid w:val="00424B39"/>
    <w:rsid w:val="00424C5F"/>
    <w:rsid w:val="00424C9F"/>
    <w:rsid w:val="00424E75"/>
    <w:rsid w:val="00424F3C"/>
    <w:rsid w:val="00425120"/>
    <w:rsid w:val="004251C8"/>
    <w:rsid w:val="00425275"/>
    <w:rsid w:val="00425508"/>
    <w:rsid w:val="00425C7C"/>
    <w:rsid w:val="00425DE0"/>
    <w:rsid w:val="00425F07"/>
    <w:rsid w:val="00425F8E"/>
    <w:rsid w:val="004262A4"/>
    <w:rsid w:val="00426372"/>
    <w:rsid w:val="004263FA"/>
    <w:rsid w:val="004265F4"/>
    <w:rsid w:val="0042694C"/>
    <w:rsid w:val="00426CE7"/>
    <w:rsid w:val="00426F69"/>
    <w:rsid w:val="004276A1"/>
    <w:rsid w:val="004277B7"/>
    <w:rsid w:val="0042780F"/>
    <w:rsid w:val="00427828"/>
    <w:rsid w:val="00427846"/>
    <w:rsid w:val="0042797B"/>
    <w:rsid w:val="00427AA1"/>
    <w:rsid w:val="00427B1E"/>
    <w:rsid w:val="00427D2B"/>
    <w:rsid w:val="00427D31"/>
    <w:rsid w:val="00427E0B"/>
    <w:rsid w:val="00427E15"/>
    <w:rsid w:val="00427EB3"/>
    <w:rsid w:val="00430520"/>
    <w:rsid w:val="00430A26"/>
    <w:rsid w:val="00430AB9"/>
    <w:rsid w:val="00430C7F"/>
    <w:rsid w:val="00430CBF"/>
    <w:rsid w:val="00430E2A"/>
    <w:rsid w:val="00430E73"/>
    <w:rsid w:val="004312EB"/>
    <w:rsid w:val="00431401"/>
    <w:rsid w:val="00431526"/>
    <w:rsid w:val="0043158A"/>
    <w:rsid w:val="0043163F"/>
    <w:rsid w:val="0043166D"/>
    <w:rsid w:val="00431802"/>
    <w:rsid w:val="004319B1"/>
    <w:rsid w:val="00431A6B"/>
    <w:rsid w:val="00431A9A"/>
    <w:rsid w:val="00431AE7"/>
    <w:rsid w:val="00431B90"/>
    <w:rsid w:val="00431C2F"/>
    <w:rsid w:val="00431D8C"/>
    <w:rsid w:val="00431ECB"/>
    <w:rsid w:val="00431F19"/>
    <w:rsid w:val="0043203A"/>
    <w:rsid w:val="00432192"/>
    <w:rsid w:val="00432270"/>
    <w:rsid w:val="00432277"/>
    <w:rsid w:val="0043252D"/>
    <w:rsid w:val="004326D6"/>
    <w:rsid w:val="0043271B"/>
    <w:rsid w:val="00432C22"/>
    <w:rsid w:val="00432E00"/>
    <w:rsid w:val="00432E1C"/>
    <w:rsid w:val="0043333D"/>
    <w:rsid w:val="0043343D"/>
    <w:rsid w:val="004335CF"/>
    <w:rsid w:val="0043375C"/>
    <w:rsid w:val="00433AFF"/>
    <w:rsid w:val="00433EE5"/>
    <w:rsid w:val="004345AE"/>
    <w:rsid w:val="004345C2"/>
    <w:rsid w:val="004345C6"/>
    <w:rsid w:val="004346EE"/>
    <w:rsid w:val="00434AC6"/>
    <w:rsid w:val="00434B68"/>
    <w:rsid w:val="00435180"/>
    <w:rsid w:val="00435193"/>
    <w:rsid w:val="004356BF"/>
    <w:rsid w:val="00435A65"/>
    <w:rsid w:val="00435FD5"/>
    <w:rsid w:val="0043601E"/>
    <w:rsid w:val="004365F2"/>
    <w:rsid w:val="004367A7"/>
    <w:rsid w:val="0043682B"/>
    <w:rsid w:val="00436DBA"/>
    <w:rsid w:val="00436E92"/>
    <w:rsid w:val="00436EA0"/>
    <w:rsid w:val="00436FCE"/>
    <w:rsid w:val="004371A4"/>
    <w:rsid w:val="0043758E"/>
    <w:rsid w:val="004375AF"/>
    <w:rsid w:val="004376F4"/>
    <w:rsid w:val="00437B36"/>
    <w:rsid w:val="0044021F"/>
    <w:rsid w:val="004403F9"/>
    <w:rsid w:val="0044061E"/>
    <w:rsid w:val="00440639"/>
    <w:rsid w:val="00440694"/>
    <w:rsid w:val="004407E6"/>
    <w:rsid w:val="00440A4C"/>
    <w:rsid w:val="00440B8A"/>
    <w:rsid w:val="00440D24"/>
    <w:rsid w:val="00440D77"/>
    <w:rsid w:val="00440E5A"/>
    <w:rsid w:val="00440FF3"/>
    <w:rsid w:val="00441288"/>
    <w:rsid w:val="004412E9"/>
    <w:rsid w:val="00441481"/>
    <w:rsid w:val="00441739"/>
    <w:rsid w:val="004418E0"/>
    <w:rsid w:val="004419B9"/>
    <w:rsid w:val="00441CAC"/>
    <w:rsid w:val="00441DCA"/>
    <w:rsid w:val="00441F90"/>
    <w:rsid w:val="0044237C"/>
    <w:rsid w:val="00442517"/>
    <w:rsid w:val="00442661"/>
    <w:rsid w:val="00442C6A"/>
    <w:rsid w:val="00442E7B"/>
    <w:rsid w:val="00442F08"/>
    <w:rsid w:val="00442F35"/>
    <w:rsid w:val="00442FCD"/>
    <w:rsid w:val="0044349A"/>
    <w:rsid w:val="0044353B"/>
    <w:rsid w:val="00443DAC"/>
    <w:rsid w:val="00443E04"/>
    <w:rsid w:val="00443F04"/>
    <w:rsid w:val="00443F50"/>
    <w:rsid w:val="00444056"/>
    <w:rsid w:val="0044483F"/>
    <w:rsid w:val="00444BD7"/>
    <w:rsid w:val="00444CE3"/>
    <w:rsid w:val="00445078"/>
    <w:rsid w:val="004450B4"/>
    <w:rsid w:val="004450DF"/>
    <w:rsid w:val="004451DB"/>
    <w:rsid w:val="004452A1"/>
    <w:rsid w:val="0044531D"/>
    <w:rsid w:val="00445830"/>
    <w:rsid w:val="004459B0"/>
    <w:rsid w:val="00445A00"/>
    <w:rsid w:val="00445BD9"/>
    <w:rsid w:val="00445D33"/>
    <w:rsid w:val="00445E6C"/>
    <w:rsid w:val="00445ED7"/>
    <w:rsid w:val="00445FD4"/>
    <w:rsid w:val="00446016"/>
    <w:rsid w:val="00446170"/>
    <w:rsid w:val="004461BE"/>
    <w:rsid w:val="00446253"/>
    <w:rsid w:val="0044628E"/>
    <w:rsid w:val="004462F7"/>
    <w:rsid w:val="00446810"/>
    <w:rsid w:val="00446F6B"/>
    <w:rsid w:val="00447171"/>
    <w:rsid w:val="00447520"/>
    <w:rsid w:val="004479E4"/>
    <w:rsid w:val="00447B11"/>
    <w:rsid w:val="00447CBD"/>
    <w:rsid w:val="00447EB6"/>
    <w:rsid w:val="00450151"/>
    <w:rsid w:val="004502A5"/>
    <w:rsid w:val="0045074A"/>
    <w:rsid w:val="004508AB"/>
    <w:rsid w:val="00450C76"/>
    <w:rsid w:val="00450EFB"/>
    <w:rsid w:val="0045100C"/>
    <w:rsid w:val="004510B8"/>
    <w:rsid w:val="00451131"/>
    <w:rsid w:val="004511EE"/>
    <w:rsid w:val="00451377"/>
    <w:rsid w:val="00451496"/>
    <w:rsid w:val="004514C0"/>
    <w:rsid w:val="004517EE"/>
    <w:rsid w:val="004517FA"/>
    <w:rsid w:val="00451888"/>
    <w:rsid w:val="00451B0F"/>
    <w:rsid w:val="00451C41"/>
    <w:rsid w:val="00451E2D"/>
    <w:rsid w:val="00451EDA"/>
    <w:rsid w:val="00451F01"/>
    <w:rsid w:val="00451FDF"/>
    <w:rsid w:val="00452125"/>
    <w:rsid w:val="00452576"/>
    <w:rsid w:val="004527C4"/>
    <w:rsid w:val="004528C7"/>
    <w:rsid w:val="00452B15"/>
    <w:rsid w:val="00452CED"/>
    <w:rsid w:val="00452F14"/>
    <w:rsid w:val="00453098"/>
    <w:rsid w:val="00453165"/>
    <w:rsid w:val="00453304"/>
    <w:rsid w:val="00453516"/>
    <w:rsid w:val="004536C1"/>
    <w:rsid w:val="0045372F"/>
    <w:rsid w:val="00453EEA"/>
    <w:rsid w:val="00453F3F"/>
    <w:rsid w:val="00454252"/>
    <w:rsid w:val="0045432E"/>
    <w:rsid w:val="00454788"/>
    <w:rsid w:val="004547FD"/>
    <w:rsid w:val="004549B7"/>
    <w:rsid w:val="00454D0E"/>
    <w:rsid w:val="00454F74"/>
    <w:rsid w:val="00455193"/>
    <w:rsid w:val="004552F5"/>
    <w:rsid w:val="00455378"/>
    <w:rsid w:val="004555E1"/>
    <w:rsid w:val="00455827"/>
    <w:rsid w:val="00455ACD"/>
    <w:rsid w:val="00455C7D"/>
    <w:rsid w:val="00455F05"/>
    <w:rsid w:val="0045621A"/>
    <w:rsid w:val="00456295"/>
    <w:rsid w:val="0045652C"/>
    <w:rsid w:val="00456C05"/>
    <w:rsid w:val="004572F2"/>
    <w:rsid w:val="004574B1"/>
    <w:rsid w:val="00457558"/>
    <w:rsid w:val="00457705"/>
    <w:rsid w:val="0046024B"/>
    <w:rsid w:val="004605A0"/>
    <w:rsid w:val="004607CE"/>
    <w:rsid w:val="004607FC"/>
    <w:rsid w:val="00460893"/>
    <w:rsid w:val="00460AFF"/>
    <w:rsid w:val="00460F25"/>
    <w:rsid w:val="00460FB0"/>
    <w:rsid w:val="0046125F"/>
    <w:rsid w:val="00461641"/>
    <w:rsid w:val="004619AC"/>
    <w:rsid w:val="00461C32"/>
    <w:rsid w:val="00461C5F"/>
    <w:rsid w:val="00461F39"/>
    <w:rsid w:val="00462008"/>
    <w:rsid w:val="0046216D"/>
    <w:rsid w:val="00462684"/>
    <w:rsid w:val="0046281E"/>
    <w:rsid w:val="00462CB4"/>
    <w:rsid w:val="00462F43"/>
    <w:rsid w:val="004636CB"/>
    <w:rsid w:val="004636E9"/>
    <w:rsid w:val="0046378A"/>
    <w:rsid w:val="00463BFB"/>
    <w:rsid w:val="00463CA2"/>
    <w:rsid w:val="00463D56"/>
    <w:rsid w:val="00463F2F"/>
    <w:rsid w:val="004640D5"/>
    <w:rsid w:val="00464427"/>
    <w:rsid w:val="00464554"/>
    <w:rsid w:val="00464609"/>
    <w:rsid w:val="0046467D"/>
    <w:rsid w:val="00464A58"/>
    <w:rsid w:val="00464CE0"/>
    <w:rsid w:val="00464CE1"/>
    <w:rsid w:val="00464DD9"/>
    <w:rsid w:val="00464EDB"/>
    <w:rsid w:val="00465458"/>
    <w:rsid w:val="004655D1"/>
    <w:rsid w:val="004656E1"/>
    <w:rsid w:val="00465AE1"/>
    <w:rsid w:val="00465C8E"/>
    <w:rsid w:val="00465E1C"/>
    <w:rsid w:val="004660C6"/>
    <w:rsid w:val="004661F3"/>
    <w:rsid w:val="0046650B"/>
    <w:rsid w:val="004669D1"/>
    <w:rsid w:val="004669E4"/>
    <w:rsid w:val="00466A0C"/>
    <w:rsid w:val="00466AD8"/>
    <w:rsid w:val="00466BC7"/>
    <w:rsid w:val="00467143"/>
    <w:rsid w:val="0046725B"/>
    <w:rsid w:val="00467802"/>
    <w:rsid w:val="00467890"/>
    <w:rsid w:val="00467ACE"/>
    <w:rsid w:val="00467DD2"/>
    <w:rsid w:val="00467E8C"/>
    <w:rsid w:val="00467F0A"/>
    <w:rsid w:val="00467F5E"/>
    <w:rsid w:val="0047008A"/>
    <w:rsid w:val="00470431"/>
    <w:rsid w:val="004704FD"/>
    <w:rsid w:val="004706CC"/>
    <w:rsid w:val="00470704"/>
    <w:rsid w:val="0047073D"/>
    <w:rsid w:val="00470878"/>
    <w:rsid w:val="0047090B"/>
    <w:rsid w:val="004709F3"/>
    <w:rsid w:val="00470B62"/>
    <w:rsid w:val="00471375"/>
    <w:rsid w:val="004713D6"/>
    <w:rsid w:val="0047161C"/>
    <w:rsid w:val="0047163A"/>
    <w:rsid w:val="00471824"/>
    <w:rsid w:val="00471DF3"/>
    <w:rsid w:val="00471F69"/>
    <w:rsid w:val="00472088"/>
    <w:rsid w:val="00472474"/>
    <w:rsid w:val="004727EA"/>
    <w:rsid w:val="00472B5E"/>
    <w:rsid w:val="00472BC9"/>
    <w:rsid w:val="00472D3F"/>
    <w:rsid w:val="00472DDE"/>
    <w:rsid w:val="00473352"/>
    <w:rsid w:val="004736AE"/>
    <w:rsid w:val="00473806"/>
    <w:rsid w:val="00473E35"/>
    <w:rsid w:val="00474A55"/>
    <w:rsid w:val="00474C1B"/>
    <w:rsid w:val="00474C1F"/>
    <w:rsid w:val="00474CA7"/>
    <w:rsid w:val="00474CFC"/>
    <w:rsid w:val="00474E77"/>
    <w:rsid w:val="004750F8"/>
    <w:rsid w:val="00475239"/>
    <w:rsid w:val="00475319"/>
    <w:rsid w:val="0047569A"/>
    <w:rsid w:val="0047592E"/>
    <w:rsid w:val="00475BD8"/>
    <w:rsid w:val="00475E05"/>
    <w:rsid w:val="00476CFE"/>
    <w:rsid w:val="00476E10"/>
    <w:rsid w:val="00476EDC"/>
    <w:rsid w:val="00477217"/>
    <w:rsid w:val="00477258"/>
    <w:rsid w:val="004774AB"/>
    <w:rsid w:val="0047759F"/>
    <w:rsid w:val="0047764E"/>
    <w:rsid w:val="00477668"/>
    <w:rsid w:val="0047798B"/>
    <w:rsid w:val="0047799D"/>
    <w:rsid w:val="00477A90"/>
    <w:rsid w:val="00477AC0"/>
    <w:rsid w:val="00477C9C"/>
    <w:rsid w:val="00477D6D"/>
    <w:rsid w:val="00477D9A"/>
    <w:rsid w:val="00477F52"/>
    <w:rsid w:val="00477FC5"/>
    <w:rsid w:val="0048015E"/>
    <w:rsid w:val="004802BD"/>
    <w:rsid w:val="0048035C"/>
    <w:rsid w:val="00480615"/>
    <w:rsid w:val="00480934"/>
    <w:rsid w:val="00480962"/>
    <w:rsid w:val="00480A9D"/>
    <w:rsid w:val="00480B9C"/>
    <w:rsid w:val="00480F37"/>
    <w:rsid w:val="00480FCE"/>
    <w:rsid w:val="004812D4"/>
    <w:rsid w:val="004815C7"/>
    <w:rsid w:val="0048171D"/>
    <w:rsid w:val="004817CC"/>
    <w:rsid w:val="004819C9"/>
    <w:rsid w:val="0048213B"/>
    <w:rsid w:val="004824E5"/>
    <w:rsid w:val="0048283C"/>
    <w:rsid w:val="00482872"/>
    <w:rsid w:val="00482A74"/>
    <w:rsid w:val="00482A9C"/>
    <w:rsid w:val="00482D71"/>
    <w:rsid w:val="00482D89"/>
    <w:rsid w:val="00482DE9"/>
    <w:rsid w:val="004830E5"/>
    <w:rsid w:val="0048310F"/>
    <w:rsid w:val="0048324F"/>
    <w:rsid w:val="00483A92"/>
    <w:rsid w:val="004840B7"/>
    <w:rsid w:val="004841BA"/>
    <w:rsid w:val="004843BB"/>
    <w:rsid w:val="00484494"/>
    <w:rsid w:val="004844E7"/>
    <w:rsid w:val="0048471B"/>
    <w:rsid w:val="004847EC"/>
    <w:rsid w:val="00484885"/>
    <w:rsid w:val="00484C67"/>
    <w:rsid w:val="00484DF0"/>
    <w:rsid w:val="00485186"/>
    <w:rsid w:val="004858AA"/>
    <w:rsid w:val="00485A25"/>
    <w:rsid w:val="00485D47"/>
    <w:rsid w:val="00485E7D"/>
    <w:rsid w:val="00485EB8"/>
    <w:rsid w:val="00485F1F"/>
    <w:rsid w:val="00485F2A"/>
    <w:rsid w:val="00486039"/>
    <w:rsid w:val="00486088"/>
    <w:rsid w:val="00486125"/>
    <w:rsid w:val="00486314"/>
    <w:rsid w:val="004866E2"/>
    <w:rsid w:val="004867DA"/>
    <w:rsid w:val="00486829"/>
    <w:rsid w:val="00486C85"/>
    <w:rsid w:val="00486DA5"/>
    <w:rsid w:val="00486EB3"/>
    <w:rsid w:val="0048706F"/>
    <w:rsid w:val="004870E0"/>
    <w:rsid w:val="00487524"/>
    <w:rsid w:val="00487AFF"/>
    <w:rsid w:val="00487C09"/>
    <w:rsid w:val="00487C63"/>
    <w:rsid w:val="00487D07"/>
    <w:rsid w:val="00487DE5"/>
    <w:rsid w:val="0049097F"/>
    <w:rsid w:val="00490982"/>
    <w:rsid w:val="00490C29"/>
    <w:rsid w:val="00490CD8"/>
    <w:rsid w:val="00490D75"/>
    <w:rsid w:val="0049100A"/>
    <w:rsid w:val="004916D6"/>
    <w:rsid w:val="00491840"/>
    <w:rsid w:val="00491A2D"/>
    <w:rsid w:val="00491ACA"/>
    <w:rsid w:val="00491FD9"/>
    <w:rsid w:val="00492189"/>
    <w:rsid w:val="00492589"/>
    <w:rsid w:val="004929C6"/>
    <w:rsid w:val="00492A2F"/>
    <w:rsid w:val="00492CF3"/>
    <w:rsid w:val="00492FE6"/>
    <w:rsid w:val="00493023"/>
    <w:rsid w:val="00493531"/>
    <w:rsid w:val="00493604"/>
    <w:rsid w:val="00493AA0"/>
    <w:rsid w:val="00493F93"/>
    <w:rsid w:val="0049438E"/>
    <w:rsid w:val="0049440D"/>
    <w:rsid w:val="004949B4"/>
    <w:rsid w:val="00494BD2"/>
    <w:rsid w:val="00494CDA"/>
    <w:rsid w:val="00494D59"/>
    <w:rsid w:val="00494FBF"/>
    <w:rsid w:val="00495062"/>
    <w:rsid w:val="004956B6"/>
    <w:rsid w:val="0049578D"/>
    <w:rsid w:val="00495B65"/>
    <w:rsid w:val="00495C23"/>
    <w:rsid w:val="00495F45"/>
    <w:rsid w:val="00495F88"/>
    <w:rsid w:val="00496088"/>
    <w:rsid w:val="004960BC"/>
    <w:rsid w:val="004960C6"/>
    <w:rsid w:val="00496106"/>
    <w:rsid w:val="0049628E"/>
    <w:rsid w:val="004963B7"/>
    <w:rsid w:val="0049655F"/>
    <w:rsid w:val="0049658B"/>
    <w:rsid w:val="00496B32"/>
    <w:rsid w:val="00496B6E"/>
    <w:rsid w:val="00496DBD"/>
    <w:rsid w:val="00496E09"/>
    <w:rsid w:val="00496E62"/>
    <w:rsid w:val="00497164"/>
    <w:rsid w:val="00497467"/>
    <w:rsid w:val="00497488"/>
    <w:rsid w:val="00497738"/>
    <w:rsid w:val="004978BF"/>
    <w:rsid w:val="00497935"/>
    <w:rsid w:val="004A0283"/>
    <w:rsid w:val="004A054E"/>
    <w:rsid w:val="004A0571"/>
    <w:rsid w:val="004A0855"/>
    <w:rsid w:val="004A0C2D"/>
    <w:rsid w:val="004A0C45"/>
    <w:rsid w:val="004A0CAD"/>
    <w:rsid w:val="004A0F20"/>
    <w:rsid w:val="004A0FF0"/>
    <w:rsid w:val="004A1026"/>
    <w:rsid w:val="004A12A8"/>
    <w:rsid w:val="004A1677"/>
    <w:rsid w:val="004A1D0D"/>
    <w:rsid w:val="004A1FAA"/>
    <w:rsid w:val="004A21A9"/>
    <w:rsid w:val="004A249E"/>
    <w:rsid w:val="004A26C0"/>
    <w:rsid w:val="004A27F6"/>
    <w:rsid w:val="004A283F"/>
    <w:rsid w:val="004A28AA"/>
    <w:rsid w:val="004A2BCB"/>
    <w:rsid w:val="004A3196"/>
    <w:rsid w:val="004A32D6"/>
    <w:rsid w:val="004A34CD"/>
    <w:rsid w:val="004A37CF"/>
    <w:rsid w:val="004A37D3"/>
    <w:rsid w:val="004A3834"/>
    <w:rsid w:val="004A38FB"/>
    <w:rsid w:val="004A4157"/>
    <w:rsid w:val="004A4257"/>
    <w:rsid w:val="004A462A"/>
    <w:rsid w:val="004A4738"/>
    <w:rsid w:val="004A4C5E"/>
    <w:rsid w:val="004A4D4F"/>
    <w:rsid w:val="004A5061"/>
    <w:rsid w:val="004A5339"/>
    <w:rsid w:val="004A571A"/>
    <w:rsid w:val="004A57EA"/>
    <w:rsid w:val="004A59FB"/>
    <w:rsid w:val="004A5DC2"/>
    <w:rsid w:val="004A5F2E"/>
    <w:rsid w:val="004A6444"/>
    <w:rsid w:val="004A6661"/>
    <w:rsid w:val="004A67B0"/>
    <w:rsid w:val="004A6A7E"/>
    <w:rsid w:val="004A6B4E"/>
    <w:rsid w:val="004A7003"/>
    <w:rsid w:val="004A725F"/>
    <w:rsid w:val="004A7289"/>
    <w:rsid w:val="004A779D"/>
    <w:rsid w:val="004A7A21"/>
    <w:rsid w:val="004A7D14"/>
    <w:rsid w:val="004B00B3"/>
    <w:rsid w:val="004B0203"/>
    <w:rsid w:val="004B04E3"/>
    <w:rsid w:val="004B09ED"/>
    <w:rsid w:val="004B0ADC"/>
    <w:rsid w:val="004B0DB3"/>
    <w:rsid w:val="004B0E99"/>
    <w:rsid w:val="004B0EF8"/>
    <w:rsid w:val="004B1106"/>
    <w:rsid w:val="004B1723"/>
    <w:rsid w:val="004B17D4"/>
    <w:rsid w:val="004B1A44"/>
    <w:rsid w:val="004B1A9E"/>
    <w:rsid w:val="004B1C2D"/>
    <w:rsid w:val="004B1E63"/>
    <w:rsid w:val="004B204E"/>
    <w:rsid w:val="004B21EB"/>
    <w:rsid w:val="004B220F"/>
    <w:rsid w:val="004B22E4"/>
    <w:rsid w:val="004B2421"/>
    <w:rsid w:val="004B25DC"/>
    <w:rsid w:val="004B2AE5"/>
    <w:rsid w:val="004B2E8D"/>
    <w:rsid w:val="004B2E95"/>
    <w:rsid w:val="004B2F8E"/>
    <w:rsid w:val="004B3575"/>
    <w:rsid w:val="004B3D96"/>
    <w:rsid w:val="004B4191"/>
    <w:rsid w:val="004B43A6"/>
    <w:rsid w:val="004B44C6"/>
    <w:rsid w:val="004B45E0"/>
    <w:rsid w:val="004B468F"/>
    <w:rsid w:val="004B46D7"/>
    <w:rsid w:val="004B477D"/>
    <w:rsid w:val="004B47FC"/>
    <w:rsid w:val="004B5023"/>
    <w:rsid w:val="004B5155"/>
    <w:rsid w:val="004B522C"/>
    <w:rsid w:val="004B57A2"/>
    <w:rsid w:val="004B5A78"/>
    <w:rsid w:val="004B5B1D"/>
    <w:rsid w:val="004B5C66"/>
    <w:rsid w:val="004B5EBD"/>
    <w:rsid w:val="004B5EC9"/>
    <w:rsid w:val="004B647E"/>
    <w:rsid w:val="004B6798"/>
    <w:rsid w:val="004B67F4"/>
    <w:rsid w:val="004B72C8"/>
    <w:rsid w:val="004B745A"/>
    <w:rsid w:val="004B7654"/>
    <w:rsid w:val="004B77E7"/>
    <w:rsid w:val="004B7FDE"/>
    <w:rsid w:val="004C032F"/>
    <w:rsid w:val="004C07AA"/>
    <w:rsid w:val="004C08DC"/>
    <w:rsid w:val="004C0D41"/>
    <w:rsid w:val="004C0E82"/>
    <w:rsid w:val="004C10EE"/>
    <w:rsid w:val="004C1287"/>
    <w:rsid w:val="004C12D0"/>
    <w:rsid w:val="004C1498"/>
    <w:rsid w:val="004C1660"/>
    <w:rsid w:val="004C1BE4"/>
    <w:rsid w:val="004C1CF2"/>
    <w:rsid w:val="004C1D47"/>
    <w:rsid w:val="004C1F1A"/>
    <w:rsid w:val="004C2C54"/>
    <w:rsid w:val="004C2CDC"/>
    <w:rsid w:val="004C2E07"/>
    <w:rsid w:val="004C2EE3"/>
    <w:rsid w:val="004C2F56"/>
    <w:rsid w:val="004C305D"/>
    <w:rsid w:val="004C3171"/>
    <w:rsid w:val="004C32B8"/>
    <w:rsid w:val="004C344A"/>
    <w:rsid w:val="004C3540"/>
    <w:rsid w:val="004C3740"/>
    <w:rsid w:val="004C3D73"/>
    <w:rsid w:val="004C46B4"/>
    <w:rsid w:val="004C4D98"/>
    <w:rsid w:val="004C5206"/>
    <w:rsid w:val="004C53C2"/>
    <w:rsid w:val="004C56C1"/>
    <w:rsid w:val="004C593B"/>
    <w:rsid w:val="004C5B0C"/>
    <w:rsid w:val="004C5CF6"/>
    <w:rsid w:val="004C5FB3"/>
    <w:rsid w:val="004C6179"/>
    <w:rsid w:val="004C656B"/>
    <w:rsid w:val="004C66E8"/>
    <w:rsid w:val="004C6808"/>
    <w:rsid w:val="004C681C"/>
    <w:rsid w:val="004C6B92"/>
    <w:rsid w:val="004C6D86"/>
    <w:rsid w:val="004C6F5A"/>
    <w:rsid w:val="004C7239"/>
    <w:rsid w:val="004C7C41"/>
    <w:rsid w:val="004C7F84"/>
    <w:rsid w:val="004D0083"/>
    <w:rsid w:val="004D011C"/>
    <w:rsid w:val="004D0204"/>
    <w:rsid w:val="004D0234"/>
    <w:rsid w:val="004D0522"/>
    <w:rsid w:val="004D0951"/>
    <w:rsid w:val="004D0A46"/>
    <w:rsid w:val="004D0D5A"/>
    <w:rsid w:val="004D0E26"/>
    <w:rsid w:val="004D1777"/>
    <w:rsid w:val="004D17AB"/>
    <w:rsid w:val="004D17FB"/>
    <w:rsid w:val="004D1882"/>
    <w:rsid w:val="004D2009"/>
    <w:rsid w:val="004D20D7"/>
    <w:rsid w:val="004D21E9"/>
    <w:rsid w:val="004D224C"/>
    <w:rsid w:val="004D2536"/>
    <w:rsid w:val="004D26BB"/>
    <w:rsid w:val="004D2785"/>
    <w:rsid w:val="004D27BC"/>
    <w:rsid w:val="004D27D5"/>
    <w:rsid w:val="004D2A0B"/>
    <w:rsid w:val="004D2A9A"/>
    <w:rsid w:val="004D315F"/>
    <w:rsid w:val="004D3200"/>
    <w:rsid w:val="004D3255"/>
    <w:rsid w:val="004D325A"/>
    <w:rsid w:val="004D3494"/>
    <w:rsid w:val="004D3631"/>
    <w:rsid w:val="004D37BD"/>
    <w:rsid w:val="004D39BE"/>
    <w:rsid w:val="004D3C54"/>
    <w:rsid w:val="004D3F5D"/>
    <w:rsid w:val="004D4083"/>
    <w:rsid w:val="004D4096"/>
    <w:rsid w:val="004D41E1"/>
    <w:rsid w:val="004D4229"/>
    <w:rsid w:val="004D42DE"/>
    <w:rsid w:val="004D480E"/>
    <w:rsid w:val="004D493E"/>
    <w:rsid w:val="004D49E9"/>
    <w:rsid w:val="004D4C84"/>
    <w:rsid w:val="004D4E15"/>
    <w:rsid w:val="004D4EA8"/>
    <w:rsid w:val="004D5454"/>
    <w:rsid w:val="004D55C0"/>
    <w:rsid w:val="004D5643"/>
    <w:rsid w:val="004D573B"/>
    <w:rsid w:val="004D5FB6"/>
    <w:rsid w:val="004D628F"/>
    <w:rsid w:val="004D6562"/>
    <w:rsid w:val="004D65E4"/>
    <w:rsid w:val="004D66FB"/>
    <w:rsid w:val="004D6726"/>
    <w:rsid w:val="004D6845"/>
    <w:rsid w:val="004D69E7"/>
    <w:rsid w:val="004D6E3E"/>
    <w:rsid w:val="004D6EA3"/>
    <w:rsid w:val="004D6FC4"/>
    <w:rsid w:val="004D70DA"/>
    <w:rsid w:val="004D7170"/>
    <w:rsid w:val="004D747B"/>
    <w:rsid w:val="004D76B6"/>
    <w:rsid w:val="004D7AEF"/>
    <w:rsid w:val="004E007C"/>
    <w:rsid w:val="004E032B"/>
    <w:rsid w:val="004E06B5"/>
    <w:rsid w:val="004E0980"/>
    <w:rsid w:val="004E0AA3"/>
    <w:rsid w:val="004E0C64"/>
    <w:rsid w:val="004E0D89"/>
    <w:rsid w:val="004E0FCF"/>
    <w:rsid w:val="004E122F"/>
    <w:rsid w:val="004E177C"/>
    <w:rsid w:val="004E184C"/>
    <w:rsid w:val="004E19A7"/>
    <w:rsid w:val="004E1A89"/>
    <w:rsid w:val="004E1B15"/>
    <w:rsid w:val="004E1DC9"/>
    <w:rsid w:val="004E1EB2"/>
    <w:rsid w:val="004E202E"/>
    <w:rsid w:val="004E20B8"/>
    <w:rsid w:val="004E2301"/>
    <w:rsid w:val="004E230D"/>
    <w:rsid w:val="004E23AF"/>
    <w:rsid w:val="004E2414"/>
    <w:rsid w:val="004E268D"/>
    <w:rsid w:val="004E2797"/>
    <w:rsid w:val="004E312F"/>
    <w:rsid w:val="004E3313"/>
    <w:rsid w:val="004E3FF9"/>
    <w:rsid w:val="004E4472"/>
    <w:rsid w:val="004E46CE"/>
    <w:rsid w:val="004E4A22"/>
    <w:rsid w:val="004E4AD2"/>
    <w:rsid w:val="004E4B1F"/>
    <w:rsid w:val="004E4B89"/>
    <w:rsid w:val="004E4BB7"/>
    <w:rsid w:val="004E4EB1"/>
    <w:rsid w:val="004E4F46"/>
    <w:rsid w:val="004E53B4"/>
    <w:rsid w:val="004E555B"/>
    <w:rsid w:val="004E56F9"/>
    <w:rsid w:val="004E57BD"/>
    <w:rsid w:val="004E5A79"/>
    <w:rsid w:val="004E5C17"/>
    <w:rsid w:val="004E5C9A"/>
    <w:rsid w:val="004E5D76"/>
    <w:rsid w:val="004E5E2D"/>
    <w:rsid w:val="004E600B"/>
    <w:rsid w:val="004E6844"/>
    <w:rsid w:val="004E6894"/>
    <w:rsid w:val="004E6AF7"/>
    <w:rsid w:val="004E6C14"/>
    <w:rsid w:val="004E6C7E"/>
    <w:rsid w:val="004E6D47"/>
    <w:rsid w:val="004E70EA"/>
    <w:rsid w:val="004E7282"/>
    <w:rsid w:val="004E729E"/>
    <w:rsid w:val="004E739A"/>
    <w:rsid w:val="004E73BB"/>
    <w:rsid w:val="004E7408"/>
    <w:rsid w:val="004E7821"/>
    <w:rsid w:val="004E783B"/>
    <w:rsid w:val="004E7852"/>
    <w:rsid w:val="004F058C"/>
    <w:rsid w:val="004F06DA"/>
    <w:rsid w:val="004F07DF"/>
    <w:rsid w:val="004F086F"/>
    <w:rsid w:val="004F0A70"/>
    <w:rsid w:val="004F0DAC"/>
    <w:rsid w:val="004F0FBB"/>
    <w:rsid w:val="004F103C"/>
    <w:rsid w:val="004F10DF"/>
    <w:rsid w:val="004F147A"/>
    <w:rsid w:val="004F1487"/>
    <w:rsid w:val="004F18CB"/>
    <w:rsid w:val="004F1A7C"/>
    <w:rsid w:val="004F1AAB"/>
    <w:rsid w:val="004F1AEA"/>
    <w:rsid w:val="004F1C1B"/>
    <w:rsid w:val="004F1C47"/>
    <w:rsid w:val="004F1CD0"/>
    <w:rsid w:val="004F1DB1"/>
    <w:rsid w:val="004F2060"/>
    <w:rsid w:val="004F2691"/>
    <w:rsid w:val="004F2F04"/>
    <w:rsid w:val="004F2F27"/>
    <w:rsid w:val="004F2F82"/>
    <w:rsid w:val="004F3061"/>
    <w:rsid w:val="004F3093"/>
    <w:rsid w:val="004F30B2"/>
    <w:rsid w:val="004F31CD"/>
    <w:rsid w:val="004F321E"/>
    <w:rsid w:val="004F3265"/>
    <w:rsid w:val="004F34C6"/>
    <w:rsid w:val="004F35DD"/>
    <w:rsid w:val="004F3627"/>
    <w:rsid w:val="004F3BEC"/>
    <w:rsid w:val="004F3C40"/>
    <w:rsid w:val="004F4013"/>
    <w:rsid w:val="004F40B0"/>
    <w:rsid w:val="004F420A"/>
    <w:rsid w:val="004F4A46"/>
    <w:rsid w:val="004F4B6E"/>
    <w:rsid w:val="004F4B7A"/>
    <w:rsid w:val="004F4BE3"/>
    <w:rsid w:val="004F4CB2"/>
    <w:rsid w:val="004F518D"/>
    <w:rsid w:val="004F527D"/>
    <w:rsid w:val="004F52DB"/>
    <w:rsid w:val="004F531B"/>
    <w:rsid w:val="004F556F"/>
    <w:rsid w:val="004F56DF"/>
    <w:rsid w:val="004F593A"/>
    <w:rsid w:val="004F59F6"/>
    <w:rsid w:val="004F5A45"/>
    <w:rsid w:val="004F5E22"/>
    <w:rsid w:val="004F64B4"/>
    <w:rsid w:val="004F6559"/>
    <w:rsid w:val="004F66FB"/>
    <w:rsid w:val="004F6A34"/>
    <w:rsid w:val="004F6E42"/>
    <w:rsid w:val="004F70B6"/>
    <w:rsid w:val="004F71EB"/>
    <w:rsid w:val="004F75FD"/>
    <w:rsid w:val="004F771A"/>
    <w:rsid w:val="004F7738"/>
    <w:rsid w:val="004F774F"/>
    <w:rsid w:val="004F77A1"/>
    <w:rsid w:val="004F7C1E"/>
    <w:rsid w:val="004F7DD6"/>
    <w:rsid w:val="00500091"/>
    <w:rsid w:val="00500192"/>
    <w:rsid w:val="0050033C"/>
    <w:rsid w:val="0050045C"/>
    <w:rsid w:val="005004AF"/>
    <w:rsid w:val="005006FC"/>
    <w:rsid w:val="00500851"/>
    <w:rsid w:val="0050091F"/>
    <w:rsid w:val="005011EC"/>
    <w:rsid w:val="005013F5"/>
    <w:rsid w:val="005014C9"/>
    <w:rsid w:val="00501893"/>
    <w:rsid w:val="00501D30"/>
    <w:rsid w:val="00501ECA"/>
    <w:rsid w:val="00501FAF"/>
    <w:rsid w:val="0050205B"/>
    <w:rsid w:val="00502269"/>
    <w:rsid w:val="005022F9"/>
    <w:rsid w:val="00502322"/>
    <w:rsid w:val="005023CF"/>
    <w:rsid w:val="00502583"/>
    <w:rsid w:val="00502940"/>
    <w:rsid w:val="005029A7"/>
    <w:rsid w:val="005029CA"/>
    <w:rsid w:val="00502BEE"/>
    <w:rsid w:val="00502DE3"/>
    <w:rsid w:val="00503106"/>
    <w:rsid w:val="0050324A"/>
    <w:rsid w:val="0050328C"/>
    <w:rsid w:val="00503574"/>
    <w:rsid w:val="005036E9"/>
    <w:rsid w:val="00503A1D"/>
    <w:rsid w:val="00503AB0"/>
    <w:rsid w:val="00503CE7"/>
    <w:rsid w:val="00504078"/>
    <w:rsid w:val="005040B1"/>
    <w:rsid w:val="00504113"/>
    <w:rsid w:val="00504380"/>
    <w:rsid w:val="00504478"/>
    <w:rsid w:val="005044C4"/>
    <w:rsid w:val="00504626"/>
    <w:rsid w:val="0050491B"/>
    <w:rsid w:val="00504A9C"/>
    <w:rsid w:val="00504C2B"/>
    <w:rsid w:val="00504EFA"/>
    <w:rsid w:val="00505426"/>
    <w:rsid w:val="0050544B"/>
    <w:rsid w:val="0050545C"/>
    <w:rsid w:val="00505D66"/>
    <w:rsid w:val="00505E22"/>
    <w:rsid w:val="005064A6"/>
    <w:rsid w:val="005065F4"/>
    <w:rsid w:val="0050695A"/>
    <w:rsid w:val="00506D40"/>
    <w:rsid w:val="00506D4C"/>
    <w:rsid w:val="005071EB"/>
    <w:rsid w:val="00507337"/>
    <w:rsid w:val="005077B5"/>
    <w:rsid w:val="005077B9"/>
    <w:rsid w:val="00507CAF"/>
    <w:rsid w:val="00507D9E"/>
    <w:rsid w:val="005100AB"/>
    <w:rsid w:val="00510357"/>
    <w:rsid w:val="0051045F"/>
    <w:rsid w:val="005105C7"/>
    <w:rsid w:val="00510643"/>
    <w:rsid w:val="005106B6"/>
    <w:rsid w:val="00510814"/>
    <w:rsid w:val="0051081B"/>
    <w:rsid w:val="00510945"/>
    <w:rsid w:val="00510C7A"/>
    <w:rsid w:val="00510F55"/>
    <w:rsid w:val="005113C3"/>
    <w:rsid w:val="0051151A"/>
    <w:rsid w:val="00511560"/>
    <w:rsid w:val="005115D9"/>
    <w:rsid w:val="0051180F"/>
    <w:rsid w:val="00511968"/>
    <w:rsid w:val="005119A2"/>
    <w:rsid w:val="00511B09"/>
    <w:rsid w:val="00511C65"/>
    <w:rsid w:val="0051217F"/>
    <w:rsid w:val="005123C3"/>
    <w:rsid w:val="005126D1"/>
    <w:rsid w:val="00512A50"/>
    <w:rsid w:val="00512AE3"/>
    <w:rsid w:val="00512B55"/>
    <w:rsid w:val="00512B83"/>
    <w:rsid w:val="005131C7"/>
    <w:rsid w:val="0051324E"/>
    <w:rsid w:val="00513369"/>
    <w:rsid w:val="0051377E"/>
    <w:rsid w:val="00513B33"/>
    <w:rsid w:val="00513DFF"/>
    <w:rsid w:val="00513E4E"/>
    <w:rsid w:val="00513E73"/>
    <w:rsid w:val="00513EED"/>
    <w:rsid w:val="0051433A"/>
    <w:rsid w:val="0051448D"/>
    <w:rsid w:val="00514492"/>
    <w:rsid w:val="005144B7"/>
    <w:rsid w:val="0051479B"/>
    <w:rsid w:val="0051483B"/>
    <w:rsid w:val="00514C4C"/>
    <w:rsid w:val="00514D12"/>
    <w:rsid w:val="005151DF"/>
    <w:rsid w:val="00515254"/>
    <w:rsid w:val="005155F4"/>
    <w:rsid w:val="005156FA"/>
    <w:rsid w:val="00515724"/>
    <w:rsid w:val="0051578E"/>
    <w:rsid w:val="005158B7"/>
    <w:rsid w:val="005159E2"/>
    <w:rsid w:val="00515A45"/>
    <w:rsid w:val="00515C1C"/>
    <w:rsid w:val="00515C61"/>
    <w:rsid w:val="00515D81"/>
    <w:rsid w:val="0051614D"/>
    <w:rsid w:val="005163BD"/>
    <w:rsid w:val="00516632"/>
    <w:rsid w:val="00516753"/>
    <w:rsid w:val="005167D0"/>
    <w:rsid w:val="00516C01"/>
    <w:rsid w:val="00516D60"/>
    <w:rsid w:val="00516FEB"/>
    <w:rsid w:val="0051734D"/>
    <w:rsid w:val="005175FB"/>
    <w:rsid w:val="0051761A"/>
    <w:rsid w:val="005177BE"/>
    <w:rsid w:val="005178BE"/>
    <w:rsid w:val="00517988"/>
    <w:rsid w:val="00517A40"/>
    <w:rsid w:val="00517BAF"/>
    <w:rsid w:val="00517BB2"/>
    <w:rsid w:val="00517F3A"/>
    <w:rsid w:val="005200D1"/>
    <w:rsid w:val="00520348"/>
    <w:rsid w:val="005203C8"/>
    <w:rsid w:val="005205F5"/>
    <w:rsid w:val="005206A5"/>
    <w:rsid w:val="00520844"/>
    <w:rsid w:val="00520CCC"/>
    <w:rsid w:val="00520F21"/>
    <w:rsid w:val="00521017"/>
    <w:rsid w:val="005211C2"/>
    <w:rsid w:val="00521404"/>
    <w:rsid w:val="0052145D"/>
    <w:rsid w:val="00521BC1"/>
    <w:rsid w:val="00521D24"/>
    <w:rsid w:val="00521DD7"/>
    <w:rsid w:val="00521DE2"/>
    <w:rsid w:val="005221CC"/>
    <w:rsid w:val="00522384"/>
    <w:rsid w:val="00522497"/>
    <w:rsid w:val="0052282F"/>
    <w:rsid w:val="00522BE4"/>
    <w:rsid w:val="00522BED"/>
    <w:rsid w:val="00522C69"/>
    <w:rsid w:val="00522C76"/>
    <w:rsid w:val="00522CE9"/>
    <w:rsid w:val="00522CF7"/>
    <w:rsid w:val="00522DA0"/>
    <w:rsid w:val="0052321B"/>
    <w:rsid w:val="0052365B"/>
    <w:rsid w:val="00523921"/>
    <w:rsid w:val="00523C54"/>
    <w:rsid w:val="00523D28"/>
    <w:rsid w:val="00523E09"/>
    <w:rsid w:val="00523EE1"/>
    <w:rsid w:val="00523EEF"/>
    <w:rsid w:val="00523F41"/>
    <w:rsid w:val="0052407A"/>
    <w:rsid w:val="005240C5"/>
    <w:rsid w:val="0052426D"/>
    <w:rsid w:val="00524398"/>
    <w:rsid w:val="005243D7"/>
    <w:rsid w:val="005246B7"/>
    <w:rsid w:val="005246FF"/>
    <w:rsid w:val="0052474B"/>
    <w:rsid w:val="00524787"/>
    <w:rsid w:val="00524C89"/>
    <w:rsid w:val="00524D26"/>
    <w:rsid w:val="00524DBF"/>
    <w:rsid w:val="00524E01"/>
    <w:rsid w:val="0052515E"/>
    <w:rsid w:val="005254A5"/>
    <w:rsid w:val="00525662"/>
    <w:rsid w:val="00525C96"/>
    <w:rsid w:val="00525ECB"/>
    <w:rsid w:val="0052616E"/>
    <w:rsid w:val="005261CE"/>
    <w:rsid w:val="00526263"/>
    <w:rsid w:val="00526353"/>
    <w:rsid w:val="00526415"/>
    <w:rsid w:val="005266DF"/>
    <w:rsid w:val="00526AAD"/>
    <w:rsid w:val="00526BF1"/>
    <w:rsid w:val="00526F48"/>
    <w:rsid w:val="00527040"/>
    <w:rsid w:val="0052713D"/>
    <w:rsid w:val="005271CD"/>
    <w:rsid w:val="005277FF"/>
    <w:rsid w:val="0052783B"/>
    <w:rsid w:val="005279A4"/>
    <w:rsid w:val="00527A7E"/>
    <w:rsid w:val="00527ABD"/>
    <w:rsid w:val="005302D0"/>
    <w:rsid w:val="00530B03"/>
    <w:rsid w:val="00530C18"/>
    <w:rsid w:val="00530F2B"/>
    <w:rsid w:val="00530FEF"/>
    <w:rsid w:val="00531074"/>
    <w:rsid w:val="00531515"/>
    <w:rsid w:val="005315A2"/>
    <w:rsid w:val="0053161D"/>
    <w:rsid w:val="00531686"/>
    <w:rsid w:val="005316A3"/>
    <w:rsid w:val="00531B8D"/>
    <w:rsid w:val="00531B9E"/>
    <w:rsid w:val="00531CB5"/>
    <w:rsid w:val="00531D6E"/>
    <w:rsid w:val="00531E28"/>
    <w:rsid w:val="00531EBF"/>
    <w:rsid w:val="00532217"/>
    <w:rsid w:val="00532451"/>
    <w:rsid w:val="00532577"/>
    <w:rsid w:val="00532774"/>
    <w:rsid w:val="00532AE5"/>
    <w:rsid w:val="00532B9A"/>
    <w:rsid w:val="00532D47"/>
    <w:rsid w:val="00532FEC"/>
    <w:rsid w:val="00533428"/>
    <w:rsid w:val="005337C5"/>
    <w:rsid w:val="00533938"/>
    <w:rsid w:val="00533B1E"/>
    <w:rsid w:val="00533B40"/>
    <w:rsid w:val="00533CB9"/>
    <w:rsid w:val="00533D75"/>
    <w:rsid w:val="00533D7F"/>
    <w:rsid w:val="00533EF0"/>
    <w:rsid w:val="00533F27"/>
    <w:rsid w:val="00534384"/>
    <w:rsid w:val="005343BE"/>
    <w:rsid w:val="0053454F"/>
    <w:rsid w:val="00534645"/>
    <w:rsid w:val="00534D2F"/>
    <w:rsid w:val="00534D72"/>
    <w:rsid w:val="00535283"/>
    <w:rsid w:val="00535310"/>
    <w:rsid w:val="00535345"/>
    <w:rsid w:val="005353C2"/>
    <w:rsid w:val="005353FF"/>
    <w:rsid w:val="00535433"/>
    <w:rsid w:val="0053560C"/>
    <w:rsid w:val="00535614"/>
    <w:rsid w:val="005358BC"/>
    <w:rsid w:val="00535A62"/>
    <w:rsid w:val="00535BBF"/>
    <w:rsid w:val="005363C8"/>
    <w:rsid w:val="005363E1"/>
    <w:rsid w:val="005364F8"/>
    <w:rsid w:val="005367A3"/>
    <w:rsid w:val="005368B0"/>
    <w:rsid w:val="00536CB4"/>
    <w:rsid w:val="0053706E"/>
    <w:rsid w:val="0053708B"/>
    <w:rsid w:val="00537313"/>
    <w:rsid w:val="005373A7"/>
    <w:rsid w:val="0053775B"/>
    <w:rsid w:val="005379A7"/>
    <w:rsid w:val="00537B1B"/>
    <w:rsid w:val="005401E2"/>
    <w:rsid w:val="00540317"/>
    <w:rsid w:val="00540585"/>
    <w:rsid w:val="005405FD"/>
    <w:rsid w:val="005409FD"/>
    <w:rsid w:val="00540CA5"/>
    <w:rsid w:val="00540D01"/>
    <w:rsid w:val="00540EAA"/>
    <w:rsid w:val="0054114F"/>
    <w:rsid w:val="005412CD"/>
    <w:rsid w:val="005418F0"/>
    <w:rsid w:val="00541C6B"/>
    <w:rsid w:val="00541CF0"/>
    <w:rsid w:val="00541DF0"/>
    <w:rsid w:val="00541EA7"/>
    <w:rsid w:val="00541EAF"/>
    <w:rsid w:val="005420CD"/>
    <w:rsid w:val="00542266"/>
    <w:rsid w:val="005422E1"/>
    <w:rsid w:val="00542586"/>
    <w:rsid w:val="00542CB0"/>
    <w:rsid w:val="00542F87"/>
    <w:rsid w:val="005431FA"/>
    <w:rsid w:val="0054324D"/>
    <w:rsid w:val="005436BD"/>
    <w:rsid w:val="00543962"/>
    <w:rsid w:val="00543D73"/>
    <w:rsid w:val="00543ED8"/>
    <w:rsid w:val="00543EF4"/>
    <w:rsid w:val="00543F64"/>
    <w:rsid w:val="00544176"/>
    <w:rsid w:val="00544443"/>
    <w:rsid w:val="005447E8"/>
    <w:rsid w:val="005448AE"/>
    <w:rsid w:val="00544997"/>
    <w:rsid w:val="00544A38"/>
    <w:rsid w:val="00544B0B"/>
    <w:rsid w:val="00544D18"/>
    <w:rsid w:val="00544D20"/>
    <w:rsid w:val="00544E97"/>
    <w:rsid w:val="00544F4B"/>
    <w:rsid w:val="00544FFD"/>
    <w:rsid w:val="00545077"/>
    <w:rsid w:val="00545145"/>
    <w:rsid w:val="00545422"/>
    <w:rsid w:val="0054554C"/>
    <w:rsid w:val="00545EB3"/>
    <w:rsid w:val="00545EFC"/>
    <w:rsid w:val="00546208"/>
    <w:rsid w:val="005462C2"/>
    <w:rsid w:val="0054641D"/>
    <w:rsid w:val="00546501"/>
    <w:rsid w:val="005466DF"/>
    <w:rsid w:val="00546AE9"/>
    <w:rsid w:val="00546B8C"/>
    <w:rsid w:val="00546E0A"/>
    <w:rsid w:val="00546EAD"/>
    <w:rsid w:val="00546F81"/>
    <w:rsid w:val="0054704C"/>
    <w:rsid w:val="0054710C"/>
    <w:rsid w:val="00547244"/>
    <w:rsid w:val="00547276"/>
    <w:rsid w:val="00547EC5"/>
    <w:rsid w:val="0055015A"/>
    <w:rsid w:val="00550A8C"/>
    <w:rsid w:val="00550B36"/>
    <w:rsid w:val="00550D33"/>
    <w:rsid w:val="00550ED2"/>
    <w:rsid w:val="005510FA"/>
    <w:rsid w:val="005511C8"/>
    <w:rsid w:val="00551836"/>
    <w:rsid w:val="00551ADD"/>
    <w:rsid w:val="00551B2F"/>
    <w:rsid w:val="00551E8E"/>
    <w:rsid w:val="00551EA4"/>
    <w:rsid w:val="00551F34"/>
    <w:rsid w:val="00551F71"/>
    <w:rsid w:val="00552447"/>
    <w:rsid w:val="00552991"/>
    <w:rsid w:val="005529F3"/>
    <w:rsid w:val="00552AB9"/>
    <w:rsid w:val="00552CEB"/>
    <w:rsid w:val="00553018"/>
    <w:rsid w:val="00553078"/>
    <w:rsid w:val="005530F6"/>
    <w:rsid w:val="005535C9"/>
    <w:rsid w:val="00553A30"/>
    <w:rsid w:val="00553B83"/>
    <w:rsid w:val="00553CC5"/>
    <w:rsid w:val="005542D5"/>
    <w:rsid w:val="0055455D"/>
    <w:rsid w:val="00554612"/>
    <w:rsid w:val="005549C8"/>
    <w:rsid w:val="005549EA"/>
    <w:rsid w:val="00554D51"/>
    <w:rsid w:val="00554D53"/>
    <w:rsid w:val="00554DF9"/>
    <w:rsid w:val="00554F65"/>
    <w:rsid w:val="00555119"/>
    <w:rsid w:val="00555142"/>
    <w:rsid w:val="00555163"/>
    <w:rsid w:val="0055570D"/>
    <w:rsid w:val="0055599A"/>
    <w:rsid w:val="00555DC6"/>
    <w:rsid w:val="00555E5E"/>
    <w:rsid w:val="0055614C"/>
    <w:rsid w:val="00556233"/>
    <w:rsid w:val="005563F5"/>
    <w:rsid w:val="0055643C"/>
    <w:rsid w:val="005565D7"/>
    <w:rsid w:val="005566A2"/>
    <w:rsid w:val="00556710"/>
    <w:rsid w:val="0055692C"/>
    <w:rsid w:val="00556BD0"/>
    <w:rsid w:val="00556DAE"/>
    <w:rsid w:val="00556E8A"/>
    <w:rsid w:val="00556F73"/>
    <w:rsid w:val="00557467"/>
    <w:rsid w:val="00557698"/>
    <w:rsid w:val="005576B5"/>
    <w:rsid w:val="005577AD"/>
    <w:rsid w:val="00557942"/>
    <w:rsid w:val="00560063"/>
    <w:rsid w:val="005600C9"/>
    <w:rsid w:val="005603C4"/>
    <w:rsid w:val="00560420"/>
    <w:rsid w:val="00560430"/>
    <w:rsid w:val="00560636"/>
    <w:rsid w:val="00560851"/>
    <w:rsid w:val="00560E67"/>
    <w:rsid w:val="00560FA7"/>
    <w:rsid w:val="00561096"/>
    <w:rsid w:val="00561273"/>
    <w:rsid w:val="00561417"/>
    <w:rsid w:val="005618E0"/>
    <w:rsid w:val="00561AC2"/>
    <w:rsid w:val="00561DB8"/>
    <w:rsid w:val="00562164"/>
    <w:rsid w:val="005621FF"/>
    <w:rsid w:val="005627D5"/>
    <w:rsid w:val="005627E6"/>
    <w:rsid w:val="00562876"/>
    <w:rsid w:val="00562A6D"/>
    <w:rsid w:val="00563348"/>
    <w:rsid w:val="00563356"/>
    <w:rsid w:val="005638CA"/>
    <w:rsid w:val="005639BE"/>
    <w:rsid w:val="00563D5B"/>
    <w:rsid w:val="00563EB7"/>
    <w:rsid w:val="00563FD6"/>
    <w:rsid w:val="00564005"/>
    <w:rsid w:val="005640F4"/>
    <w:rsid w:val="005643E5"/>
    <w:rsid w:val="005645E6"/>
    <w:rsid w:val="0056483E"/>
    <w:rsid w:val="00564872"/>
    <w:rsid w:val="00564ACF"/>
    <w:rsid w:val="00565178"/>
    <w:rsid w:val="00565457"/>
    <w:rsid w:val="00565527"/>
    <w:rsid w:val="005655A6"/>
    <w:rsid w:val="0056567E"/>
    <w:rsid w:val="005656EC"/>
    <w:rsid w:val="0056571C"/>
    <w:rsid w:val="00565CE9"/>
    <w:rsid w:val="00565E17"/>
    <w:rsid w:val="005665BF"/>
    <w:rsid w:val="0056666C"/>
    <w:rsid w:val="005666D0"/>
    <w:rsid w:val="005668F3"/>
    <w:rsid w:val="00566CFC"/>
    <w:rsid w:val="00566E28"/>
    <w:rsid w:val="00566E50"/>
    <w:rsid w:val="00566ECD"/>
    <w:rsid w:val="00566FB9"/>
    <w:rsid w:val="00567487"/>
    <w:rsid w:val="0056773F"/>
    <w:rsid w:val="00567FE9"/>
    <w:rsid w:val="00570621"/>
    <w:rsid w:val="0057069E"/>
    <w:rsid w:val="005709B0"/>
    <w:rsid w:val="00570A76"/>
    <w:rsid w:val="00570C71"/>
    <w:rsid w:val="00570D94"/>
    <w:rsid w:val="00570F06"/>
    <w:rsid w:val="00571187"/>
    <w:rsid w:val="005711D1"/>
    <w:rsid w:val="005712E5"/>
    <w:rsid w:val="005714C3"/>
    <w:rsid w:val="005716C6"/>
    <w:rsid w:val="00571D48"/>
    <w:rsid w:val="00571DFF"/>
    <w:rsid w:val="00572070"/>
    <w:rsid w:val="0057208D"/>
    <w:rsid w:val="005721AC"/>
    <w:rsid w:val="005722B2"/>
    <w:rsid w:val="005723E2"/>
    <w:rsid w:val="0057277B"/>
    <w:rsid w:val="00572A1A"/>
    <w:rsid w:val="00572A8C"/>
    <w:rsid w:val="00572ACB"/>
    <w:rsid w:val="005730B4"/>
    <w:rsid w:val="0057325E"/>
    <w:rsid w:val="0057326A"/>
    <w:rsid w:val="005733A1"/>
    <w:rsid w:val="005733B0"/>
    <w:rsid w:val="0057349E"/>
    <w:rsid w:val="00573605"/>
    <w:rsid w:val="00573910"/>
    <w:rsid w:val="0057398C"/>
    <w:rsid w:val="0057399D"/>
    <w:rsid w:val="00573AA5"/>
    <w:rsid w:val="00573B7F"/>
    <w:rsid w:val="005745F7"/>
    <w:rsid w:val="00574946"/>
    <w:rsid w:val="00574B09"/>
    <w:rsid w:val="00574D26"/>
    <w:rsid w:val="00574E49"/>
    <w:rsid w:val="00574F60"/>
    <w:rsid w:val="00575425"/>
    <w:rsid w:val="00575609"/>
    <w:rsid w:val="00575652"/>
    <w:rsid w:val="00575B52"/>
    <w:rsid w:val="00575C5F"/>
    <w:rsid w:val="00575E76"/>
    <w:rsid w:val="00575F70"/>
    <w:rsid w:val="005762AC"/>
    <w:rsid w:val="00576410"/>
    <w:rsid w:val="00576457"/>
    <w:rsid w:val="00576491"/>
    <w:rsid w:val="005764E9"/>
    <w:rsid w:val="00576B0D"/>
    <w:rsid w:val="00576B6B"/>
    <w:rsid w:val="00576BB1"/>
    <w:rsid w:val="00576C4E"/>
    <w:rsid w:val="00576F45"/>
    <w:rsid w:val="00577047"/>
    <w:rsid w:val="005770D9"/>
    <w:rsid w:val="00577113"/>
    <w:rsid w:val="00577118"/>
    <w:rsid w:val="00577352"/>
    <w:rsid w:val="0057743B"/>
    <w:rsid w:val="00577524"/>
    <w:rsid w:val="005777C2"/>
    <w:rsid w:val="005779DD"/>
    <w:rsid w:val="00577B44"/>
    <w:rsid w:val="00577BA5"/>
    <w:rsid w:val="00577BF5"/>
    <w:rsid w:val="00577F85"/>
    <w:rsid w:val="005801EF"/>
    <w:rsid w:val="0058025E"/>
    <w:rsid w:val="005802B8"/>
    <w:rsid w:val="00580AC9"/>
    <w:rsid w:val="00580B07"/>
    <w:rsid w:val="00580EDD"/>
    <w:rsid w:val="0058148D"/>
    <w:rsid w:val="0058191D"/>
    <w:rsid w:val="00581A58"/>
    <w:rsid w:val="00581EA4"/>
    <w:rsid w:val="00581FDA"/>
    <w:rsid w:val="005820FA"/>
    <w:rsid w:val="0058233E"/>
    <w:rsid w:val="0058248D"/>
    <w:rsid w:val="0058281C"/>
    <w:rsid w:val="00582875"/>
    <w:rsid w:val="0058293E"/>
    <w:rsid w:val="00582D4F"/>
    <w:rsid w:val="00582D51"/>
    <w:rsid w:val="00582F98"/>
    <w:rsid w:val="00582FA1"/>
    <w:rsid w:val="00583575"/>
    <w:rsid w:val="005836CA"/>
    <w:rsid w:val="00583778"/>
    <w:rsid w:val="005838F1"/>
    <w:rsid w:val="00583908"/>
    <w:rsid w:val="00583CC7"/>
    <w:rsid w:val="00584019"/>
    <w:rsid w:val="00584324"/>
    <w:rsid w:val="005843F5"/>
    <w:rsid w:val="00584741"/>
    <w:rsid w:val="005847EB"/>
    <w:rsid w:val="0058488E"/>
    <w:rsid w:val="005848D3"/>
    <w:rsid w:val="0058493D"/>
    <w:rsid w:val="005849A6"/>
    <w:rsid w:val="005856A3"/>
    <w:rsid w:val="005856D2"/>
    <w:rsid w:val="00585806"/>
    <w:rsid w:val="0058622A"/>
    <w:rsid w:val="005862DB"/>
    <w:rsid w:val="00586300"/>
    <w:rsid w:val="005863D5"/>
    <w:rsid w:val="005863F1"/>
    <w:rsid w:val="00586479"/>
    <w:rsid w:val="00586586"/>
    <w:rsid w:val="005867CE"/>
    <w:rsid w:val="005868DD"/>
    <w:rsid w:val="00586984"/>
    <w:rsid w:val="00586CD9"/>
    <w:rsid w:val="00586F97"/>
    <w:rsid w:val="00587107"/>
    <w:rsid w:val="005871C9"/>
    <w:rsid w:val="00587589"/>
    <w:rsid w:val="00587A71"/>
    <w:rsid w:val="00587AEB"/>
    <w:rsid w:val="00587BFA"/>
    <w:rsid w:val="00587CBF"/>
    <w:rsid w:val="00587CF7"/>
    <w:rsid w:val="00587E52"/>
    <w:rsid w:val="00587EEE"/>
    <w:rsid w:val="00587FAF"/>
    <w:rsid w:val="005902B7"/>
    <w:rsid w:val="005909FB"/>
    <w:rsid w:val="00590B2A"/>
    <w:rsid w:val="00590FAA"/>
    <w:rsid w:val="00591231"/>
    <w:rsid w:val="0059134A"/>
    <w:rsid w:val="005914A0"/>
    <w:rsid w:val="005914D4"/>
    <w:rsid w:val="00591565"/>
    <w:rsid w:val="00591C76"/>
    <w:rsid w:val="00591F6E"/>
    <w:rsid w:val="005920A1"/>
    <w:rsid w:val="005924A6"/>
    <w:rsid w:val="005927F9"/>
    <w:rsid w:val="00592815"/>
    <w:rsid w:val="005929E2"/>
    <w:rsid w:val="00592B7D"/>
    <w:rsid w:val="005930FF"/>
    <w:rsid w:val="005933AC"/>
    <w:rsid w:val="005934C0"/>
    <w:rsid w:val="0059377A"/>
    <w:rsid w:val="00593C81"/>
    <w:rsid w:val="00593EC7"/>
    <w:rsid w:val="00593F43"/>
    <w:rsid w:val="00593F51"/>
    <w:rsid w:val="0059416E"/>
    <w:rsid w:val="00594255"/>
    <w:rsid w:val="0059427B"/>
    <w:rsid w:val="0059434D"/>
    <w:rsid w:val="005943DB"/>
    <w:rsid w:val="005945CC"/>
    <w:rsid w:val="00594B41"/>
    <w:rsid w:val="00594BAB"/>
    <w:rsid w:val="00594DE1"/>
    <w:rsid w:val="00594F56"/>
    <w:rsid w:val="00594F5C"/>
    <w:rsid w:val="00595656"/>
    <w:rsid w:val="005957F7"/>
    <w:rsid w:val="00595A60"/>
    <w:rsid w:val="00595C4C"/>
    <w:rsid w:val="00595F7D"/>
    <w:rsid w:val="0059609D"/>
    <w:rsid w:val="0059630A"/>
    <w:rsid w:val="005969BD"/>
    <w:rsid w:val="00596DC3"/>
    <w:rsid w:val="00596E3A"/>
    <w:rsid w:val="005976C4"/>
    <w:rsid w:val="00597A00"/>
    <w:rsid w:val="00597A82"/>
    <w:rsid w:val="00597A9B"/>
    <w:rsid w:val="00597BFA"/>
    <w:rsid w:val="00597E60"/>
    <w:rsid w:val="005A04C0"/>
    <w:rsid w:val="005A09C3"/>
    <w:rsid w:val="005A09EA"/>
    <w:rsid w:val="005A0A36"/>
    <w:rsid w:val="005A0C6A"/>
    <w:rsid w:val="005A0E2D"/>
    <w:rsid w:val="005A1C4C"/>
    <w:rsid w:val="005A1C78"/>
    <w:rsid w:val="005A1E10"/>
    <w:rsid w:val="005A2047"/>
    <w:rsid w:val="005A23B0"/>
    <w:rsid w:val="005A2558"/>
    <w:rsid w:val="005A25CA"/>
    <w:rsid w:val="005A2896"/>
    <w:rsid w:val="005A2975"/>
    <w:rsid w:val="005A2C63"/>
    <w:rsid w:val="005A2DA4"/>
    <w:rsid w:val="005A2E60"/>
    <w:rsid w:val="005A2F11"/>
    <w:rsid w:val="005A2FE0"/>
    <w:rsid w:val="005A30F5"/>
    <w:rsid w:val="005A3287"/>
    <w:rsid w:val="005A33B1"/>
    <w:rsid w:val="005A35A9"/>
    <w:rsid w:val="005A372C"/>
    <w:rsid w:val="005A3A85"/>
    <w:rsid w:val="005A3C94"/>
    <w:rsid w:val="005A3E47"/>
    <w:rsid w:val="005A3FDC"/>
    <w:rsid w:val="005A40A3"/>
    <w:rsid w:val="005A485F"/>
    <w:rsid w:val="005A48C8"/>
    <w:rsid w:val="005A4F99"/>
    <w:rsid w:val="005A511F"/>
    <w:rsid w:val="005A52B5"/>
    <w:rsid w:val="005A5A23"/>
    <w:rsid w:val="005A5CED"/>
    <w:rsid w:val="005A602B"/>
    <w:rsid w:val="005A625B"/>
    <w:rsid w:val="005A6504"/>
    <w:rsid w:val="005A650E"/>
    <w:rsid w:val="005A6712"/>
    <w:rsid w:val="005A6A7B"/>
    <w:rsid w:val="005A6BCA"/>
    <w:rsid w:val="005A7043"/>
    <w:rsid w:val="005A7205"/>
    <w:rsid w:val="005A75F3"/>
    <w:rsid w:val="005A7781"/>
    <w:rsid w:val="005A7C14"/>
    <w:rsid w:val="005B0023"/>
    <w:rsid w:val="005B01A5"/>
    <w:rsid w:val="005B03DC"/>
    <w:rsid w:val="005B05CC"/>
    <w:rsid w:val="005B07D3"/>
    <w:rsid w:val="005B0912"/>
    <w:rsid w:val="005B0997"/>
    <w:rsid w:val="005B1252"/>
    <w:rsid w:val="005B1356"/>
    <w:rsid w:val="005B180F"/>
    <w:rsid w:val="005B1AC4"/>
    <w:rsid w:val="005B1ACC"/>
    <w:rsid w:val="005B1D31"/>
    <w:rsid w:val="005B1E0D"/>
    <w:rsid w:val="005B1FD1"/>
    <w:rsid w:val="005B22E7"/>
    <w:rsid w:val="005B2584"/>
    <w:rsid w:val="005B263F"/>
    <w:rsid w:val="005B290F"/>
    <w:rsid w:val="005B2935"/>
    <w:rsid w:val="005B2983"/>
    <w:rsid w:val="005B2C39"/>
    <w:rsid w:val="005B2C6D"/>
    <w:rsid w:val="005B2CC4"/>
    <w:rsid w:val="005B3079"/>
    <w:rsid w:val="005B3245"/>
    <w:rsid w:val="005B32C4"/>
    <w:rsid w:val="005B33F9"/>
    <w:rsid w:val="005B34A1"/>
    <w:rsid w:val="005B34D2"/>
    <w:rsid w:val="005B34EF"/>
    <w:rsid w:val="005B34F4"/>
    <w:rsid w:val="005B3536"/>
    <w:rsid w:val="005B365F"/>
    <w:rsid w:val="005B381D"/>
    <w:rsid w:val="005B38C4"/>
    <w:rsid w:val="005B38DF"/>
    <w:rsid w:val="005B396E"/>
    <w:rsid w:val="005B3E13"/>
    <w:rsid w:val="005B3F9F"/>
    <w:rsid w:val="005B3FA1"/>
    <w:rsid w:val="005B41E5"/>
    <w:rsid w:val="005B4233"/>
    <w:rsid w:val="005B43B6"/>
    <w:rsid w:val="005B44B8"/>
    <w:rsid w:val="005B48D8"/>
    <w:rsid w:val="005B4ACF"/>
    <w:rsid w:val="005B4DAE"/>
    <w:rsid w:val="005B4E01"/>
    <w:rsid w:val="005B5160"/>
    <w:rsid w:val="005B51AB"/>
    <w:rsid w:val="005B5534"/>
    <w:rsid w:val="005B56A0"/>
    <w:rsid w:val="005B5969"/>
    <w:rsid w:val="005B5AAD"/>
    <w:rsid w:val="005B5DA4"/>
    <w:rsid w:val="005B5F30"/>
    <w:rsid w:val="005B60B3"/>
    <w:rsid w:val="005B6175"/>
    <w:rsid w:val="005B61C4"/>
    <w:rsid w:val="005B6235"/>
    <w:rsid w:val="005B640C"/>
    <w:rsid w:val="005B67BD"/>
    <w:rsid w:val="005B6A28"/>
    <w:rsid w:val="005B6DB0"/>
    <w:rsid w:val="005B6F39"/>
    <w:rsid w:val="005B6FD0"/>
    <w:rsid w:val="005B749D"/>
    <w:rsid w:val="005B75F4"/>
    <w:rsid w:val="005B75FA"/>
    <w:rsid w:val="005B7775"/>
    <w:rsid w:val="005B7836"/>
    <w:rsid w:val="005B7922"/>
    <w:rsid w:val="005B7930"/>
    <w:rsid w:val="005B79DD"/>
    <w:rsid w:val="005B7E7D"/>
    <w:rsid w:val="005B7FB3"/>
    <w:rsid w:val="005C0112"/>
    <w:rsid w:val="005C0207"/>
    <w:rsid w:val="005C0306"/>
    <w:rsid w:val="005C039A"/>
    <w:rsid w:val="005C03D1"/>
    <w:rsid w:val="005C0430"/>
    <w:rsid w:val="005C0779"/>
    <w:rsid w:val="005C0800"/>
    <w:rsid w:val="005C08BF"/>
    <w:rsid w:val="005C08C2"/>
    <w:rsid w:val="005C08CB"/>
    <w:rsid w:val="005C0954"/>
    <w:rsid w:val="005C0D83"/>
    <w:rsid w:val="005C0F01"/>
    <w:rsid w:val="005C101F"/>
    <w:rsid w:val="005C1727"/>
    <w:rsid w:val="005C1C17"/>
    <w:rsid w:val="005C1C20"/>
    <w:rsid w:val="005C1F67"/>
    <w:rsid w:val="005C2042"/>
    <w:rsid w:val="005C2979"/>
    <w:rsid w:val="005C2AFF"/>
    <w:rsid w:val="005C2BF0"/>
    <w:rsid w:val="005C2BF9"/>
    <w:rsid w:val="005C2CD3"/>
    <w:rsid w:val="005C31EE"/>
    <w:rsid w:val="005C3268"/>
    <w:rsid w:val="005C339E"/>
    <w:rsid w:val="005C35A4"/>
    <w:rsid w:val="005C36B0"/>
    <w:rsid w:val="005C370C"/>
    <w:rsid w:val="005C37EB"/>
    <w:rsid w:val="005C3959"/>
    <w:rsid w:val="005C3B73"/>
    <w:rsid w:val="005C3CF0"/>
    <w:rsid w:val="005C3D6A"/>
    <w:rsid w:val="005C4390"/>
    <w:rsid w:val="005C4824"/>
    <w:rsid w:val="005C4B4C"/>
    <w:rsid w:val="005C4B69"/>
    <w:rsid w:val="005C4CC7"/>
    <w:rsid w:val="005C4D3C"/>
    <w:rsid w:val="005C4D45"/>
    <w:rsid w:val="005C5019"/>
    <w:rsid w:val="005C55A0"/>
    <w:rsid w:val="005C5783"/>
    <w:rsid w:val="005C589B"/>
    <w:rsid w:val="005C5CCA"/>
    <w:rsid w:val="005C5CDC"/>
    <w:rsid w:val="005C6120"/>
    <w:rsid w:val="005C627F"/>
    <w:rsid w:val="005C634C"/>
    <w:rsid w:val="005C642B"/>
    <w:rsid w:val="005C6485"/>
    <w:rsid w:val="005C666C"/>
    <w:rsid w:val="005C6812"/>
    <w:rsid w:val="005C6D85"/>
    <w:rsid w:val="005C6EB7"/>
    <w:rsid w:val="005C6EF8"/>
    <w:rsid w:val="005C6FE1"/>
    <w:rsid w:val="005C700F"/>
    <w:rsid w:val="005C70F3"/>
    <w:rsid w:val="005C7243"/>
    <w:rsid w:val="005C7704"/>
    <w:rsid w:val="005C7E22"/>
    <w:rsid w:val="005D01DE"/>
    <w:rsid w:val="005D0565"/>
    <w:rsid w:val="005D08DA"/>
    <w:rsid w:val="005D098E"/>
    <w:rsid w:val="005D0A00"/>
    <w:rsid w:val="005D0D98"/>
    <w:rsid w:val="005D0E0E"/>
    <w:rsid w:val="005D0FB9"/>
    <w:rsid w:val="005D1209"/>
    <w:rsid w:val="005D1360"/>
    <w:rsid w:val="005D19E6"/>
    <w:rsid w:val="005D1D07"/>
    <w:rsid w:val="005D1E73"/>
    <w:rsid w:val="005D20BE"/>
    <w:rsid w:val="005D22A6"/>
    <w:rsid w:val="005D2417"/>
    <w:rsid w:val="005D2608"/>
    <w:rsid w:val="005D2C49"/>
    <w:rsid w:val="005D2F28"/>
    <w:rsid w:val="005D2F3B"/>
    <w:rsid w:val="005D2F7B"/>
    <w:rsid w:val="005D323F"/>
    <w:rsid w:val="005D343E"/>
    <w:rsid w:val="005D34F5"/>
    <w:rsid w:val="005D34F8"/>
    <w:rsid w:val="005D35C2"/>
    <w:rsid w:val="005D3723"/>
    <w:rsid w:val="005D38E9"/>
    <w:rsid w:val="005D3E0C"/>
    <w:rsid w:val="005D401F"/>
    <w:rsid w:val="005D428F"/>
    <w:rsid w:val="005D43D4"/>
    <w:rsid w:val="005D46F5"/>
    <w:rsid w:val="005D4B42"/>
    <w:rsid w:val="005D4C26"/>
    <w:rsid w:val="005D4CF6"/>
    <w:rsid w:val="005D5154"/>
    <w:rsid w:val="005D5222"/>
    <w:rsid w:val="005D56A1"/>
    <w:rsid w:val="005D597C"/>
    <w:rsid w:val="005D5D34"/>
    <w:rsid w:val="005D5FB5"/>
    <w:rsid w:val="005D629F"/>
    <w:rsid w:val="005D634E"/>
    <w:rsid w:val="005D63A8"/>
    <w:rsid w:val="005D658E"/>
    <w:rsid w:val="005D668B"/>
    <w:rsid w:val="005D6F0F"/>
    <w:rsid w:val="005D70B8"/>
    <w:rsid w:val="005D77E9"/>
    <w:rsid w:val="005D79DA"/>
    <w:rsid w:val="005D7E1E"/>
    <w:rsid w:val="005E0090"/>
    <w:rsid w:val="005E0330"/>
    <w:rsid w:val="005E05DD"/>
    <w:rsid w:val="005E06D0"/>
    <w:rsid w:val="005E072F"/>
    <w:rsid w:val="005E09D3"/>
    <w:rsid w:val="005E09F4"/>
    <w:rsid w:val="005E0AE6"/>
    <w:rsid w:val="005E0AFB"/>
    <w:rsid w:val="005E0B59"/>
    <w:rsid w:val="005E0B92"/>
    <w:rsid w:val="005E0D47"/>
    <w:rsid w:val="005E0ED9"/>
    <w:rsid w:val="005E10EE"/>
    <w:rsid w:val="005E1340"/>
    <w:rsid w:val="005E156F"/>
    <w:rsid w:val="005E16A9"/>
    <w:rsid w:val="005E1877"/>
    <w:rsid w:val="005E1A83"/>
    <w:rsid w:val="005E1BED"/>
    <w:rsid w:val="005E1FDC"/>
    <w:rsid w:val="005E1FF5"/>
    <w:rsid w:val="005E2362"/>
    <w:rsid w:val="005E23D7"/>
    <w:rsid w:val="005E2730"/>
    <w:rsid w:val="005E289D"/>
    <w:rsid w:val="005E2998"/>
    <w:rsid w:val="005E30D6"/>
    <w:rsid w:val="005E34BB"/>
    <w:rsid w:val="005E36C3"/>
    <w:rsid w:val="005E3853"/>
    <w:rsid w:val="005E48D1"/>
    <w:rsid w:val="005E492C"/>
    <w:rsid w:val="005E49EE"/>
    <w:rsid w:val="005E5282"/>
    <w:rsid w:val="005E5535"/>
    <w:rsid w:val="005E55D8"/>
    <w:rsid w:val="005E576C"/>
    <w:rsid w:val="005E57AD"/>
    <w:rsid w:val="005E59AE"/>
    <w:rsid w:val="005E5E96"/>
    <w:rsid w:val="005E5FEA"/>
    <w:rsid w:val="005E61A2"/>
    <w:rsid w:val="005E631C"/>
    <w:rsid w:val="005E6332"/>
    <w:rsid w:val="005E65CB"/>
    <w:rsid w:val="005E6BCB"/>
    <w:rsid w:val="005E6C09"/>
    <w:rsid w:val="005E6D4D"/>
    <w:rsid w:val="005E6D9E"/>
    <w:rsid w:val="005E6EC8"/>
    <w:rsid w:val="005E6F06"/>
    <w:rsid w:val="005E7295"/>
    <w:rsid w:val="005E735E"/>
    <w:rsid w:val="005E75EF"/>
    <w:rsid w:val="005E76FF"/>
    <w:rsid w:val="005E7B56"/>
    <w:rsid w:val="005E7BAE"/>
    <w:rsid w:val="005E7DBB"/>
    <w:rsid w:val="005F0179"/>
    <w:rsid w:val="005F084E"/>
    <w:rsid w:val="005F0B59"/>
    <w:rsid w:val="005F0D27"/>
    <w:rsid w:val="005F0F02"/>
    <w:rsid w:val="005F14D8"/>
    <w:rsid w:val="005F152F"/>
    <w:rsid w:val="005F1553"/>
    <w:rsid w:val="005F1757"/>
    <w:rsid w:val="005F17F4"/>
    <w:rsid w:val="005F1841"/>
    <w:rsid w:val="005F1911"/>
    <w:rsid w:val="005F1932"/>
    <w:rsid w:val="005F19AB"/>
    <w:rsid w:val="005F1AF6"/>
    <w:rsid w:val="005F1C3E"/>
    <w:rsid w:val="005F1E54"/>
    <w:rsid w:val="005F1FC5"/>
    <w:rsid w:val="005F22BF"/>
    <w:rsid w:val="005F22D8"/>
    <w:rsid w:val="005F2392"/>
    <w:rsid w:val="005F24A0"/>
    <w:rsid w:val="005F2639"/>
    <w:rsid w:val="005F297E"/>
    <w:rsid w:val="005F2B04"/>
    <w:rsid w:val="005F2D74"/>
    <w:rsid w:val="005F2DA4"/>
    <w:rsid w:val="005F2E5A"/>
    <w:rsid w:val="005F2E70"/>
    <w:rsid w:val="005F2FBE"/>
    <w:rsid w:val="005F3190"/>
    <w:rsid w:val="005F31F1"/>
    <w:rsid w:val="005F32E7"/>
    <w:rsid w:val="005F33BA"/>
    <w:rsid w:val="005F36C6"/>
    <w:rsid w:val="005F36E4"/>
    <w:rsid w:val="005F38A3"/>
    <w:rsid w:val="005F3974"/>
    <w:rsid w:val="005F3AA5"/>
    <w:rsid w:val="005F3BE3"/>
    <w:rsid w:val="005F3C27"/>
    <w:rsid w:val="005F3FB6"/>
    <w:rsid w:val="005F40A0"/>
    <w:rsid w:val="005F40EC"/>
    <w:rsid w:val="005F4195"/>
    <w:rsid w:val="005F41B0"/>
    <w:rsid w:val="005F4262"/>
    <w:rsid w:val="005F43DA"/>
    <w:rsid w:val="005F44AB"/>
    <w:rsid w:val="005F44EF"/>
    <w:rsid w:val="005F4579"/>
    <w:rsid w:val="005F4F25"/>
    <w:rsid w:val="005F506A"/>
    <w:rsid w:val="005F50F5"/>
    <w:rsid w:val="005F522F"/>
    <w:rsid w:val="005F53A6"/>
    <w:rsid w:val="005F54AD"/>
    <w:rsid w:val="005F580E"/>
    <w:rsid w:val="005F5838"/>
    <w:rsid w:val="005F5E9A"/>
    <w:rsid w:val="005F5F22"/>
    <w:rsid w:val="005F61BD"/>
    <w:rsid w:val="005F6268"/>
    <w:rsid w:val="005F671D"/>
    <w:rsid w:val="005F6792"/>
    <w:rsid w:val="005F6961"/>
    <w:rsid w:val="005F70DA"/>
    <w:rsid w:val="005F7287"/>
    <w:rsid w:val="005F7384"/>
    <w:rsid w:val="005F76BB"/>
    <w:rsid w:val="005F7727"/>
    <w:rsid w:val="005F7CB1"/>
    <w:rsid w:val="005F7F9B"/>
    <w:rsid w:val="006000F0"/>
    <w:rsid w:val="0060038E"/>
    <w:rsid w:val="0060056B"/>
    <w:rsid w:val="006005FA"/>
    <w:rsid w:val="006006E1"/>
    <w:rsid w:val="006006EF"/>
    <w:rsid w:val="00600957"/>
    <w:rsid w:val="00600A35"/>
    <w:rsid w:val="00600BCE"/>
    <w:rsid w:val="00600C70"/>
    <w:rsid w:val="0060154F"/>
    <w:rsid w:val="00601584"/>
    <w:rsid w:val="006019CB"/>
    <w:rsid w:val="00601D07"/>
    <w:rsid w:val="00601E68"/>
    <w:rsid w:val="0060207F"/>
    <w:rsid w:val="006020AA"/>
    <w:rsid w:val="00602335"/>
    <w:rsid w:val="00602370"/>
    <w:rsid w:val="006023E5"/>
    <w:rsid w:val="0060249A"/>
    <w:rsid w:val="006024C4"/>
    <w:rsid w:val="006025FA"/>
    <w:rsid w:val="006028F2"/>
    <w:rsid w:val="006029D4"/>
    <w:rsid w:val="00602B08"/>
    <w:rsid w:val="006031BE"/>
    <w:rsid w:val="006037FE"/>
    <w:rsid w:val="00603D6D"/>
    <w:rsid w:val="00603F70"/>
    <w:rsid w:val="006042AD"/>
    <w:rsid w:val="00604740"/>
    <w:rsid w:val="006047FD"/>
    <w:rsid w:val="00604952"/>
    <w:rsid w:val="00604A42"/>
    <w:rsid w:val="00604D2F"/>
    <w:rsid w:val="00604E98"/>
    <w:rsid w:val="00604F7D"/>
    <w:rsid w:val="00605199"/>
    <w:rsid w:val="00605202"/>
    <w:rsid w:val="0060522A"/>
    <w:rsid w:val="006052B9"/>
    <w:rsid w:val="00605357"/>
    <w:rsid w:val="006053F5"/>
    <w:rsid w:val="00605492"/>
    <w:rsid w:val="006056D4"/>
    <w:rsid w:val="006057AE"/>
    <w:rsid w:val="00605C6E"/>
    <w:rsid w:val="00605DF2"/>
    <w:rsid w:val="00605E97"/>
    <w:rsid w:val="00605FB3"/>
    <w:rsid w:val="00606244"/>
    <w:rsid w:val="006064FC"/>
    <w:rsid w:val="00606662"/>
    <w:rsid w:val="00606B3E"/>
    <w:rsid w:val="00606F16"/>
    <w:rsid w:val="006073AE"/>
    <w:rsid w:val="00607485"/>
    <w:rsid w:val="006075E0"/>
    <w:rsid w:val="00607A17"/>
    <w:rsid w:val="00607A2A"/>
    <w:rsid w:val="00607A37"/>
    <w:rsid w:val="00607BA5"/>
    <w:rsid w:val="006101B7"/>
    <w:rsid w:val="006101BB"/>
    <w:rsid w:val="0061020E"/>
    <w:rsid w:val="00610232"/>
    <w:rsid w:val="0061072A"/>
    <w:rsid w:val="00610768"/>
    <w:rsid w:val="00610A0B"/>
    <w:rsid w:val="00610A4B"/>
    <w:rsid w:val="00610DAE"/>
    <w:rsid w:val="00611399"/>
    <w:rsid w:val="006116B0"/>
    <w:rsid w:val="0061197B"/>
    <w:rsid w:val="00611AFB"/>
    <w:rsid w:val="00611BDE"/>
    <w:rsid w:val="00611D32"/>
    <w:rsid w:val="006123EA"/>
    <w:rsid w:val="00612487"/>
    <w:rsid w:val="006126AC"/>
    <w:rsid w:val="00612707"/>
    <w:rsid w:val="00612A98"/>
    <w:rsid w:val="00612B2B"/>
    <w:rsid w:val="00612BE3"/>
    <w:rsid w:val="00612EC3"/>
    <w:rsid w:val="006133FA"/>
    <w:rsid w:val="00613450"/>
    <w:rsid w:val="0061367B"/>
    <w:rsid w:val="00613920"/>
    <w:rsid w:val="00613FB2"/>
    <w:rsid w:val="00613FBA"/>
    <w:rsid w:val="00614248"/>
    <w:rsid w:val="00614770"/>
    <w:rsid w:val="00614965"/>
    <w:rsid w:val="006149CD"/>
    <w:rsid w:val="00614BB9"/>
    <w:rsid w:val="00614CBC"/>
    <w:rsid w:val="00614E05"/>
    <w:rsid w:val="00615323"/>
    <w:rsid w:val="006153D7"/>
    <w:rsid w:val="00615551"/>
    <w:rsid w:val="006155FD"/>
    <w:rsid w:val="00615648"/>
    <w:rsid w:val="00615841"/>
    <w:rsid w:val="00615927"/>
    <w:rsid w:val="00615A72"/>
    <w:rsid w:val="00615A7D"/>
    <w:rsid w:val="00615D51"/>
    <w:rsid w:val="00615F62"/>
    <w:rsid w:val="00615FF6"/>
    <w:rsid w:val="006161E6"/>
    <w:rsid w:val="00616362"/>
    <w:rsid w:val="006165C2"/>
    <w:rsid w:val="006167E9"/>
    <w:rsid w:val="00616955"/>
    <w:rsid w:val="006169AC"/>
    <w:rsid w:val="00616B91"/>
    <w:rsid w:val="00616CF1"/>
    <w:rsid w:val="00616EDF"/>
    <w:rsid w:val="00616FE7"/>
    <w:rsid w:val="00617070"/>
    <w:rsid w:val="00617102"/>
    <w:rsid w:val="0061718B"/>
    <w:rsid w:val="00617432"/>
    <w:rsid w:val="006177E9"/>
    <w:rsid w:val="00617826"/>
    <w:rsid w:val="0061783F"/>
    <w:rsid w:val="006178DD"/>
    <w:rsid w:val="00617CEC"/>
    <w:rsid w:val="006200F9"/>
    <w:rsid w:val="0062014C"/>
    <w:rsid w:val="00620211"/>
    <w:rsid w:val="006202AE"/>
    <w:rsid w:val="006207DF"/>
    <w:rsid w:val="00620A59"/>
    <w:rsid w:val="00620B2A"/>
    <w:rsid w:val="00620F0F"/>
    <w:rsid w:val="00621124"/>
    <w:rsid w:val="0062113E"/>
    <w:rsid w:val="006213B3"/>
    <w:rsid w:val="0062143C"/>
    <w:rsid w:val="006214B4"/>
    <w:rsid w:val="0062169D"/>
    <w:rsid w:val="00621E93"/>
    <w:rsid w:val="00621F06"/>
    <w:rsid w:val="00622080"/>
    <w:rsid w:val="00622284"/>
    <w:rsid w:val="00622335"/>
    <w:rsid w:val="006225A4"/>
    <w:rsid w:val="00622892"/>
    <w:rsid w:val="006228D3"/>
    <w:rsid w:val="00622B36"/>
    <w:rsid w:val="00622E2B"/>
    <w:rsid w:val="006231E3"/>
    <w:rsid w:val="006231E9"/>
    <w:rsid w:val="00623506"/>
    <w:rsid w:val="006235BC"/>
    <w:rsid w:val="0062391E"/>
    <w:rsid w:val="00623D18"/>
    <w:rsid w:val="00623D4C"/>
    <w:rsid w:val="00623F14"/>
    <w:rsid w:val="006241D0"/>
    <w:rsid w:val="0062439C"/>
    <w:rsid w:val="006243A5"/>
    <w:rsid w:val="00624A42"/>
    <w:rsid w:val="00624BB1"/>
    <w:rsid w:val="00624BE5"/>
    <w:rsid w:val="00624C82"/>
    <w:rsid w:val="00624CA9"/>
    <w:rsid w:val="00625712"/>
    <w:rsid w:val="00625AD9"/>
    <w:rsid w:val="00626433"/>
    <w:rsid w:val="0062661A"/>
    <w:rsid w:val="0062667A"/>
    <w:rsid w:val="0062685D"/>
    <w:rsid w:val="00626889"/>
    <w:rsid w:val="00626A10"/>
    <w:rsid w:val="00626BF0"/>
    <w:rsid w:val="00626BF3"/>
    <w:rsid w:val="00626D3A"/>
    <w:rsid w:val="00626EB6"/>
    <w:rsid w:val="0062724C"/>
    <w:rsid w:val="00627317"/>
    <w:rsid w:val="00627319"/>
    <w:rsid w:val="00627690"/>
    <w:rsid w:val="0062786E"/>
    <w:rsid w:val="00627883"/>
    <w:rsid w:val="00627B51"/>
    <w:rsid w:val="00627CC0"/>
    <w:rsid w:val="00627D17"/>
    <w:rsid w:val="00627D2F"/>
    <w:rsid w:val="00627E15"/>
    <w:rsid w:val="00627EC0"/>
    <w:rsid w:val="006300BF"/>
    <w:rsid w:val="00630160"/>
    <w:rsid w:val="00630263"/>
    <w:rsid w:val="00630267"/>
    <w:rsid w:val="006302F1"/>
    <w:rsid w:val="0063032D"/>
    <w:rsid w:val="00630373"/>
    <w:rsid w:val="006303E9"/>
    <w:rsid w:val="006304A4"/>
    <w:rsid w:val="00630721"/>
    <w:rsid w:val="00630778"/>
    <w:rsid w:val="00630996"/>
    <w:rsid w:val="00630C6F"/>
    <w:rsid w:val="00630CF4"/>
    <w:rsid w:val="006310F0"/>
    <w:rsid w:val="006311B1"/>
    <w:rsid w:val="00631251"/>
    <w:rsid w:val="00631454"/>
    <w:rsid w:val="0063160E"/>
    <w:rsid w:val="00631716"/>
    <w:rsid w:val="006317D3"/>
    <w:rsid w:val="00631B31"/>
    <w:rsid w:val="00631D2D"/>
    <w:rsid w:val="00631ECA"/>
    <w:rsid w:val="00631EF5"/>
    <w:rsid w:val="006323B5"/>
    <w:rsid w:val="0063240C"/>
    <w:rsid w:val="006327E2"/>
    <w:rsid w:val="0063280C"/>
    <w:rsid w:val="006329C4"/>
    <w:rsid w:val="00632A9A"/>
    <w:rsid w:val="00632EE8"/>
    <w:rsid w:val="00633278"/>
    <w:rsid w:val="00633A92"/>
    <w:rsid w:val="006340C9"/>
    <w:rsid w:val="0063437C"/>
    <w:rsid w:val="00634785"/>
    <w:rsid w:val="006348EE"/>
    <w:rsid w:val="00634B00"/>
    <w:rsid w:val="00634BD0"/>
    <w:rsid w:val="00634E2E"/>
    <w:rsid w:val="00634EDA"/>
    <w:rsid w:val="00634F63"/>
    <w:rsid w:val="006350D8"/>
    <w:rsid w:val="006353A0"/>
    <w:rsid w:val="006353A3"/>
    <w:rsid w:val="006353AC"/>
    <w:rsid w:val="0063542E"/>
    <w:rsid w:val="006354DE"/>
    <w:rsid w:val="00635522"/>
    <w:rsid w:val="006358D4"/>
    <w:rsid w:val="00635948"/>
    <w:rsid w:val="00635C48"/>
    <w:rsid w:val="00635C7E"/>
    <w:rsid w:val="00635CE7"/>
    <w:rsid w:val="00635CF4"/>
    <w:rsid w:val="00635D80"/>
    <w:rsid w:val="00635ECC"/>
    <w:rsid w:val="0063602A"/>
    <w:rsid w:val="00636038"/>
    <w:rsid w:val="00636ADD"/>
    <w:rsid w:val="00636BCC"/>
    <w:rsid w:val="00636CD8"/>
    <w:rsid w:val="006370A7"/>
    <w:rsid w:val="006370FD"/>
    <w:rsid w:val="0063728F"/>
    <w:rsid w:val="006374E8"/>
    <w:rsid w:val="00637501"/>
    <w:rsid w:val="006375D1"/>
    <w:rsid w:val="0063768D"/>
    <w:rsid w:val="00637818"/>
    <w:rsid w:val="006379F9"/>
    <w:rsid w:val="00637ADD"/>
    <w:rsid w:val="006403B1"/>
    <w:rsid w:val="006403E8"/>
    <w:rsid w:val="0064056E"/>
    <w:rsid w:val="00640726"/>
    <w:rsid w:val="0064077E"/>
    <w:rsid w:val="00640E40"/>
    <w:rsid w:val="0064152A"/>
    <w:rsid w:val="00641617"/>
    <w:rsid w:val="0064173E"/>
    <w:rsid w:val="00641874"/>
    <w:rsid w:val="00641B64"/>
    <w:rsid w:val="00641BA5"/>
    <w:rsid w:val="00641BE7"/>
    <w:rsid w:val="00641C94"/>
    <w:rsid w:val="00641E68"/>
    <w:rsid w:val="00642633"/>
    <w:rsid w:val="00642CC8"/>
    <w:rsid w:val="00642D05"/>
    <w:rsid w:val="00642F6D"/>
    <w:rsid w:val="00642FEB"/>
    <w:rsid w:val="0064339D"/>
    <w:rsid w:val="00643464"/>
    <w:rsid w:val="0064362B"/>
    <w:rsid w:val="00643846"/>
    <w:rsid w:val="006438E3"/>
    <w:rsid w:val="00643A25"/>
    <w:rsid w:val="00643B0D"/>
    <w:rsid w:val="00643E5A"/>
    <w:rsid w:val="00643E8F"/>
    <w:rsid w:val="00643EF9"/>
    <w:rsid w:val="00643F45"/>
    <w:rsid w:val="006442AF"/>
    <w:rsid w:val="006447D4"/>
    <w:rsid w:val="006448D9"/>
    <w:rsid w:val="00644BEF"/>
    <w:rsid w:val="00644C4C"/>
    <w:rsid w:val="00644F2C"/>
    <w:rsid w:val="006450CB"/>
    <w:rsid w:val="0064533B"/>
    <w:rsid w:val="00645533"/>
    <w:rsid w:val="00645700"/>
    <w:rsid w:val="0064572A"/>
    <w:rsid w:val="00645775"/>
    <w:rsid w:val="0064577E"/>
    <w:rsid w:val="00645D45"/>
    <w:rsid w:val="00646033"/>
    <w:rsid w:val="00646117"/>
    <w:rsid w:val="006463E1"/>
    <w:rsid w:val="006465F1"/>
    <w:rsid w:val="006465F5"/>
    <w:rsid w:val="006469E6"/>
    <w:rsid w:val="00646DBB"/>
    <w:rsid w:val="00646EA3"/>
    <w:rsid w:val="00647271"/>
    <w:rsid w:val="006476D0"/>
    <w:rsid w:val="00647775"/>
    <w:rsid w:val="006479A5"/>
    <w:rsid w:val="00647A0D"/>
    <w:rsid w:val="00647A31"/>
    <w:rsid w:val="00647AEA"/>
    <w:rsid w:val="00647DDC"/>
    <w:rsid w:val="00650029"/>
    <w:rsid w:val="00650059"/>
    <w:rsid w:val="006502C4"/>
    <w:rsid w:val="00650373"/>
    <w:rsid w:val="006505AA"/>
    <w:rsid w:val="00650796"/>
    <w:rsid w:val="00650AF4"/>
    <w:rsid w:val="00650B14"/>
    <w:rsid w:val="00650F59"/>
    <w:rsid w:val="006513D7"/>
    <w:rsid w:val="00651553"/>
    <w:rsid w:val="00651614"/>
    <w:rsid w:val="006516DD"/>
    <w:rsid w:val="006518D5"/>
    <w:rsid w:val="0065193C"/>
    <w:rsid w:val="00651AB7"/>
    <w:rsid w:val="0065207C"/>
    <w:rsid w:val="00652358"/>
    <w:rsid w:val="0065238C"/>
    <w:rsid w:val="0065259E"/>
    <w:rsid w:val="0065292B"/>
    <w:rsid w:val="00652958"/>
    <w:rsid w:val="00652994"/>
    <w:rsid w:val="00652EA6"/>
    <w:rsid w:val="00652F81"/>
    <w:rsid w:val="00653264"/>
    <w:rsid w:val="0065365F"/>
    <w:rsid w:val="00653740"/>
    <w:rsid w:val="006538FE"/>
    <w:rsid w:val="00653910"/>
    <w:rsid w:val="00653B12"/>
    <w:rsid w:val="00653D11"/>
    <w:rsid w:val="006545CE"/>
    <w:rsid w:val="00654607"/>
    <w:rsid w:val="0065462A"/>
    <w:rsid w:val="0065475F"/>
    <w:rsid w:val="00654D85"/>
    <w:rsid w:val="00654D8E"/>
    <w:rsid w:val="00654EB7"/>
    <w:rsid w:val="00654FAF"/>
    <w:rsid w:val="00655019"/>
    <w:rsid w:val="0065522B"/>
    <w:rsid w:val="00655841"/>
    <w:rsid w:val="006559AA"/>
    <w:rsid w:val="00655ABD"/>
    <w:rsid w:val="00655B45"/>
    <w:rsid w:val="00655D03"/>
    <w:rsid w:val="00656187"/>
    <w:rsid w:val="00656252"/>
    <w:rsid w:val="0065650D"/>
    <w:rsid w:val="00656898"/>
    <w:rsid w:val="00656967"/>
    <w:rsid w:val="00657068"/>
    <w:rsid w:val="00657AC8"/>
    <w:rsid w:val="00657D87"/>
    <w:rsid w:val="00657E23"/>
    <w:rsid w:val="00660184"/>
    <w:rsid w:val="006601B9"/>
    <w:rsid w:val="006602B0"/>
    <w:rsid w:val="00660675"/>
    <w:rsid w:val="006607B5"/>
    <w:rsid w:val="00660A45"/>
    <w:rsid w:val="00660A82"/>
    <w:rsid w:val="00660BA6"/>
    <w:rsid w:val="00660F2E"/>
    <w:rsid w:val="00661015"/>
    <w:rsid w:val="0066118C"/>
    <w:rsid w:val="006611CF"/>
    <w:rsid w:val="006615DA"/>
    <w:rsid w:val="00661731"/>
    <w:rsid w:val="00661B5A"/>
    <w:rsid w:val="00661D71"/>
    <w:rsid w:val="006622AD"/>
    <w:rsid w:val="00662472"/>
    <w:rsid w:val="006624F8"/>
    <w:rsid w:val="006626CA"/>
    <w:rsid w:val="00662737"/>
    <w:rsid w:val="006627C3"/>
    <w:rsid w:val="00662D66"/>
    <w:rsid w:val="00662ED8"/>
    <w:rsid w:val="00662F8C"/>
    <w:rsid w:val="0066317E"/>
    <w:rsid w:val="006631FF"/>
    <w:rsid w:val="006633AB"/>
    <w:rsid w:val="006634EE"/>
    <w:rsid w:val="00663815"/>
    <w:rsid w:val="006638C6"/>
    <w:rsid w:val="00664764"/>
    <w:rsid w:val="0066488F"/>
    <w:rsid w:val="00664EE3"/>
    <w:rsid w:val="00664F1C"/>
    <w:rsid w:val="00664FD2"/>
    <w:rsid w:val="0066504F"/>
    <w:rsid w:val="0066525D"/>
    <w:rsid w:val="0066545F"/>
    <w:rsid w:val="006656AC"/>
    <w:rsid w:val="00665996"/>
    <w:rsid w:val="00665FE0"/>
    <w:rsid w:val="006664AE"/>
    <w:rsid w:val="0066686C"/>
    <w:rsid w:val="00666B50"/>
    <w:rsid w:val="00666C75"/>
    <w:rsid w:val="00666E80"/>
    <w:rsid w:val="00667420"/>
    <w:rsid w:val="006674D2"/>
    <w:rsid w:val="006675B7"/>
    <w:rsid w:val="006677FE"/>
    <w:rsid w:val="0066793A"/>
    <w:rsid w:val="0066797E"/>
    <w:rsid w:val="00667AC7"/>
    <w:rsid w:val="00667B54"/>
    <w:rsid w:val="00670437"/>
    <w:rsid w:val="006707C4"/>
    <w:rsid w:val="0067090C"/>
    <w:rsid w:val="0067097D"/>
    <w:rsid w:val="00670D5F"/>
    <w:rsid w:val="00671265"/>
    <w:rsid w:val="00671336"/>
    <w:rsid w:val="006713B0"/>
    <w:rsid w:val="0067148F"/>
    <w:rsid w:val="006714CC"/>
    <w:rsid w:val="00671546"/>
    <w:rsid w:val="006716C0"/>
    <w:rsid w:val="00671EAD"/>
    <w:rsid w:val="00671ED3"/>
    <w:rsid w:val="006720BD"/>
    <w:rsid w:val="00672307"/>
    <w:rsid w:val="00672A70"/>
    <w:rsid w:val="00672C82"/>
    <w:rsid w:val="00672EEA"/>
    <w:rsid w:val="006735FC"/>
    <w:rsid w:val="00673625"/>
    <w:rsid w:val="00673721"/>
    <w:rsid w:val="00673FB8"/>
    <w:rsid w:val="00674180"/>
    <w:rsid w:val="006745AD"/>
    <w:rsid w:val="00674608"/>
    <w:rsid w:val="00674747"/>
    <w:rsid w:val="006747DA"/>
    <w:rsid w:val="00674ADF"/>
    <w:rsid w:val="0067577D"/>
    <w:rsid w:val="00675B6D"/>
    <w:rsid w:val="00675F31"/>
    <w:rsid w:val="00676385"/>
    <w:rsid w:val="006765C4"/>
    <w:rsid w:val="006767FA"/>
    <w:rsid w:val="00676AC6"/>
    <w:rsid w:val="006770C0"/>
    <w:rsid w:val="006770C5"/>
    <w:rsid w:val="0067717A"/>
    <w:rsid w:val="006777E1"/>
    <w:rsid w:val="00677C83"/>
    <w:rsid w:val="00677CC0"/>
    <w:rsid w:val="006801FA"/>
    <w:rsid w:val="006804F6"/>
    <w:rsid w:val="00680517"/>
    <w:rsid w:val="00680530"/>
    <w:rsid w:val="0068065B"/>
    <w:rsid w:val="00680708"/>
    <w:rsid w:val="00680A4C"/>
    <w:rsid w:val="00680A63"/>
    <w:rsid w:val="00680B9A"/>
    <w:rsid w:val="00680D48"/>
    <w:rsid w:val="00680E85"/>
    <w:rsid w:val="00681431"/>
    <w:rsid w:val="00681875"/>
    <w:rsid w:val="0068197D"/>
    <w:rsid w:val="00681C00"/>
    <w:rsid w:val="00681C29"/>
    <w:rsid w:val="00681CEF"/>
    <w:rsid w:val="00681EE5"/>
    <w:rsid w:val="006820C0"/>
    <w:rsid w:val="006821CF"/>
    <w:rsid w:val="006826BF"/>
    <w:rsid w:val="006826D1"/>
    <w:rsid w:val="0068287E"/>
    <w:rsid w:val="00682D8E"/>
    <w:rsid w:val="00682FCE"/>
    <w:rsid w:val="00683027"/>
    <w:rsid w:val="0068312F"/>
    <w:rsid w:val="00683392"/>
    <w:rsid w:val="0068358B"/>
    <w:rsid w:val="006835F6"/>
    <w:rsid w:val="006836B5"/>
    <w:rsid w:val="00683DF6"/>
    <w:rsid w:val="00683F84"/>
    <w:rsid w:val="00684009"/>
    <w:rsid w:val="00684111"/>
    <w:rsid w:val="006841A2"/>
    <w:rsid w:val="00684259"/>
    <w:rsid w:val="006842AD"/>
    <w:rsid w:val="00684344"/>
    <w:rsid w:val="00684947"/>
    <w:rsid w:val="006849AE"/>
    <w:rsid w:val="00684A36"/>
    <w:rsid w:val="00684B7A"/>
    <w:rsid w:val="00684E44"/>
    <w:rsid w:val="00685251"/>
    <w:rsid w:val="00685305"/>
    <w:rsid w:val="006853F0"/>
    <w:rsid w:val="00685522"/>
    <w:rsid w:val="00685AA1"/>
    <w:rsid w:val="00685BAC"/>
    <w:rsid w:val="006862FC"/>
    <w:rsid w:val="0068667B"/>
    <w:rsid w:val="00686859"/>
    <w:rsid w:val="00686987"/>
    <w:rsid w:val="00686A26"/>
    <w:rsid w:val="00686B3C"/>
    <w:rsid w:val="00686C32"/>
    <w:rsid w:val="00686F20"/>
    <w:rsid w:val="00686F34"/>
    <w:rsid w:val="00686F62"/>
    <w:rsid w:val="00686FC3"/>
    <w:rsid w:val="0068701A"/>
    <w:rsid w:val="00687266"/>
    <w:rsid w:val="006872BC"/>
    <w:rsid w:val="006874B6"/>
    <w:rsid w:val="0068761C"/>
    <w:rsid w:val="006876CC"/>
    <w:rsid w:val="00687738"/>
    <w:rsid w:val="00687743"/>
    <w:rsid w:val="00687777"/>
    <w:rsid w:val="00687B00"/>
    <w:rsid w:val="00687D33"/>
    <w:rsid w:val="00687DB7"/>
    <w:rsid w:val="00687E7D"/>
    <w:rsid w:val="00690313"/>
    <w:rsid w:val="00690434"/>
    <w:rsid w:val="0069043C"/>
    <w:rsid w:val="00690566"/>
    <w:rsid w:val="00690689"/>
    <w:rsid w:val="006906EE"/>
    <w:rsid w:val="00690909"/>
    <w:rsid w:val="00690C4C"/>
    <w:rsid w:val="00691A99"/>
    <w:rsid w:val="00691AD1"/>
    <w:rsid w:val="00691B96"/>
    <w:rsid w:val="00691BC8"/>
    <w:rsid w:val="00691BD9"/>
    <w:rsid w:val="00691CAA"/>
    <w:rsid w:val="00691D8F"/>
    <w:rsid w:val="00691DE2"/>
    <w:rsid w:val="00691E41"/>
    <w:rsid w:val="006920EC"/>
    <w:rsid w:val="00692165"/>
    <w:rsid w:val="00692219"/>
    <w:rsid w:val="006922E5"/>
    <w:rsid w:val="006926BB"/>
    <w:rsid w:val="0069291F"/>
    <w:rsid w:val="00692991"/>
    <w:rsid w:val="006931D5"/>
    <w:rsid w:val="006932BD"/>
    <w:rsid w:val="006933AD"/>
    <w:rsid w:val="00693509"/>
    <w:rsid w:val="00693750"/>
    <w:rsid w:val="00693C1F"/>
    <w:rsid w:val="00693C46"/>
    <w:rsid w:val="00693DE7"/>
    <w:rsid w:val="00694220"/>
    <w:rsid w:val="00694569"/>
    <w:rsid w:val="0069457D"/>
    <w:rsid w:val="00694788"/>
    <w:rsid w:val="00694B8E"/>
    <w:rsid w:val="00694D8C"/>
    <w:rsid w:val="00694EA0"/>
    <w:rsid w:val="00695071"/>
    <w:rsid w:val="006955D0"/>
    <w:rsid w:val="00695843"/>
    <w:rsid w:val="00695A36"/>
    <w:rsid w:val="00695D28"/>
    <w:rsid w:val="00695F5D"/>
    <w:rsid w:val="00695FA9"/>
    <w:rsid w:val="00695FD8"/>
    <w:rsid w:val="00696418"/>
    <w:rsid w:val="00696530"/>
    <w:rsid w:val="00696618"/>
    <w:rsid w:val="006966AA"/>
    <w:rsid w:val="0069675D"/>
    <w:rsid w:val="00696899"/>
    <w:rsid w:val="006968C0"/>
    <w:rsid w:val="00696969"/>
    <w:rsid w:val="00696A56"/>
    <w:rsid w:val="00696B32"/>
    <w:rsid w:val="00696B38"/>
    <w:rsid w:val="00696D79"/>
    <w:rsid w:val="0069701F"/>
    <w:rsid w:val="00697467"/>
    <w:rsid w:val="006977D9"/>
    <w:rsid w:val="00697BC5"/>
    <w:rsid w:val="00697E47"/>
    <w:rsid w:val="00697E4A"/>
    <w:rsid w:val="00697EC8"/>
    <w:rsid w:val="00697EEF"/>
    <w:rsid w:val="006A02DE"/>
    <w:rsid w:val="006A055B"/>
    <w:rsid w:val="006A067D"/>
    <w:rsid w:val="006A06F3"/>
    <w:rsid w:val="006A0A5A"/>
    <w:rsid w:val="006A0AB5"/>
    <w:rsid w:val="006A0D8F"/>
    <w:rsid w:val="006A1215"/>
    <w:rsid w:val="006A12DE"/>
    <w:rsid w:val="006A1859"/>
    <w:rsid w:val="006A1C0C"/>
    <w:rsid w:val="006A1E05"/>
    <w:rsid w:val="006A1F7D"/>
    <w:rsid w:val="006A21E1"/>
    <w:rsid w:val="006A2261"/>
    <w:rsid w:val="006A26B1"/>
    <w:rsid w:val="006A2889"/>
    <w:rsid w:val="006A2978"/>
    <w:rsid w:val="006A2A81"/>
    <w:rsid w:val="006A2DD0"/>
    <w:rsid w:val="006A300E"/>
    <w:rsid w:val="006A31EA"/>
    <w:rsid w:val="006A32B8"/>
    <w:rsid w:val="006A32D0"/>
    <w:rsid w:val="006A36D3"/>
    <w:rsid w:val="006A3744"/>
    <w:rsid w:val="006A375D"/>
    <w:rsid w:val="006A386C"/>
    <w:rsid w:val="006A3DD0"/>
    <w:rsid w:val="006A441B"/>
    <w:rsid w:val="006A458A"/>
    <w:rsid w:val="006A490D"/>
    <w:rsid w:val="006A491A"/>
    <w:rsid w:val="006A4A7F"/>
    <w:rsid w:val="006A4EB7"/>
    <w:rsid w:val="006A4F80"/>
    <w:rsid w:val="006A5172"/>
    <w:rsid w:val="006A51B0"/>
    <w:rsid w:val="006A525E"/>
    <w:rsid w:val="006A5636"/>
    <w:rsid w:val="006A59CC"/>
    <w:rsid w:val="006A5AE0"/>
    <w:rsid w:val="006A5E72"/>
    <w:rsid w:val="006A5E9B"/>
    <w:rsid w:val="006A5EEE"/>
    <w:rsid w:val="006A6125"/>
    <w:rsid w:val="006A63B4"/>
    <w:rsid w:val="006A6465"/>
    <w:rsid w:val="006A64D6"/>
    <w:rsid w:val="006A64D9"/>
    <w:rsid w:val="006A669D"/>
    <w:rsid w:val="006A689F"/>
    <w:rsid w:val="006A6A81"/>
    <w:rsid w:val="006A6AB4"/>
    <w:rsid w:val="006A6C1D"/>
    <w:rsid w:val="006A6E6B"/>
    <w:rsid w:val="006A6ED1"/>
    <w:rsid w:val="006A6EDD"/>
    <w:rsid w:val="006A70F8"/>
    <w:rsid w:val="006A73CF"/>
    <w:rsid w:val="006A75D7"/>
    <w:rsid w:val="006A77B9"/>
    <w:rsid w:val="006A77F1"/>
    <w:rsid w:val="006A7996"/>
    <w:rsid w:val="006A7B09"/>
    <w:rsid w:val="006A7C4D"/>
    <w:rsid w:val="006A7DB8"/>
    <w:rsid w:val="006A7EC4"/>
    <w:rsid w:val="006A7FEB"/>
    <w:rsid w:val="006B0469"/>
    <w:rsid w:val="006B06E4"/>
    <w:rsid w:val="006B08A2"/>
    <w:rsid w:val="006B09B1"/>
    <w:rsid w:val="006B0A15"/>
    <w:rsid w:val="006B0DA9"/>
    <w:rsid w:val="006B0EE4"/>
    <w:rsid w:val="006B0F9F"/>
    <w:rsid w:val="006B12A3"/>
    <w:rsid w:val="006B15C4"/>
    <w:rsid w:val="006B16DE"/>
    <w:rsid w:val="006B1852"/>
    <w:rsid w:val="006B1AEF"/>
    <w:rsid w:val="006B1C7F"/>
    <w:rsid w:val="006B1D16"/>
    <w:rsid w:val="006B1D8F"/>
    <w:rsid w:val="006B1E02"/>
    <w:rsid w:val="006B1FE6"/>
    <w:rsid w:val="006B267B"/>
    <w:rsid w:val="006B28D1"/>
    <w:rsid w:val="006B28E2"/>
    <w:rsid w:val="006B2B12"/>
    <w:rsid w:val="006B2E84"/>
    <w:rsid w:val="006B2FD1"/>
    <w:rsid w:val="006B35B4"/>
    <w:rsid w:val="006B3AA1"/>
    <w:rsid w:val="006B3B2E"/>
    <w:rsid w:val="006B3C94"/>
    <w:rsid w:val="006B3D46"/>
    <w:rsid w:val="006B44C4"/>
    <w:rsid w:val="006B44F8"/>
    <w:rsid w:val="006B49F6"/>
    <w:rsid w:val="006B4D2A"/>
    <w:rsid w:val="006B4DBE"/>
    <w:rsid w:val="006B4E43"/>
    <w:rsid w:val="006B53BF"/>
    <w:rsid w:val="006B5498"/>
    <w:rsid w:val="006B5546"/>
    <w:rsid w:val="006B5726"/>
    <w:rsid w:val="006B5A8C"/>
    <w:rsid w:val="006B5EDC"/>
    <w:rsid w:val="006B60D8"/>
    <w:rsid w:val="006B618E"/>
    <w:rsid w:val="006B66B4"/>
    <w:rsid w:val="006B687C"/>
    <w:rsid w:val="006B6F64"/>
    <w:rsid w:val="006B70D2"/>
    <w:rsid w:val="006B7127"/>
    <w:rsid w:val="006B7293"/>
    <w:rsid w:val="006B734E"/>
    <w:rsid w:val="006B743A"/>
    <w:rsid w:val="006B7446"/>
    <w:rsid w:val="006B77D3"/>
    <w:rsid w:val="006B784E"/>
    <w:rsid w:val="006B7A12"/>
    <w:rsid w:val="006B7A16"/>
    <w:rsid w:val="006B7BFE"/>
    <w:rsid w:val="006B7D0D"/>
    <w:rsid w:val="006B7EF3"/>
    <w:rsid w:val="006C0164"/>
    <w:rsid w:val="006C05FC"/>
    <w:rsid w:val="006C0FC4"/>
    <w:rsid w:val="006C0FE3"/>
    <w:rsid w:val="006C1134"/>
    <w:rsid w:val="006C1791"/>
    <w:rsid w:val="006C193C"/>
    <w:rsid w:val="006C1A13"/>
    <w:rsid w:val="006C1A28"/>
    <w:rsid w:val="006C1A2E"/>
    <w:rsid w:val="006C1C2D"/>
    <w:rsid w:val="006C20AB"/>
    <w:rsid w:val="006C20BD"/>
    <w:rsid w:val="006C2492"/>
    <w:rsid w:val="006C257C"/>
    <w:rsid w:val="006C2594"/>
    <w:rsid w:val="006C270D"/>
    <w:rsid w:val="006C2807"/>
    <w:rsid w:val="006C2B84"/>
    <w:rsid w:val="006C2D01"/>
    <w:rsid w:val="006C2FAE"/>
    <w:rsid w:val="006C30C7"/>
    <w:rsid w:val="006C3496"/>
    <w:rsid w:val="006C3586"/>
    <w:rsid w:val="006C3851"/>
    <w:rsid w:val="006C38C0"/>
    <w:rsid w:val="006C3999"/>
    <w:rsid w:val="006C3A5E"/>
    <w:rsid w:val="006C3AF3"/>
    <w:rsid w:val="006C3C3D"/>
    <w:rsid w:val="006C3DE4"/>
    <w:rsid w:val="006C4047"/>
    <w:rsid w:val="006C413D"/>
    <w:rsid w:val="006C4253"/>
    <w:rsid w:val="006C471C"/>
    <w:rsid w:val="006C4A2B"/>
    <w:rsid w:val="006C4CCD"/>
    <w:rsid w:val="006C4E67"/>
    <w:rsid w:val="006C4F99"/>
    <w:rsid w:val="006C5145"/>
    <w:rsid w:val="006C5444"/>
    <w:rsid w:val="006C5495"/>
    <w:rsid w:val="006C5764"/>
    <w:rsid w:val="006C577D"/>
    <w:rsid w:val="006C578B"/>
    <w:rsid w:val="006C5796"/>
    <w:rsid w:val="006C5C3E"/>
    <w:rsid w:val="006C5E97"/>
    <w:rsid w:val="006C60E7"/>
    <w:rsid w:val="006C6238"/>
    <w:rsid w:val="006C6350"/>
    <w:rsid w:val="006C64B6"/>
    <w:rsid w:val="006C6618"/>
    <w:rsid w:val="006C6936"/>
    <w:rsid w:val="006C6BBD"/>
    <w:rsid w:val="006C7025"/>
    <w:rsid w:val="006C76D3"/>
    <w:rsid w:val="006C7A03"/>
    <w:rsid w:val="006C7AAD"/>
    <w:rsid w:val="006C7B12"/>
    <w:rsid w:val="006C7DF3"/>
    <w:rsid w:val="006C7E62"/>
    <w:rsid w:val="006C7F5B"/>
    <w:rsid w:val="006D0166"/>
    <w:rsid w:val="006D083C"/>
    <w:rsid w:val="006D0C33"/>
    <w:rsid w:val="006D0CF6"/>
    <w:rsid w:val="006D0DCB"/>
    <w:rsid w:val="006D0FBF"/>
    <w:rsid w:val="006D1206"/>
    <w:rsid w:val="006D13AC"/>
    <w:rsid w:val="006D14D5"/>
    <w:rsid w:val="006D16C6"/>
    <w:rsid w:val="006D17D7"/>
    <w:rsid w:val="006D1864"/>
    <w:rsid w:val="006D1CD8"/>
    <w:rsid w:val="006D1CEE"/>
    <w:rsid w:val="006D20CF"/>
    <w:rsid w:val="006D2450"/>
    <w:rsid w:val="006D2591"/>
    <w:rsid w:val="006D276E"/>
    <w:rsid w:val="006D2C2F"/>
    <w:rsid w:val="006D2DCD"/>
    <w:rsid w:val="006D3085"/>
    <w:rsid w:val="006D31F2"/>
    <w:rsid w:val="006D3556"/>
    <w:rsid w:val="006D355D"/>
    <w:rsid w:val="006D37BF"/>
    <w:rsid w:val="006D37CE"/>
    <w:rsid w:val="006D3CCC"/>
    <w:rsid w:val="006D3E08"/>
    <w:rsid w:val="006D3E88"/>
    <w:rsid w:val="006D3E95"/>
    <w:rsid w:val="006D3FE7"/>
    <w:rsid w:val="006D4109"/>
    <w:rsid w:val="006D4317"/>
    <w:rsid w:val="006D4322"/>
    <w:rsid w:val="006D4353"/>
    <w:rsid w:val="006D49C1"/>
    <w:rsid w:val="006D4A3A"/>
    <w:rsid w:val="006D4BBD"/>
    <w:rsid w:val="006D4C29"/>
    <w:rsid w:val="006D4F81"/>
    <w:rsid w:val="006D5054"/>
    <w:rsid w:val="006D50C3"/>
    <w:rsid w:val="006D5805"/>
    <w:rsid w:val="006D58CC"/>
    <w:rsid w:val="006D59AB"/>
    <w:rsid w:val="006D6025"/>
    <w:rsid w:val="006D6148"/>
    <w:rsid w:val="006D61BF"/>
    <w:rsid w:val="006D623A"/>
    <w:rsid w:val="006D6466"/>
    <w:rsid w:val="006D652D"/>
    <w:rsid w:val="006D6805"/>
    <w:rsid w:val="006D6EA8"/>
    <w:rsid w:val="006D6F67"/>
    <w:rsid w:val="006D7761"/>
    <w:rsid w:val="006D784F"/>
    <w:rsid w:val="006D7969"/>
    <w:rsid w:val="006D7D22"/>
    <w:rsid w:val="006E0357"/>
    <w:rsid w:val="006E0383"/>
    <w:rsid w:val="006E063A"/>
    <w:rsid w:val="006E07BB"/>
    <w:rsid w:val="006E0B6A"/>
    <w:rsid w:val="006E0BDC"/>
    <w:rsid w:val="006E0DDC"/>
    <w:rsid w:val="006E0E30"/>
    <w:rsid w:val="006E0E4C"/>
    <w:rsid w:val="006E149C"/>
    <w:rsid w:val="006E1D4F"/>
    <w:rsid w:val="006E24D0"/>
    <w:rsid w:val="006E2574"/>
    <w:rsid w:val="006E2669"/>
    <w:rsid w:val="006E26AF"/>
    <w:rsid w:val="006E278D"/>
    <w:rsid w:val="006E2855"/>
    <w:rsid w:val="006E2F12"/>
    <w:rsid w:val="006E327D"/>
    <w:rsid w:val="006E327F"/>
    <w:rsid w:val="006E3387"/>
    <w:rsid w:val="006E339B"/>
    <w:rsid w:val="006E343F"/>
    <w:rsid w:val="006E3475"/>
    <w:rsid w:val="006E37EC"/>
    <w:rsid w:val="006E3C6F"/>
    <w:rsid w:val="006E406D"/>
    <w:rsid w:val="006E4498"/>
    <w:rsid w:val="006E460C"/>
    <w:rsid w:val="006E4630"/>
    <w:rsid w:val="006E4A4B"/>
    <w:rsid w:val="006E4B4E"/>
    <w:rsid w:val="006E4BE5"/>
    <w:rsid w:val="006E4F4A"/>
    <w:rsid w:val="006E5125"/>
    <w:rsid w:val="006E51FD"/>
    <w:rsid w:val="006E599D"/>
    <w:rsid w:val="006E5C02"/>
    <w:rsid w:val="006E605D"/>
    <w:rsid w:val="006E62FB"/>
    <w:rsid w:val="006E6845"/>
    <w:rsid w:val="006E6876"/>
    <w:rsid w:val="006E6965"/>
    <w:rsid w:val="006E6CF6"/>
    <w:rsid w:val="006E6DB0"/>
    <w:rsid w:val="006E6F67"/>
    <w:rsid w:val="006E705B"/>
    <w:rsid w:val="006E7488"/>
    <w:rsid w:val="006E74CF"/>
    <w:rsid w:val="006E7567"/>
    <w:rsid w:val="006E7BF8"/>
    <w:rsid w:val="006E7C94"/>
    <w:rsid w:val="006E7C9B"/>
    <w:rsid w:val="006E7D2E"/>
    <w:rsid w:val="006F0167"/>
    <w:rsid w:val="006F038C"/>
    <w:rsid w:val="006F0956"/>
    <w:rsid w:val="006F0C46"/>
    <w:rsid w:val="006F0CB1"/>
    <w:rsid w:val="006F0CDB"/>
    <w:rsid w:val="006F0E4D"/>
    <w:rsid w:val="006F0EA3"/>
    <w:rsid w:val="006F0F78"/>
    <w:rsid w:val="006F10A2"/>
    <w:rsid w:val="006F11C6"/>
    <w:rsid w:val="006F13C9"/>
    <w:rsid w:val="006F159B"/>
    <w:rsid w:val="006F1996"/>
    <w:rsid w:val="006F1ADD"/>
    <w:rsid w:val="006F1BD4"/>
    <w:rsid w:val="006F23D8"/>
    <w:rsid w:val="006F2432"/>
    <w:rsid w:val="006F25AB"/>
    <w:rsid w:val="006F2660"/>
    <w:rsid w:val="006F26C9"/>
    <w:rsid w:val="006F27D3"/>
    <w:rsid w:val="006F2C1F"/>
    <w:rsid w:val="006F2C60"/>
    <w:rsid w:val="006F2C9D"/>
    <w:rsid w:val="006F2E80"/>
    <w:rsid w:val="006F2E94"/>
    <w:rsid w:val="006F302C"/>
    <w:rsid w:val="006F3134"/>
    <w:rsid w:val="006F326C"/>
    <w:rsid w:val="006F37E5"/>
    <w:rsid w:val="006F3905"/>
    <w:rsid w:val="006F399B"/>
    <w:rsid w:val="006F3C31"/>
    <w:rsid w:val="006F3FF7"/>
    <w:rsid w:val="006F40FA"/>
    <w:rsid w:val="006F44AF"/>
    <w:rsid w:val="006F462B"/>
    <w:rsid w:val="006F46F3"/>
    <w:rsid w:val="006F477A"/>
    <w:rsid w:val="006F49E9"/>
    <w:rsid w:val="006F4FC4"/>
    <w:rsid w:val="006F4FD0"/>
    <w:rsid w:val="006F51BF"/>
    <w:rsid w:val="006F54E6"/>
    <w:rsid w:val="006F5544"/>
    <w:rsid w:val="006F5614"/>
    <w:rsid w:val="006F5644"/>
    <w:rsid w:val="006F56A3"/>
    <w:rsid w:val="006F56F1"/>
    <w:rsid w:val="006F5889"/>
    <w:rsid w:val="006F5BFF"/>
    <w:rsid w:val="006F5CDC"/>
    <w:rsid w:val="006F5DA9"/>
    <w:rsid w:val="006F5E52"/>
    <w:rsid w:val="006F605A"/>
    <w:rsid w:val="006F63AA"/>
    <w:rsid w:val="006F667D"/>
    <w:rsid w:val="006F6CCA"/>
    <w:rsid w:val="006F6D94"/>
    <w:rsid w:val="006F6DA3"/>
    <w:rsid w:val="006F701D"/>
    <w:rsid w:val="006F72EE"/>
    <w:rsid w:val="006F7393"/>
    <w:rsid w:val="006F73C8"/>
    <w:rsid w:val="006F74F8"/>
    <w:rsid w:val="006F7624"/>
    <w:rsid w:val="006F768E"/>
    <w:rsid w:val="006F76A6"/>
    <w:rsid w:val="006F7784"/>
    <w:rsid w:val="006F77D2"/>
    <w:rsid w:val="006F78BE"/>
    <w:rsid w:val="006F7D75"/>
    <w:rsid w:val="00700186"/>
    <w:rsid w:val="0070044C"/>
    <w:rsid w:val="00700549"/>
    <w:rsid w:val="0070066F"/>
    <w:rsid w:val="007007B5"/>
    <w:rsid w:val="00700CA6"/>
    <w:rsid w:val="00700CC3"/>
    <w:rsid w:val="00700DFA"/>
    <w:rsid w:val="00700F2C"/>
    <w:rsid w:val="007010D1"/>
    <w:rsid w:val="00701271"/>
    <w:rsid w:val="0070137F"/>
    <w:rsid w:val="007013A6"/>
    <w:rsid w:val="00701505"/>
    <w:rsid w:val="00701776"/>
    <w:rsid w:val="00701828"/>
    <w:rsid w:val="0070198B"/>
    <w:rsid w:val="00701B43"/>
    <w:rsid w:val="00701C0F"/>
    <w:rsid w:val="00701CCC"/>
    <w:rsid w:val="00701DB5"/>
    <w:rsid w:val="00701F42"/>
    <w:rsid w:val="00701F97"/>
    <w:rsid w:val="0070224F"/>
    <w:rsid w:val="0070228B"/>
    <w:rsid w:val="007024FF"/>
    <w:rsid w:val="007025A9"/>
    <w:rsid w:val="0070280A"/>
    <w:rsid w:val="007029D5"/>
    <w:rsid w:val="00702B36"/>
    <w:rsid w:val="00702B6A"/>
    <w:rsid w:val="00702DD4"/>
    <w:rsid w:val="0070329C"/>
    <w:rsid w:val="00703595"/>
    <w:rsid w:val="007037A5"/>
    <w:rsid w:val="007038F2"/>
    <w:rsid w:val="0070391F"/>
    <w:rsid w:val="007039AD"/>
    <w:rsid w:val="007039C2"/>
    <w:rsid w:val="00703C07"/>
    <w:rsid w:val="00703C4E"/>
    <w:rsid w:val="007042A0"/>
    <w:rsid w:val="007042B4"/>
    <w:rsid w:val="00704592"/>
    <w:rsid w:val="0070463D"/>
    <w:rsid w:val="00704A59"/>
    <w:rsid w:val="007055F8"/>
    <w:rsid w:val="007056CA"/>
    <w:rsid w:val="007058B9"/>
    <w:rsid w:val="00705AA8"/>
    <w:rsid w:val="00705DEE"/>
    <w:rsid w:val="00705E19"/>
    <w:rsid w:val="00705E4F"/>
    <w:rsid w:val="00705EBC"/>
    <w:rsid w:val="007060C0"/>
    <w:rsid w:val="00706273"/>
    <w:rsid w:val="007064EF"/>
    <w:rsid w:val="007066D5"/>
    <w:rsid w:val="00706751"/>
    <w:rsid w:val="0070693D"/>
    <w:rsid w:val="00706A69"/>
    <w:rsid w:val="00706C67"/>
    <w:rsid w:val="00706C7D"/>
    <w:rsid w:val="00706F1D"/>
    <w:rsid w:val="007071C8"/>
    <w:rsid w:val="0070777E"/>
    <w:rsid w:val="0071023F"/>
    <w:rsid w:val="00710345"/>
    <w:rsid w:val="007106FC"/>
    <w:rsid w:val="007108AB"/>
    <w:rsid w:val="00710CB3"/>
    <w:rsid w:val="00710EC0"/>
    <w:rsid w:val="00710F59"/>
    <w:rsid w:val="007111F4"/>
    <w:rsid w:val="0071129F"/>
    <w:rsid w:val="007115F7"/>
    <w:rsid w:val="00712101"/>
    <w:rsid w:val="00712309"/>
    <w:rsid w:val="00712433"/>
    <w:rsid w:val="00712535"/>
    <w:rsid w:val="00712770"/>
    <w:rsid w:val="007127A4"/>
    <w:rsid w:val="00712A02"/>
    <w:rsid w:val="00712A2C"/>
    <w:rsid w:val="00712C9A"/>
    <w:rsid w:val="00713030"/>
    <w:rsid w:val="0071314F"/>
    <w:rsid w:val="007133CD"/>
    <w:rsid w:val="007133E4"/>
    <w:rsid w:val="0071354B"/>
    <w:rsid w:val="007136F4"/>
    <w:rsid w:val="00713751"/>
    <w:rsid w:val="00713C07"/>
    <w:rsid w:val="00713CCE"/>
    <w:rsid w:val="00713EE7"/>
    <w:rsid w:val="00713F12"/>
    <w:rsid w:val="00713FD1"/>
    <w:rsid w:val="00714204"/>
    <w:rsid w:val="0071455D"/>
    <w:rsid w:val="0071484D"/>
    <w:rsid w:val="0071494E"/>
    <w:rsid w:val="007149A5"/>
    <w:rsid w:val="00714A25"/>
    <w:rsid w:val="00714F26"/>
    <w:rsid w:val="00715171"/>
    <w:rsid w:val="00715527"/>
    <w:rsid w:val="00715586"/>
    <w:rsid w:val="00715657"/>
    <w:rsid w:val="0071574D"/>
    <w:rsid w:val="007158A5"/>
    <w:rsid w:val="00715CDE"/>
    <w:rsid w:val="0071606E"/>
    <w:rsid w:val="0071644C"/>
    <w:rsid w:val="0071649A"/>
    <w:rsid w:val="0071662F"/>
    <w:rsid w:val="00716785"/>
    <w:rsid w:val="007167C9"/>
    <w:rsid w:val="00716894"/>
    <w:rsid w:val="00716928"/>
    <w:rsid w:val="00716B69"/>
    <w:rsid w:val="00716F1F"/>
    <w:rsid w:val="00717065"/>
    <w:rsid w:val="007170F3"/>
    <w:rsid w:val="00717353"/>
    <w:rsid w:val="007174D8"/>
    <w:rsid w:val="007175C6"/>
    <w:rsid w:val="0071762A"/>
    <w:rsid w:val="0071769A"/>
    <w:rsid w:val="007178E7"/>
    <w:rsid w:val="00717C43"/>
    <w:rsid w:val="0072001E"/>
    <w:rsid w:val="007203B3"/>
    <w:rsid w:val="007206D1"/>
    <w:rsid w:val="00720827"/>
    <w:rsid w:val="00720D4A"/>
    <w:rsid w:val="00720F3D"/>
    <w:rsid w:val="00721289"/>
    <w:rsid w:val="007212B6"/>
    <w:rsid w:val="00721493"/>
    <w:rsid w:val="00721551"/>
    <w:rsid w:val="0072165B"/>
    <w:rsid w:val="007216CA"/>
    <w:rsid w:val="00721A1D"/>
    <w:rsid w:val="007224E4"/>
    <w:rsid w:val="00722655"/>
    <w:rsid w:val="00722924"/>
    <w:rsid w:val="00722AB5"/>
    <w:rsid w:val="00722C39"/>
    <w:rsid w:val="00722C88"/>
    <w:rsid w:val="00722D01"/>
    <w:rsid w:val="00723231"/>
    <w:rsid w:val="007238A4"/>
    <w:rsid w:val="007238A6"/>
    <w:rsid w:val="00723909"/>
    <w:rsid w:val="00723B45"/>
    <w:rsid w:val="00723E7D"/>
    <w:rsid w:val="00723F11"/>
    <w:rsid w:val="00724120"/>
    <w:rsid w:val="007242C4"/>
    <w:rsid w:val="00724361"/>
    <w:rsid w:val="007244A9"/>
    <w:rsid w:val="00724AEB"/>
    <w:rsid w:val="00724B45"/>
    <w:rsid w:val="00724FB1"/>
    <w:rsid w:val="0072504B"/>
    <w:rsid w:val="00725124"/>
    <w:rsid w:val="0072538C"/>
    <w:rsid w:val="0072554B"/>
    <w:rsid w:val="007258A6"/>
    <w:rsid w:val="0072591C"/>
    <w:rsid w:val="00725A4E"/>
    <w:rsid w:val="00725DEB"/>
    <w:rsid w:val="007263C7"/>
    <w:rsid w:val="00726550"/>
    <w:rsid w:val="007265C9"/>
    <w:rsid w:val="007266C7"/>
    <w:rsid w:val="007267C9"/>
    <w:rsid w:val="007268C0"/>
    <w:rsid w:val="0072698B"/>
    <w:rsid w:val="00726CAB"/>
    <w:rsid w:val="00726D8D"/>
    <w:rsid w:val="00726E5F"/>
    <w:rsid w:val="007270DA"/>
    <w:rsid w:val="007273C4"/>
    <w:rsid w:val="00727712"/>
    <w:rsid w:val="00727775"/>
    <w:rsid w:val="007277E2"/>
    <w:rsid w:val="00727839"/>
    <w:rsid w:val="00730197"/>
    <w:rsid w:val="007301AE"/>
    <w:rsid w:val="00730242"/>
    <w:rsid w:val="0073025B"/>
    <w:rsid w:val="007302FC"/>
    <w:rsid w:val="0073057C"/>
    <w:rsid w:val="00730B37"/>
    <w:rsid w:val="00731017"/>
    <w:rsid w:val="007310D6"/>
    <w:rsid w:val="007310DB"/>
    <w:rsid w:val="00731337"/>
    <w:rsid w:val="007313A8"/>
    <w:rsid w:val="0073157C"/>
    <w:rsid w:val="00731880"/>
    <w:rsid w:val="00731CDC"/>
    <w:rsid w:val="00731D21"/>
    <w:rsid w:val="007323C8"/>
    <w:rsid w:val="00732C7D"/>
    <w:rsid w:val="0073320F"/>
    <w:rsid w:val="0073322E"/>
    <w:rsid w:val="00733351"/>
    <w:rsid w:val="00733511"/>
    <w:rsid w:val="00733680"/>
    <w:rsid w:val="007336AE"/>
    <w:rsid w:val="0073375F"/>
    <w:rsid w:val="007340AD"/>
    <w:rsid w:val="00734164"/>
    <w:rsid w:val="007341C0"/>
    <w:rsid w:val="007341FD"/>
    <w:rsid w:val="0073445E"/>
    <w:rsid w:val="00734541"/>
    <w:rsid w:val="00734807"/>
    <w:rsid w:val="00734944"/>
    <w:rsid w:val="007349A5"/>
    <w:rsid w:val="00734C55"/>
    <w:rsid w:val="00735363"/>
    <w:rsid w:val="007356AC"/>
    <w:rsid w:val="00735A8C"/>
    <w:rsid w:val="007363E7"/>
    <w:rsid w:val="007364CE"/>
    <w:rsid w:val="00736698"/>
    <w:rsid w:val="007368A2"/>
    <w:rsid w:val="00736A7B"/>
    <w:rsid w:val="00736B47"/>
    <w:rsid w:val="00736BCA"/>
    <w:rsid w:val="00736FC3"/>
    <w:rsid w:val="007376D3"/>
    <w:rsid w:val="00737887"/>
    <w:rsid w:val="00737A2F"/>
    <w:rsid w:val="00737BBA"/>
    <w:rsid w:val="00737C0E"/>
    <w:rsid w:val="00737C3A"/>
    <w:rsid w:val="00737D77"/>
    <w:rsid w:val="00737D86"/>
    <w:rsid w:val="007402A8"/>
    <w:rsid w:val="007405E3"/>
    <w:rsid w:val="00740D7D"/>
    <w:rsid w:val="00740F17"/>
    <w:rsid w:val="00740F7D"/>
    <w:rsid w:val="007411B6"/>
    <w:rsid w:val="0074120D"/>
    <w:rsid w:val="007416B2"/>
    <w:rsid w:val="00741709"/>
    <w:rsid w:val="00741CF8"/>
    <w:rsid w:val="007421AB"/>
    <w:rsid w:val="007424FA"/>
    <w:rsid w:val="00742909"/>
    <w:rsid w:val="00742ACB"/>
    <w:rsid w:val="00742BE2"/>
    <w:rsid w:val="00743127"/>
    <w:rsid w:val="0074339A"/>
    <w:rsid w:val="007435C5"/>
    <w:rsid w:val="00743670"/>
    <w:rsid w:val="007437E8"/>
    <w:rsid w:val="0074396C"/>
    <w:rsid w:val="00743ABA"/>
    <w:rsid w:val="00743F71"/>
    <w:rsid w:val="00744016"/>
    <w:rsid w:val="0074414D"/>
    <w:rsid w:val="007442EE"/>
    <w:rsid w:val="0074453D"/>
    <w:rsid w:val="00744882"/>
    <w:rsid w:val="00744C68"/>
    <w:rsid w:val="00744C9F"/>
    <w:rsid w:val="00744D5F"/>
    <w:rsid w:val="00745165"/>
    <w:rsid w:val="007452EC"/>
    <w:rsid w:val="007456D4"/>
    <w:rsid w:val="00745802"/>
    <w:rsid w:val="00745838"/>
    <w:rsid w:val="00745A82"/>
    <w:rsid w:val="00745C66"/>
    <w:rsid w:val="00746859"/>
    <w:rsid w:val="00746E44"/>
    <w:rsid w:val="00747426"/>
    <w:rsid w:val="007474E7"/>
    <w:rsid w:val="00747715"/>
    <w:rsid w:val="00747718"/>
    <w:rsid w:val="00747BF9"/>
    <w:rsid w:val="00747D29"/>
    <w:rsid w:val="00747F4A"/>
    <w:rsid w:val="00750A85"/>
    <w:rsid w:val="00750A90"/>
    <w:rsid w:val="00750D01"/>
    <w:rsid w:val="00751016"/>
    <w:rsid w:val="0075112B"/>
    <w:rsid w:val="007512F7"/>
    <w:rsid w:val="00751543"/>
    <w:rsid w:val="00751947"/>
    <w:rsid w:val="00751C6D"/>
    <w:rsid w:val="00751EBC"/>
    <w:rsid w:val="00751F45"/>
    <w:rsid w:val="00751F5F"/>
    <w:rsid w:val="00751F72"/>
    <w:rsid w:val="00752054"/>
    <w:rsid w:val="0075218F"/>
    <w:rsid w:val="00752602"/>
    <w:rsid w:val="00752A41"/>
    <w:rsid w:val="00752BA3"/>
    <w:rsid w:val="00752C32"/>
    <w:rsid w:val="00752CE7"/>
    <w:rsid w:val="0075335F"/>
    <w:rsid w:val="00753B95"/>
    <w:rsid w:val="00753F96"/>
    <w:rsid w:val="007542BD"/>
    <w:rsid w:val="00754326"/>
    <w:rsid w:val="0075435F"/>
    <w:rsid w:val="007543C8"/>
    <w:rsid w:val="007543C9"/>
    <w:rsid w:val="00754F31"/>
    <w:rsid w:val="00754F9B"/>
    <w:rsid w:val="0075566E"/>
    <w:rsid w:val="0075591E"/>
    <w:rsid w:val="007559BD"/>
    <w:rsid w:val="00755C34"/>
    <w:rsid w:val="0075617C"/>
    <w:rsid w:val="007561CF"/>
    <w:rsid w:val="0075670A"/>
    <w:rsid w:val="0075684A"/>
    <w:rsid w:val="007569E9"/>
    <w:rsid w:val="00756AAD"/>
    <w:rsid w:val="00756CFB"/>
    <w:rsid w:val="00757282"/>
    <w:rsid w:val="00757422"/>
    <w:rsid w:val="00757493"/>
    <w:rsid w:val="007577B2"/>
    <w:rsid w:val="007577DB"/>
    <w:rsid w:val="00757E56"/>
    <w:rsid w:val="00757F27"/>
    <w:rsid w:val="00760046"/>
    <w:rsid w:val="00760231"/>
    <w:rsid w:val="007602AF"/>
    <w:rsid w:val="00760429"/>
    <w:rsid w:val="00760A12"/>
    <w:rsid w:val="00760A32"/>
    <w:rsid w:val="00760A52"/>
    <w:rsid w:val="00760B17"/>
    <w:rsid w:val="00760D82"/>
    <w:rsid w:val="007612B5"/>
    <w:rsid w:val="007613F1"/>
    <w:rsid w:val="00761525"/>
    <w:rsid w:val="00761774"/>
    <w:rsid w:val="007618B5"/>
    <w:rsid w:val="00761997"/>
    <w:rsid w:val="00761C30"/>
    <w:rsid w:val="00761E10"/>
    <w:rsid w:val="007620A1"/>
    <w:rsid w:val="00762160"/>
    <w:rsid w:val="007625AD"/>
    <w:rsid w:val="00762AA3"/>
    <w:rsid w:val="00762CE9"/>
    <w:rsid w:val="00762D83"/>
    <w:rsid w:val="00762F50"/>
    <w:rsid w:val="00762F62"/>
    <w:rsid w:val="00762F72"/>
    <w:rsid w:val="00763447"/>
    <w:rsid w:val="0076365D"/>
    <w:rsid w:val="00763933"/>
    <w:rsid w:val="00763C43"/>
    <w:rsid w:val="00763ED9"/>
    <w:rsid w:val="007642F2"/>
    <w:rsid w:val="007644E2"/>
    <w:rsid w:val="0076475F"/>
    <w:rsid w:val="00764EB9"/>
    <w:rsid w:val="0076500B"/>
    <w:rsid w:val="00765035"/>
    <w:rsid w:val="007650A2"/>
    <w:rsid w:val="00765307"/>
    <w:rsid w:val="00765A0D"/>
    <w:rsid w:val="00765A28"/>
    <w:rsid w:val="00765B22"/>
    <w:rsid w:val="00765B5C"/>
    <w:rsid w:val="0076652A"/>
    <w:rsid w:val="007667F6"/>
    <w:rsid w:val="007668A6"/>
    <w:rsid w:val="00766EA3"/>
    <w:rsid w:val="0076761B"/>
    <w:rsid w:val="0076766F"/>
    <w:rsid w:val="007676A0"/>
    <w:rsid w:val="00767779"/>
    <w:rsid w:val="007678DA"/>
    <w:rsid w:val="00767924"/>
    <w:rsid w:val="007679BB"/>
    <w:rsid w:val="00767A39"/>
    <w:rsid w:val="00767A55"/>
    <w:rsid w:val="00767A74"/>
    <w:rsid w:val="00767B7F"/>
    <w:rsid w:val="007704E6"/>
    <w:rsid w:val="00770538"/>
    <w:rsid w:val="007705BC"/>
    <w:rsid w:val="007705C6"/>
    <w:rsid w:val="0077076B"/>
    <w:rsid w:val="007707ED"/>
    <w:rsid w:val="00770C08"/>
    <w:rsid w:val="00770C0F"/>
    <w:rsid w:val="00770CA2"/>
    <w:rsid w:val="00770F0B"/>
    <w:rsid w:val="007716B0"/>
    <w:rsid w:val="00771736"/>
    <w:rsid w:val="0077173C"/>
    <w:rsid w:val="00771ABC"/>
    <w:rsid w:val="00771EB3"/>
    <w:rsid w:val="0077214F"/>
    <w:rsid w:val="007722FF"/>
    <w:rsid w:val="0077243F"/>
    <w:rsid w:val="007724C6"/>
    <w:rsid w:val="00772747"/>
    <w:rsid w:val="007727D3"/>
    <w:rsid w:val="00772849"/>
    <w:rsid w:val="00772A98"/>
    <w:rsid w:val="00772C59"/>
    <w:rsid w:val="00772F2E"/>
    <w:rsid w:val="007731AF"/>
    <w:rsid w:val="00773264"/>
    <w:rsid w:val="0077346C"/>
    <w:rsid w:val="007734D9"/>
    <w:rsid w:val="0077352D"/>
    <w:rsid w:val="0077362D"/>
    <w:rsid w:val="00773CB1"/>
    <w:rsid w:val="00773DF1"/>
    <w:rsid w:val="00773EA4"/>
    <w:rsid w:val="00774251"/>
    <w:rsid w:val="00774361"/>
    <w:rsid w:val="007746FF"/>
    <w:rsid w:val="00774812"/>
    <w:rsid w:val="00774A19"/>
    <w:rsid w:val="00774CEF"/>
    <w:rsid w:val="00774DB3"/>
    <w:rsid w:val="00774E0E"/>
    <w:rsid w:val="0077500F"/>
    <w:rsid w:val="00775010"/>
    <w:rsid w:val="007750E7"/>
    <w:rsid w:val="00775356"/>
    <w:rsid w:val="007755C5"/>
    <w:rsid w:val="00775DE7"/>
    <w:rsid w:val="00776112"/>
    <w:rsid w:val="0077627E"/>
    <w:rsid w:val="00776395"/>
    <w:rsid w:val="00776518"/>
    <w:rsid w:val="00776626"/>
    <w:rsid w:val="007768C0"/>
    <w:rsid w:val="007769A3"/>
    <w:rsid w:val="007769C8"/>
    <w:rsid w:val="00776BB6"/>
    <w:rsid w:val="00776F1F"/>
    <w:rsid w:val="007771A6"/>
    <w:rsid w:val="007771E2"/>
    <w:rsid w:val="00777528"/>
    <w:rsid w:val="00777B66"/>
    <w:rsid w:val="00777E22"/>
    <w:rsid w:val="0078001C"/>
    <w:rsid w:val="007803A9"/>
    <w:rsid w:val="00780457"/>
    <w:rsid w:val="00780637"/>
    <w:rsid w:val="00780851"/>
    <w:rsid w:val="00780908"/>
    <w:rsid w:val="0078098C"/>
    <w:rsid w:val="00780AA0"/>
    <w:rsid w:val="0078129D"/>
    <w:rsid w:val="00781451"/>
    <w:rsid w:val="00781AB1"/>
    <w:rsid w:val="00781B64"/>
    <w:rsid w:val="00781B9B"/>
    <w:rsid w:val="00782085"/>
    <w:rsid w:val="007820ED"/>
    <w:rsid w:val="007822E3"/>
    <w:rsid w:val="00782890"/>
    <w:rsid w:val="0078289F"/>
    <w:rsid w:val="007829B4"/>
    <w:rsid w:val="00782C0B"/>
    <w:rsid w:val="00783095"/>
    <w:rsid w:val="00783242"/>
    <w:rsid w:val="007832AA"/>
    <w:rsid w:val="0078334A"/>
    <w:rsid w:val="00783576"/>
    <w:rsid w:val="0078397C"/>
    <w:rsid w:val="00783A75"/>
    <w:rsid w:val="00783C10"/>
    <w:rsid w:val="00783C2E"/>
    <w:rsid w:val="00783CD3"/>
    <w:rsid w:val="0078400F"/>
    <w:rsid w:val="00784165"/>
    <w:rsid w:val="007843D6"/>
    <w:rsid w:val="0078453B"/>
    <w:rsid w:val="0078461F"/>
    <w:rsid w:val="007848BF"/>
    <w:rsid w:val="00784948"/>
    <w:rsid w:val="00784CBC"/>
    <w:rsid w:val="00784CD2"/>
    <w:rsid w:val="00784DF5"/>
    <w:rsid w:val="00784F37"/>
    <w:rsid w:val="00785509"/>
    <w:rsid w:val="0078566F"/>
    <w:rsid w:val="00785689"/>
    <w:rsid w:val="007858CF"/>
    <w:rsid w:val="00785967"/>
    <w:rsid w:val="00785A04"/>
    <w:rsid w:val="007861DB"/>
    <w:rsid w:val="0078644E"/>
    <w:rsid w:val="00786574"/>
    <w:rsid w:val="00786960"/>
    <w:rsid w:val="00786A48"/>
    <w:rsid w:val="00786A90"/>
    <w:rsid w:val="00786AF6"/>
    <w:rsid w:val="00786B7F"/>
    <w:rsid w:val="00786E33"/>
    <w:rsid w:val="0078709F"/>
    <w:rsid w:val="0078715E"/>
    <w:rsid w:val="007871D0"/>
    <w:rsid w:val="007876EB"/>
    <w:rsid w:val="00787AC8"/>
    <w:rsid w:val="00787B52"/>
    <w:rsid w:val="00787E5E"/>
    <w:rsid w:val="00787FFE"/>
    <w:rsid w:val="00790078"/>
    <w:rsid w:val="0079008D"/>
    <w:rsid w:val="00790338"/>
    <w:rsid w:val="0079054D"/>
    <w:rsid w:val="007906F8"/>
    <w:rsid w:val="007908C0"/>
    <w:rsid w:val="00790923"/>
    <w:rsid w:val="00790CA7"/>
    <w:rsid w:val="00790CE6"/>
    <w:rsid w:val="00790E47"/>
    <w:rsid w:val="00790E6F"/>
    <w:rsid w:val="0079113A"/>
    <w:rsid w:val="007911FC"/>
    <w:rsid w:val="0079123E"/>
    <w:rsid w:val="00791470"/>
    <w:rsid w:val="00791497"/>
    <w:rsid w:val="007914E6"/>
    <w:rsid w:val="0079153C"/>
    <w:rsid w:val="0079171C"/>
    <w:rsid w:val="00791B4A"/>
    <w:rsid w:val="00791F87"/>
    <w:rsid w:val="007928A2"/>
    <w:rsid w:val="00792A70"/>
    <w:rsid w:val="00792DD4"/>
    <w:rsid w:val="0079303D"/>
    <w:rsid w:val="00793233"/>
    <w:rsid w:val="0079349C"/>
    <w:rsid w:val="00793732"/>
    <w:rsid w:val="00793A7D"/>
    <w:rsid w:val="00793AE8"/>
    <w:rsid w:val="00793C03"/>
    <w:rsid w:val="00793C64"/>
    <w:rsid w:val="00793C7F"/>
    <w:rsid w:val="00793D5D"/>
    <w:rsid w:val="007941FA"/>
    <w:rsid w:val="00794269"/>
    <w:rsid w:val="0079454C"/>
    <w:rsid w:val="007947F7"/>
    <w:rsid w:val="007948D5"/>
    <w:rsid w:val="00794905"/>
    <w:rsid w:val="00794A18"/>
    <w:rsid w:val="00794D38"/>
    <w:rsid w:val="00794DCB"/>
    <w:rsid w:val="00794E7E"/>
    <w:rsid w:val="00794FE5"/>
    <w:rsid w:val="00795484"/>
    <w:rsid w:val="00795637"/>
    <w:rsid w:val="007958FF"/>
    <w:rsid w:val="00795BF6"/>
    <w:rsid w:val="00795EF9"/>
    <w:rsid w:val="00796423"/>
    <w:rsid w:val="007964A1"/>
    <w:rsid w:val="007968B3"/>
    <w:rsid w:val="007968BF"/>
    <w:rsid w:val="00796A31"/>
    <w:rsid w:val="00796E33"/>
    <w:rsid w:val="00797008"/>
    <w:rsid w:val="0079754B"/>
    <w:rsid w:val="00797839"/>
    <w:rsid w:val="0079799C"/>
    <w:rsid w:val="00797D50"/>
    <w:rsid w:val="00797DEA"/>
    <w:rsid w:val="00797EFC"/>
    <w:rsid w:val="00797F0E"/>
    <w:rsid w:val="007A068F"/>
    <w:rsid w:val="007A06F6"/>
    <w:rsid w:val="007A07B2"/>
    <w:rsid w:val="007A0B17"/>
    <w:rsid w:val="007A10A7"/>
    <w:rsid w:val="007A11B5"/>
    <w:rsid w:val="007A11FA"/>
    <w:rsid w:val="007A12CC"/>
    <w:rsid w:val="007A142F"/>
    <w:rsid w:val="007A146E"/>
    <w:rsid w:val="007A156F"/>
    <w:rsid w:val="007A1E6D"/>
    <w:rsid w:val="007A1F83"/>
    <w:rsid w:val="007A20D1"/>
    <w:rsid w:val="007A2505"/>
    <w:rsid w:val="007A2817"/>
    <w:rsid w:val="007A2B52"/>
    <w:rsid w:val="007A2DDF"/>
    <w:rsid w:val="007A3040"/>
    <w:rsid w:val="007A307C"/>
    <w:rsid w:val="007A35EF"/>
    <w:rsid w:val="007A3625"/>
    <w:rsid w:val="007A36CD"/>
    <w:rsid w:val="007A3ABA"/>
    <w:rsid w:val="007A3B59"/>
    <w:rsid w:val="007A3F06"/>
    <w:rsid w:val="007A44E3"/>
    <w:rsid w:val="007A45C4"/>
    <w:rsid w:val="007A4616"/>
    <w:rsid w:val="007A46EF"/>
    <w:rsid w:val="007A46F7"/>
    <w:rsid w:val="007A47C6"/>
    <w:rsid w:val="007A48A0"/>
    <w:rsid w:val="007A4CE1"/>
    <w:rsid w:val="007A5227"/>
    <w:rsid w:val="007A52FB"/>
    <w:rsid w:val="007A56F6"/>
    <w:rsid w:val="007A6370"/>
    <w:rsid w:val="007A6D97"/>
    <w:rsid w:val="007A742E"/>
    <w:rsid w:val="007A75E5"/>
    <w:rsid w:val="007A779F"/>
    <w:rsid w:val="007A7881"/>
    <w:rsid w:val="007A78A7"/>
    <w:rsid w:val="007A78A8"/>
    <w:rsid w:val="007A7E96"/>
    <w:rsid w:val="007B04E5"/>
    <w:rsid w:val="007B0BF2"/>
    <w:rsid w:val="007B0D3D"/>
    <w:rsid w:val="007B0F78"/>
    <w:rsid w:val="007B12F3"/>
    <w:rsid w:val="007B15D6"/>
    <w:rsid w:val="007B17DA"/>
    <w:rsid w:val="007B187E"/>
    <w:rsid w:val="007B18B7"/>
    <w:rsid w:val="007B1A6C"/>
    <w:rsid w:val="007B1AF7"/>
    <w:rsid w:val="007B1DC1"/>
    <w:rsid w:val="007B1DF0"/>
    <w:rsid w:val="007B2314"/>
    <w:rsid w:val="007B2D56"/>
    <w:rsid w:val="007B2EBA"/>
    <w:rsid w:val="007B32FE"/>
    <w:rsid w:val="007B3341"/>
    <w:rsid w:val="007B3357"/>
    <w:rsid w:val="007B3478"/>
    <w:rsid w:val="007B3695"/>
    <w:rsid w:val="007B36D0"/>
    <w:rsid w:val="007B3883"/>
    <w:rsid w:val="007B3E2F"/>
    <w:rsid w:val="007B41B6"/>
    <w:rsid w:val="007B41FC"/>
    <w:rsid w:val="007B4420"/>
    <w:rsid w:val="007B45DC"/>
    <w:rsid w:val="007B466B"/>
    <w:rsid w:val="007B4B1B"/>
    <w:rsid w:val="007B4DCD"/>
    <w:rsid w:val="007B4ED1"/>
    <w:rsid w:val="007B510D"/>
    <w:rsid w:val="007B5719"/>
    <w:rsid w:val="007B580F"/>
    <w:rsid w:val="007B591D"/>
    <w:rsid w:val="007B592D"/>
    <w:rsid w:val="007B5A1B"/>
    <w:rsid w:val="007B5B8D"/>
    <w:rsid w:val="007B5B9F"/>
    <w:rsid w:val="007B5CF2"/>
    <w:rsid w:val="007B5EAC"/>
    <w:rsid w:val="007B5EF5"/>
    <w:rsid w:val="007B5F11"/>
    <w:rsid w:val="007B613B"/>
    <w:rsid w:val="007B61AA"/>
    <w:rsid w:val="007B61E6"/>
    <w:rsid w:val="007B67D2"/>
    <w:rsid w:val="007B682D"/>
    <w:rsid w:val="007B68A0"/>
    <w:rsid w:val="007B6A5A"/>
    <w:rsid w:val="007B6B8C"/>
    <w:rsid w:val="007B6C68"/>
    <w:rsid w:val="007B6CFA"/>
    <w:rsid w:val="007B6D19"/>
    <w:rsid w:val="007B6E41"/>
    <w:rsid w:val="007B6E7C"/>
    <w:rsid w:val="007B714D"/>
    <w:rsid w:val="007B7326"/>
    <w:rsid w:val="007B74C6"/>
    <w:rsid w:val="007B7670"/>
    <w:rsid w:val="007B774B"/>
    <w:rsid w:val="007B782E"/>
    <w:rsid w:val="007B7853"/>
    <w:rsid w:val="007B7C8B"/>
    <w:rsid w:val="007B7DF6"/>
    <w:rsid w:val="007B7E3E"/>
    <w:rsid w:val="007B7FFD"/>
    <w:rsid w:val="007C00CA"/>
    <w:rsid w:val="007C010B"/>
    <w:rsid w:val="007C0310"/>
    <w:rsid w:val="007C054C"/>
    <w:rsid w:val="007C079D"/>
    <w:rsid w:val="007C088B"/>
    <w:rsid w:val="007C0B46"/>
    <w:rsid w:val="007C0BAC"/>
    <w:rsid w:val="007C0FCE"/>
    <w:rsid w:val="007C110B"/>
    <w:rsid w:val="007C1411"/>
    <w:rsid w:val="007C18E8"/>
    <w:rsid w:val="007C1974"/>
    <w:rsid w:val="007C199B"/>
    <w:rsid w:val="007C19EC"/>
    <w:rsid w:val="007C1A50"/>
    <w:rsid w:val="007C1BF4"/>
    <w:rsid w:val="007C1C39"/>
    <w:rsid w:val="007C1D04"/>
    <w:rsid w:val="007C2236"/>
    <w:rsid w:val="007C22B6"/>
    <w:rsid w:val="007C236B"/>
    <w:rsid w:val="007C2428"/>
    <w:rsid w:val="007C26BA"/>
    <w:rsid w:val="007C2723"/>
    <w:rsid w:val="007C29FC"/>
    <w:rsid w:val="007C2AE4"/>
    <w:rsid w:val="007C2D28"/>
    <w:rsid w:val="007C2F79"/>
    <w:rsid w:val="007C30BE"/>
    <w:rsid w:val="007C33A3"/>
    <w:rsid w:val="007C3425"/>
    <w:rsid w:val="007C34AF"/>
    <w:rsid w:val="007C35A0"/>
    <w:rsid w:val="007C35E0"/>
    <w:rsid w:val="007C35E8"/>
    <w:rsid w:val="007C399D"/>
    <w:rsid w:val="007C3E19"/>
    <w:rsid w:val="007C3EA0"/>
    <w:rsid w:val="007C3FBE"/>
    <w:rsid w:val="007C408E"/>
    <w:rsid w:val="007C423D"/>
    <w:rsid w:val="007C4364"/>
    <w:rsid w:val="007C46DE"/>
    <w:rsid w:val="007C4912"/>
    <w:rsid w:val="007C51FB"/>
    <w:rsid w:val="007C5338"/>
    <w:rsid w:val="007C536C"/>
    <w:rsid w:val="007C57ED"/>
    <w:rsid w:val="007C5837"/>
    <w:rsid w:val="007C58E4"/>
    <w:rsid w:val="007C59BB"/>
    <w:rsid w:val="007C5DC4"/>
    <w:rsid w:val="007C5E88"/>
    <w:rsid w:val="007C63C8"/>
    <w:rsid w:val="007C64EF"/>
    <w:rsid w:val="007C6635"/>
    <w:rsid w:val="007C67F9"/>
    <w:rsid w:val="007C6A54"/>
    <w:rsid w:val="007C6ADB"/>
    <w:rsid w:val="007C6FD0"/>
    <w:rsid w:val="007C722E"/>
    <w:rsid w:val="007C755F"/>
    <w:rsid w:val="007C7633"/>
    <w:rsid w:val="007C7745"/>
    <w:rsid w:val="007C784E"/>
    <w:rsid w:val="007C79F0"/>
    <w:rsid w:val="007C7B09"/>
    <w:rsid w:val="007C7D12"/>
    <w:rsid w:val="007C7D25"/>
    <w:rsid w:val="007C7D41"/>
    <w:rsid w:val="007C7E14"/>
    <w:rsid w:val="007C7E32"/>
    <w:rsid w:val="007C7E7A"/>
    <w:rsid w:val="007D02D7"/>
    <w:rsid w:val="007D0481"/>
    <w:rsid w:val="007D05BA"/>
    <w:rsid w:val="007D0774"/>
    <w:rsid w:val="007D07AB"/>
    <w:rsid w:val="007D086E"/>
    <w:rsid w:val="007D0AF9"/>
    <w:rsid w:val="007D0E74"/>
    <w:rsid w:val="007D0EBA"/>
    <w:rsid w:val="007D0F3F"/>
    <w:rsid w:val="007D0FF6"/>
    <w:rsid w:val="007D1064"/>
    <w:rsid w:val="007D10D0"/>
    <w:rsid w:val="007D112F"/>
    <w:rsid w:val="007D1243"/>
    <w:rsid w:val="007D12C0"/>
    <w:rsid w:val="007D155D"/>
    <w:rsid w:val="007D1A03"/>
    <w:rsid w:val="007D1D60"/>
    <w:rsid w:val="007D1F20"/>
    <w:rsid w:val="007D21E1"/>
    <w:rsid w:val="007D2395"/>
    <w:rsid w:val="007D255E"/>
    <w:rsid w:val="007D2674"/>
    <w:rsid w:val="007D27F2"/>
    <w:rsid w:val="007D2907"/>
    <w:rsid w:val="007D29B8"/>
    <w:rsid w:val="007D2A8D"/>
    <w:rsid w:val="007D2AF0"/>
    <w:rsid w:val="007D2C33"/>
    <w:rsid w:val="007D3172"/>
    <w:rsid w:val="007D3349"/>
    <w:rsid w:val="007D3648"/>
    <w:rsid w:val="007D3820"/>
    <w:rsid w:val="007D384F"/>
    <w:rsid w:val="007D3B06"/>
    <w:rsid w:val="007D3BBF"/>
    <w:rsid w:val="007D3C0E"/>
    <w:rsid w:val="007D3C13"/>
    <w:rsid w:val="007D3E4F"/>
    <w:rsid w:val="007D4008"/>
    <w:rsid w:val="007D42F9"/>
    <w:rsid w:val="007D4438"/>
    <w:rsid w:val="007D44F4"/>
    <w:rsid w:val="007D46EC"/>
    <w:rsid w:val="007D472B"/>
    <w:rsid w:val="007D4A41"/>
    <w:rsid w:val="007D4B33"/>
    <w:rsid w:val="007D4C3B"/>
    <w:rsid w:val="007D4E0B"/>
    <w:rsid w:val="007D4EA2"/>
    <w:rsid w:val="007D4FFD"/>
    <w:rsid w:val="007D5303"/>
    <w:rsid w:val="007D5308"/>
    <w:rsid w:val="007D5662"/>
    <w:rsid w:val="007D58E2"/>
    <w:rsid w:val="007D5914"/>
    <w:rsid w:val="007D59CF"/>
    <w:rsid w:val="007D5A2F"/>
    <w:rsid w:val="007D5B53"/>
    <w:rsid w:val="007D5C55"/>
    <w:rsid w:val="007D5CC4"/>
    <w:rsid w:val="007D5DB1"/>
    <w:rsid w:val="007D5F15"/>
    <w:rsid w:val="007D5FD9"/>
    <w:rsid w:val="007D62DC"/>
    <w:rsid w:val="007D64AF"/>
    <w:rsid w:val="007D65E8"/>
    <w:rsid w:val="007D695A"/>
    <w:rsid w:val="007D7170"/>
    <w:rsid w:val="007D7384"/>
    <w:rsid w:val="007D7585"/>
    <w:rsid w:val="007D7851"/>
    <w:rsid w:val="007D7B49"/>
    <w:rsid w:val="007D7D13"/>
    <w:rsid w:val="007D7D60"/>
    <w:rsid w:val="007D7E7F"/>
    <w:rsid w:val="007D7EC3"/>
    <w:rsid w:val="007D7FC1"/>
    <w:rsid w:val="007E026C"/>
    <w:rsid w:val="007E0373"/>
    <w:rsid w:val="007E09AD"/>
    <w:rsid w:val="007E0B60"/>
    <w:rsid w:val="007E0CEB"/>
    <w:rsid w:val="007E0EDE"/>
    <w:rsid w:val="007E1BAE"/>
    <w:rsid w:val="007E1D09"/>
    <w:rsid w:val="007E1E18"/>
    <w:rsid w:val="007E1F21"/>
    <w:rsid w:val="007E211D"/>
    <w:rsid w:val="007E2158"/>
    <w:rsid w:val="007E24C8"/>
    <w:rsid w:val="007E25C3"/>
    <w:rsid w:val="007E28A1"/>
    <w:rsid w:val="007E28BF"/>
    <w:rsid w:val="007E2905"/>
    <w:rsid w:val="007E2925"/>
    <w:rsid w:val="007E2A4A"/>
    <w:rsid w:val="007E2E42"/>
    <w:rsid w:val="007E3295"/>
    <w:rsid w:val="007E3310"/>
    <w:rsid w:val="007E33F2"/>
    <w:rsid w:val="007E356D"/>
    <w:rsid w:val="007E3688"/>
    <w:rsid w:val="007E36CC"/>
    <w:rsid w:val="007E38D8"/>
    <w:rsid w:val="007E394C"/>
    <w:rsid w:val="007E3E72"/>
    <w:rsid w:val="007E3F14"/>
    <w:rsid w:val="007E41F3"/>
    <w:rsid w:val="007E4658"/>
    <w:rsid w:val="007E4C56"/>
    <w:rsid w:val="007E4D1E"/>
    <w:rsid w:val="007E4DCA"/>
    <w:rsid w:val="007E4DED"/>
    <w:rsid w:val="007E4E6A"/>
    <w:rsid w:val="007E4F78"/>
    <w:rsid w:val="007E530D"/>
    <w:rsid w:val="007E5329"/>
    <w:rsid w:val="007E5550"/>
    <w:rsid w:val="007E5A3D"/>
    <w:rsid w:val="007E5B75"/>
    <w:rsid w:val="007E5CB2"/>
    <w:rsid w:val="007E5DA6"/>
    <w:rsid w:val="007E5E05"/>
    <w:rsid w:val="007E5EB1"/>
    <w:rsid w:val="007E60B4"/>
    <w:rsid w:val="007E6101"/>
    <w:rsid w:val="007E61F8"/>
    <w:rsid w:val="007E6335"/>
    <w:rsid w:val="007E63A8"/>
    <w:rsid w:val="007E63B3"/>
    <w:rsid w:val="007E65F2"/>
    <w:rsid w:val="007E66A4"/>
    <w:rsid w:val="007E67FE"/>
    <w:rsid w:val="007E695B"/>
    <w:rsid w:val="007E6C13"/>
    <w:rsid w:val="007E6C4F"/>
    <w:rsid w:val="007E6E66"/>
    <w:rsid w:val="007E744C"/>
    <w:rsid w:val="007E74F9"/>
    <w:rsid w:val="007E7728"/>
    <w:rsid w:val="007E789F"/>
    <w:rsid w:val="007E7D61"/>
    <w:rsid w:val="007F00A9"/>
    <w:rsid w:val="007F0205"/>
    <w:rsid w:val="007F02C3"/>
    <w:rsid w:val="007F06C7"/>
    <w:rsid w:val="007F09D0"/>
    <w:rsid w:val="007F0A4E"/>
    <w:rsid w:val="007F0C58"/>
    <w:rsid w:val="007F103C"/>
    <w:rsid w:val="007F1107"/>
    <w:rsid w:val="007F12DD"/>
    <w:rsid w:val="007F152C"/>
    <w:rsid w:val="007F16CB"/>
    <w:rsid w:val="007F1B1A"/>
    <w:rsid w:val="007F1DB5"/>
    <w:rsid w:val="007F1FC2"/>
    <w:rsid w:val="007F2392"/>
    <w:rsid w:val="007F2462"/>
    <w:rsid w:val="007F2504"/>
    <w:rsid w:val="007F260D"/>
    <w:rsid w:val="007F2BC7"/>
    <w:rsid w:val="007F2CB3"/>
    <w:rsid w:val="007F2E12"/>
    <w:rsid w:val="007F3389"/>
    <w:rsid w:val="007F33C8"/>
    <w:rsid w:val="007F35F3"/>
    <w:rsid w:val="007F37A7"/>
    <w:rsid w:val="007F38B5"/>
    <w:rsid w:val="007F3C51"/>
    <w:rsid w:val="007F4107"/>
    <w:rsid w:val="007F441D"/>
    <w:rsid w:val="007F4498"/>
    <w:rsid w:val="007F4553"/>
    <w:rsid w:val="007F49DD"/>
    <w:rsid w:val="007F4C0A"/>
    <w:rsid w:val="007F4E31"/>
    <w:rsid w:val="007F4F48"/>
    <w:rsid w:val="007F508E"/>
    <w:rsid w:val="007F50BC"/>
    <w:rsid w:val="007F562F"/>
    <w:rsid w:val="007F56DA"/>
    <w:rsid w:val="007F5924"/>
    <w:rsid w:val="007F59AF"/>
    <w:rsid w:val="007F5B3E"/>
    <w:rsid w:val="007F5C09"/>
    <w:rsid w:val="007F5C1A"/>
    <w:rsid w:val="007F5CAF"/>
    <w:rsid w:val="007F5D89"/>
    <w:rsid w:val="007F60F9"/>
    <w:rsid w:val="007F613C"/>
    <w:rsid w:val="007F631B"/>
    <w:rsid w:val="007F6A36"/>
    <w:rsid w:val="007F6CCF"/>
    <w:rsid w:val="007F6D6D"/>
    <w:rsid w:val="007F7109"/>
    <w:rsid w:val="007F7123"/>
    <w:rsid w:val="007F77B5"/>
    <w:rsid w:val="007F7839"/>
    <w:rsid w:val="007F7892"/>
    <w:rsid w:val="007F7BF6"/>
    <w:rsid w:val="007F7EF3"/>
    <w:rsid w:val="00800079"/>
    <w:rsid w:val="00800159"/>
    <w:rsid w:val="0080043C"/>
    <w:rsid w:val="00800462"/>
    <w:rsid w:val="0080046D"/>
    <w:rsid w:val="0080065E"/>
    <w:rsid w:val="00800662"/>
    <w:rsid w:val="00800859"/>
    <w:rsid w:val="00800A0D"/>
    <w:rsid w:val="00800B9B"/>
    <w:rsid w:val="00800CFC"/>
    <w:rsid w:val="00800F17"/>
    <w:rsid w:val="008010F2"/>
    <w:rsid w:val="0080179F"/>
    <w:rsid w:val="00801B53"/>
    <w:rsid w:val="00801D47"/>
    <w:rsid w:val="00801D49"/>
    <w:rsid w:val="00801F98"/>
    <w:rsid w:val="00801FC2"/>
    <w:rsid w:val="00801FEF"/>
    <w:rsid w:val="008022FB"/>
    <w:rsid w:val="0080247C"/>
    <w:rsid w:val="00802531"/>
    <w:rsid w:val="008026E3"/>
    <w:rsid w:val="00802BD6"/>
    <w:rsid w:val="0080331A"/>
    <w:rsid w:val="008037D3"/>
    <w:rsid w:val="00803D85"/>
    <w:rsid w:val="00803E31"/>
    <w:rsid w:val="0080420B"/>
    <w:rsid w:val="00804228"/>
    <w:rsid w:val="008044D4"/>
    <w:rsid w:val="0080453B"/>
    <w:rsid w:val="008046CF"/>
    <w:rsid w:val="0080472C"/>
    <w:rsid w:val="008048FF"/>
    <w:rsid w:val="00804F14"/>
    <w:rsid w:val="00804F98"/>
    <w:rsid w:val="00804FBA"/>
    <w:rsid w:val="00805474"/>
    <w:rsid w:val="008056CC"/>
    <w:rsid w:val="00805ADF"/>
    <w:rsid w:val="00805D5F"/>
    <w:rsid w:val="0080619C"/>
    <w:rsid w:val="008061D2"/>
    <w:rsid w:val="00806285"/>
    <w:rsid w:val="008063A6"/>
    <w:rsid w:val="008065BA"/>
    <w:rsid w:val="00806683"/>
    <w:rsid w:val="008067D7"/>
    <w:rsid w:val="008069B2"/>
    <w:rsid w:val="00806A40"/>
    <w:rsid w:val="00806D11"/>
    <w:rsid w:val="00806D59"/>
    <w:rsid w:val="0080702A"/>
    <w:rsid w:val="0080752D"/>
    <w:rsid w:val="00807533"/>
    <w:rsid w:val="008076E7"/>
    <w:rsid w:val="008076FF"/>
    <w:rsid w:val="00807761"/>
    <w:rsid w:val="0080799C"/>
    <w:rsid w:val="008079C3"/>
    <w:rsid w:val="008079DD"/>
    <w:rsid w:val="00807E69"/>
    <w:rsid w:val="00807EC6"/>
    <w:rsid w:val="00807F08"/>
    <w:rsid w:val="00810046"/>
    <w:rsid w:val="00810124"/>
    <w:rsid w:val="00810384"/>
    <w:rsid w:val="008103DE"/>
    <w:rsid w:val="008104C0"/>
    <w:rsid w:val="008106C4"/>
    <w:rsid w:val="008109AE"/>
    <w:rsid w:val="00810E4F"/>
    <w:rsid w:val="008113BE"/>
    <w:rsid w:val="008115DD"/>
    <w:rsid w:val="00811B07"/>
    <w:rsid w:val="00811BA0"/>
    <w:rsid w:val="008125F5"/>
    <w:rsid w:val="0081263E"/>
    <w:rsid w:val="008126F1"/>
    <w:rsid w:val="00812B7F"/>
    <w:rsid w:val="00812BF1"/>
    <w:rsid w:val="00812D5E"/>
    <w:rsid w:val="00813268"/>
    <w:rsid w:val="0081330E"/>
    <w:rsid w:val="0081344F"/>
    <w:rsid w:val="00813527"/>
    <w:rsid w:val="00813784"/>
    <w:rsid w:val="008139CA"/>
    <w:rsid w:val="008139CD"/>
    <w:rsid w:val="00814089"/>
    <w:rsid w:val="008143B2"/>
    <w:rsid w:val="0081451A"/>
    <w:rsid w:val="00814722"/>
    <w:rsid w:val="00814775"/>
    <w:rsid w:val="00814C65"/>
    <w:rsid w:val="00814CD8"/>
    <w:rsid w:val="00814DBC"/>
    <w:rsid w:val="00814F31"/>
    <w:rsid w:val="00815651"/>
    <w:rsid w:val="00815A17"/>
    <w:rsid w:val="00816184"/>
    <w:rsid w:val="0081686C"/>
    <w:rsid w:val="008168F4"/>
    <w:rsid w:val="0081762B"/>
    <w:rsid w:val="0081763C"/>
    <w:rsid w:val="0081769B"/>
    <w:rsid w:val="008178EC"/>
    <w:rsid w:val="00817A98"/>
    <w:rsid w:val="008202DC"/>
    <w:rsid w:val="0082073D"/>
    <w:rsid w:val="008208D4"/>
    <w:rsid w:val="00820B06"/>
    <w:rsid w:val="00820CFC"/>
    <w:rsid w:val="00820FF3"/>
    <w:rsid w:val="00821104"/>
    <w:rsid w:val="0082121E"/>
    <w:rsid w:val="00821480"/>
    <w:rsid w:val="00821703"/>
    <w:rsid w:val="00821996"/>
    <w:rsid w:val="00821B0D"/>
    <w:rsid w:val="00821FAE"/>
    <w:rsid w:val="00821FDA"/>
    <w:rsid w:val="0082203C"/>
    <w:rsid w:val="00822167"/>
    <w:rsid w:val="0082224D"/>
    <w:rsid w:val="00822655"/>
    <w:rsid w:val="00822787"/>
    <w:rsid w:val="00822A4D"/>
    <w:rsid w:val="00822B0A"/>
    <w:rsid w:val="00822CE0"/>
    <w:rsid w:val="00822D20"/>
    <w:rsid w:val="00822D9E"/>
    <w:rsid w:val="0082307B"/>
    <w:rsid w:val="008230C6"/>
    <w:rsid w:val="00823488"/>
    <w:rsid w:val="008234E9"/>
    <w:rsid w:val="008239AA"/>
    <w:rsid w:val="008239B6"/>
    <w:rsid w:val="00823B7B"/>
    <w:rsid w:val="00823C21"/>
    <w:rsid w:val="00823EE0"/>
    <w:rsid w:val="00823F7A"/>
    <w:rsid w:val="00823F82"/>
    <w:rsid w:val="00824430"/>
    <w:rsid w:val="00824553"/>
    <w:rsid w:val="00824900"/>
    <w:rsid w:val="00824C16"/>
    <w:rsid w:val="00824C53"/>
    <w:rsid w:val="00824EEF"/>
    <w:rsid w:val="00824F0B"/>
    <w:rsid w:val="008250D2"/>
    <w:rsid w:val="00825773"/>
    <w:rsid w:val="008258D5"/>
    <w:rsid w:val="008259F1"/>
    <w:rsid w:val="00825BF8"/>
    <w:rsid w:val="00825E68"/>
    <w:rsid w:val="00825F55"/>
    <w:rsid w:val="008264F4"/>
    <w:rsid w:val="00826628"/>
    <w:rsid w:val="008269F0"/>
    <w:rsid w:val="00826C35"/>
    <w:rsid w:val="00827071"/>
    <w:rsid w:val="0082722E"/>
    <w:rsid w:val="008272DE"/>
    <w:rsid w:val="00827478"/>
    <w:rsid w:val="0082762B"/>
    <w:rsid w:val="0082768B"/>
    <w:rsid w:val="008277C2"/>
    <w:rsid w:val="008277C5"/>
    <w:rsid w:val="00827BAE"/>
    <w:rsid w:val="00827EBA"/>
    <w:rsid w:val="008300E3"/>
    <w:rsid w:val="00830162"/>
    <w:rsid w:val="008301BB"/>
    <w:rsid w:val="008302EF"/>
    <w:rsid w:val="0083043A"/>
    <w:rsid w:val="008306EC"/>
    <w:rsid w:val="008308B1"/>
    <w:rsid w:val="00830B1B"/>
    <w:rsid w:val="00830FC9"/>
    <w:rsid w:val="0083101A"/>
    <w:rsid w:val="00831113"/>
    <w:rsid w:val="008311DC"/>
    <w:rsid w:val="008311E8"/>
    <w:rsid w:val="0083168F"/>
    <w:rsid w:val="008316F6"/>
    <w:rsid w:val="00831773"/>
    <w:rsid w:val="00831867"/>
    <w:rsid w:val="00831CAC"/>
    <w:rsid w:val="00831CC3"/>
    <w:rsid w:val="00831F91"/>
    <w:rsid w:val="00831FCA"/>
    <w:rsid w:val="00831FFB"/>
    <w:rsid w:val="00832450"/>
    <w:rsid w:val="008328AD"/>
    <w:rsid w:val="00832A28"/>
    <w:rsid w:val="00832C8E"/>
    <w:rsid w:val="00832CCB"/>
    <w:rsid w:val="00832F4C"/>
    <w:rsid w:val="00833350"/>
    <w:rsid w:val="00833462"/>
    <w:rsid w:val="00833F3F"/>
    <w:rsid w:val="008345CC"/>
    <w:rsid w:val="008346D0"/>
    <w:rsid w:val="0083486A"/>
    <w:rsid w:val="008348CE"/>
    <w:rsid w:val="0083490B"/>
    <w:rsid w:val="00834EDB"/>
    <w:rsid w:val="008350F7"/>
    <w:rsid w:val="0083514C"/>
    <w:rsid w:val="008351AC"/>
    <w:rsid w:val="00835706"/>
    <w:rsid w:val="0083571C"/>
    <w:rsid w:val="00835766"/>
    <w:rsid w:val="00835E1A"/>
    <w:rsid w:val="0083608D"/>
    <w:rsid w:val="0083623F"/>
    <w:rsid w:val="008363C1"/>
    <w:rsid w:val="0083648E"/>
    <w:rsid w:val="008365F5"/>
    <w:rsid w:val="00836814"/>
    <w:rsid w:val="00836B25"/>
    <w:rsid w:val="00836E17"/>
    <w:rsid w:val="0083706D"/>
    <w:rsid w:val="0083719F"/>
    <w:rsid w:val="0083742B"/>
    <w:rsid w:val="00837435"/>
    <w:rsid w:val="00837A40"/>
    <w:rsid w:val="00837B1F"/>
    <w:rsid w:val="00837C41"/>
    <w:rsid w:val="00837C62"/>
    <w:rsid w:val="00837C85"/>
    <w:rsid w:val="00837D4C"/>
    <w:rsid w:val="00837D6F"/>
    <w:rsid w:val="00837EE4"/>
    <w:rsid w:val="00837F6D"/>
    <w:rsid w:val="00840023"/>
    <w:rsid w:val="00840305"/>
    <w:rsid w:val="00840310"/>
    <w:rsid w:val="00840403"/>
    <w:rsid w:val="008404B4"/>
    <w:rsid w:val="008404E8"/>
    <w:rsid w:val="008404F7"/>
    <w:rsid w:val="0084069C"/>
    <w:rsid w:val="008407CA"/>
    <w:rsid w:val="0084083D"/>
    <w:rsid w:val="00840953"/>
    <w:rsid w:val="00840B36"/>
    <w:rsid w:val="00840C84"/>
    <w:rsid w:val="00840CE2"/>
    <w:rsid w:val="00840DD0"/>
    <w:rsid w:val="00841090"/>
    <w:rsid w:val="0084120A"/>
    <w:rsid w:val="0084137C"/>
    <w:rsid w:val="008413B2"/>
    <w:rsid w:val="008416C0"/>
    <w:rsid w:val="0084185D"/>
    <w:rsid w:val="008418AC"/>
    <w:rsid w:val="0084190E"/>
    <w:rsid w:val="0084197E"/>
    <w:rsid w:val="00841A8C"/>
    <w:rsid w:val="00841AAC"/>
    <w:rsid w:val="00841AB1"/>
    <w:rsid w:val="00841BAD"/>
    <w:rsid w:val="00841DD0"/>
    <w:rsid w:val="00841F95"/>
    <w:rsid w:val="00841FF1"/>
    <w:rsid w:val="008420F6"/>
    <w:rsid w:val="0084263C"/>
    <w:rsid w:val="00842BA8"/>
    <w:rsid w:val="00842E80"/>
    <w:rsid w:val="00842EA3"/>
    <w:rsid w:val="0084324D"/>
    <w:rsid w:val="00843984"/>
    <w:rsid w:val="00843B2C"/>
    <w:rsid w:val="00843F8F"/>
    <w:rsid w:val="00843FB7"/>
    <w:rsid w:val="008442DE"/>
    <w:rsid w:val="00844446"/>
    <w:rsid w:val="0084456C"/>
    <w:rsid w:val="0084485A"/>
    <w:rsid w:val="00844928"/>
    <w:rsid w:val="008449E1"/>
    <w:rsid w:val="00844A1A"/>
    <w:rsid w:val="00844FD5"/>
    <w:rsid w:val="00845144"/>
    <w:rsid w:val="00845158"/>
    <w:rsid w:val="0084517D"/>
    <w:rsid w:val="0084567E"/>
    <w:rsid w:val="008456BC"/>
    <w:rsid w:val="008456D5"/>
    <w:rsid w:val="008459C5"/>
    <w:rsid w:val="00845B4F"/>
    <w:rsid w:val="00846087"/>
    <w:rsid w:val="00846098"/>
    <w:rsid w:val="008463EC"/>
    <w:rsid w:val="008466E5"/>
    <w:rsid w:val="00846B89"/>
    <w:rsid w:val="00846EF4"/>
    <w:rsid w:val="00847375"/>
    <w:rsid w:val="00847387"/>
    <w:rsid w:val="00847472"/>
    <w:rsid w:val="008474FB"/>
    <w:rsid w:val="00847744"/>
    <w:rsid w:val="008479C5"/>
    <w:rsid w:val="00847B52"/>
    <w:rsid w:val="00847BA8"/>
    <w:rsid w:val="00847BBB"/>
    <w:rsid w:val="00847C90"/>
    <w:rsid w:val="00847D1E"/>
    <w:rsid w:val="00847FA8"/>
    <w:rsid w:val="00850188"/>
    <w:rsid w:val="00850195"/>
    <w:rsid w:val="00850399"/>
    <w:rsid w:val="008511A1"/>
    <w:rsid w:val="0085128C"/>
    <w:rsid w:val="008514B3"/>
    <w:rsid w:val="00851573"/>
    <w:rsid w:val="008518B3"/>
    <w:rsid w:val="00851B29"/>
    <w:rsid w:val="00851E23"/>
    <w:rsid w:val="00851E37"/>
    <w:rsid w:val="00852092"/>
    <w:rsid w:val="008520BC"/>
    <w:rsid w:val="00852256"/>
    <w:rsid w:val="008523A4"/>
    <w:rsid w:val="00852A15"/>
    <w:rsid w:val="00852B6F"/>
    <w:rsid w:val="00852D3B"/>
    <w:rsid w:val="00852F03"/>
    <w:rsid w:val="008531C1"/>
    <w:rsid w:val="00853240"/>
    <w:rsid w:val="008537A5"/>
    <w:rsid w:val="0085387B"/>
    <w:rsid w:val="00853964"/>
    <w:rsid w:val="00853CFC"/>
    <w:rsid w:val="00853D89"/>
    <w:rsid w:val="00853DBB"/>
    <w:rsid w:val="00853F79"/>
    <w:rsid w:val="0085427B"/>
    <w:rsid w:val="008544BB"/>
    <w:rsid w:val="008546E6"/>
    <w:rsid w:val="008549A9"/>
    <w:rsid w:val="00854AFE"/>
    <w:rsid w:val="00854B58"/>
    <w:rsid w:val="00854D01"/>
    <w:rsid w:val="00855061"/>
    <w:rsid w:val="008550F1"/>
    <w:rsid w:val="00855188"/>
    <w:rsid w:val="0085531A"/>
    <w:rsid w:val="00855B23"/>
    <w:rsid w:val="00855D7B"/>
    <w:rsid w:val="008560D6"/>
    <w:rsid w:val="0085629A"/>
    <w:rsid w:val="008563E8"/>
    <w:rsid w:val="00856694"/>
    <w:rsid w:val="00856745"/>
    <w:rsid w:val="0085686C"/>
    <w:rsid w:val="008568DC"/>
    <w:rsid w:val="00856945"/>
    <w:rsid w:val="00856CA6"/>
    <w:rsid w:val="00856CF4"/>
    <w:rsid w:val="00856F45"/>
    <w:rsid w:val="00856F4F"/>
    <w:rsid w:val="0085719D"/>
    <w:rsid w:val="008572FC"/>
    <w:rsid w:val="0085741F"/>
    <w:rsid w:val="0085763A"/>
    <w:rsid w:val="00857777"/>
    <w:rsid w:val="0085778B"/>
    <w:rsid w:val="00857972"/>
    <w:rsid w:val="00857A79"/>
    <w:rsid w:val="00857CCC"/>
    <w:rsid w:val="00857DB4"/>
    <w:rsid w:val="00857EA8"/>
    <w:rsid w:val="00857FE7"/>
    <w:rsid w:val="0086021F"/>
    <w:rsid w:val="008603D2"/>
    <w:rsid w:val="0086050D"/>
    <w:rsid w:val="00860529"/>
    <w:rsid w:val="0086085A"/>
    <w:rsid w:val="008608E9"/>
    <w:rsid w:val="00860B0C"/>
    <w:rsid w:val="00860B29"/>
    <w:rsid w:val="00860E45"/>
    <w:rsid w:val="00860EC7"/>
    <w:rsid w:val="00861169"/>
    <w:rsid w:val="008611FB"/>
    <w:rsid w:val="00861392"/>
    <w:rsid w:val="0086156F"/>
    <w:rsid w:val="008617B1"/>
    <w:rsid w:val="008618E9"/>
    <w:rsid w:val="0086191C"/>
    <w:rsid w:val="00861B8A"/>
    <w:rsid w:val="00861D88"/>
    <w:rsid w:val="00861FCD"/>
    <w:rsid w:val="0086217B"/>
    <w:rsid w:val="00862364"/>
    <w:rsid w:val="008623A1"/>
    <w:rsid w:val="008623C9"/>
    <w:rsid w:val="0086248A"/>
    <w:rsid w:val="0086259A"/>
    <w:rsid w:val="008627C2"/>
    <w:rsid w:val="00862826"/>
    <w:rsid w:val="00862DC4"/>
    <w:rsid w:val="00863045"/>
    <w:rsid w:val="0086339E"/>
    <w:rsid w:val="00863594"/>
    <w:rsid w:val="00863697"/>
    <w:rsid w:val="00863ABC"/>
    <w:rsid w:val="00863D05"/>
    <w:rsid w:val="0086416E"/>
    <w:rsid w:val="00864685"/>
    <w:rsid w:val="008649CD"/>
    <w:rsid w:val="00864A4A"/>
    <w:rsid w:val="00864A71"/>
    <w:rsid w:val="00864C15"/>
    <w:rsid w:val="00864CF1"/>
    <w:rsid w:val="008653CA"/>
    <w:rsid w:val="008653DB"/>
    <w:rsid w:val="0086551A"/>
    <w:rsid w:val="00865C1B"/>
    <w:rsid w:val="00865EAE"/>
    <w:rsid w:val="00866040"/>
    <w:rsid w:val="00866306"/>
    <w:rsid w:val="008664D1"/>
    <w:rsid w:val="008667AE"/>
    <w:rsid w:val="00866A54"/>
    <w:rsid w:val="00866AA8"/>
    <w:rsid w:val="00866B86"/>
    <w:rsid w:val="00866CB0"/>
    <w:rsid w:val="00866D51"/>
    <w:rsid w:val="00866D9C"/>
    <w:rsid w:val="00866DA1"/>
    <w:rsid w:val="00866FCD"/>
    <w:rsid w:val="008671D3"/>
    <w:rsid w:val="00867A8C"/>
    <w:rsid w:val="00867B9D"/>
    <w:rsid w:val="00867D9D"/>
    <w:rsid w:val="00870399"/>
    <w:rsid w:val="008703A8"/>
    <w:rsid w:val="008707C1"/>
    <w:rsid w:val="00870929"/>
    <w:rsid w:val="00870A48"/>
    <w:rsid w:val="00870C90"/>
    <w:rsid w:val="008710F6"/>
    <w:rsid w:val="00871195"/>
    <w:rsid w:val="0087139B"/>
    <w:rsid w:val="008713CF"/>
    <w:rsid w:val="00871477"/>
    <w:rsid w:val="008717BD"/>
    <w:rsid w:val="00871CC1"/>
    <w:rsid w:val="00871E1C"/>
    <w:rsid w:val="00871FB6"/>
    <w:rsid w:val="00872224"/>
    <w:rsid w:val="0087225E"/>
    <w:rsid w:val="008724C6"/>
    <w:rsid w:val="00872991"/>
    <w:rsid w:val="00872C59"/>
    <w:rsid w:val="00872D60"/>
    <w:rsid w:val="00872DDE"/>
    <w:rsid w:val="0087314D"/>
    <w:rsid w:val="00873181"/>
    <w:rsid w:val="008731B3"/>
    <w:rsid w:val="0087325F"/>
    <w:rsid w:val="00873436"/>
    <w:rsid w:val="0087380F"/>
    <w:rsid w:val="00873849"/>
    <w:rsid w:val="00873957"/>
    <w:rsid w:val="00873CD1"/>
    <w:rsid w:val="00873ED4"/>
    <w:rsid w:val="00874048"/>
    <w:rsid w:val="0087449D"/>
    <w:rsid w:val="00874848"/>
    <w:rsid w:val="0087494F"/>
    <w:rsid w:val="008749BC"/>
    <w:rsid w:val="00874A94"/>
    <w:rsid w:val="00874DA4"/>
    <w:rsid w:val="00874EC3"/>
    <w:rsid w:val="00874F84"/>
    <w:rsid w:val="00874FF4"/>
    <w:rsid w:val="00875321"/>
    <w:rsid w:val="00875550"/>
    <w:rsid w:val="00875670"/>
    <w:rsid w:val="008757F2"/>
    <w:rsid w:val="00875B7B"/>
    <w:rsid w:val="00875D24"/>
    <w:rsid w:val="00875F0E"/>
    <w:rsid w:val="00875F95"/>
    <w:rsid w:val="0087600B"/>
    <w:rsid w:val="00876069"/>
    <w:rsid w:val="0087665E"/>
    <w:rsid w:val="00876900"/>
    <w:rsid w:val="00876B1A"/>
    <w:rsid w:val="00876C7B"/>
    <w:rsid w:val="00876CB2"/>
    <w:rsid w:val="00876D6F"/>
    <w:rsid w:val="00877022"/>
    <w:rsid w:val="00877709"/>
    <w:rsid w:val="00877853"/>
    <w:rsid w:val="0087786B"/>
    <w:rsid w:val="00877BFE"/>
    <w:rsid w:val="00877C69"/>
    <w:rsid w:val="00880199"/>
    <w:rsid w:val="0088075C"/>
    <w:rsid w:val="0088079A"/>
    <w:rsid w:val="008807D7"/>
    <w:rsid w:val="008808D3"/>
    <w:rsid w:val="00880CAB"/>
    <w:rsid w:val="00880CAD"/>
    <w:rsid w:val="00880E27"/>
    <w:rsid w:val="00881086"/>
    <w:rsid w:val="0088154A"/>
    <w:rsid w:val="00881634"/>
    <w:rsid w:val="0088175D"/>
    <w:rsid w:val="00881826"/>
    <w:rsid w:val="0088189E"/>
    <w:rsid w:val="00881A56"/>
    <w:rsid w:val="00881DE2"/>
    <w:rsid w:val="008820E7"/>
    <w:rsid w:val="0088226C"/>
    <w:rsid w:val="00882427"/>
    <w:rsid w:val="00882486"/>
    <w:rsid w:val="00882644"/>
    <w:rsid w:val="0088265C"/>
    <w:rsid w:val="00882739"/>
    <w:rsid w:val="008827ED"/>
    <w:rsid w:val="00882C07"/>
    <w:rsid w:val="00882DCC"/>
    <w:rsid w:val="00882EDB"/>
    <w:rsid w:val="008830FB"/>
    <w:rsid w:val="00883DF6"/>
    <w:rsid w:val="00883F4A"/>
    <w:rsid w:val="00883FEF"/>
    <w:rsid w:val="00884110"/>
    <w:rsid w:val="008847DB"/>
    <w:rsid w:val="008848CF"/>
    <w:rsid w:val="0088495D"/>
    <w:rsid w:val="00884AF9"/>
    <w:rsid w:val="00885141"/>
    <w:rsid w:val="00885160"/>
    <w:rsid w:val="008851D4"/>
    <w:rsid w:val="0088535E"/>
    <w:rsid w:val="00885581"/>
    <w:rsid w:val="00885708"/>
    <w:rsid w:val="00885A5E"/>
    <w:rsid w:val="00885AF7"/>
    <w:rsid w:val="00885E0A"/>
    <w:rsid w:val="00885EE7"/>
    <w:rsid w:val="0088678C"/>
    <w:rsid w:val="008867DA"/>
    <w:rsid w:val="00886A56"/>
    <w:rsid w:val="00886DD4"/>
    <w:rsid w:val="00886E40"/>
    <w:rsid w:val="0088717E"/>
    <w:rsid w:val="00887207"/>
    <w:rsid w:val="008872F8"/>
    <w:rsid w:val="0088730F"/>
    <w:rsid w:val="0088771B"/>
    <w:rsid w:val="00887A71"/>
    <w:rsid w:val="00887C73"/>
    <w:rsid w:val="00887CDB"/>
    <w:rsid w:val="00887EFD"/>
    <w:rsid w:val="00890067"/>
    <w:rsid w:val="008906CF"/>
    <w:rsid w:val="00890845"/>
    <w:rsid w:val="008908AE"/>
    <w:rsid w:val="00890946"/>
    <w:rsid w:val="00890C4A"/>
    <w:rsid w:val="00890E18"/>
    <w:rsid w:val="00890EFB"/>
    <w:rsid w:val="00891DDC"/>
    <w:rsid w:val="00891E0C"/>
    <w:rsid w:val="00891E86"/>
    <w:rsid w:val="00891F62"/>
    <w:rsid w:val="0089213B"/>
    <w:rsid w:val="00892837"/>
    <w:rsid w:val="00893051"/>
    <w:rsid w:val="0089311D"/>
    <w:rsid w:val="0089315F"/>
    <w:rsid w:val="008934E9"/>
    <w:rsid w:val="0089360B"/>
    <w:rsid w:val="00893885"/>
    <w:rsid w:val="0089397D"/>
    <w:rsid w:val="00893A0F"/>
    <w:rsid w:val="00893AF8"/>
    <w:rsid w:val="00893B93"/>
    <w:rsid w:val="00893BA0"/>
    <w:rsid w:val="00893BD6"/>
    <w:rsid w:val="00893CCD"/>
    <w:rsid w:val="00893E0C"/>
    <w:rsid w:val="00893FCC"/>
    <w:rsid w:val="00894258"/>
    <w:rsid w:val="00894608"/>
    <w:rsid w:val="0089479F"/>
    <w:rsid w:val="00894C39"/>
    <w:rsid w:val="00894ED0"/>
    <w:rsid w:val="00894FA5"/>
    <w:rsid w:val="00894FF1"/>
    <w:rsid w:val="00895235"/>
    <w:rsid w:val="008952C7"/>
    <w:rsid w:val="0089532E"/>
    <w:rsid w:val="00895344"/>
    <w:rsid w:val="008959F2"/>
    <w:rsid w:val="00895A3D"/>
    <w:rsid w:val="00895C1C"/>
    <w:rsid w:val="00895D1C"/>
    <w:rsid w:val="00895F94"/>
    <w:rsid w:val="00895FEE"/>
    <w:rsid w:val="00896300"/>
    <w:rsid w:val="00896A25"/>
    <w:rsid w:val="00896A65"/>
    <w:rsid w:val="00896A71"/>
    <w:rsid w:val="00896B7F"/>
    <w:rsid w:val="008976B2"/>
    <w:rsid w:val="00897704"/>
    <w:rsid w:val="008979E3"/>
    <w:rsid w:val="00897B29"/>
    <w:rsid w:val="00897EDD"/>
    <w:rsid w:val="008A043E"/>
    <w:rsid w:val="008A0676"/>
    <w:rsid w:val="008A0C8C"/>
    <w:rsid w:val="008A0F5F"/>
    <w:rsid w:val="008A0FA5"/>
    <w:rsid w:val="008A11E3"/>
    <w:rsid w:val="008A140C"/>
    <w:rsid w:val="008A140E"/>
    <w:rsid w:val="008A1930"/>
    <w:rsid w:val="008A1D33"/>
    <w:rsid w:val="008A20E5"/>
    <w:rsid w:val="008A2C2B"/>
    <w:rsid w:val="008A37AB"/>
    <w:rsid w:val="008A391B"/>
    <w:rsid w:val="008A39A6"/>
    <w:rsid w:val="008A3CBD"/>
    <w:rsid w:val="008A3DDB"/>
    <w:rsid w:val="008A3FAD"/>
    <w:rsid w:val="008A41EA"/>
    <w:rsid w:val="008A42A5"/>
    <w:rsid w:val="008A4606"/>
    <w:rsid w:val="008A48CD"/>
    <w:rsid w:val="008A4948"/>
    <w:rsid w:val="008A4B29"/>
    <w:rsid w:val="008A4B89"/>
    <w:rsid w:val="008A4CD7"/>
    <w:rsid w:val="008A4DB8"/>
    <w:rsid w:val="008A4DEE"/>
    <w:rsid w:val="008A5088"/>
    <w:rsid w:val="008A50B0"/>
    <w:rsid w:val="008A512F"/>
    <w:rsid w:val="008A51A2"/>
    <w:rsid w:val="008A53D9"/>
    <w:rsid w:val="008A53E5"/>
    <w:rsid w:val="008A5648"/>
    <w:rsid w:val="008A5917"/>
    <w:rsid w:val="008A5923"/>
    <w:rsid w:val="008A5A20"/>
    <w:rsid w:val="008A5A7F"/>
    <w:rsid w:val="008A5EDC"/>
    <w:rsid w:val="008A5F3E"/>
    <w:rsid w:val="008A5FE2"/>
    <w:rsid w:val="008A6016"/>
    <w:rsid w:val="008A6211"/>
    <w:rsid w:val="008A62B4"/>
    <w:rsid w:val="008A6627"/>
    <w:rsid w:val="008A671A"/>
    <w:rsid w:val="008A6B8C"/>
    <w:rsid w:val="008A6C2A"/>
    <w:rsid w:val="008A6EEB"/>
    <w:rsid w:val="008A7144"/>
    <w:rsid w:val="008A774A"/>
    <w:rsid w:val="008A77CC"/>
    <w:rsid w:val="008A7B94"/>
    <w:rsid w:val="008A7CC8"/>
    <w:rsid w:val="008B0328"/>
    <w:rsid w:val="008B0749"/>
    <w:rsid w:val="008B0A63"/>
    <w:rsid w:val="008B0D71"/>
    <w:rsid w:val="008B0F07"/>
    <w:rsid w:val="008B1124"/>
    <w:rsid w:val="008B1158"/>
    <w:rsid w:val="008B1194"/>
    <w:rsid w:val="008B1396"/>
    <w:rsid w:val="008B15C1"/>
    <w:rsid w:val="008B1832"/>
    <w:rsid w:val="008B185D"/>
    <w:rsid w:val="008B18A1"/>
    <w:rsid w:val="008B1A4D"/>
    <w:rsid w:val="008B1E41"/>
    <w:rsid w:val="008B217B"/>
    <w:rsid w:val="008B2303"/>
    <w:rsid w:val="008B241D"/>
    <w:rsid w:val="008B24C4"/>
    <w:rsid w:val="008B27AC"/>
    <w:rsid w:val="008B27C6"/>
    <w:rsid w:val="008B2EE9"/>
    <w:rsid w:val="008B2F2F"/>
    <w:rsid w:val="008B3367"/>
    <w:rsid w:val="008B388C"/>
    <w:rsid w:val="008B3E11"/>
    <w:rsid w:val="008B3ECC"/>
    <w:rsid w:val="008B3F30"/>
    <w:rsid w:val="008B4517"/>
    <w:rsid w:val="008B49CE"/>
    <w:rsid w:val="008B4F57"/>
    <w:rsid w:val="008B4FF3"/>
    <w:rsid w:val="008B5050"/>
    <w:rsid w:val="008B5424"/>
    <w:rsid w:val="008B56B1"/>
    <w:rsid w:val="008B56F8"/>
    <w:rsid w:val="008B57AE"/>
    <w:rsid w:val="008B58CC"/>
    <w:rsid w:val="008B5B1A"/>
    <w:rsid w:val="008B5C9D"/>
    <w:rsid w:val="008B5E21"/>
    <w:rsid w:val="008B5E73"/>
    <w:rsid w:val="008B6232"/>
    <w:rsid w:val="008B65FE"/>
    <w:rsid w:val="008B680C"/>
    <w:rsid w:val="008B6A9F"/>
    <w:rsid w:val="008B6D6B"/>
    <w:rsid w:val="008B70FB"/>
    <w:rsid w:val="008B7178"/>
    <w:rsid w:val="008B726D"/>
    <w:rsid w:val="008B7AC7"/>
    <w:rsid w:val="008B7B64"/>
    <w:rsid w:val="008B7D4B"/>
    <w:rsid w:val="008B7F58"/>
    <w:rsid w:val="008C00B0"/>
    <w:rsid w:val="008C0416"/>
    <w:rsid w:val="008C0A05"/>
    <w:rsid w:val="008C0B63"/>
    <w:rsid w:val="008C0EA9"/>
    <w:rsid w:val="008C0EB7"/>
    <w:rsid w:val="008C120F"/>
    <w:rsid w:val="008C157E"/>
    <w:rsid w:val="008C1792"/>
    <w:rsid w:val="008C1C15"/>
    <w:rsid w:val="008C20E2"/>
    <w:rsid w:val="008C214D"/>
    <w:rsid w:val="008C22FD"/>
    <w:rsid w:val="008C231B"/>
    <w:rsid w:val="008C25AF"/>
    <w:rsid w:val="008C2B47"/>
    <w:rsid w:val="008C2F46"/>
    <w:rsid w:val="008C2FAB"/>
    <w:rsid w:val="008C324E"/>
    <w:rsid w:val="008C3271"/>
    <w:rsid w:val="008C3836"/>
    <w:rsid w:val="008C3B14"/>
    <w:rsid w:val="008C3C12"/>
    <w:rsid w:val="008C3E30"/>
    <w:rsid w:val="008C40B9"/>
    <w:rsid w:val="008C4743"/>
    <w:rsid w:val="008C4960"/>
    <w:rsid w:val="008C4B9F"/>
    <w:rsid w:val="008C4BAA"/>
    <w:rsid w:val="008C4CD7"/>
    <w:rsid w:val="008C4D69"/>
    <w:rsid w:val="008C50AE"/>
    <w:rsid w:val="008C5221"/>
    <w:rsid w:val="008C5466"/>
    <w:rsid w:val="008C54C8"/>
    <w:rsid w:val="008C54FB"/>
    <w:rsid w:val="008C5815"/>
    <w:rsid w:val="008C59D5"/>
    <w:rsid w:val="008C5BA5"/>
    <w:rsid w:val="008C5BB4"/>
    <w:rsid w:val="008C5E64"/>
    <w:rsid w:val="008C644E"/>
    <w:rsid w:val="008C6676"/>
    <w:rsid w:val="008C6856"/>
    <w:rsid w:val="008C691B"/>
    <w:rsid w:val="008C692F"/>
    <w:rsid w:val="008C6AB3"/>
    <w:rsid w:val="008C6E66"/>
    <w:rsid w:val="008C715F"/>
    <w:rsid w:val="008C7266"/>
    <w:rsid w:val="008C7309"/>
    <w:rsid w:val="008C792B"/>
    <w:rsid w:val="008C7E03"/>
    <w:rsid w:val="008C7F95"/>
    <w:rsid w:val="008C7FA5"/>
    <w:rsid w:val="008C7FDE"/>
    <w:rsid w:val="008C7FF2"/>
    <w:rsid w:val="008D0052"/>
    <w:rsid w:val="008D0083"/>
    <w:rsid w:val="008D0160"/>
    <w:rsid w:val="008D06F6"/>
    <w:rsid w:val="008D0769"/>
    <w:rsid w:val="008D098A"/>
    <w:rsid w:val="008D0A16"/>
    <w:rsid w:val="008D0C91"/>
    <w:rsid w:val="008D0CA9"/>
    <w:rsid w:val="008D13FB"/>
    <w:rsid w:val="008D1424"/>
    <w:rsid w:val="008D172B"/>
    <w:rsid w:val="008D17E0"/>
    <w:rsid w:val="008D17EA"/>
    <w:rsid w:val="008D1C36"/>
    <w:rsid w:val="008D1F03"/>
    <w:rsid w:val="008D218D"/>
    <w:rsid w:val="008D25FB"/>
    <w:rsid w:val="008D2657"/>
    <w:rsid w:val="008D268B"/>
    <w:rsid w:val="008D2AC5"/>
    <w:rsid w:val="008D2C1F"/>
    <w:rsid w:val="008D3471"/>
    <w:rsid w:val="008D34A6"/>
    <w:rsid w:val="008D37AF"/>
    <w:rsid w:val="008D3D31"/>
    <w:rsid w:val="008D3F4C"/>
    <w:rsid w:val="008D40C1"/>
    <w:rsid w:val="008D4444"/>
    <w:rsid w:val="008D4498"/>
    <w:rsid w:val="008D45BC"/>
    <w:rsid w:val="008D45FC"/>
    <w:rsid w:val="008D4BDF"/>
    <w:rsid w:val="008D4E96"/>
    <w:rsid w:val="008D501B"/>
    <w:rsid w:val="008D5189"/>
    <w:rsid w:val="008D55BE"/>
    <w:rsid w:val="008D56E6"/>
    <w:rsid w:val="008D5924"/>
    <w:rsid w:val="008D61EF"/>
    <w:rsid w:val="008D6621"/>
    <w:rsid w:val="008D6892"/>
    <w:rsid w:val="008D6936"/>
    <w:rsid w:val="008D6EAC"/>
    <w:rsid w:val="008D6EEE"/>
    <w:rsid w:val="008D7031"/>
    <w:rsid w:val="008D7535"/>
    <w:rsid w:val="008D7593"/>
    <w:rsid w:val="008D78BA"/>
    <w:rsid w:val="008D7BFE"/>
    <w:rsid w:val="008D7E22"/>
    <w:rsid w:val="008E020E"/>
    <w:rsid w:val="008E025B"/>
    <w:rsid w:val="008E05B7"/>
    <w:rsid w:val="008E0626"/>
    <w:rsid w:val="008E08F5"/>
    <w:rsid w:val="008E0944"/>
    <w:rsid w:val="008E097B"/>
    <w:rsid w:val="008E0BDA"/>
    <w:rsid w:val="008E0F5A"/>
    <w:rsid w:val="008E1150"/>
    <w:rsid w:val="008E11EB"/>
    <w:rsid w:val="008E146D"/>
    <w:rsid w:val="008E14D9"/>
    <w:rsid w:val="008E151F"/>
    <w:rsid w:val="008E1964"/>
    <w:rsid w:val="008E1980"/>
    <w:rsid w:val="008E1A08"/>
    <w:rsid w:val="008E1E8C"/>
    <w:rsid w:val="008E1E99"/>
    <w:rsid w:val="008E1F24"/>
    <w:rsid w:val="008E2041"/>
    <w:rsid w:val="008E2539"/>
    <w:rsid w:val="008E25BB"/>
    <w:rsid w:val="008E2828"/>
    <w:rsid w:val="008E2BF4"/>
    <w:rsid w:val="008E33EC"/>
    <w:rsid w:val="008E3A14"/>
    <w:rsid w:val="008E3B32"/>
    <w:rsid w:val="008E3CCC"/>
    <w:rsid w:val="008E3CF6"/>
    <w:rsid w:val="008E40FB"/>
    <w:rsid w:val="008E42C3"/>
    <w:rsid w:val="008E4628"/>
    <w:rsid w:val="008E47F4"/>
    <w:rsid w:val="008E4B69"/>
    <w:rsid w:val="008E4CD4"/>
    <w:rsid w:val="008E4CDA"/>
    <w:rsid w:val="008E4E40"/>
    <w:rsid w:val="008E500F"/>
    <w:rsid w:val="008E5016"/>
    <w:rsid w:val="008E5247"/>
    <w:rsid w:val="008E5344"/>
    <w:rsid w:val="008E538A"/>
    <w:rsid w:val="008E579D"/>
    <w:rsid w:val="008E5975"/>
    <w:rsid w:val="008E5A13"/>
    <w:rsid w:val="008E5ADD"/>
    <w:rsid w:val="008E5AF1"/>
    <w:rsid w:val="008E5B34"/>
    <w:rsid w:val="008E5C1E"/>
    <w:rsid w:val="008E5D7B"/>
    <w:rsid w:val="008E5E49"/>
    <w:rsid w:val="008E5F11"/>
    <w:rsid w:val="008E6152"/>
    <w:rsid w:val="008E62B3"/>
    <w:rsid w:val="008E686B"/>
    <w:rsid w:val="008E6AD9"/>
    <w:rsid w:val="008E6BDA"/>
    <w:rsid w:val="008E6E33"/>
    <w:rsid w:val="008E70C0"/>
    <w:rsid w:val="008E743C"/>
    <w:rsid w:val="008E74D9"/>
    <w:rsid w:val="008E7787"/>
    <w:rsid w:val="008E77E2"/>
    <w:rsid w:val="008E7BE3"/>
    <w:rsid w:val="008E7EE9"/>
    <w:rsid w:val="008F006F"/>
    <w:rsid w:val="008F0086"/>
    <w:rsid w:val="008F0251"/>
    <w:rsid w:val="008F053D"/>
    <w:rsid w:val="008F085E"/>
    <w:rsid w:val="008F0A77"/>
    <w:rsid w:val="008F0C38"/>
    <w:rsid w:val="008F0EBC"/>
    <w:rsid w:val="008F0FF7"/>
    <w:rsid w:val="008F12CF"/>
    <w:rsid w:val="008F1398"/>
    <w:rsid w:val="008F139F"/>
    <w:rsid w:val="008F13F8"/>
    <w:rsid w:val="008F144B"/>
    <w:rsid w:val="008F1465"/>
    <w:rsid w:val="008F1466"/>
    <w:rsid w:val="008F169F"/>
    <w:rsid w:val="008F16C0"/>
    <w:rsid w:val="008F17BC"/>
    <w:rsid w:val="008F191D"/>
    <w:rsid w:val="008F20C8"/>
    <w:rsid w:val="008F24BD"/>
    <w:rsid w:val="008F26A4"/>
    <w:rsid w:val="008F28AB"/>
    <w:rsid w:val="008F29A6"/>
    <w:rsid w:val="008F2AA3"/>
    <w:rsid w:val="008F2B07"/>
    <w:rsid w:val="008F2C75"/>
    <w:rsid w:val="008F3014"/>
    <w:rsid w:val="008F33B3"/>
    <w:rsid w:val="008F33DC"/>
    <w:rsid w:val="008F33E7"/>
    <w:rsid w:val="008F364E"/>
    <w:rsid w:val="008F36FE"/>
    <w:rsid w:val="008F3819"/>
    <w:rsid w:val="008F397A"/>
    <w:rsid w:val="008F3A59"/>
    <w:rsid w:val="008F3ACF"/>
    <w:rsid w:val="008F3BB2"/>
    <w:rsid w:val="008F405A"/>
    <w:rsid w:val="008F40FD"/>
    <w:rsid w:val="008F4460"/>
    <w:rsid w:val="008F45AE"/>
    <w:rsid w:val="008F4645"/>
    <w:rsid w:val="008F4765"/>
    <w:rsid w:val="008F47B5"/>
    <w:rsid w:val="008F4BE9"/>
    <w:rsid w:val="008F4C39"/>
    <w:rsid w:val="008F4CB8"/>
    <w:rsid w:val="008F4F57"/>
    <w:rsid w:val="008F5191"/>
    <w:rsid w:val="008F5205"/>
    <w:rsid w:val="008F5717"/>
    <w:rsid w:val="008F588D"/>
    <w:rsid w:val="008F5BDA"/>
    <w:rsid w:val="008F5ECD"/>
    <w:rsid w:val="008F60A5"/>
    <w:rsid w:val="008F60A6"/>
    <w:rsid w:val="008F60F8"/>
    <w:rsid w:val="008F614A"/>
    <w:rsid w:val="008F6196"/>
    <w:rsid w:val="008F6818"/>
    <w:rsid w:val="008F6A3D"/>
    <w:rsid w:val="008F6AEA"/>
    <w:rsid w:val="008F6C4A"/>
    <w:rsid w:val="008F6D03"/>
    <w:rsid w:val="008F6DE5"/>
    <w:rsid w:val="008F7144"/>
    <w:rsid w:val="008F7184"/>
    <w:rsid w:val="008F766B"/>
    <w:rsid w:val="008F793E"/>
    <w:rsid w:val="008F7AC2"/>
    <w:rsid w:val="008F7BBB"/>
    <w:rsid w:val="008F7E97"/>
    <w:rsid w:val="008F7F27"/>
    <w:rsid w:val="00900046"/>
    <w:rsid w:val="00900168"/>
    <w:rsid w:val="009005E5"/>
    <w:rsid w:val="0090073E"/>
    <w:rsid w:val="00900770"/>
    <w:rsid w:val="00900918"/>
    <w:rsid w:val="009009C1"/>
    <w:rsid w:val="00900A6F"/>
    <w:rsid w:val="00900F2D"/>
    <w:rsid w:val="00900FBF"/>
    <w:rsid w:val="00900FEF"/>
    <w:rsid w:val="00901498"/>
    <w:rsid w:val="009015BE"/>
    <w:rsid w:val="00901865"/>
    <w:rsid w:val="00901BCD"/>
    <w:rsid w:val="00901C7F"/>
    <w:rsid w:val="00901E7D"/>
    <w:rsid w:val="00901ED3"/>
    <w:rsid w:val="009020BA"/>
    <w:rsid w:val="009022AD"/>
    <w:rsid w:val="00902380"/>
    <w:rsid w:val="00902740"/>
    <w:rsid w:val="00902833"/>
    <w:rsid w:val="0090322B"/>
    <w:rsid w:val="0090357D"/>
    <w:rsid w:val="009038BE"/>
    <w:rsid w:val="009038C1"/>
    <w:rsid w:val="009038F2"/>
    <w:rsid w:val="00903BA8"/>
    <w:rsid w:val="00903CD9"/>
    <w:rsid w:val="00903E4C"/>
    <w:rsid w:val="00903FE5"/>
    <w:rsid w:val="0090400C"/>
    <w:rsid w:val="0090401E"/>
    <w:rsid w:val="00904280"/>
    <w:rsid w:val="009048D5"/>
    <w:rsid w:val="00904A9A"/>
    <w:rsid w:val="00904FE9"/>
    <w:rsid w:val="0090514F"/>
    <w:rsid w:val="009052F2"/>
    <w:rsid w:val="009053BB"/>
    <w:rsid w:val="009055E0"/>
    <w:rsid w:val="00905601"/>
    <w:rsid w:val="00905695"/>
    <w:rsid w:val="009058BA"/>
    <w:rsid w:val="009058EA"/>
    <w:rsid w:val="009059A0"/>
    <w:rsid w:val="009059B5"/>
    <w:rsid w:val="00905AC2"/>
    <w:rsid w:val="0090643E"/>
    <w:rsid w:val="009064B3"/>
    <w:rsid w:val="0090672C"/>
    <w:rsid w:val="00906FB9"/>
    <w:rsid w:val="00907227"/>
    <w:rsid w:val="00907334"/>
    <w:rsid w:val="00907387"/>
    <w:rsid w:val="009073FF"/>
    <w:rsid w:val="0090763B"/>
    <w:rsid w:val="0090774C"/>
    <w:rsid w:val="00907C64"/>
    <w:rsid w:val="00907EF9"/>
    <w:rsid w:val="00910238"/>
    <w:rsid w:val="0091046D"/>
    <w:rsid w:val="00910734"/>
    <w:rsid w:val="009107D4"/>
    <w:rsid w:val="00910A88"/>
    <w:rsid w:val="00910F12"/>
    <w:rsid w:val="009114CA"/>
    <w:rsid w:val="009114DF"/>
    <w:rsid w:val="0091172E"/>
    <w:rsid w:val="009119E0"/>
    <w:rsid w:val="00911CAF"/>
    <w:rsid w:val="00911FA6"/>
    <w:rsid w:val="0091233F"/>
    <w:rsid w:val="009123C2"/>
    <w:rsid w:val="009125FE"/>
    <w:rsid w:val="009129E9"/>
    <w:rsid w:val="00912BC1"/>
    <w:rsid w:val="00912BE6"/>
    <w:rsid w:val="00913000"/>
    <w:rsid w:val="00913175"/>
    <w:rsid w:val="00913946"/>
    <w:rsid w:val="009139FA"/>
    <w:rsid w:val="00913DB2"/>
    <w:rsid w:val="00913E1B"/>
    <w:rsid w:val="00913F8E"/>
    <w:rsid w:val="0091446A"/>
    <w:rsid w:val="0091454D"/>
    <w:rsid w:val="00914645"/>
    <w:rsid w:val="00914C15"/>
    <w:rsid w:val="00914C4A"/>
    <w:rsid w:val="00914DD1"/>
    <w:rsid w:val="00914F10"/>
    <w:rsid w:val="009153F6"/>
    <w:rsid w:val="00915523"/>
    <w:rsid w:val="00915642"/>
    <w:rsid w:val="00915B90"/>
    <w:rsid w:val="00915BA2"/>
    <w:rsid w:val="00915E0F"/>
    <w:rsid w:val="00916218"/>
    <w:rsid w:val="00916409"/>
    <w:rsid w:val="009167E4"/>
    <w:rsid w:val="00916999"/>
    <w:rsid w:val="009169C4"/>
    <w:rsid w:val="00916BD3"/>
    <w:rsid w:val="009171AD"/>
    <w:rsid w:val="009177FD"/>
    <w:rsid w:val="00917961"/>
    <w:rsid w:val="00917A56"/>
    <w:rsid w:val="00917B60"/>
    <w:rsid w:val="009200CD"/>
    <w:rsid w:val="009209D4"/>
    <w:rsid w:val="00920B23"/>
    <w:rsid w:val="00920D84"/>
    <w:rsid w:val="00921039"/>
    <w:rsid w:val="00921586"/>
    <w:rsid w:val="00921B1C"/>
    <w:rsid w:val="00921C94"/>
    <w:rsid w:val="0092209F"/>
    <w:rsid w:val="0092225B"/>
    <w:rsid w:val="00922642"/>
    <w:rsid w:val="00922776"/>
    <w:rsid w:val="00922F81"/>
    <w:rsid w:val="00922FAD"/>
    <w:rsid w:val="0092302E"/>
    <w:rsid w:val="0092315B"/>
    <w:rsid w:val="0092319C"/>
    <w:rsid w:val="009235F6"/>
    <w:rsid w:val="0092380B"/>
    <w:rsid w:val="00923861"/>
    <w:rsid w:val="00923ABA"/>
    <w:rsid w:val="00923D09"/>
    <w:rsid w:val="00923D8D"/>
    <w:rsid w:val="0092453F"/>
    <w:rsid w:val="009246AF"/>
    <w:rsid w:val="00924AB8"/>
    <w:rsid w:val="00924F30"/>
    <w:rsid w:val="00925001"/>
    <w:rsid w:val="009251A8"/>
    <w:rsid w:val="009255CA"/>
    <w:rsid w:val="0092595A"/>
    <w:rsid w:val="00925AB4"/>
    <w:rsid w:val="00925BD2"/>
    <w:rsid w:val="00925CA1"/>
    <w:rsid w:val="00925FA5"/>
    <w:rsid w:val="00925FAA"/>
    <w:rsid w:val="00925FC2"/>
    <w:rsid w:val="00926094"/>
    <w:rsid w:val="0092614D"/>
    <w:rsid w:val="00926301"/>
    <w:rsid w:val="009263C4"/>
    <w:rsid w:val="00926503"/>
    <w:rsid w:val="00926AC6"/>
    <w:rsid w:val="00926C22"/>
    <w:rsid w:val="00926DDC"/>
    <w:rsid w:val="00926E8D"/>
    <w:rsid w:val="00926F19"/>
    <w:rsid w:val="009272DF"/>
    <w:rsid w:val="009274AF"/>
    <w:rsid w:val="00927528"/>
    <w:rsid w:val="0092766E"/>
    <w:rsid w:val="009276D3"/>
    <w:rsid w:val="009278F1"/>
    <w:rsid w:val="00927A73"/>
    <w:rsid w:val="00927D9A"/>
    <w:rsid w:val="00927E8A"/>
    <w:rsid w:val="00927FFB"/>
    <w:rsid w:val="009306D0"/>
    <w:rsid w:val="00930A29"/>
    <w:rsid w:val="00930ECF"/>
    <w:rsid w:val="009310C0"/>
    <w:rsid w:val="009312E0"/>
    <w:rsid w:val="00931323"/>
    <w:rsid w:val="00931770"/>
    <w:rsid w:val="00931A9D"/>
    <w:rsid w:val="00931CBE"/>
    <w:rsid w:val="0093203A"/>
    <w:rsid w:val="009323DF"/>
    <w:rsid w:val="0093251C"/>
    <w:rsid w:val="00932581"/>
    <w:rsid w:val="00932778"/>
    <w:rsid w:val="00932A7A"/>
    <w:rsid w:val="00932A98"/>
    <w:rsid w:val="00932D80"/>
    <w:rsid w:val="00932E26"/>
    <w:rsid w:val="009333D2"/>
    <w:rsid w:val="00933534"/>
    <w:rsid w:val="009335DB"/>
    <w:rsid w:val="0093368A"/>
    <w:rsid w:val="009339D1"/>
    <w:rsid w:val="00933A77"/>
    <w:rsid w:val="00933C1C"/>
    <w:rsid w:val="009342F8"/>
    <w:rsid w:val="0093445F"/>
    <w:rsid w:val="00934646"/>
    <w:rsid w:val="009346BF"/>
    <w:rsid w:val="00934730"/>
    <w:rsid w:val="00934AF4"/>
    <w:rsid w:val="00934CDC"/>
    <w:rsid w:val="00934EFD"/>
    <w:rsid w:val="009355A4"/>
    <w:rsid w:val="009355CF"/>
    <w:rsid w:val="009356E3"/>
    <w:rsid w:val="00935932"/>
    <w:rsid w:val="00935AEA"/>
    <w:rsid w:val="00935E56"/>
    <w:rsid w:val="00935FED"/>
    <w:rsid w:val="0093611C"/>
    <w:rsid w:val="009367E8"/>
    <w:rsid w:val="00936872"/>
    <w:rsid w:val="009368D1"/>
    <w:rsid w:val="00936BAC"/>
    <w:rsid w:val="0093702A"/>
    <w:rsid w:val="009371B7"/>
    <w:rsid w:val="00937474"/>
    <w:rsid w:val="00937A12"/>
    <w:rsid w:val="00937BE2"/>
    <w:rsid w:val="00937F89"/>
    <w:rsid w:val="00940316"/>
    <w:rsid w:val="00940384"/>
    <w:rsid w:val="00940778"/>
    <w:rsid w:val="0094093E"/>
    <w:rsid w:val="00940E8C"/>
    <w:rsid w:val="00940F21"/>
    <w:rsid w:val="00940F53"/>
    <w:rsid w:val="00940F96"/>
    <w:rsid w:val="00941141"/>
    <w:rsid w:val="0094124F"/>
    <w:rsid w:val="009415EB"/>
    <w:rsid w:val="0094173E"/>
    <w:rsid w:val="009417D1"/>
    <w:rsid w:val="00941804"/>
    <w:rsid w:val="00941969"/>
    <w:rsid w:val="00941B1C"/>
    <w:rsid w:val="00941B2F"/>
    <w:rsid w:val="00941B39"/>
    <w:rsid w:val="00941B4A"/>
    <w:rsid w:val="00941D8C"/>
    <w:rsid w:val="00942034"/>
    <w:rsid w:val="00942361"/>
    <w:rsid w:val="0094245D"/>
    <w:rsid w:val="00942800"/>
    <w:rsid w:val="00942D4E"/>
    <w:rsid w:val="00942DDB"/>
    <w:rsid w:val="00943226"/>
    <w:rsid w:val="0094370E"/>
    <w:rsid w:val="0094374E"/>
    <w:rsid w:val="00943779"/>
    <w:rsid w:val="009439A0"/>
    <w:rsid w:val="00943A25"/>
    <w:rsid w:val="00943B1C"/>
    <w:rsid w:val="00943B44"/>
    <w:rsid w:val="00943F6F"/>
    <w:rsid w:val="0094420A"/>
    <w:rsid w:val="0094424C"/>
    <w:rsid w:val="009443E0"/>
    <w:rsid w:val="009449E4"/>
    <w:rsid w:val="00944B05"/>
    <w:rsid w:val="00944E20"/>
    <w:rsid w:val="00944FA3"/>
    <w:rsid w:val="00945034"/>
    <w:rsid w:val="0094571A"/>
    <w:rsid w:val="00945B62"/>
    <w:rsid w:val="00945C30"/>
    <w:rsid w:val="00945C4C"/>
    <w:rsid w:val="00945D40"/>
    <w:rsid w:val="00945E98"/>
    <w:rsid w:val="00945EC6"/>
    <w:rsid w:val="00945F7B"/>
    <w:rsid w:val="009462EC"/>
    <w:rsid w:val="00946414"/>
    <w:rsid w:val="0094688E"/>
    <w:rsid w:val="00946A35"/>
    <w:rsid w:val="009470FF"/>
    <w:rsid w:val="009471FE"/>
    <w:rsid w:val="009475DF"/>
    <w:rsid w:val="009478A4"/>
    <w:rsid w:val="00947C2A"/>
    <w:rsid w:val="00947C2E"/>
    <w:rsid w:val="00947D1E"/>
    <w:rsid w:val="00947DD8"/>
    <w:rsid w:val="00947E43"/>
    <w:rsid w:val="00947F99"/>
    <w:rsid w:val="00950297"/>
    <w:rsid w:val="0095036E"/>
    <w:rsid w:val="009505A9"/>
    <w:rsid w:val="009506DC"/>
    <w:rsid w:val="00950A1B"/>
    <w:rsid w:val="00950AC9"/>
    <w:rsid w:val="00950C0E"/>
    <w:rsid w:val="00950D23"/>
    <w:rsid w:val="00950D6F"/>
    <w:rsid w:val="00950DA1"/>
    <w:rsid w:val="00950EA1"/>
    <w:rsid w:val="0095113F"/>
    <w:rsid w:val="0095150A"/>
    <w:rsid w:val="00951A49"/>
    <w:rsid w:val="00951BC1"/>
    <w:rsid w:val="00951C00"/>
    <w:rsid w:val="00951EB7"/>
    <w:rsid w:val="00951F33"/>
    <w:rsid w:val="009527D9"/>
    <w:rsid w:val="00952854"/>
    <w:rsid w:val="009529BF"/>
    <w:rsid w:val="00952CAC"/>
    <w:rsid w:val="00952E65"/>
    <w:rsid w:val="00952F55"/>
    <w:rsid w:val="00952FAA"/>
    <w:rsid w:val="0095356C"/>
    <w:rsid w:val="009538EF"/>
    <w:rsid w:val="00953BDF"/>
    <w:rsid w:val="00953FAA"/>
    <w:rsid w:val="0095486A"/>
    <w:rsid w:val="00954C29"/>
    <w:rsid w:val="00954EA8"/>
    <w:rsid w:val="00955302"/>
    <w:rsid w:val="00955927"/>
    <w:rsid w:val="00955930"/>
    <w:rsid w:val="00955C51"/>
    <w:rsid w:val="00955CB8"/>
    <w:rsid w:val="00955D49"/>
    <w:rsid w:val="00955E10"/>
    <w:rsid w:val="009560E6"/>
    <w:rsid w:val="00956207"/>
    <w:rsid w:val="0095623C"/>
    <w:rsid w:val="009562DE"/>
    <w:rsid w:val="009566B6"/>
    <w:rsid w:val="0095686F"/>
    <w:rsid w:val="009569B6"/>
    <w:rsid w:val="00956AA2"/>
    <w:rsid w:val="00956CB5"/>
    <w:rsid w:val="00957088"/>
    <w:rsid w:val="009573A2"/>
    <w:rsid w:val="0095740B"/>
    <w:rsid w:val="0095744B"/>
    <w:rsid w:val="0095755B"/>
    <w:rsid w:val="00957755"/>
    <w:rsid w:val="009577F6"/>
    <w:rsid w:val="00957B8E"/>
    <w:rsid w:val="00957D44"/>
    <w:rsid w:val="00957F8F"/>
    <w:rsid w:val="00957FF1"/>
    <w:rsid w:val="00960448"/>
    <w:rsid w:val="00960536"/>
    <w:rsid w:val="009606BF"/>
    <w:rsid w:val="009608D7"/>
    <w:rsid w:val="00960ABD"/>
    <w:rsid w:val="00960B58"/>
    <w:rsid w:val="00960B61"/>
    <w:rsid w:val="00960CD8"/>
    <w:rsid w:val="00960D79"/>
    <w:rsid w:val="00960F28"/>
    <w:rsid w:val="00961081"/>
    <w:rsid w:val="009614D7"/>
    <w:rsid w:val="00961521"/>
    <w:rsid w:val="0096162F"/>
    <w:rsid w:val="0096168B"/>
    <w:rsid w:val="0096180D"/>
    <w:rsid w:val="0096193F"/>
    <w:rsid w:val="00961940"/>
    <w:rsid w:val="00961E69"/>
    <w:rsid w:val="009620AA"/>
    <w:rsid w:val="00962126"/>
    <w:rsid w:val="00962183"/>
    <w:rsid w:val="009622D7"/>
    <w:rsid w:val="0096245D"/>
    <w:rsid w:val="00962628"/>
    <w:rsid w:val="009626FB"/>
    <w:rsid w:val="0096299E"/>
    <w:rsid w:val="00962BA4"/>
    <w:rsid w:val="00962CEB"/>
    <w:rsid w:val="0096300F"/>
    <w:rsid w:val="0096302B"/>
    <w:rsid w:val="00963295"/>
    <w:rsid w:val="009633BC"/>
    <w:rsid w:val="009633E0"/>
    <w:rsid w:val="009637A9"/>
    <w:rsid w:val="00963914"/>
    <w:rsid w:val="00963A4B"/>
    <w:rsid w:val="00963C80"/>
    <w:rsid w:val="009643D5"/>
    <w:rsid w:val="009648A0"/>
    <w:rsid w:val="00964CF0"/>
    <w:rsid w:val="00964D43"/>
    <w:rsid w:val="009658A5"/>
    <w:rsid w:val="00965C89"/>
    <w:rsid w:val="00965CE2"/>
    <w:rsid w:val="00965DB2"/>
    <w:rsid w:val="00965EEE"/>
    <w:rsid w:val="00965F79"/>
    <w:rsid w:val="0096610C"/>
    <w:rsid w:val="0096623F"/>
    <w:rsid w:val="009664C7"/>
    <w:rsid w:val="009665BC"/>
    <w:rsid w:val="009667CB"/>
    <w:rsid w:val="00966909"/>
    <w:rsid w:val="00966AB8"/>
    <w:rsid w:val="00966B20"/>
    <w:rsid w:val="00966D12"/>
    <w:rsid w:val="00966FEA"/>
    <w:rsid w:val="0096704C"/>
    <w:rsid w:val="00967162"/>
    <w:rsid w:val="009675DB"/>
    <w:rsid w:val="009677C6"/>
    <w:rsid w:val="009700C6"/>
    <w:rsid w:val="00970305"/>
    <w:rsid w:val="009703C5"/>
    <w:rsid w:val="00970426"/>
    <w:rsid w:val="00970640"/>
    <w:rsid w:val="00970A72"/>
    <w:rsid w:val="00970D23"/>
    <w:rsid w:val="00970D30"/>
    <w:rsid w:val="0097106A"/>
    <w:rsid w:val="00971077"/>
    <w:rsid w:val="009710D9"/>
    <w:rsid w:val="009710FE"/>
    <w:rsid w:val="009712A0"/>
    <w:rsid w:val="00971337"/>
    <w:rsid w:val="0097136B"/>
    <w:rsid w:val="009713ED"/>
    <w:rsid w:val="009714B0"/>
    <w:rsid w:val="00971622"/>
    <w:rsid w:val="00971772"/>
    <w:rsid w:val="009718FE"/>
    <w:rsid w:val="00971A50"/>
    <w:rsid w:val="00971D06"/>
    <w:rsid w:val="009722BA"/>
    <w:rsid w:val="0097233D"/>
    <w:rsid w:val="009724D7"/>
    <w:rsid w:val="009726DF"/>
    <w:rsid w:val="00972907"/>
    <w:rsid w:val="00972A01"/>
    <w:rsid w:val="00972A2C"/>
    <w:rsid w:val="00972C68"/>
    <w:rsid w:val="00973317"/>
    <w:rsid w:val="00973477"/>
    <w:rsid w:val="0097381B"/>
    <w:rsid w:val="009738C4"/>
    <w:rsid w:val="00973B90"/>
    <w:rsid w:val="00973C3B"/>
    <w:rsid w:val="00973EBE"/>
    <w:rsid w:val="00973F81"/>
    <w:rsid w:val="00974261"/>
    <w:rsid w:val="00974319"/>
    <w:rsid w:val="00974647"/>
    <w:rsid w:val="009747B0"/>
    <w:rsid w:val="009749DB"/>
    <w:rsid w:val="00974A55"/>
    <w:rsid w:val="00974CBE"/>
    <w:rsid w:val="00975311"/>
    <w:rsid w:val="0097534C"/>
    <w:rsid w:val="00975391"/>
    <w:rsid w:val="00975476"/>
    <w:rsid w:val="00975842"/>
    <w:rsid w:val="00975896"/>
    <w:rsid w:val="00975949"/>
    <w:rsid w:val="00975B1A"/>
    <w:rsid w:val="00975C29"/>
    <w:rsid w:val="00975C6D"/>
    <w:rsid w:val="00975D44"/>
    <w:rsid w:val="009760DF"/>
    <w:rsid w:val="0097611A"/>
    <w:rsid w:val="00976330"/>
    <w:rsid w:val="00976D9C"/>
    <w:rsid w:val="00977084"/>
    <w:rsid w:val="00977450"/>
    <w:rsid w:val="0097757C"/>
    <w:rsid w:val="00977A42"/>
    <w:rsid w:val="00977A82"/>
    <w:rsid w:val="00977B59"/>
    <w:rsid w:val="00977D42"/>
    <w:rsid w:val="00977FB6"/>
    <w:rsid w:val="009800E6"/>
    <w:rsid w:val="00980357"/>
    <w:rsid w:val="0098075F"/>
    <w:rsid w:val="009809FD"/>
    <w:rsid w:val="00980B13"/>
    <w:rsid w:val="00980B28"/>
    <w:rsid w:val="00980E8D"/>
    <w:rsid w:val="009812E7"/>
    <w:rsid w:val="0098183A"/>
    <w:rsid w:val="00981EDD"/>
    <w:rsid w:val="009823E7"/>
    <w:rsid w:val="00982401"/>
    <w:rsid w:val="00982851"/>
    <w:rsid w:val="00982911"/>
    <w:rsid w:val="00982A68"/>
    <w:rsid w:val="00982DF4"/>
    <w:rsid w:val="00982EB0"/>
    <w:rsid w:val="00982EE5"/>
    <w:rsid w:val="00983378"/>
    <w:rsid w:val="0098356B"/>
    <w:rsid w:val="00983781"/>
    <w:rsid w:val="009838BC"/>
    <w:rsid w:val="0098393C"/>
    <w:rsid w:val="00983A14"/>
    <w:rsid w:val="00983FBD"/>
    <w:rsid w:val="00984141"/>
    <w:rsid w:val="009845F4"/>
    <w:rsid w:val="009847CD"/>
    <w:rsid w:val="00984AB9"/>
    <w:rsid w:val="00984B37"/>
    <w:rsid w:val="00984B6A"/>
    <w:rsid w:val="00984E1E"/>
    <w:rsid w:val="00984F23"/>
    <w:rsid w:val="009850F2"/>
    <w:rsid w:val="009853EB"/>
    <w:rsid w:val="00985549"/>
    <w:rsid w:val="00985576"/>
    <w:rsid w:val="00985E57"/>
    <w:rsid w:val="00985ECB"/>
    <w:rsid w:val="00985EFD"/>
    <w:rsid w:val="00985F4D"/>
    <w:rsid w:val="009862C6"/>
    <w:rsid w:val="00986444"/>
    <w:rsid w:val="009865BC"/>
    <w:rsid w:val="0098660A"/>
    <w:rsid w:val="009869DE"/>
    <w:rsid w:val="0098700A"/>
    <w:rsid w:val="00987058"/>
    <w:rsid w:val="00987097"/>
    <w:rsid w:val="00987189"/>
    <w:rsid w:val="0099016D"/>
    <w:rsid w:val="0099069B"/>
    <w:rsid w:val="009907DD"/>
    <w:rsid w:val="00990A9D"/>
    <w:rsid w:val="00990AD0"/>
    <w:rsid w:val="00990B2E"/>
    <w:rsid w:val="00990CB1"/>
    <w:rsid w:val="00990DCB"/>
    <w:rsid w:val="0099112D"/>
    <w:rsid w:val="00991153"/>
    <w:rsid w:val="00991207"/>
    <w:rsid w:val="0099159A"/>
    <w:rsid w:val="00991651"/>
    <w:rsid w:val="0099165B"/>
    <w:rsid w:val="009917B3"/>
    <w:rsid w:val="009917EB"/>
    <w:rsid w:val="0099194C"/>
    <w:rsid w:val="00991958"/>
    <w:rsid w:val="009919E3"/>
    <w:rsid w:val="00991A1B"/>
    <w:rsid w:val="00991B28"/>
    <w:rsid w:val="00991BEA"/>
    <w:rsid w:val="00991FCF"/>
    <w:rsid w:val="00992142"/>
    <w:rsid w:val="00992147"/>
    <w:rsid w:val="009922B4"/>
    <w:rsid w:val="009923FA"/>
    <w:rsid w:val="00992430"/>
    <w:rsid w:val="009925DF"/>
    <w:rsid w:val="00992936"/>
    <w:rsid w:val="00992C67"/>
    <w:rsid w:val="00992E0E"/>
    <w:rsid w:val="00992EFA"/>
    <w:rsid w:val="00992FDD"/>
    <w:rsid w:val="0099314D"/>
    <w:rsid w:val="0099318C"/>
    <w:rsid w:val="00993542"/>
    <w:rsid w:val="00993586"/>
    <w:rsid w:val="00993657"/>
    <w:rsid w:val="009938ED"/>
    <w:rsid w:val="00993D7E"/>
    <w:rsid w:val="00993E11"/>
    <w:rsid w:val="00993E82"/>
    <w:rsid w:val="00993F51"/>
    <w:rsid w:val="00994058"/>
    <w:rsid w:val="009945C6"/>
    <w:rsid w:val="009945DC"/>
    <w:rsid w:val="0099465A"/>
    <w:rsid w:val="0099495E"/>
    <w:rsid w:val="00994A05"/>
    <w:rsid w:val="00994AB8"/>
    <w:rsid w:val="00994ED4"/>
    <w:rsid w:val="00994EF7"/>
    <w:rsid w:val="00994FF6"/>
    <w:rsid w:val="00995060"/>
    <w:rsid w:val="00995196"/>
    <w:rsid w:val="009954F5"/>
    <w:rsid w:val="00995581"/>
    <w:rsid w:val="00995584"/>
    <w:rsid w:val="0099581C"/>
    <w:rsid w:val="00995A09"/>
    <w:rsid w:val="00995BF0"/>
    <w:rsid w:val="00995D55"/>
    <w:rsid w:val="00995EFF"/>
    <w:rsid w:val="00995F47"/>
    <w:rsid w:val="00995F9A"/>
    <w:rsid w:val="009960E7"/>
    <w:rsid w:val="00996311"/>
    <w:rsid w:val="0099633A"/>
    <w:rsid w:val="009963D6"/>
    <w:rsid w:val="00996555"/>
    <w:rsid w:val="0099659D"/>
    <w:rsid w:val="00996789"/>
    <w:rsid w:val="009968A6"/>
    <w:rsid w:val="00996AB5"/>
    <w:rsid w:val="0099769E"/>
    <w:rsid w:val="00997B39"/>
    <w:rsid w:val="009A00B8"/>
    <w:rsid w:val="009A00C0"/>
    <w:rsid w:val="009A01B4"/>
    <w:rsid w:val="009A0204"/>
    <w:rsid w:val="009A029D"/>
    <w:rsid w:val="009A0374"/>
    <w:rsid w:val="009A051E"/>
    <w:rsid w:val="009A05F2"/>
    <w:rsid w:val="009A0713"/>
    <w:rsid w:val="009A0D40"/>
    <w:rsid w:val="009A0F71"/>
    <w:rsid w:val="009A125A"/>
    <w:rsid w:val="009A1310"/>
    <w:rsid w:val="009A18B4"/>
    <w:rsid w:val="009A25C6"/>
    <w:rsid w:val="009A25EC"/>
    <w:rsid w:val="009A2785"/>
    <w:rsid w:val="009A2795"/>
    <w:rsid w:val="009A2880"/>
    <w:rsid w:val="009A2890"/>
    <w:rsid w:val="009A2960"/>
    <w:rsid w:val="009A29BE"/>
    <w:rsid w:val="009A29D0"/>
    <w:rsid w:val="009A2AC3"/>
    <w:rsid w:val="009A2AC8"/>
    <w:rsid w:val="009A2ED3"/>
    <w:rsid w:val="009A2EEF"/>
    <w:rsid w:val="009A2FDB"/>
    <w:rsid w:val="009A3231"/>
    <w:rsid w:val="009A3291"/>
    <w:rsid w:val="009A3298"/>
    <w:rsid w:val="009A335A"/>
    <w:rsid w:val="009A36D5"/>
    <w:rsid w:val="009A3730"/>
    <w:rsid w:val="009A393B"/>
    <w:rsid w:val="009A3E2A"/>
    <w:rsid w:val="009A3F10"/>
    <w:rsid w:val="009A4062"/>
    <w:rsid w:val="009A43B3"/>
    <w:rsid w:val="009A4535"/>
    <w:rsid w:val="009A45CF"/>
    <w:rsid w:val="009A47AA"/>
    <w:rsid w:val="009A4865"/>
    <w:rsid w:val="009A48FC"/>
    <w:rsid w:val="009A4B6B"/>
    <w:rsid w:val="009A4BAA"/>
    <w:rsid w:val="009A4C4B"/>
    <w:rsid w:val="009A4C4E"/>
    <w:rsid w:val="009A521C"/>
    <w:rsid w:val="009A52BF"/>
    <w:rsid w:val="009A547B"/>
    <w:rsid w:val="009A5558"/>
    <w:rsid w:val="009A56A8"/>
    <w:rsid w:val="009A56F3"/>
    <w:rsid w:val="009A57C0"/>
    <w:rsid w:val="009A5B1C"/>
    <w:rsid w:val="009A5DDE"/>
    <w:rsid w:val="009A6025"/>
    <w:rsid w:val="009A61D4"/>
    <w:rsid w:val="009A620A"/>
    <w:rsid w:val="009A6961"/>
    <w:rsid w:val="009A6A9C"/>
    <w:rsid w:val="009A6CCE"/>
    <w:rsid w:val="009A6D70"/>
    <w:rsid w:val="009A6E0F"/>
    <w:rsid w:val="009A7143"/>
    <w:rsid w:val="009A7300"/>
    <w:rsid w:val="009A7340"/>
    <w:rsid w:val="009A7360"/>
    <w:rsid w:val="009A749F"/>
    <w:rsid w:val="009A74C4"/>
    <w:rsid w:val="009A777B"/>
    <w:rsid w:val="009A7791"/>
    <w:rsid w:val="009A7859"/>
    <w:rsid w:val="009A78FE"/>
    <w:rsid w:val="009A7904"/>
    <w:rsid w:val="009A79F4"/>
    <w:rsid w:val="009A7ABA"/>
    <w:rsid w:val="009A7E83"/>
    <w:rsid w:val="009B00CE"/>
    <w:rsid w:val="009B018E"/>
    <w:rsid w:val="009B0508"/>
    <w:rsid w:val="009B0541"/>
    <w:rsid w:val="009B086B"/>
    <w:rsid w:val="009B0900"/>
    <w:rsid w:val="009B0984"/>
    <w:rsid w:val="009B0C8B"/>
    <w:rsid w:val="009B0EC4"/>
    <w:rsid w:val="009B0F77"/>
    <w:rsid w:val="009B10BC"/>
    <w:rsid w:val="009B144A"/>
    <w:rsid w:val="009B18DB"/>
    <w:rsid w:val="009B1E08"/>
    <w:rsid w:val="009B207A"/>
    <w:rsid w:val="009B246D"/>
    <w:rsid w:val="009B27D6"/>
    <w:rsid w:val="009B27D7"/>
    <w:rsid w:val="009B29FC"/>
    <w:rsid w:val="009B2BB8"/>
    <w:rsid w:val="009B2EFB"/>
    <w:rsid w:val="009B30BA"/>
    <w:rsid w:val="009B3391"/>
    <w:rsid w:val="009B33F8"/>
    <w:rsid w:val="009B3758"/>
    <w:rsid w:val="009B3958"/>
    <w:rsid w:val="009B3A94"/>
    <w:rsid w:val="009B3C55"/>
    <w:rsid w:val="009B3DCD"/>
    <w:rsid w:val="009B3E1E"/>
    <w:rsid w:val="009B3EBA"/>
    <w:rsid w:val="009B3EDD"/>
    <w:rsid w:val="009B41B3"/>
    <w:rsid w:val="009B4399"/>
    <w:rsid w:val="009B4800"/>
    <w:rsid w:val="009B4BFA"/>
    <w:rsid w:val="009B4E59"/>
    <w:rsid w:val="009B4EA1"/>
    <w:rsid w:val="009B4F3A"/>
    <w:rsid w:val="009B545A"/>
    <w:rsid w:val="009B560D"/>
    <w:rsid w:val="009B5FAE"/>
    <w:rsid w:val="009B61E4"/>
    <w:rsid w:val="009B6242"/>
    <w:rsid w:val="009B68DD"/>
    <w:rsid w:val="009B6912"/>
    <w:rsid w:val="009B6B7F"/>
    <w:rsid w:val="009B6C2B"/>
    <w:rsid w:val="009B6EB5"/>
    <w:rsid w:val="009B723C"/>
    <w:rsid w:val="009B76AD"/>
    <w:rsid w:val="009B7B87"/>
    <w:rsid w:val="009B7DBD"/>
    <w:rsid w:val="009C006A"/>
    <w:rsid w:val="009C017A"/>
    <w:rsid w:val="009C0288"/>
    <w:rsid w:val="009C0430"/>
    <w:rsid w:val="009C07D0"/>
    <w:rsid w:val="009C08B5"/>
    <w:rsid w:val="009C0AF5"/>
    <w:rsid w:val="009C0C76"/>
    <w:rsid w:val="009C0D82"/>
    <w:rsid w:val="009C1105"/>
    <w:rsid w:val="009C123A"/>
    <w:rsid w:val="009C1292"/>
    <w:rsid w:val="009C1296"/>
    <w:rsid w:val="009C149D"/>
    <w:rsid w:val="009C14CA"/>
    <w:rsid w:val="009C1913"/>
    <w:rsid w:val="009C227C"/>
    <w:rsid w:val="009C23A8"/>
    <w:rsid w:val="009C2470"/>
    <w:rsid w:val="009C2CE5"/>
    <w:rsid w:val="009C30F4"/>
    <w:rsid w:val="009C3162"/>
    <w:rsid w:val="009C322A"/>
    <w:rsid w:val="009C3439"/>
    <w:rsid w:val="009C38E1"/>
    <w:rsid w:val="009C3BC6"/>
    <w:rsid w:val="009C3C30"/>
    <w:rsid w:val="009C40E0"/>
    <w:rsid w:val="009C41E9"/>
    <w:rsid w:val="009C426C"/>
    <w:rsid w:val="009C43E0"/>
    <w:rsid w:val="009C4579"/>
    <w:rsid w:val="009C45C3"/>
    <w:rsid w:val="009C46DB"/>
    <w:rsid w:val="009C4709"/>
    <w:rsid w:val="009C48A9"/>
    <w:rsid w:val="009C4BC9"/>
    <w:rsid w:val="009C4C2A"/>
    <w:rsid w:val="009C4FDE"/>
    <w:rsid w:val="009C50EE"/>
    <w:rsid w:val="009C5152"/>
    <w:rsid w:val="009C51C8"/>
    <w:rsid w:val="009C5A5E"/>
    <w:rsid w:val="009C5C12"/>
    <w:rsid w:val="009C5E55"/>
    <w:rsid w:val="009C61AD"/>
    <w:rsid w:val="009C676B"/>
    <w:rsid w:val="009C6837"/>
    <w:rsid w:val="009C683B"/>
    <w:rsid w:val="009C6873"/>
    <w:rsid w:val="009C69F1"/>
    <w:rsid w:val="009C6A6D"/>
    <w:rsid w:val="009C6B4C"/>
    <w:rsid w:val="009C6CB4"/>
    <w:rsid w:val="009C6D22"/>
    <w:rsid w:val="009C6D24"/>
    <w:rsid w:val="009C6E38"/>
    <w:rsid w:val="009C7119"/>
    <w:rsid w:val="009C737A"/>
    <w:rsid w:val="009C739B"/>
    <w:rsid w:val="009C7478"/>
    <w:rsid w:val="009C752B"/>
    <w:rsid w:val="009C765A"/>
    <w:rsid w:val="009C782A"/>
    <w:rsid w:val="009C7CB4"/>
    <w:rsid w:val="009C7DE4"/>
    <w:rsid w:val="009C7DE7"/>
    <w:rsid w:val="009C7ECC"/>
    <w:rsid w:val="009D02F4"/>
    <w:rsid w:val="009D0505"/>
    <w:rsid w:val="009D0625"/>
    <w:rsid w:val="009D0774"/>
    <w:rsid w:val="009D0861"/>
    <w:rsid w:val="009D0A55"/>
    <w:rsid w:val="009D0FC0"/>
    <w:rsid w:val="009D15EB"/>
    <w:rsid w:val="009D15EE"/>
    <w:rsid w:val="009D163D"/>
    <w:rsid w:val="009D1691"/>
    <w:rsid w:val="009D17D9"/>
    <w:rsid w:val="009D186A"/>
    <w:rsid w:val="009D20D3"/>
    <w:rsid w:val="009D21A9"/>
    <w:rsid w:val="009D24A2"/>
    <w:rsid w:val="009D26D8"/>
    <w:rsid w:val="009D28FD"/>
    <w:rsid w:val="009D2CFA"/>
    <w:rsid w:val="009D35AA"/>
    <w:rsid w:val="009D35FC"/>
    <w:rsid w:val="009D3A9F"/>
    <w:rsid w:val="009D3B6B"/>
    <w:rsid w:val="009D3F58"/>
    <w:rsid w:val="009D40D9"/>
    <w:rsid w:val="009D426D"/>
    <w:rsid w:val="009D43BC"/>
    <w:rsid w:val="009D459C"/>
    <w:rsid w:val="009D45E5"/>
    <w:rsid w:val="009D4CB6"/>
    <w:rsid w:val="009D4CBC"/>
    <w:rsid w:val="009D4EC6"/>
    <w:rsid w:val="009D510C"/>
    <w:rsid w:val="009D510D"/>
    <w:rsid w:val="009D58A4"/>
    <w:rsid w:val="009D5E44"/>
    <w:rsid w:val="009D5F70"/>
    <w:rsid w:val="009D5FAA"/>
    <w:rsid w:val="009D6060"/>
    <w:rsid w:val="009D61AB"/>
    <w:rsid w:val="009D6309"/>
    <w:rsid w:val="009D6336"/>
    <w:rsid w:val="009D6379"/>
    <w:rsid w:val="009D639C"/>
    <w:rsid w:val="009D63C2"/>
    <w:rsid w:val="009D6650"/>
    <w:rsid w:val="009D6743"/>
    <w:rsid w:val="009D6798"/>
    <w:rsid w:val="009D6C41"/>
    <w:rsid w:val="009D6C4D"/>
    <w:rsid w:val="009D6CA8"/>
    <w:rsid w:val="009D6D8D"/>
    <w:rsid w:val="009D6E30"/>
    <w:rsid w:val="009D70F9"/>
    <w:rsid w:val="009D71C4"/>
    <w:rsid w:val="009D72CC"/>
    <w:rsid w:val="009D7430"/>
    <w:rsid w:val="009D7B38"/>
    <w:rsid w:val="009D7C07"/>
    <w:rsid w:val="009D7F4C"/>
    <w:rsid w:val="009E01C7"/>
    <w:rsid w:val="009E0263"/>
    <w:rsid w:val="009E03AB"/>
    <w:rsid w:val="009E0828"/>
    <w:rsid w:val="009E0A2B"/>
    <w:rsid w:val="009E0BD0"/>
    <w:rsid w:val="009E0C6E"/>
    <w:rsid w:val="009E0DCB"/>
    <w:rsid w:val="009E0E7D"/>
    <w:rsid w:val="009E0EDC"/>
    <w:rsid w:val="009E11BE"/>
    <w:rsid w:val="009E11E0"/>
    <w:rsid w:val="009E149D"/>
    <w:rsid w:val="009E156E"/>
    <w:rsid w:val="009E1B55"/>
    <w:rsid w:val="009E1D0D"/>
    <w:rsid w:val="009E2219"/>
    <w:rsid w:val="009E242E"/>
    <w:rsid w:val="009E24F8"/>
    <w:rsid w:val="009E277B"/>
    <w:rsid w:val="009E2CF5"/>
    <w:rsid w:val="009E2DA8"/>
    <w:rsid w:val="009E2E5F"/>
    <w:rsid w:val="009E3087"/>
    <w:rsid w:val="009E376A"/>
    <w:rsid w:val="009E3E34"/>
    <w:rsid w:val="009E3F94"/>
    <w:rsid w:val="009E4288"/>
    <w:rsid w:val="009E4533"/>
    <w:rsid w:val="009E4669"/>
    <w:rsid w:val="009E4CF4"/>
    <w:rsid w:val="009E4D14"/>
    <w:rsid w:val="009E4F28"/>
    <w:rsid w:val="009E4F9D"/>
    <w:rsid w:val="009E513C"/>
    <w:rsid w:val="009E520C"/>
    <w:rsid w:val="009E531B"/>
    <w:rsid w:val="009E57BC"/>
    <w:rsid w:val="009E5846"/>
    <w:rsid w:val="009E594B"/>
    <w:rsid w:val="009E5A77"/>
    <w:rsid w:val="009E5CCB"/>
    <w:rsid w:val="009E62C1"/>
    <w:rsid w:val="009E64D7"/>
    <w:rsid w:val="009E6599"/>
    <w:rsid w:val="009E664B"/>
    <w:rsid w:val="009E66AA"/>
    <w:rsid w:val="009E67EA"/>
    <w:rsid w:val="009E698B"/>
    <w:rsid w:val="009E69C7"/>
    <w:rsid w:val="009E6A97"/>
    <w:rsid w:val="009E6DC1"/>
    <w:rsid w:val="009E7250"/>
    <w:rsid w:val="009E72F7"/>
    <w:rsid w:val="009E794C"/>
    <w:rsid w:val="009E7E62"/>
    <w:rsid w:val="009E7EC2"/>
    <w:rsid w:val="009F011F"/>
    <w:rsid w:val="009F01E5"/>
    <w:rsid w:val="009F078D"/>
    <w:rsid w:val="009F07A2"/>
    <w:rsid w:val="009F07BC"/>
    <w:rsid w:val="009F09F0"/>
    <w:rsid w:val="009F0B4D"/>
    <w:rsid w:val="009F0C43"/>
    <w:rsid w:val="009F0DB9"/>
    <w:rsid w:val="009F0F1C"/>
    <w:rsid w:val="009F0F30"/>
    <w:rsid w:val="009F0F79"/>
    <w:rsid w:val="009F100A"/>
    <w:rsid w:val="009F10A1"/>
    <w:rsid w:val="009F15BC"/>
    <w:rsid w:val="009F1645"/>
    <w:rsid w:val="009F188B"/>
    <w:rsid w:val="009F18B5"/>
    <w:rsid w:val="009F19B6"/>
    <w:rsid w:val="009F1A45"/>
    <w:rsid w:val="009F1AB8"/>
    <w:rsid w:val="009F1DCD"/>
    <w:rsid w:val="009F1DE9"/>
    <w:rsid w:val="009F2079"/>
    <w:rsid w:val="009F21E5"/>
    <w:rsid w:val="009F23C0"/>
    <w:rsid w:val="009F2978"/>
    <w:rsid w:val="009F2B57"/>
    <w:rsid w:val="009F316C"/>
    <w:rsid w:val="009F31C3"/>
    <w:rsid w:val="009F32D3"/>
    <w:rsid w:val="009F3471"/>
    <w:rsid w:val="009F37D2"/>
    <w:rsid w:val="009F39B9"/>
    <w:rsid w:val="009F3E5A"/>
    <w:rsid w:val="009F4078"/>
    <w:rsid w:val="009F4299"/>
    <w:rsid w:val="009F435A"/>
    <w:rsid w:val="009F44AB"/>
    <w:rsid w:val="009F44E7"/>
    <w:rsid w:val="009F4772"/>
    <w:rsid w:val="009F4938"/>
    <w:rsid w:val="009F49DA"/>
    <w:rsid w:val="009F4B4A"/>
    <w:rsid w:val="009F4B4F"/>
    <w:rsid w:val="009F4CD8"/>
    <w:rsid w:val="009F4D7F"/>
    <w:rsid w:val="009F4DAE"/>
    <w:rsid w:val="009F508B"/>
    <w:rsid w:val="009F52A6"/>
    <w:rsid w:val="009F559F"/>
    <w:rsid w:val="009F5632"/>
    <w:rsid w:val="009F5681"/>
    <w:rsid w:val="009F56F9"/>
    <w:rsid w:val="009F57BE"/>
    <w:rsid w:val="009F5887"/>
    <w:rsid w:val="009F5910"/>
    <w:rsid w:val="009F5C70"/>
    <w:rsid w:val="009F5DA0"/>
    <w:rsid w:val="009F5DA8"/>
    <w:rsid w:val="009F611F"/>
    <w:rsid w:val="009F636F"/>
    <w:rsid w:val="009F6607"/>
    <w:rsid w:val="009F66E1"/>
    <w:rsid w:val="009F6788"/>
    <w:rsid w:val="009F6930"/>
    <w:rsid w:val="009F6A3A"/>
    <w:rsid w:val="009F6F40"/>
    <w:rsid w:val="009F70BE"/>
    <w:rsid w:val="009F7241"/>
    <w:rsid w:val="009F7666"/>
    <w:rsid w:val="009F7C30"/>
    <w:rsid w:val="009F7DDB"/>
    <w:rsid w:val="009F7F05"/>
    <w:rsid w:val="00A00B98"/>
    <w:rsid w:val="00A00CD8"/>
    <w:rsid w:val="00A010F6"/>
    <w:rsid w:val="00A012BF"/>
    <w:rsid w:val="00A014AC"/>
    <w:rsid w:val="00A01665"/>
    <w:rsid w:val="00A01B10"/>
    <w:rsid w:val="00A01B7B"/>
    <w:rsid w:val="00A01B9E"/>
    <w:rsid w:val="00A01ECF"/>
    <w:rsid w:val="00A01F56"/>
    <w:rsid w:val="00A023C0"/>
    <w:rsid w:val="00A02406"/>
    <w:rsid w:val="00A0249C"/>
    <w:rsid w:val="00A02614"/>
    <w:rsid w:val="00A0286F"/>
    <w:rsid w:val="00A0294E"/>
    <w:rsid w:val="00A02C6E"/>
    <w:rsid w:val="00A02E20"/>
    <w:rsid w:val="00A02E53"/>
    <w:rsid w:val="00A02F81"/>
    <w:rsid w:val="00A03506"/>
    <w:rsid w:val="00A03724"/>
    <w:rsid w:val="00A0389C"/>
    <w:rsid w:val="00A03BFE"/>
    <w:rsid w:val="00A03E15"/>
    <w:rsid w:val="00A040AD"/>
    <w:rsid w:val="00A04139"/>
    <w:rsid w:val="00A041B2"/>
    <w:rsid w:val="00A0422E"/>
    <w:rsid w:val="00A0427F"/>
    <w:rsid w:val="00A0444B"/>
    <w:rsid w:val="00A04634"/>
    <w:rsid w:val="00A04A39"/>
    <w:rsid w:val="00A04A7E"/>
    <w:rsid w:val="00A04B91"/>
    <w:rsid w:val="00A04CA1"/>
    <w:rsid w:val="00A04F1F"/>
    <w:rsid w:val="00A05313"/>
    <w:rsid w:val="00A05483"/>
    <w:rsid w:val="00A0568C"/>
    <w:rsid w:val="00A058BE"/>
    <w:rsid w:val="00A05A4F"/>
    <w:rsid w:val="00A05B8B"/>
    <w:rsid w:val="00A060ED"/>
    <w:rsid w:val="00A06369"/>
    <w:rsid w:val="00A06890"/>
    <w:rsid w:val="00A06DDD"/>
    <w:rsid w:val="00A06E53"/>
    <w:rsid w:val="00A070DF"/>
    <w:rsid w:val="00A07429"/>
    <w:rsid w:val="00A076A3"/>
    <w:rsid w:val="00A0770B"/>
    <w:rsid w:val="00A077F4"/>
    <w:rsid w:val="00A07C49"/>
    <w:rsid w:val="00A07FC9"/>
    <w:rsid w:val="00A100F9"/>
    <w:rsid w:val="00A1016C"/>
    <w:rsid w:val="00A101DA"/>
    <w:rsid w:val="00A105EC"/>
    <w:rsid w:val="00A10E3F"/>
    <w:rsid w:val="00A11387"/>
    <w:rsid w:val="00A113BE"/>
    <w:rsid w:val="00A11755"/>
    <w:rsid w:val="00A11821"/>
    <w:rsid w:val="00A11955"/>
    <w:rsid w:val="00A11CB1"/>
    <w:rsid w:val="00A11CB4"/>
    <w:rsid w:val="00A11CBC"/>
    <w:rsid w:val="00A11F05"/>
    <w:rsid w:val="00A12007"/>
    <w:rsid w:val="00A1201C"/>
    <w:rsid w:val="00A121FD"/>
    <w:rsid w:val="00A12228"/>
    <w:rsid w:val="00A12360"/>
    <w:rsid w:val="00A124E6"/>
    <w:rsid w:val="00A125E2"/>
    <w:rsid w:val="00A128BF"/>
    <w:rsid w:val="00A12ADA"/>
    <w:rsid w:val="00A12B81"/>
    <w:rsid w:val="00A131DC"/>
    <w:rsid w:val="00A1380B"/>
    <w:rsid w:val="00A13865"/>
    <w:rsid w:val="00A13B04"/>
    <w:rsid w:val="00A13C22"/>
    <w:rsid w:val="00A13C6C"/>
    <w:rsid w:val="00A13ECD"/>
    <w:rsid w:val="00A13FB5"/>
    <w:rsid w:val="00A140AF"/>
    <w:rsid w:val="00A1424C"/>
    <w:rsid w:val="00A14644"/>
    <w:rsid w:val="00A14867"/>
    <w:rsid w:val="00A14A8F"/>
    <w:rsid w:val="00A14C40"/>
    <w:rsid w:val="00A1509D"/>
    <w:rsid w:val="00A151E1"/>
    <w:rsid w:val="00A151E2"/>
    <w:rsid w:val="00A15206"/>
    <w:rsid w:val="00A154FA"/>
    <w:rsid w:val="00A1573E"/>
    <w:rsid w:val="00A1595B"/>
    <w:rsid w:val="00A159CE"/>
    <w:rsid w:val="00A15C67"/>
    <w:rsid w:val="00A15E02"/>
    <w:rsid w:val="00A161A8"/>
    <w:rsid w:val="00A16485"/>
    <w:rsid w:val="00A164A2"/>
    <w:rsid w:val="00A169B2"/>
    <w:rsid w:val="00A16D81"/>
    <w:rsid w:val="00A16DF5"/>
    <w:rsid w:val="00A16F00"/>
    <w:rsid w:val="00A1705C"/>
    <w:rsid w:val="00A17122"/>
    <w:rsid w:val="00A17334"/>
    <w:rsid w:val="00A1768F"/>
    <w:rsid w:val="00A177F1"/>
    <w:rsid w:val="00A17889"/>
    <w:rsid w:val="00A17919"/>
    <w:rsid w:val="00A179CB"/>
    <w:rsid w:val="00A17BC3"/>
    <w:rsid w:val="00A17E83"/>
    <w:rsid w:val="00A2007E"/>
    <w:rsid w:val="00A2041B"/>
    <w:rsid w:val="00A2066D"/>
    <w:rsid w:val="00A20B85"/>
    <w:rsid w:val="00A20E03"/>
    <w:rsid w:val="00A20F64"/>
    <w:rsid w:val="00A2155B"/>
    <w:rsid w:val="00A21ABF"/>
    <w:rsid w:val="00A21B34"/>
    <w:rsid w:val="00A21BB2"/>
    <w:rsid w:val="00A22062"/>
    <w:rsid w:val="00A22132"/>
    <w:rsid w:val="00A221D6"/>
    <w:rsid w:val="00A2247B"/>
    <w:rsid w:val="00A22497"/>
    <w:rsid w:val="00A226A3"/>
    <w:rsid w:val="00A22B00"/>
    <w:rsid w:val="00A22C29"/>
    <w:rsid w:val="00A22D58"/>
    <w:rsid w:val="00A22DFB"/>
    <w:rsid w:val="00A22E3D"/>
    <w:rsid w:val="00A2355C"/>
    <w:rsid w:val="00A2358C"/>
    <w:rsid w:val="00A236ED"/>
    <w:rsid w:val="00A23926"/>
    <w:rsid w:val="00A23984"/>
    <w:rsid w:val="00A23DC4"/>
    <w:rsid w:val="00A24236"/>
    <w:rsid w:val="00A244D5"/>
    <w:rsid w:val="00A24C17"/>
    <w:rsid w:val="00A24DC8"/>
    <w:rsid w:val="00A2502D"/>
    <w:rsid w:val="00A25299"/>
    <w:rsid w:val="00A25441"/>
    <w:rsid w:val="00A2548E"/>
    <w:rsid w:val="00A257DA"/>
    <w:rsid w:val="00A25AFC"/>
    <w:rsid w:val="00A25BD2"/>
    <w:rsid w:val="00A25D8E"/>
    <w:rsid w:val="00A25EF3"/>
    <w:rsid w:val="00A26058"/>
    <w:rsid w:val="00A26149"/>
    <w:rsid w:val="00A265BC"/>
    <w:rsid w:val="00A26751"/>
    <w:rsid w:val="00A268FC"/>
    <w:rsid w:val="00A26E32"/>
    <w:rsid w:val="00A26F65"/>
    <w:rsid w:val="00A27257"/>
    <w:rsid w:val="00A273A2"/>
    <w:rsid w:val="00A273BE"/>
    <w:rsid w:val="00A27834"/>
    <w:rsid w:val="00A27BAA"/>
    <w:rsid w:val="00A30456"/>
    <w:rsid w:val="00A30594"/>
    <w:rsid w:val="00A3075C"/>
    <w:rsid w:val="00A3081C"/>
    <w:rsid w:val="00A30929"/>
    <w:rsid w:val="00A30A2D"/>
    <w:rsid w:val="00A30B5A"/>
    <w:rsid w:val="00A30EB7"/>
    <w:rsid w:val="00A30F38"/>
    <w:rsid w:val="00A31366"/>
    <w:rsid w:val="00A31449"/>
    <w:rsid w:val="00A31491"/>
    <w:rsid w:val="00A315D9"/>
    <w:rsid w:val="00A31813"/>
    <w:rsid w:val="00A3188B"/>
    <w:rsid w:val="00A318A9"/>
    <w:rsid w:val="00A31C9C"/>
    <w:rsid w:val="00A31F42"/>
    <w:rsid w:val="00A32010"/>
    <w:rsid w:val="00A324F9"/>
    <w:rsid w:val="00A32502"/>
    <w:rsid w:val="00A325F0"/>
    <w:rsid w:val="00A326B1"/>
    <w:rsid w:val="00A3280B"/>
    <w:rsid w:val="00A32924"/>
    <w:rsid w:val="00A32ECD"/>
    <w:rsid w:val="00A332F4"/>
    <w:rsid w:val="00A335EC"/>
    <w:rsid w:val="00A33808"/>
    <w:rsid w:val="00A340FE"/>
    <w:rsid w:val="00A34168"/>
    <w:rsid w:val="00A341D4"/>
    <w:rsid w:val="00A342BE"/>
    <w:rsid w:val="00A344A9"/>
    <w:rsid w:val="00A344C4"/>
    <w:rsid w:val="00A346A5"/>
    <w:rsid w:val="00A34833"/>
    <w:rsid w:val="00A34D3B"/>
    <w:rsid w:val="00A351BD"/>
    <w:rsid w:val="00A3521F"/>
    <w:rsid w:val="00A3525E"/>
    <w:rsid w:val="00A35749"/>
    <w:rsid w:val="00A35AB0"/>
    <w:rsid w:val="00A360AC"/>
    <w:rsid w:val="00A36213"/>
    <w:rsid w:val="00A36354"/>
    <w:rsid w:val="00A364AA"/>
    <w:rsid w:val="00A36580"/>
    <w:rsid w:val="00A36ADD"/>
    <w:rsid w:val="00A36E64"/>
    <w:rsid w:val="00A36E74"/>
    <w:rsid w:val="00A37037"/>
    <w:rsid w:val="00A375EA"/>
    <w:rsid w:val="00A376D7"/>
    <w:rsid w:val="00A377C1"/>
    <w:rsid w:val="00A37A2B"/>
    <w:rsid w:val="00A37DC6"/>
    <w:rsid w:val="00A40048"/>
    <w:rsid w:val="00A403E8"/>
    <w:rsid w:val="00A40596"/>
    <w:rsid w:val="00A405E6"/>
    <w:rsid w:val="00A40BF5"/>
    <w:rsid w:val="00A40C86"/>
    <w:rsid w:val="00A41048"/>
    <w:rsid w:val="00A416D3"/>
    <w:rsid w:val="00A4192C"/>
    <w:rsid w:val="00A4197F"/>
    <w:rsid w:val="00A41A69"/>
    <w:rsid w:val="00A41BCB"/>
    <w:rsid w:val="00A41BD4"/>
    <w:rsid w:val="00A41CC0"/>
    <w:rsid w:val="00A41E09"/>
    <w:rsid w:val="00A41E33"/>
    <w:rsid w:val="00A41EDB"/>
    <w:rsid w:val="00A41F58"/>
    <w:rsid w:val="00A42795"/>
    <w:rsid w:val="00A4285F"/>
    <w:rsid w:val="00A428CB"/>
    <w:rsid w:val="00A42985"/>
    <w:rsid w:val="00A42AC5"/>
    <w:rsid w:val="00A42BF1"/>
    <w:rsid w:val="00A42C6F"/>
    <w:rsid w:val="00A42CC9"/>
    <w:rsid w:val="00A4312D"/>
    <w:rsid w:val="00A43490"/>
    <w:rsid w:val="00A43531"/>
    <w:rsid w:val="00A4378A"/>
    <w:rsid w:val="00A43802"/>
    <w:rsid w:val="00A4381B"/>
    <w:rsid w:val="00A4393B"/>
    <w:rsid w:val="00A43A1E"/>
    <w:rsid w:val="00A43B29"/>
    <w:rsid w:val="00A43D33"/>
    <w:rsid w:val="00A43F02"/>
    <w:rsid w:val="00A44629"/>
    <w:rsid w:val="00A447AF"/>
    <w:rsid w:val="00A44B00"/>
    <w:rsid w:val="00A457D5"/>
    <w:rsid w:val="00A45AE4"/>
    <w:rsid w:val="00A45CFE"/>
    <w:rsid w:val="00A45E89"/>
    <w:rsid w:val="00A45F4F"/>
    <w:rsid w:val="00A45F90"/>
    <w:rsid w:val="00A46062"/>
    <w:rsid w:val="00A46248"/>
    <w:rsid w:val="00A462AB"/>
    <w:rsid w:val="00A46379"/>
    <w:rsid w:val="00A465F7"/>
    <w:rsid w:val="00A46B33"/>
    <w:rsid w:val="00A470C8"/>
    <w:rsid w:val="00A47350"/>
    <w:rsid w:val="00A473CE"/>
    <w:rsid w:val="00A473FB"/>
    <w:rsid w:val="00A4745C"/>
    <w:rsid w:val="00A47510"/>
    <w:rsid w:val="00A47605"/>
    <w:rsid w:val="00A47636"/>
    <w:rsid w:val="00A47829"/>
    <w:rsid w:val="00A47889"/>
    <w:rsid w:val="00A478D3"/>
    <w:rsid w:val="00A47A51"/>
    <w:rsid w:val="00A47D5B"/>
    <w:rsid w:val="00A47E51"/>
    <w:rsid w:val="00A47E8E"/>
    <w:rsid w:val="00A47F30"/>
    <w:rsid w:val="00A47FBB"/>
    <w:rsid w:val="00A5010D"/>
    <w:rsid w:val="00A5036B"/>
    <w:rsid w:val="00A50582"/>
    <w:rsid w:val="00A51029"/>
    <w:rsid w:val="00A510D8"/>
    <w:rsid w:val="00A511A1"/>
    <w:rsid w:val="00A5141E"/>
    <w:rsid w:val="00A5158F"/>
    <w:rsid w:val="00A51815"/>
    <w:rsid w:val="00A51D6B"/>
    <w:rsid w:val="00A51DC1"/>
    <w:rsid w:val="00A5200A"/>
    <w:rsid w:val="00A520BD"/>
    <w:rsid w:val="00A52164"/>
    <w:rsid w:val="00A52349"/>
    <w:rsid w:val="00A52575"/>
    <w:rsid w:val="00A527B0"/>
    <w:rsid w:val="00A52826"/>
    <w:rsid w:val="00A52B6F"/>
    <w:rsid w:val="00A53017"/>
    <w:rsid w:val="00A535A3"/>
    <w:rsid w:val="00A53617"/>
    <w:rsid w:val="00A5376C"/>
    <w:rsid w:val="00A5377C"/>
    <w:rsid w:val="00A5395A"/>
    <w:rsid w:val="00A539FE"/>
    <w:rsid w:val="00A53A9A"/>
    <w:rsid w:val="00A53D13"/>
    <w:rsid w:val="00A53EC5"/>
    <w:rsid w:val="00A53F81"/>
    <w:rsid w:val="00A5430E"/>
    <w:rsid w:val="00A54450"/>
    <w:rsid w:val="00A5470A"/>
    <w:rsid w:val="00A54970"/>
    <w:rsid w:val="00A549A8"/>
    <w:rsid w:val="00A549CE"/>
    <w:rsid w:val="00A54E76"/>
    <w:rsid w:val="00A551DD"/>
    <w:rsid w:val="00A552EB"/>
    <w:rsid w:val="00A55646"/>
    <w:rsid w:val="00A556EB"/>
    <w:rsid w:val="00A558E2"/>
    <w:rsid w:val="00A56158"/>
    <w:rsid w:val="00A5623A"/>
    <w:rsid w:val="00A5649A"/>
    <w:rsid w:val="00A565DB"/>
    <w:rsid w:val="00A56AD8"/>
    <w:rsid w:val="00A56B91"/>
    <w:rsid w:val="00A56BFA"/>
    <w:rsid w:val="00A56C25"/>
    <w:rsid w:val="00A56D37"/>
    <w:rsid w:val="00A56DFB"/>
    <w:rsid w:val="00A56EF6"/>
    <w:rsid w:val="00A56F60"/>
    <w:rsid w:val="00A57111"/>
    <w:rsid w:val="00A571DF"/>
    <w:rsid w:val="00A5721C"/>
    <w:rsid w:val="00A572DA"/>
    <w:rsid w:val="00A5786E"/>
    <w:rsid w:val="00A57AF8"/>
    <w:rsid w:val="00A57E9F"/>
    <w:rsid w:val="00A57F88"/>
    <w:rsid w:val="00A60035"/>
    <w:rsid w:val="00A600A9"/>
    <w:rsid w:val="00A6047B"/>
    <w:rsid w:val="00A60852"/>
    <w:rsid w:val="00A60982"/>
    <w:rsid w:val="00A60D04"/>
    <w:rsid w:val="00A60E51"/>
    <w:rsid w:val="00A61323"/>
    <w:rsid w:val="00A61574"/>
    <w:rsid w:val="00A61716"/>
    <w:rsid w:val="00A6179E"/>
    <w:rsid w:val="00A61F07"/>
    <w:rsid w:val="00A621B4"/>
    <w:rsid w:val="00A622E0"/>
    <w:rsid w:val="00A62872"/>
    <w:rsid w:val="00A62942"/>
    <w:rsid w:val="00A62AE3"/>
    <w:rsid w:val="00A62C57"/>
    <w:rsid w:val="00A62D78"/>
    <w:rsid w:val="00A63166"/>
    <w:rsid w:val="00A63643"/>
    <w:rsid w:val="00A636E3"/>
    <w:rsid w:val="00A63824"/>
    <w:rsid w:val="00A63A33"/>
    <w:rsid w:val="00A63AA6"/>
    <w:rsid w:val="00A63C67"/>
    <w:rsid w:val="00A63C91"/>
    <w:rsid w:val="00A63D47"/>
    <w:rsid w:val="00A64047"/>
    <w:rsid w:val="00A641E8"/>
    <w:rsid w:val="00A64456"/>
    <w:rsid w:val="00A64537"/>
    <w:rsid w:val="00A64971"/>
    <w:rsid w:val="00A64A17"/>
    <w:rsid w:val="00A64A64"/>
    <w:rsid w:val="00A64ACA"/>
    <w:rsid w:val="00A64B52"/>
    <w:rsid w:val="00A64C79"/>
    <w:rsid w:val="00A64F67"/>
    <w:rsid w:val="00A64F6A"/>
    <w:rsid w:val="00A64FA2"/>
    <w:rsid w:val="00A6518C"/>
    <w:rsid w:val="00A6532F"/>
    <w:rsid w:val="00A6556D"/>
    <w:rsid w:val="00A65590"/>
    <w:rsid w:val="00A655C4"/>
    <w:rsid w:val="00A6565E"/>
    <w:rsid w:val="00A659C8"/>
    <w:rsid w:val="00A659D2"/>
    <w:rsid w:val="00A659D3"/>
    <w:rsid w:val="00A65A42"/>
    <w:rsid w:val="00A65E25"/>
    <w:rsid w:val="00A663C5"/>
    <w:rsid w:val="00A665F5"/>
    <w:rsid w:val="00A66826"/>
    <w:rsid w:val="00A6688D"/>
    <w:rsid w:val="00A66968"/>
    <w:rsid w:val="00A66AA8"/>
    <w:rsid w:val="00A66CF6"/>
    <w:rsid w:val="00A66DF7"/>
    <w:rsid w:val="00A6733C"/>
    <w:rsid w:val="00A673E7"/>
    <w:rsid w:val="00A67483"/>
    <w:rsid w:val="00A678C4"/>
    <w:rsid w:val="00A67A06"/>
    <w:rsid w:val="00A67BA2"/>
    <w:rsid w:val="00A67BBF"/>
    <w:rsid w:val="00A67C09"/>
    <w:rsid w:val="00A67C75"/>
    <w:rsid w:val="00A67D55"/>
    <w:rsid w:val="00A67F6E"/>
    <w:rsid w:val="00A70807"/>
    <w:rsid w:val="00A70DB7"/>
    <w:rsid w:val="00A70E44"/>
    <w:rsid w:val="00A70F4F"/>
    <w:rsid w:val="00A7120A"/>
    <w:rsid w:val="00A716D0"/>
    <w:rsid w:val="00A7173E"/>
    <w:rsid w:val="00A71984"/>
    <w:rsid w:val="00A71C3C"/>
    <w:rsid w:val="00A71C9A"/>
    <w:rsid w:val="00A71E49"/>
    <w:rsid w:val="00A71FD3"/>
    <w:rsid w:val="00A721C0"/>
    <w:rsid w:val="00A7222D"/>
    <w:rsid w:val="00A72445"/>
    <w:rsid w:val="00A72485"/>
    <w:rsid w:val="00A72592"/>
    <w:rsid w:val="00A726DE"/>
    <w:rsid w:val="00A72964"/>
    <w:rsid w:val="00A72A69"/>
    <w:rsid w:val="00A72C71"/>
    <w:rsid w:val="00A72C76"/>
    <w:rsid w:val="00A72F06"/>
    <w:rsid w:val="00A72FF1"/>
    <w:rsid w:val="00A732AA"/>
    <w:rsid w:val="00A73385"/>
    <w:rsid w:val="00A73462"/>
    <w:rsid w:val="00A73526"/>
    <w:rsid w:val="00A73797"/>
    <w:rsid w:val="00A7394C"/>
    <w:rsid w:val="00A73A98"/>
    <w:rsid w:val="00A73C0B"/>
    <w:rsid w:val="00A73DEA"/>
    <w:rsid w:val="00A74202"/>
    <w:rsid w:val="00A74275"/>
    <w:rsid w:val="00A742B1"/>
    <w:rsid w:val="00A7447C"/>
    <w:rsid w:val="00A745B7"/>
    <w:rsid w:val="00A746D2"/>
    <w:rsid w:val="00A746EE"/>
    <w:rsid w:val="00A747A8"/>
    <w:rsid w:val="00A74812"/>
    <w:rsid w:val="00A7481B"/>
    <w:rsid w:val="00A74A61"/>
    <w:rsid w:val="00A74D4A"/>
    <w:rsid w:val="00A74E23"/>
    <w:rsid w:val="00A75199"/>
    <w:rsid w:val="00A752A3"/>
    <w:rsid w:val="00A75396"/>
    <w:rsid w:val="00A7542C"/>
    <w:rsid w:val="00A7555D"/>
    <w:rsid w:val="00A75ADD"/>
    <w:rsid w:val="00A75C07"/>
    <w:rsid w:val="00A75C95"/>
    <w:rsid w:val="00A75D85"/>
    <w:rsid w:val="00A75E0E"/>
    <w:rsid w:val="00A761D8"/>
    <w:rsid w:val="00A7624A"/>
    <w:rsid w:val="00A763B5"/>
    <w:rsid w:val="00A7644D"/>
    <w:rsid w:val="00A76566"/>
    <w:rsid w:val="00A765FE"/>
    <w:rsid w:val="00A76958"/>
    <w:rsid w:val="00A76960"/>
    <w:rsid w:val="00A76A28"/>
    <w:rsid w:val="00A76A2A"/>
    <w:rsid w:val="00A76B10"/>
    <w:rsid w:val="00A76B4A"/>
    <w:rsid w:val="00A76E61"/>
    <w:rsid w:val="00A76F86"/>
    <w:rsid w:val="00A77028"/>
    <w:rsid w:val="00A77176"/>
    <w:rsid w:val="00A776D2"/>
    <w:rsid w:val="00A77745"/>
    <w:rsid w:val="00A77B4E"/>
    <w:rsid w:val="00A77B77"/>
    <w:rsid w:val="00A77C1D"/>
    <w:rsid w:val="00A77E6D"/>
    <w:rsid w:val="00A77EBA"/>
    <w:rsid w:val="00A80314"/>
    <w:rsid w:val="00A8075A"/>
    <w:rsid w:val="00A809F1"/>
    <w:rsid w:val="00A80A2E"/>
    <w:rsid w:val="00A80C91"/>
    <w:rsid w:val="00A80D53"/>
    <w:rsid w:val="00A80DF3"/>
    <w:rsid w:val="00A80F16"/>
    <w:rsid w:val="00A81622"/>
    <w:rsid w:val="00A816BD"/>
    <w:rsid w:val="00A8179A"/>
    <w:rsid w:val="00A818C0"/>
    <w:rsid w:val="00A819A8"/>
    <w:rsid w:val="00A81BD0"/>
    <w:rsid w:val="00A81CAD"/>
    <w:rsid w:val="00A81DB3"/>
    <w:rsid w:val="00A81DEE"/>
    <w:rsid w:val="00A81FC0"/>
    <w:rsid w:val="00A82284"/>
    <w:rsid w:val="00A8230D"/>
    <w:rsid w:val="00A82455"/>
    <w:rsid w:val="00A82470"/>
    <w:rsid w:val="00A82619"/>
    <w:rsid w:val="00A8272B"/>
    <w:rsid w:val="00A82742"/>
    <w:rsid w:val="00A82A80"/>
    <w:rsid w:val="00A82B2D"/>
    <w:rsid w:val="00A830B0"/>
    <w:rsid w:val="00A833D6"/>
    <w:rsid w:val="00A835CD"/>
    <w:rsid w:val="00A8382F"/>
    <w:rsid w:val="00A838A5"/>
    <w:rsid w:val="00A83A9F"/>
    <w:rsid w:val="00A83CA6"/>
    <w:rsid w:val="00A83F8F"/>
    <w:rsid w:val="00A84374"/>
    <w:rsid w:val="00A843EB"/>
    <w:rsid w:val="00A84567"/>
    <w:rsid w:val="00A846D3"/>
    <w:rsid w:val="00A84756"/>
    <w:rsid w:val="00A8476B"/>
    <w:rsid w:val="00A848FB"/>
    <w:rsid w:val="00A84D6B"/>
    <w:rsid w:val="00A84D6E"/>
    <w:rsid w:val="00A85619"/>
    <w:rsid w:val="00A8578B"/>
    <w:rsid w:val="00A85801"/>
    <w:rsid w:val="00A859D4"/>
    <w:rsid w:val="00A85A36"/>
    <w:rsid w:val="00A85C85"/>
    <w:rsid w:val="00A85ED3"/>
    <w:rsid w:val="00A8615A"/>
    <w:rsid w:val="00A86235"/>
    <w:rsid w:val="00A862A6"/>
    <w:rsid w:val="00A86413"/>
    <w:rsid w:val="00A865B4"/>
    <w:rsid w:val="00A866AC"/>
    <w:rsid w:val="00A86888"/>
    <w:rsid w:val="00A869F3"/>
    <w:rsid w:val="00A86B1D"/>
    <w:rsid w:val="00A86E9A"/>
    <w:rsid w:val="00A8722B"/>
    <w:rsid w:val="00A872FA"/>
    <w:rsid w:val="00A878CF"/>
    <w:rsid w:val="00A878ED"/>
    <w:rsid w:val="00A878FC"/>
    <w:rsid w:val="00A879C4"/>
    <w:rsid w:val="00A87A3D"/>
    <w:rsid w:val="00A87B17"/>
    <w:rsid w:val="00A87B4F"/>
    <w:rsid w:val="00A87C0E"/>
    <w:rsid w:val="00A87C3D"/>
    <w:rsid w:val="00A90050"/>
    <w:rsid w:val="00A9012F"/>
    <w:rsid w:val="00A90434"/>
    <w:rsid w:val="00A904FF"/>
    <w:rsid w:val="00A9059F"/>
    <w:rsid w:val="00A907F2"/>
    <w:rsid w:val="00A9088F"/>
    <w:rsid w:val="00A908B4"/>
    <w:rsid w:val="00A90951"/>
    <w:rsid w:val="00A9095E"/>
    <w:rsid w:val="00A90C33"/>
    <w:rsid w:val="00A90D40"/>
    <w:rsid w:val="00A90E1E"/>
    <w:rsid w:val="00A90E93"/>
    <w:rsid w:val="00A912B8"/>
    <w:rsid w:val="00A91526"/>
    <w:rsid w:val="00A9159E"/>
    <w:rsid w:val="00A9165C"/>
    <w:rsid w:val="00A9199D"/>
    <w:rsid w:val="00A91AEB"/>
    <w:rsid w:val="00A92463"/>
    <w:rsid w:val="00A9287C"/>
    <w:rsid w:val="00A92A26"/>
    <w:rsid w:val="00A92EE6"/>
    <w:rsid w:val="00A93101"/>
    <w:rsid w:val="00A931EC"/>
    <w:rsid w:val="00A9320E"/>
    <w:rsid w:val="00A9352B"/>
    <w:rsid w:val="00A938CD"/>
    <w:rsid w:val="00A93A88"/>
    <w:rsid w:val="00A93B13"/>
    <w:rsid w:val="00A93B7D"/>
    <w:rsid w:val="00A93D34"/>
    <w:rsid w:val="00A93F44"/>
    <w:rsid w:val="00A94086"/>
    <w:rsid w:val="00A94101"/>
    <w:rsid w:val="00A941C2"/>
    <w:rsid w:val="00A94253"/>
    <w:rsid w:val="00A942A3"/>
    <w:rsid w:val="00A944A1"/>
    <w:rsid w:val="00A944AA"/>
    <w:rsid w:val="00A9461E"/>
    <w:rsid w:val="00A94C99"/>
    <w:rsid w:val="00A94EC2"/>
    <w:rsid w:val="00A9504E"/>
    <w:rsid w:val="00A95103"/>
    <w:rsid w:val="00A9510E"/>
    <w:rsid w:val="00A952DF"/>
    <w:rsid w:val="00A953C1"/>
    <w:rsid w:val="00A953FA"/>
    <w:rsid w:val="00A958B5"/>
    <w:rsid w:val="00A95982"/>
    <w:rsid w:val="00A95CE8"/>
    <w:rsid w:val="00A962DD"/>
    <w:rsid w:val="00A963D0"/>
    <w:rsid w:val="00A96793"/>
    <w:rsid w:val="00A967A0"/>
    <w:rsid w:val="00A96967"/>
    <w:rsid w:val="00A969A2"/>
    <w:rsid w:val="00A96D9B"/>
    <w:rsid w:val="00A96E8A"/>
    <w:rsid w:val="00A970A2"/>
    <w:rsid w:val="00A972D5"/>
    <w:rsid w:val="00A9741D"/>
    <w:rsid w:val="00A97721"/>
    <w:rsid w:val="00A9777F"/>
    <w:rsid w:val="00A977F0"/>
    <w:rsid w:val="00A97B40"/>
    <w:rsid w:val="00A97B5C"/>
    <w:rsid w:val="00A97BB5"/>
    <w:rsid w:val="00A97CC8"/>
    <w:rsid w:val="00A97D3C"/>
    <w:rsid w:val="00A97DBC"/>
    <w:rsid w:val="00A97E40"/>
    <w:rsid w:val="00A97F01"/>
    <w:rsid w:val="00AA0047"/>
    <w:rsid w:val="00AA0286"/>
    <w:rsid w:val="00AA0356"/>
    <w:rsid w:val="00AA05AD"/>
    <w:rsid w:val="00AA0727"/>
    <w:rsid w:val="00AA0A83"/>
    <w:rsid w:val="00AA0A89"/>
    <w:rsid w:val="00AA0B81"/>
    <w:rsid w:val="00AA0B95"/>
    <w:rsid w:val="00AA0BF9"/>
    <w:rsid w:val="00AA0D77"/>
    <w:rsid w:val="00AA117C"/>
    <w:rsid w:val="00AA11F6"/>
    <w:rsid w:val="00AA12F0"/>
    <w:rsid w:val="00AA15CA"/>
    <w:rsid w:val="00AA1988"/>
    <w:rsid w:val="00AA19EE"/>
    <w:rsid w:val="00AA1A16"/>
    <w:rsid w:val="00AA1AE2"/>
    <w:rsid w:val="00AA1D68"/>
    <w:rsid w:val="00AA20BA"/>
    <w:rsid w:val="00AA210F"/>
    <w:rsid w:val="00AA243B"/>
    <w:rsid w:val="00AA24BB"/>
    <w:rsid w:val="00AA2670"/>
    <w:rsid w:val="00AA2848"/>
    <w:rsid w:val="00AA29A9"/>
    <w:rsid w:val="00AA29D8"/>
    <w:rsid w:val="00AA2D6B"/>
    <w:rsid w:val="00AA30C1"/>
    <w:rsid w:val="00AA311B"/>
    <w:rsid w:val="00AA318A"/>
    <w:rsid w:val="00AA3366"/>
    <w:rsid w:val="00AA3504"/>
    <w:rsid w:val="00AA3864"/>
    <w:rsid w:val="00AA3A03"/>
    <w:rsid w:val="00AA3C19"/>
    <w:rsid w:val="00AA3E71"/>
    <w:rsid w:val="00AA4210"/>
    <w:rsid w:val="00AA42A8"/>
    <w:rsid w:val="00AA4492"/>
    <w:rsid w:val="00AA4543"/>
    <w:rsid w:val="00AA4877"/>
    <w:rsid w:val="00AA4A2A"/>
    <w:rsid w:val="00AA4A84"/>
    <w:rsid w:val="00AA4D8A"/>
    <w:rsid w:val="00AA4E92"/>
    <w:rsid w:val="00AA4FC2"/>
    <w:rsid w:val="00AA5271"/>
    <w:rsid w:val="00AA52EA"/>
    <w:rsid w:val="00AA541A"/>
    <w:rsid w:val="00AA55B7"/>
    <w:rsid w:val="00AA5A63"/>
    <w:rsid w:val="00AA5AEC"/>
    <w:rsid w:val="00AA5B2C"/>
    <w:rsid w:val="00AA5B9E"/>
    <w:rsid w:val="00AA5CD6"/>
    <w:rsid w:val="00AA60A4"/>
    <w:rsid w:val="00AA60EE"/>
    <w:rsid w:val="00AA640D"/>
    <w:rsid w:val="00AA64BB"/>
    <w:rsid w:val="00AA6707"/>
    <w:rsid w:val="00AA6934"/>
    <w:rsid w:val="00AA6A5F"/>
    <w:rsid w:val="00AA72F7"/>
    <w:rsid w:val="00AA773F"/>
    <w:rsid w:val="00AA7793"/>
    <w:rsid w:val="00AA77FE"/>
    <w:rsid w:val="00AA78B4"/>
    <w:rsid w:val="00AA7B56"/>
    <w:rsid w:val="00AA7EAE"/>
    <w:rsid w:val="00AA7F6B"/>
    <w:rsid w:val="00AB0001"/>
    <w:rsid w:val="00AB04A7"/>
    <w:rsid w:val="00AB05F5"/>
    <w:rsid w:val="00AB08B9"/>
    <w:rsid w:val="00AB09C8"/>
    <w:rsid w:val="00AB0C31"/>
    <w:rsid w:val="00AB0DE9"/>
    <w:rsid w:val="00AB0E96"/>
    <w:rsid w:val="00AB0F45"/>
    <w:rsid w:val="00AB0F4D"/>
    <w:rsid w:val="00AB1595"/>
    <w:rsid w:val="00AB15BC"/>
    <w:rsid w:val="00AB19E5"/>
    <w:rsid w:val="00AB1BEF"/>
    <w:rsid w:val="00AB1D5A"/>
    <w:rsid w:val="00AB20DB"/>
    <w:rsid w:val="00AB2317"/>
    <w:rsid w:val="00AB2407"/>
    <w:rsid w:val="00AB24F2"/>
    <w:rsid w:val="00AB294C"/>
    <w:rsid w:val="00AB2ADA"/>
    <w:rsid w:val="00AB2ED1"/>
    <w:rsid w:val="00AB34E3"/>
    <w:rsid w:val="00AB34F0"/>
    <w:rsid w:val="00AB35A8"/>
    <w:rsid w:val="00AB3800"/>
    <w:rsid w:val="00AB389D"/>
    <w:rsid w:val="00AB39FD"/>
    <w:rsid w:val="00AB3E8B"/>
    <w:rsid w:val="00AB3F34"/>
    <w:rsid w:val="00AB4258"/>
    <w:rsid w:val="00AB4264"/>
    <w:rsid w:val="00AB450C"/>
    <w:rsid w:val="00AB46E6"/>
    <w:rsid w:val="00AB4BB4"/>
    <w:rsid w:val="00AB4CED"/>
    <w:rsid w:val="00AB5281"/>
    <w:rsid w:val="00AB52BF"/>
    <w:rsid w:val="00AB532A"/>
    <w:rsid w:val="00AB53DF"/>
    <w:rsid w:val="00AB588F"/>
    <w:rsid w:val="00AB58B3"/>
    <w:rsid w:val="00AB594F"/>
    <w:rsid w:val="00AB59B3"/>
    <w:rsid w:val="00AB5BEE"/>
    <w:rsid w:val="00AB5DAE"/>
    <w:rsid w:val="00AB5E1F"/>
    <w:rsid w:val="00AB6153"/>
    <w:rsid w:val="00AB61D0"/>
    <w:rsid w:val="00AB6523"/>
    <w:rsid w:val="00AB6586"/>
    <w:rsid w:val="00AB686F"/>
    <w:rsid w:val="00AB717D"/>
    <w:rsid w:val="00AB75B1"/>
    <w:rsid w:val="00AB77C1"/>
    <w:rsid w:val="00AB78CA"/>
    <w:rsid w:val="00AB79E9"/>
    <w:rsid w:val="00AB7A3A"/>
    <w:rsid w:val="00AB7ABF"/>
    <w:rsid w:val="00AB7BFB"/>
    <w:rsid w:val="00AB7DF8"/>
    <w:rsid w:val="00AB7E81"/>
    <w:rsid w:val="00AC0215"/>
    <w:rsid w:val="00AC04A4"/>
    <w:rsid w:val="00AC0584"/>
    <w:rsid w:val="00AC084A"/>
    <w:rsid w:val="00AC0A0B"/>
    <w:rsid w:val="00AC0EFD"/>
    <w:rsid w:val="00AC0EFE"/>
    <w:rsid w:val="00AC111C"/>
    <w:rsid w:val="00AC1306"/>
    <w:rsid w:val="00AC1342"/>
    <w:rsid w:val="00AC13A5"/>
    <w:rsid w:val="00AC1522"/>
    <w:rsid w:val="00AC1645"/>
    <w:rsid w:val="00AC16CB"/>
    <w:rsid w:val="00AC1709"/>
    <w:rsid w:val="00AC1CED"/>
    <w:rsid w:val="00AC1E56"/>
    <w:rsid w:val="00AC1F03"/>
    <w:rsid w:val="00AC2183"/>
    <w:rsid w:val="00AC2340"/>
    <w:rsid w:val="00AC24E5"/>
    <w:rsid w:val="00AC2877"/>
    <w:rsid w:val="00AC2999"/>
    <w:rsid w:val="00AC2B2D"/>
    <w:rsid w:val="00AC2B6A"/>
    <w:rsid w:val="00AC2DB1"/>
    <w:rsid w:val="00AC2E12"/>
    <w:rsid w:val="00AC2E82"/>
    <w:rsid w:val="00AC2FD7"/>
    <w:rsid w:val="00AC3138"/>
    <w:rsid w:val="00AC329A"/>
    <w:rsid w:val="00AC347B"/>
    <w:rsid w:val="00AC34B5"/>
    <w:rsid w:val="00AC357D"/>
    <w:rsid w:val="00AC364E"/>
    <w:rsid w:val="00AC366D"/>
    <w:rsid w:val="00AC37A9"/>
    <w:rsid w:val="00AC3AC1"/>
    <w:rsid w:val="00AC3D60"/>
    <w:rsid w:val="00AC3E8E"/>
    <w:rsid w:val="00AC4008"/>
    <w:rsid w:val="00AC45D3"/>
    <w:rsid w:val="00AC4C51"/>
    <w:rsid w:val="00AC4C52"/>
    <w:rsid w:val="00AC5217"/>
    <w:rsid w:val="00AC5284"/>
    <w:rsid w:val="00AC538C"/>
    <w:rsid w:val="00AC57FE"/>
    <w:rsid w:val="00AC5D1D"/>
    <w:rsid w:val="00AC5D81"/>
    <w:rsid w:val="00AC61BF"/>
    <w:rsid w:val="00AC62E4"/>
    <w:rsid w:val="00AC645A"/>
    <w:rsid w:val="00AC6487"/>
    <w:rsid w:val="00AC6A97"/>
    <w:rsid w:val="00AC6AFA"/>
    <w:rsid w:val="00AC6B46"/>
    <w:rsid w:val="00AC6BB2"/>
    <w:rsid w:val="00AC6E74"/>
    <w:rsid w:val="00AC6F27"/>
    <w:rsid w:val="00AC704F"/>
    <w:rsid w:val="00AC726C"/>
    <w:rsid w:val="00AC729D"/>
    <w:rsid w:val="00AC75BA"/>
    <w:rsid w:val="00AC7723"/>
    <w:rsid w:val="00AC78C4"/>
    <w:rsid w:val="00AC78CC"/>
    <w:rsid w:val="00AC792F"/>
    <w:rsid w:val="00AC7BFF"/>
    <w:rsid w:val="00AC7D43"/>
    <w:rsid w:val="00AC7D44"/>
    <w:rsid w:val="00AD0014"/>
    <w:rsid w:val="00AD0170"/>
    <w:rsid w:val="00AD0209"/>
    <w:rsid w:val="00AD046E"/>
    <w:rsid w:val="00AD04F0"/>
    <w:rsid w:val="00AD0575"/>
    <w:rsid w:val="00AD07F0"/>
    <w:rsid w:val="00AD095F"/>
    <w:rsid w:val="00AD0A1C"/>
    <w:rsid w:val="00AD0A63"/>
    <w:rsid w:val="00AD0BA6"/>
    <w:rsid w:val="00AD0C63"/>
    <w:rsid w:val="00AD0D38"/>
    <w:rsid w:val="00AD0E57"/>
    <w:rsid w:val="00AD0F40"/>
    <w:rsid w:val="00AD1467"/>
    <w:rsid w:val="00AD153A"/>
    <w:rsid w:val="00AD167B"/>
    <w:rsid w:val="00AD1A79"/>
    <w:rsid w:val="00AD1AAD"/>
    <w:rsid w:val="00AD1C0C"/>
    <w:rsid w:val="00AD1D27"/>
    <w:rsid w:val="00AD1F01"/>
    <w:rsid w:val="00AD207C"/>
    <w:rsid w:val="00AD222A"/>
    <w:rsid w:val="00AD233F"/>
    <w:rsid w:val="00AD243F"/>
    <w:rsid w:val="00AD2640"/>
    <w:rsid w:val="00AD27B9"/>
    <w:rsid w:val="00AD2964"/>
    <w:rsid w:val="00AD2985"/>
    <w:rsid w:val="00AD2B33"/>
    <w:rsid w:val="00AD31FF"/>
    <w:rsid w:val="00AD32AC"/>
    <w:rsid w:val="00AD3932"/>
    <w:rsid w:val="00AD3B0C"/>
    <w:rsid w:val="00AD3CBF"/>
    <w:rsid w:val="00AD3DC7"/>
    <w:rsid w:val="00AD3E77"/>
    <w:rsid w:val="00AD4204"/>
    <w:rsid w:val="00AD434A"/>
    <w:rsid w:val="00AD4644"/>
    <w:rsid w:val="00AD47C4"/>
    <w:rsid w:val="00AD48F6"/>
    <w:rsid w:val="00AD49EC"/>
    <w:rsid w:val="00AD5177"/>
    <w:rsid w:val="00AD52D7"/>
    <w:rsid w:val="00AD5424"/>
    <w:rsid w:val="00AD546F"/>
    <w:rsid w:val="00AD5553"/>
    <w:rsid w:val="00AD56AA"/>
    <w:rsid w:val="00AD582C"/>
    <w:rsid w:val="00AD5C43"/>
    <w:rsid w:val="00AD5DBD"/>
    <w:rsid w:val="00AD5DDE"/>
    <w:rsid w:val="00AD65FA"/>
    <w:rsid w:val="00AD6660"/>
    <w:rsid w:val="00AD69FA"/>
    <w:rsid w:val="00AD6B2F"/>
    <w:rsid w:val="00AD6C29"/>
    <w:rsid w:val="00AD6E6F"/>
    <w:rsid w:val="00AD6F28"/>
    <w:rsid w:val="00AD78C6"/>
    <w:rsid w:val="00AD7FDD"/>
    <w:rsid w:val="00AE032C"/>
    <w:rsid w:val="00AE083C"/>
    <w:rsid w:val="00AE09E2"/>
    <w:rsid w:val="00AE0AAD"/>
    <w:rsid w:val="00AE0CD3"/>
    <w:rsid w:val="00AE0E41"/>
    <w:rsid w:val="00AE0EFB"/>
    <w:rsid w:val="00AE0FB8"/>
    <w:rsid w:val="00AE16D7"/>
    <w:rsid w:val="00AE199C"/>
    <w:rsid w:val="00AE1B60"/>
    <w:rsid w:val="00AE1C5A"/>
    <w:rsid w:val="00AE1D40"/>
    <w:rsid w:val="00AE1D57"/>
    <w:rsid w:val="00AE2062"/>
    <w:rsid w:val="00AE20A9"/>
    <w:rsid w:val="00AE21F4"/>
    <w:rsid w:val="00AE2230"/>
    <w:rsid w:val="00AE247D"/>
    <w:rsid w:val="00AE28C6"/>
    <w:rsid w:val="00AE2B09"/>
    <w:rsid w:val="00AE2C4C"/>
    <w:rsid w:val="00AE2D22"/>
    <w:rsid w:val="00AE2E39"/>
    <w:rsid w:val="00AE2E46"/>
    <w:rsid w:val="00AE2EDF"/>
    <w:rsid w:val="00AE3082"/>
    <w:rsid w:val="00AE309C"/>
    <w:rsid w:val="00AE3324"/>
    <w:rsid w:val="00AE36E9"/>
    <w:rsid w:val="00AE372B"/>
    <w:rsid w:val="00AE3A98"/>
    <w:rsid w:val="00AE3D0B"/>
    <w:rsid w:val="00AE3E53"/>
    <w:rsid w:val="00AE41B1"/>
    <w:rsid w:val="00AE42D4"/>
    <w:rsid w:val="00AE42DB"/>
    <w:rsid w:val="00AE4335"/>
    <w:rsid w:val="00AE43ED"/>
    <w:rsid w:val="00AE4840"/>
    <w:rsid w:val="00AE4A65"/>
    <w:rsid w:val="00AE4B45"/>
    <w:rsid w:val="00AE4F12"/>
    <w:rsid w:val="00AE51D7"/>
    <w:rsid w:val="00AE51F3"/>
    <w:rsid w:val="00AE5C92"/>
    <w:rsid w:val="00AE5FCE"/>
    <w:rsid w:val="00AE61F7"/>
    <w:rsid w:val="00AE6335"/>
    <w:rsid w:val="00AE6450"/>
    <w:rsid w:val="00AE64F7"/>
    <w:rsid w:val="00AE657C"/>
    <w:rsid w:val="00AE6591"/>
    <w:rsid w:val="00AE66D2"/>
    <w:rsid w:val="00AE67A9"/>
    <w:rsid w:val="00AE695C"/>
    <w:rsid w:val="00AE697D"/>
    <w:rsid w:val="00AE6B9C"/>
    <w:rsid w:val="00AE6C88"/>
    <w:rsid w:val="00AE6DEC"/>
    <w:rsid w:val="00AE6FC8"/>
    <w:rsid w:val="00AE7119"/>
    <w:rsid w:val="00AE744A"/>
    <w:rsid w:val="00AE74E3"/>
    <w:rsid w:val="00AE7973"/>
    <w:rsid w:val="00AF00A8"/>
    <w:rsid w:val="00AF01B0"/>
    <w:rsid w:val="00AF13A1"/>
    <w:rsid w:val="00AF14CC"/>
    <w:rsid w:val="00AF153C"/>
    <w:rsid w:val="00AF1670"/>
    <w:rsid w:val="00AF171F"/>
    <w:rsid w:val="00AF18AB"/>
    <w:rsid w:val="00AF1B1B"/>
    <w:rsid w:val="00AF1E3A"/>
    <w:rsid w:val="00AF2001"/>
    <w:rsid w:val="00AF218B"/>
    <w:rsid w:val="00AF21BA"/>
    <w:rsid w:val="00AF2219"/>
    <w:rsid w:val="00AF23F2"/>
    <w:rsid w:val="00AF2423"/>
    <w:rsid w:val="00AF2437"/>
    <w:rsid w:val="00AF25D6"/>
    <w:rsid w:val="00AF261B"/>
    <w:rsid w:val="00AF2756"/>
    <w:rsid w:val="00AF290F"/>
    <w:rsid w:val="00AF2955"/>
    <w:rsid w:val="00AF2DB1"/>
    <w:rsid w:val="00AF2FF2"/>
    <w:rsid w:val="00AF30CB"/>
    <w:rsid w:val="00AF3150"/>
    <w:rsid w:val="00AF3494"/>
    <w:rsid w:val="00AF356A"/>
    <w:rsid w:val="00AF36D4"/>
    <w:rsid w:val="00AF38CB"/>
    <w:rsid w:val="00AF39A0"/>
    <w:rsid w:val="00AF3C63"/>
    <w:rsid w:val="00AF3EB5"/>
    <w:rsid w:val="00AF3F77"/>
    <w:rsid w:val="00AF4228"/>
    <w:rsid w:val="00AF43B7"/>
    <w:rsid w:val="00AF48A8"/>
    <w:rsid w:val="00AF4BBD"/>
    <w:rsid w:val="00AF4D74"/>
    <w:rsid w:val="00AF5342"/>
    <w:rsid w:val="00AF5374"/>
    <w:rsid w:val="00AF54E3"/>
    <w:rsid w:val="00AF5613"/>
    <w:rsid w:val="00AF57A6"/>
    <w:rsid w:val="00AF58EA"/>
    <w:rsid w:val="00AF59C9"/>
    <w:rsid w:val="00AF61EA"/>
    <w:rsid w:val="00AF6223"/>
    <w:rsid w:val="00AF66CF"/>
    <w:rsid w:val="00AF6816"/>
    <w:rsid w:val="00AF6D0D"/>
    <w:rsid w:val="00AF6E68"/>
    <w:rsid w:val="00AF71BB"/>
    <w:rsid w:val="00AF739A"/>
    <w:rsid w:val="00AF7653"/>
    <w:rsid w:val="00AF7B8B"/>
    <w:rsid w:val="00AF7D07"/>
    <w:rsid w:val="00AF7D78"/>
    <w:rsid w:val="00AF7E12"/>
    <w:rsid w:val="00AF7ECA"/>
    <w:rsid w:val="00B00279"/>
    <w:rsid w:val="00B0046A"/>
    <w:rsid w:val="00B0050B"/>
    <w:rsid w:val="00B0056A"/>
    <w:rsid w:val="00B00590"/>
    <w:rsid w:val="00B006B0"/>
    <w:rsid w:val="00B006BB"/>
    <w:rsid w:val="00B007C8"/>
    <w:rsid w:val="00B00830"/>
    <w:rsid w:val="00B00876"/>
    <w:rsid w:val="00B00A31"/>
    <w:rsid w:val="00B00DE2"/>
    <w:rsid w:val="00B01020"/>
    <w:rsid w:val="00B0114B"/>
    <w:rsid w:val="00B011CD"/>
    <w:rsid w:val="00B0128E"/>
    <w:rsid w:val="00B0139C"/>
    <w:rsid w:val="00B01599"/>
    <w:rsid w:val="00B01773"/>
    <w:rsid w:val="00B01818"/>
    <w:rsid w:val="00B019DC"/>
    <w:rsid w:val="00B01A4B"/>
    <w:rsid w:val="00B01BF7"/>
    <w:rsid w:val="00B01D3E"/>
    <w:rsid w:val="00B01E0E"/>
    <w:rsid w:val="00B020F3"/>
    <w:rsid w:val="00B021AF"/>
    <w:rsid w:val="00B02507"/>
    <w:rsid w:val="00B029B1"/>
    <w:rsid w:val="00B02AD8"/>
    <w:rsid w:val="00B02B89"/>
    <w:rsid w:val="00B02CB2"/>
    <w:rsid w:val="00B031DB"/>
    <w:rsid w:val="00B038C5"/>
    <w:rsid w:val="00B0398F"/>
    <w:rsid w:val="00B039CB"/>
    <w:rsid w:val="00B03A78"/>
    <w:rsid w:val="00B03C5E"/>
    <w:rsid w:val="00B03F97"/>
    <w:rsid w:val="00B0402B"/>
    <w:rsid w:val="00B0405B"/>
    <w:rsid w:val="00B04089"/>
    <w:rsid w:val="00B0408C"/>
    <w:rsid w:val="00B043D4"/>
    <w:rsid w:val="00B04788"/>
    <w:rsid w:val="00B04A4E"/>
    <w:rsid w:val="00B04DDE"/>
    <w:rsid w:val="00B0501E"/>
    <w:rsid w:val="00B050A2"/>
    <w:rsid w:val="00B054FB"/>
    <w:rsid w:val="00B0562E"/>
    <w:rsid w:val="00B059CA"/>
    <w:rsid w:val="00B05A18"/>
    <w:rsid w:val="00B05B47"/>
    <w:rsid w:val="00B05B62"/>
    <w:rsid w:val="00B05C84"/>
    <w:rsid w:val="00B05C88"/>
    <w:rsid w:val="00B05FA8"/>
    <w:rsid w:val="00B05FAD"/>
    <w:rsid w:val="00B05FF0"/>
    <w:rsid w:val="00B060C0"/>
    <w:rsid w:val="00B062D6"/>
    <w:rsid w:val="00B065F2"/>
    <w:rsid w:val="00B06620"/>
    <w:rsid w:val="00B06720"/>
    <w:rsid w:val="00B068DF"/>
    <w:rsid w:val="00B0696D"/>
    <w:rsid w:val="00B06A2D"/>
    <w:rsid w:val="00B06B7F"/>
    <w:rsid w:val="00B06CBC"/>
    <w:rsid w:val="00B073CA"/>
    <w:rsid w:val="00B07586"/>
    <w:rsid w:val="00B077AC"/>
    <w:rsid w:val="00B07AA8"/>
    <w:rsid w:val="00B07B6D"/>
    <w:rsid w:val="00B07E5C"/>
    <w:rsid w:val="00B10080"/>
    <w:rsid w:val="00B101B5"/>
    <w:rsid w:val="00B1021B"/>
    <w:rsid w:val="00B10235"/>
    <w:rsid w:val="00B104B8"/>
    <w:rsid w:val="00B104E2"/>
    <w:rsid w:val="00B10588"/>
    <w:rsid w:val="00B10931"/>
    <w:rsid w:val="00B10B5C"/>
    <w:rsid w:val="00B10D71"/>
    <w:rsid w:val="00B10E27"/>
    <w:rsid w:val="00B11158"/>
    <w:rsid w:val="00B11185"/>
    <w:rsid w:val="00B11286"/>
    <w:rsid w:val="00B1131F"/>
    <w:rsid w:val="00B1168D"/>
    <w:rsid w:val="00B1179B"/>
    <w:rsid w:val="00B11885"/>
    <w:rsid w:val="00B118F9"/>
    <w:rsid w:val="00B11D72"/>
    <w:rsid w:val="00B11EE8"/>
    <w:rsid w:val="00B11FA9"/>
    <w:rsid w:val="00B121A4"/>
    <w:rsid w:val="00B122BD"/>
    <w:rsid w:val="00B1233F"/>
    <w:rsid w:val="00B12435"/>
    <w:rsid w:val="00B1248F"/>
    <w:rsid w:val="00B1255E"/>
    <w:rsid w:val="00B125CE"/>
    <w:rsid w:val="00B12BD0"/>
    <w:rsid w:val="00B130EB"/>
    <w:rsid w:val="00B13110"/>
    <w:rsid w:val="00B133D9"/>
    <w:rsid w:val="00B135CD"/>
    <w:rsid w:val="00B135F2"/>
    <w:rsid w:val="00B1378D"/>
    <w:rsid w:val="00B1380B"/>
    <w:rsid w:val="00B138D9"/>
    <w:rsid w:val="00B13AA5"/>
    <w:rsid w:val="00B13B92"/>
    <w:rsid w:val="00B1457A"/>
    <w:rsid w:val="00B14698"/>
    <w:rsid w:val="00B14884"/>
    <w:rsid w:val="00B14B6A"/>
    <w:rsid w:val="00B14DFB"/>
    <w:rsid w:val="00B152C6"/>
    <w:rsid w:val="00B1550E"/>
    <w:rsid w:val="00B155CD"/>
    <w:rsid w:val="00B1565B"/>
    <w:rsid w:val="00B1568C"/>
    <w:rsid w:val="00B15CA6"/>
    <w:rsid w:val="00B15CDF"/>
    <w:rsid w:val="00B15CE5"/>
    <w:rsid w:val="00B163A0"/>
    <w:rsid w:val="00B16497"/>
    <w:rsid w:val="00B16594"/>
    <w:rsid w:val="00B16621"/>
    <w:rsid w:val="00B167F5"/>
    <w:rsid w:val="00B16820"/>
    <w:rsid w:val="00B16B19"/>
    <w:rsid w:val="00B16CF5"/>
    <w:rsid w:val="00B16D9B"/>
    <w:rsid w:val="00B16FC3"/>
    <w:rsid w:val="00B17061"/>
    <w:rsid w:val="00B17141"/>
    <w:rsid w:val="00B17265"/>
    <w:rsid w:val="00B17458"/>
    <w:rsid w:val="00B1768B"/>
    <w:rsid w:val="00B17C84"/>
    <w:rsid w:val="00B17DFD"/>
    <w:rsid w:val="00B17FF7"/>
    <w:rsid w:val="00B20089"/>
    <w:rsid w:val="00B20321"/>
    <w:rsid w:val="00B204E4"/>
    <w:rsid w:val="00B20516"/>
    <w:rsid w:val="00B206EA"/>
    <w:rsid w:val="00B20990"/>
    <w:rsid w:val="00B209D2"/>
    <w:rsid w:val="00B20A63"/>
    <w:rsid w:val="00B20ACD"/>
    <w:rsid w:val="00B20AE3"/>
    <w:rsid w:val="00B20AFA"/>
    <w:rsid w:val="00B20D0C"/>
    <w:rsid w:val="00B21078"/>
    <w:rsid w:val="00B21154"/>
    <w:rsid w:val="00B21165"/>
    <w:rsid w:val="00B21183"/>
    <w:rsid w:val="00B21222"/>
    <w:rsid w:val="00B2143B"/>
    <w:rsid w:val="00B21566"/>
    <w:rsid w:val="00B217C5"/>
    <w:rsid w:val="00B21A62"/>
    <w:rsid w:val="00B21DF6"/>
    <w:rsid w:val="00B220DE"/>
    <w:rsid w:val="00B221B7"/>
    <w:rsid w:val="00B223FE"/>
    <w:rsid w:val="00B225F6"/>
    <w:rsid w:val="00B22697"/>
    <w:rsid w:val="00B2284F"/>
    <w:rsid w:val="00B2296C"/>
    <w:rsid w:val="00B22B8B"/>
    <w:rsid w:val="00B22D47"/>
    <w:rsid w:val="00B22F38"/>
    <w:rsid w:val="00B237FE"/>
    <w:rsid w:val="00B2382C"/>
    <w:rsid w:val="00B239F7"/>
    <w:rsid w:val="00B23BA9"/>
    <w:rsid w:val="00B23DF4"/>
    <w:rsid w:val="00B23FF6"/>
    <w:rsid w:val="00B24080"/>
    <w:rsid w:val="00B242EB"/>
    <w:rsid w:val="00B242F8"/>
    <w:rsid w:val="00B243D5"/>
    <w:rsid w:val="00B246E7"/>
    <w:rsid w:val="00B24795"/>
    <w:rsid w:val="00B24890"/>
    <w:rsid w:val="00B249F7"/>
    <w:rsid w:val="00B24ADB"/>
    <w:rsid w:val="00B24E46"/>
    <w:rsid w:val="00B250A3"/>
    <w:rsid w:val="00B251E9"/>
    <w:rsid w:val="00B2536C"/>
    <w:rsid w:val="00B2599C"/>
    <w:rsid w:val="00B25A35"/>
    <w:rsid w:val="00B25A5B"/>
    <w:rsid w:val="00B25B56"/>
    <w:rsid w:val="00B25CA6"/>
    <w:rsid w:val="00B25DAE"/>
    <w:rsid w:val="00B25EC2"/>
    <w:rsid w:val="00B25F23"/>
    <w:rsid w:val="00B25FE5"/>
    <w:rsid w:val="00B26266"/>
    <w:rsid w:val="00B264E5"/>
    <w:rsid w:val="00B26579"/>
    <w:rsid w:val="00B268D7"/>
    <w:rsid w:val="00B26B6B"/>
    <w:rsid w:val="00B26BB4"/>
    <w:rsid w:val="00B26DDA"/>
    <w:rsid w:val="00B273D4"/>
    <w:rsid w:val="00B27412"/>
    <w:rsid w:val="00B27D6C"/>
    <w:rsid w:val="00B27E88"/>
    <w:rsid w:val="00B27F2F"/>
    <w:rsid w:val="00B30097"/>
    <w:rsid w:val="00B300EC"/>
    <w:rsid w:val="00B30162"/>
    <w:rsid w:val="00B3018C"/>
    <w:rsid w:val="00B30243"/>
    <w:rsid w:val="00B3039F"/>
    <w:rsid w:val="00B303C0"/>
    <w:rsid w:val="00B305E2"/>
    <w:rsid w:val="00B305ED"/>
    <w:rsid w:val="00B30995"/>
    <w:rsid w:val="00B30E35"/>
    <w:rsid w:val="00B31546"/>
    <w:rsid w:val="00B31A06"/>
    <w:rsid w:val="00B31B0B"/>
    <w:rsid w:val="00B31B6D"/>
    <w:rsid w:val="00B31EAE"/>
    <w:rsid w:val="00B31F1C"/>
    <w:rsid w:val="00B32343"/>
    <w:rsid w:val="00B32542"/>
    <w:rsid w:val="00B326E3"/>
    <w:rsid w:val="00B327B8"/>
    <w:rsid w:val="00B32BE1"/>
    <w:rsid w:val="00B32E39"/>
    <w:rsid w:val="00B32F05"/>
    <w:rsid w:val="00B334D5"/>
    <w:rsid w:val="00B335CC"/>
    <w:rsid w:val="00B337C8"/>
    <w:rsid w:val="00B337D5"/>
    <w:rsid w:val="00B33D58"/>
    <w:rsid w:val="00B33FD7"/>
    <w:rsid w:val="00B3413D"/>
    <w:rsid w:val="00B341B6"/>
    <w:rsid w:val="00B341C0"/>
    <w:rsid w:val="00B342EE"/>
    <w:rsid w:val="00B34368"/>
    <w:rsid w:val="00B34408"/>
    <w:rsid w:val="00B344F8"/>
    <w:rsid w:val="00B3465A"/>
    <w:rsid w:val="00B34781"/>
    <w:rsid w:val="00B3481F"/>
    <w:rsid w:val="00B34BD4"/>
    <w:rsid w:val="00B34F04"/>
    <w:rsid w:val="00B35133"/>
    <w:rsid w:val="00B35181"/>
    <w:rsid w:val="00B354D5"/>
    <w:rsid w:val="00B357E7"/>
    <w:rsid w:val="00B359AC"/>
    <w:rsid w:val="00B359BE"/>
    <w:rsid w:val="00B35B1A"/>
    <w:rsid w:val="00B35FC9"/>
    <w:rsid w:val="00B361A5"/>
    <w:rsid w:val="00B368E7"/>
    <w:rsid w:val="00B36A93"/>
    <w:rsid w:val="00B36B27"/>
    <w:rsid w:val="00B371C6"/>
    <w:rsid w:val="00B37257"/>
    <w:rsid w:val="00B37305"/>
    <w:rsid w:val="00B374C7"/>
    <w:rsid w:val="00B3751A"/>
    <w:rsid w:val="00B4015B"/>
    <w:rsid w:val="00B402DA"/>
    <w:rsid w:val="00B40937"/>
    <w:rsid w:val="00B40B64"/>
    <w:rsid w:val="00B40DDF"/>
    <w:rsid w:val="00B40E96"/>
    <w:rsid w:val="00B40EC7"/>
    <w:rsid w:val="00B412EE"/>
    <w:rsid w:val="00B413F3"/>
    <w:rsid w:val="00B4156D"/>
    <w:rsid w:val="00B41626"/>
    <w:rsid w:val="00B4173A"/>
    <w:rsid w:val="00B4174D"/>
    <w:rsid w:val="00B4177A"/>
    <w:rsid w:val="00B4181A"/>
    <w:rsid w:val="00B419A5"/>
    <w:rsid w:val="00B41A0A"/>
    <w:rsid w:val="00B41D88"/>
    <w:rsid w:val="00B41DE1"/>
    <w:rsid w:val="00B42037"/>
    <w:rsid w:val="00B424D7"/>
    <w:rsid w:val="00B429F2"/>
    <w:rsid w:val="00B42B4E"/>
    <w:rsid w:val="00B42EA7"/>
    <w:rsid w:val="00B42FDA"/>
    <w:rsid w:val="00B43114"/>
    <w:rsid w:val="00B436FF"/>
    <w:rsid w:val="00B43A42"/>
    <w:rsid w:val="00B43D29"/>
    <w:rsid w:val="00B43FAE"/>
    <w:rsid w:val="00B440FB"/>
    <w:rsid w:val="00B445F5"/>
    <w:rsid w:val="00B4466E"/>
    <w:rsid w:val="00B44878"/>
    <w:rsid w:val="00B44C7C"/>
    <w:rsid w:val="00B44DBA"/>
    <w:rsid w:val="00B450C6"/>
    <w:rsid w:val="00B45100"/>
    <w:rsid w:val="00B453C5"/>
    <w:rsid w:val="00B454ED"/>
    <w:rsid w:val="00B45506"/>
    <w:rsid w:val="00B45800"/>
    <w:rsid w:val="00B45B5B"/>
    <w:rsid w:val="00B45BF0"/>
    <w:rsid w:val="00B45C76"/>
    <w:rsid w:val="00B45EF7"/>
    <w:rsid w:val="00B45F20"/>
    <w:rsid w:val="00B467AA"/>
    <w:rsid w:val="00B467CF"/>
    <w:rsid w:val="00B467E2"/>
    <w:rsid w:val="00B46B9A"/>
    <w:rsid w:val="00B46EA3"/>
    <w:rsid w:val="00B47391"/>
    <w:rsid w:val="00B47499"/>
    <w:rsid w:val="00B47BEA"/>
    <w:rsid w:val="00B47F69"/>
    <w:rsid w:val="00B503BE"/>
    <w:rsid w:val="00B50907"/>
    <w:rsid w:val="00B50A2D"/>
    <w:rsid w:val="00B50AA1"/>
    <w:rsid w:val="00B50EE7"/>
    <w:rsid w:val="00B5106A"/>
    <w:rsid w:val="00B512D3"/>
    <w:rsid w:val="00B513CF"/>
    <w:rsid w:val="00B51404"/>
    <w:rsid w:val="00B5140C"/>
    <w:rsid w:val="00B514BC"/>
    <w:rsid w:val="00B518D3"/>
    <w:rsid w:val="00B51ACD"/>
    <w:rsid w:val="00B51AF7"/>
    <w:rsid w:val="00B51E4D"/>
    <w:rsid w:val="00B51F7E"/>
    <w:rsid w:val="00B52169"/>
    <w:rsid w:val="00B52441"/>
    <w:rsid w:val="00B52554"/>
    <w:rsid w:val="00B525A1"/>
    <w:rsid w:val="00B52849"/>
    <w:rsid w:val="00B528A5"/>
    <w:rsid w:val="00B52BC4"/>
    <w:rsid w:val="00B52D1A"/>
    <w:rsid w:val="00B52E55"/>
    <w:rsid w:val="00B53182"/>
    <w:rsid w:val="00B531D8"/>
    <w:rsid w:val="00B5327E"/>
    <w:rsid w:val="00B53348"/>
    <w:rsid w:val="00B5343B"/>
    <w:rsid w:val="00B53537"/>
    <w:rsid w:val="00B536C4"/>
    <w:rsid w:val="00B537D0"/>
    <w:rsid w:val="00B53BBA"/>
    <w:rsid w:val="00B53E72"/>
    <w:rsid w:val="00B53F5B"/>
    <w:rsid w:val="00B540A3"/>
    <w:rsid w:val="00B541DD"/>
    <w:rsid w:val="00B543E2"/>
    <w:rsid w:val="00B54791"/>
    <w:rsid w:val="00B54B0C"/>
    <w:rsid w:val="00B54B17"/>
    <w:rsid w:val="00B54BBB"/>
    <w:rsid w:val="00B54C28"/>
    <w:rsid w:val="00B54D82"/>
    <w:rsid w:val="00B54E3C"/>
    <w:rsid w:val="00B551FE"/>
    <w:rsid w:val="00B554EA"/>
    <w:rsid w:val="00B557AD"/>
    <w:rsid w:val="00B559C9"/>
    <w:rsid w:val="00B55ADC"/>
    <w:rsid w:val="00B55B64"/>
    <w:rsid w:val="00B55D97"/>
    <w:rsid w:val="00B56274"/>
    <w:rsid w:val="00B565C0"/>
    <w:rsid w:val="00B566CF"/>
    <w:rsid w:val="00B56AAE"/>
    <w:rsid w:val="00B56D38"/>
    <w:rsid w:val="00B57016"/>
    <w:rsid w:val="00B571A9"/>
    <w:rsid w:val="00B57244"/>
    <w:rsid w:val="00B57376"/>
    <w:rsid w:val="00B5768D"/>
    <w:rsid w:val="00B57AF4"/>
    <w:rsid w:val="00B57B13"/>
    <w:rsid w:val="00B57B14"/>
    <w:rsid w:val="00B57BF8"/>
    <w:rsid w:val="00B57EC4"/>
    <w:rsid w:val="00B60231"/>
    <w:rsid w:val="00B604F9"/>
    <w:rsid w:val="00B60EDF"/>
    <w:rsid w:val="00B61292"/>
    <w:rsid w:val="00B614E0"/>
    <w:rsid w:val="00B617E7"/>
    <w:rsid w:val="00B619B7"/>
    <w:rsid w:val="00B61A77"/>
    <w:rsid w:val="00B61AA3"/>
    <w:rsid w:val="00B61ABA"/>
    <w:rsid w:val="00B61CE2"/>
    <w:rsid w:val="00B621B0"/>
    <w:rsid w:val="00B622E1"/>
    <w:rsid w:val="00B62353"/>
    <w:rsid w:val="00B628FB"/>
    <w:rsid w:val="00B62965"/>
    <w:rsid w:val="00B62CC1"/>
    <w:rsid w:val="00B62DE6"/>
    <w:rsid w:val="00B63032"/>
    <w:rsid w:val="00B6325B"/>
    <w:rsid w:val="00B633A2"/>
    <w:rsid w:val="00B633DB"/>
    <w:rsid w:val="00B63986"/>
    <w:rsid w:val="00B63C13"/>
    <w:rsid w:val="00B640D6"/>
    <w:rsid w:val="00B6437E"/>
    <w:rsid w:val="00B643E5"/>
    <w:rsid w:val="00B6457C"/>
    <w:rsid w:val="00B6472A"/>
    <w:rsid w:val="00B64B4A"/>
    <w:rsid w:val="00B64BB7"/>
    <w:rsid w:val="00B64D2B"/>
    <w:rsid w:val="00B64EC2"/>
    <w:rsid w:val="00B65043"/>
    <w:rsid w:val="00B65066"/>
    <w:rsid w:val="00B65133"/>
    <w:rsid w:val="00B6523D"/>
    <w:rsid w:val="00B65256"/>
    <w:rsid w:val="00B6529F"/>
    <w:rsid w:val="00B65566"/>
    <w:rsid w:val="00B6574B"/>
    <w:rsid w:val="00B65887"/>
    <w:rsid w:val="00B65A63"/>
    <w:rsid w:val="00B65AA6"/>
    <w:rsid w:val="00B65B0F"/>
    <w:rsid w:val="00B65EA7"/>
    <w:rsid w:val="00B66167"/>
    <w:rsid w:val="00B662DF"/>
    <w:rsid w:val="00B6651C"/>
    <w:rsid w:val="00B665CF"/>
    <w:rsid w:val="00B665DA"/>
    <w:rsid w:val="00B668C3"/>
    <w:rsid w:val="00B66C1B"/>
    <w:rsid w:val="00B66EA1"/>
    <w:rsid w:val="00B66EC5"/>
    <w:rsid w:val="00B66F13"/>
    <w:rsid w:val="00B67378"/>
    <w:rsid w:val="00B67413"/>
    <w:rsid w:val="00B67441"/>
    <w:rsid w:val="00B67566"/>
    <w:rsid w:val="00B67638"/>
    <w:rsid w:val="00B67A5B"/>
    <w:rsid w:val="00B67C8B"/>
    <w:rsid w:val="00B67D9A"/>
    <w:rsid w:val="00B704B6"/>
    <w:rsid w:val="00B706E0"/>
    <w:rsid w:val="00B70988"/>
    <w:rsid w:val="00B70B20"/>
    <w:rsid w:val="00B70BA5"/>
    <w:rsid w:val="00B70F3D"/>
    <w:rsid w:val="00B71119"/>
    <w:rsid w:val="00B71302"/>
    <w:rsid w:val="00B7139A"/>
    <w:rsid w:val="00B71621"/>
    <w:rsid w:val="00B71922"/>
    <w:rsid w:val="00B71956"/>
    <w:rsid w:val="00B71A36"/>
    <w:rsid w:val="00B71A85"/>
    <w:rsid w:val="00B71C84"/>
    <w:rsid w:val="00B71ED6"/>
    <w:rsid w:val="00B71F02"/>
    <w:rsid w:val="00B71F82"/>
    <w:rsid w:val="00B72094"/>
    <w:rsid w:val="00B72173"/>
    <w:rsid w:val="00B72209"/>
    <w:rsid w:val="00B7255B"/>
    <w:rsid w:val="00B727F8"/>
    <w:rsid w:val="00B7285D"/>
    <w:rsid w:val="00B7287B"/>
    <w:rsid w:val="00B72907"/>
    <w:rsid w:val="00B72B4A"/>
    <w:rsid w:val="00B72E88"/>
    <w:rsid w:val="00B72EC6"/>
    <w:rsid w:val="00B73162"/>
    <w:rsid w:val="00B736E2"/>
    <w:rsid w:val="00B73C73"/>
    <w:rsid w:val="00B73F17"/>
    <w:rsid w:val="00B740E1"/>
    <w:rsid w:val="00B74685"/>
    <w:rsid w:val="00B747B5"/>
    <w:rsid w:val="00B74A1A"/>
    <w:rsid w:val="00B74AD8"/>
    <w:rsid w:val="00B74B2F"/>
    <w:rsid w:val="00B74F03"/>
    <w:rsid w:val="00B74F2D"/>
    <w:rsid w:val="00B75230"/>
    <w:rsid w:val="00B752D7"/>
    <w:rsid w:val="00B7568E"/>
    <w:rsid w:val="00B758AC"/>
    <w:rsid w:val="00B758B0"/>
    <w:rsid w:val="00B759E8"/>
    <w:rsid w:val="00B75A93"/>
    <w:rsid w:val="00B75AEA"/>
    <w:rsid w:val="00B75DAE"/>
    <w:rsid w:val="00B75FB1"/>
    <w:rsid w:val="00B761F3"/>
    <w:rsid w:val="00B763AB"/>
    <w:rsid w:val="00B765B1"/>
    <w:rsid w:val="00B76919"/>
    <w:rsid w:val="00B76EC1"/>
    <w:rsid w:val="00B76FF1"/>
    <w:rsid w:val="00B77098"/>
    <w:rsid w:val="00B772D3"/>
    <w:rsid w:val="00B77954"/>
    <w:rsid w:val="00B7798D"/>
    <w:rsid w:val="00B77A98"/>
    <w:rsid w:val="00B77B5B"/>
    <w:rsid w:val="00B77D38"/>
    <w:rsid w:val="00B80229"/>
    <w:rsid w:val="00B805DF"/>
    <w:rsid w:val="00B80667"/>
    <w:rsid w:val="00B80880"/>
    <w:rsid w:val="00B808DF"/>
    <w:rsid w:val="00B80A46"/>
    <w:rsid w:val="00B80B9C"/>
    <w:rsid w:val="00B80D0D"/>
    <w:rsid w:val="00B80D8B"/>
    <w:rsid w:val="00B80F04"/>
    <w:rsid w:val="00B811B0"/>
    <w:rsid w:val="00B811F7"/>
    <w:rsid w:val="00B814EA"/>
    <w:rsid w:val="00B8180E"/>
    <w:rsid w:val="00B81945"/>
    <w:rsid w:val="00B819AB"/>
    <w:rsid w:val="00B81CB8"/>
    <w:rsid w:val="00B81DAE"/>
    <w:rsid w:val="00B82031"/>
    <w:rsid w:val="00B82193"/>
    <w:rsid w:val="00B821C9"/>
    <w:rsid w:val="00B821FB"/>
    <w:rsid w:val="00B8237C"/>
    <w:rsid w:val="00B82A65"/>
    <w:rsid w:val="00B82DE0"/>
    <w:rsid w:val="00B82F6B"/>
    <w:rsid w:val="00B83089"/>
    <w:rsid w:val="00B83127"/>
    <w:rsid w:val="00B8329A"/>
    <w:rsid w:val="00B834FE"/>
    <w:rsid w:val="00B839CE"/>
    <w:rsid w:val="00B83C00"/>
    <w:rsid w:val="00B83C09"/>
    <w:rsid w:val="00B83C9D"/>
    <w:rsid w:val="00B83CA8"/>
    <w:rsid w:val="00B83E8A"/>
    <w:rsid w:val="00B8408F"/>
    <w:rsid w:val="00B84282"/>
    <w:rsid w:val="00B843D4"/>
    <w:rsid w:val="00B84678"/>
    <w:rsid w:val="00B8496F"/>
    <w:rsid w:val="00B84A18"/>
    <w:rsid w:val="00B84C50"/>
    <w:rsid w:val="00B84E1F"/>
    <w:rsid w:val="00B84FC2"/>
    <w:rsid w:val="00B85172"/>
    <w:rsid w:val="00B85350"/>
    <w:rsid w:val="00B855AB"/>
    <w:rsid w:val="00B855E6"/>
    <w:rsid w:val="00B8564E"/>
    <w:rsid w:val="00B8593F"/>
    <w:rsid w:val="00B85B5F"/>
    <w:rsid w:val="00B85E5B"/>
    <w:rsid w:val="00B85F4D"/>
    <w:rsid w:val="00B85FAC"/>
    <w:rsid w:val="00B862CE"/>
    <w:rsid w:val="00B8643A"/>
    <w:rsid w:val="00B865CF"/>
    <w:rsid w:val="00B867B5"/>
    <w:rsid w:val="00B86A99"/>
    <w:rsid w:val="00B86C46"/>
    <w:rsid w:val="00B8703F"/>
    <w:rsid w:val="00B87057"/>
    <w:rsid w:val="00B87282"/>
    <w:rsid w:val="00B873DE"/>
    <w:rsid w:val="00B87B80"/>
    <w:rsid w:val="00B87DAE"/>
    <w:rsid w:val="00B87E08"/>
    <w:rsid w:val="00B9003B"/>
    <w:rsid w:val="00B900E7"/>
    <w:rsid w:val="00B90529"/>
    <w:rsid w:val="00B9080F"/>
    <w:rsid w:val="00B90813"/>
    <w:rsid w:val="00B90E3D"/>
    <w:rsid w:val="00B90E74"/>
    <w:rsid w:val="00B91103"/>
    <w:rsid w:val="00B91132"/>
    <w:rsid w:val="00B913CF"/>
    <w:rsid w:val="00B91430"/>
    <w:rsid w:val="00B91533"/>
    <w:rsid w:val="00B918E2"/>
    <w:rsid w:val="00B91A26"/>
    <w:rsid w:val="00B91F21"/>
    <w:rsid w:val="00B9215E"/>
    <w:rsid w:val="00B92269"/>
    <w:rsid w:val="00B9227F"/>
    <w:rsid w:val="00B925FF"/>
    <w:rsid w:val="00B927E1"/>
    <w:rsid w:val="00B92B65"/>
    <w:rsid w:val="00B92BFA"/>
    <w:rsid w:val="00B92CDD"/>
    <w:rsid w:val="00B92EFA"/>
    <w:rsid w:val="00B93244"/>
    <w:rsid w:val="00B932BD"/>
    <w:rsid w:val="00B932DD"/>
    <w:rsid w:val="00B934FA"/>
    <w:rsid w:val="00B9381B"/>
    <w:rsid w:val="00B93AEC"/>
    <w:rsid w:val="00B93DF7"/>
    <w:rsid w:val="00B9425E"/>
    <w:rsid w:val="00B94690"/>
    <w:rsid w:val="00B947A8"/>
    <w:rsid w:val="00B94BDA"/>
    <w:rsid w:val="00B94EA7"/>
    <w:rsid w:val="00B950CA"/>
    <w:rsid w:val="00B9537E"/>
    <w:rsid w:val="00B95729"/>
    <w:rsid w:val="00B9585E"/>
    <w:rsid w:val="00B958FB"/>
    <w:rsid w:val="00B95C6E"/>
    <w:rsid w:val="00B95E7A"/>
    <w:rsid w:val="00B95F8C"/>
    <w:rsid w:val="00B967C2"/>
    <w:rsid w:val="00B96910"/>
    <w:rsid w:val="00B9696C"/>
    <w:rsid w:val="00B96A60"/>
    <w:rsid w:val="00B96B27"/>
    <w:rsid w:val="00B96D1C"/>
    <w:rsid w:val="00B96F66"/>
    <w:rsid w:val="00B976B9"/>
    <w:rsid w:val="00B97722"/>
    <w:rsid w:val="00B97AF7"/>
    <w:rsid w:val="00B97D4F"/>
    <w:rsid w:val="00B97D5C"/>
    <w:rsid w:val="00BA0138"/>
    <w:rsid w:val="00BA027D"/>
    <w:rsid w:val="00BA037D"/>
    <w:rsid w:val="00BA03F0"/>
    <w:rsid w:val="00BA044C"/>
    <w:rsid w:val="00BA09AF"/>
    <w:rsid w:val="00BA0F16"/>
    <w:rsid w:val="00BA0F1D"/>
    <w:rsid w:val="00BA13FB"/>
    <w:rsid w:val="00BA14AD"/>
    <w:rsid w:val="00BA1810"/>
    <w:rsid w:val="00BA1956"/>
    <w:rsid w:val="00BA1972"/>
    <w:rsid w:val="00BA1B66"/>
    <w:rsid w:val="00BA1CF6"/>
    <w:rsid w:val="00BA1D81"/>
    <w:rsid w:val="00BA1E2B"/>
    <w:rsid w:val="00BA1FAC"/>
    <w:rsid w:val="00BA2176"/>
    <w:rsid w:val="00BA21E0"/>
    <w:rsid w:val="00BA251D"/>
    <w:rsid w:val="00BA2A1E"/>
    <w:rsid w:val="00BA2E55"/>
    <w:rsid w:val="00BA2FB7"/>
    <w:rsid w:val="00BA31F1"/>
    <w:rsid w:val="00BA3219"/>
    <w:rsid w:val="00BA3469"/>
    <w:rsid w:val="00BA39B1"/>
    <w:rsid w:val="00BA3E7A"/>
    <w:rsid w:val="00BA4092"/>
    <w:rsid w:val="00BA4163"/>
    <w:rsid w:val="00BA4A5D"/>
    <w:rsid w:val="00BA501C"/>
    <w:rsid w:val="00BA5113"/>
    <w:rsid w:val="00BA5787"/>
    <w:rsid w:val="00BA5836"/>
    <w:rsid w:val="00BA59A0"/>
    <w:rsid w:val="00BA5A8B"/>
    <w:rsid w:val="00BA5C8B"/>
    <w:rsid w:val="00BA5DC6"/>
    <w:rsid w:val="00BA5EB7"/>
    <w:rsid w:val="00BA607A"/>
    <w:rsid w:val="00BA60A5"/>
    <w:rsid w:val="00BA6196"/>
    <w:rsid w:val="00BA61D8"/>
    <w:rsid w:val="00BA64B0"/>
    <w:rsid w:val="00BA65E6"/>
    <w:rsid w:val="00BA66EF"/>
    <w:rsid w:val="00BA69EB"/>
    <w:rsid w:val="00BA6BD6"/>
    <w:rsid w:val="00BA6E3C"/>
    <w:rsid w:val="00BA71CF"/>
    <w:rsid w:val="00BA73CE"/>
    <w:rsid w:val="00BA7FA0"/>
    <w:rsid w:val="00BB053A"/>
    <w:rsid w:val="00BB0769"/>
    <w:rsid w:val="00BB084C"/>
    <w:rsid w:val="00BB1046"/>
    <w:rsid w:val="00BB1433"/>
    <w:rsid w:val="00BB159E"/>
    <w:rsid w:val="00BB18F6"/>
    <w:rsid w:val="00BB1A8C"/>
    <w:rsid w:val="00BB1F05"/>
    <w:rsid w:val="00BB2114"/>
    <w:rsid w:val="00BB25D6"/>
    <w:rsid w:val="00BB2652"/>
    <w:rsid w:val="00BB26A7"/>
    <w:rsid w:val="00BB27DE"/>
    <w:rsid w:val="00BB28CF"/>
    <w:rsid w:val="00BB2954"/>
    <w:rsid w:val="00BB30A9"/>
    <w:rsid w:val="00BB30D2"/>
    <w:rsid w:val="00BB3105"/>
    <w:rsid w:val="00BB315F"/>
    <w:rsid w:val="00BB3191"/>
    <w:rsid w:val="00BB3559"/>
    <w:rsid w:val="00BB3576"/>
    <w:rsid w:val="00BB3679"/>
    <w:rsid w:val="00BB36C0"/>
    <w:rsid w:val="00BB379C"/>
    <w:rsid w:val="00BB3813"/>
    <w:rsid w:val="00BB3AC2"/>
    <w:rsid w:val="00BB3B66"/>
    <w:rsid w:val="00BB3FE2"/>
    <w:rsid w:val="00BB4115"/>
    <w:rsid w:val="00BB441E"/>
    <w:rsid w:val="00BB4472"/>
    <w:rsid w:val="00BB48CD"/>
    <w:rsid w:val="00BB4A8F"/>
    <w:rsid w:val="00BB4B6A"/>
    <w:rsid w:val="00BB5003"/>
    <w:rsid w:val="00BB51F8"/>
    <w:rsid w:val="00BB5504"/>
    <w:rsid w:val="00BB5754"/>
    <w:rsid w:val="00BB58FE"/>
    <w:rsid w:val="00BB5AD2"/>
    <w:rsid w:val="00BB5CD6"/>
    <w:rsid w:val="00BB5E42"/>
    <w:rsid w:val="00BB5F8D"/>
    <w:rsid w:val="00BB5FBB"/>
    <w:rsid w:val="00BB6254"/>
    <w:rsid w:val="00BB67B0"/>
    <w:rsid w:val="00BB68D6"/>
    <w:rsid w:val="00BB69DA"/>
    <w:rsid w:val="00BB6A80"/>
    <w:rsid w:val="00BB6CA9"/>
    <w:rsid w:val="00BB6D54"/>
    <w:rsid w:val="00BB6E5A"/>
    <w:rsid w:val="00BB6E76"/>
    <w:rsid w:val="00BB6E85"/>
    <w:rsid w:val="00BB6ED7"/>
    <w:rsid w:val="00BB71B4"/>
    <w:rsid w:val="00BB7453"/>
    <w:rsid w:val="00BB74A8"/>
    <w:rsid w:val="00BB790B"/>
    <w:rsid w:val="00BB7E47"/>
    <w:rsid w:val="00BC0459"/>
    <w:rsid w:val="00BC0AF0"/>
    <w:rsid w:val="00BC0DD1"/>
    <w:rsid w:val="00BC0E32"/>
    <w:rsid w:val="00BC0EDA"/>
    <w:rsid w:val="00BC11FD"/>
    <w:rsid w:val="00BC127C"/>
    <w:rsid w:val="00BC17D9"/>
    <w:rsid w:val="00BC18AB"/>
    <w:rsid w:val="00BC18FE"/>
    <w:rsid w:val="00BC1926"/>
    <w:rsid w:val="00BC1A5C"/>
    <w:rsid w:val="00BC1ACD"/>
    <w:rsid w:val="00BC1C2E"/>
    <w:rsid w:val="00BC1E8B"/>
    <w:rsid w:val="00BC21E7"/>
    <w:rsid w:val="00BC23AB"/>
    <w:rsid w:val="00BC23FE"/>
    <w:rsid w:val="00BC25C5"/>
    <w:rsid w:val="00BC25E5"/>
    <w:rsid w:val="00BC26CB"/>
    <w:rsid w:val="00BC27A0"/>
    <w:rsid w:val="00BC2B38"/>
    <w:rsid w:val="00BC2BAB"/>
    <w:rsid w:val="00BC2C71"/>
    <w:rsid w:val="00BC2D3D"/>
    <w:rsid w:val="00BC2E0E"/>
    <w:rsid w:val="00BC2E13"/>
    <w:rsid w:val="00BC2EAB"/>
    <w:rsid w:val="00BC3097"/>
    <w:rsid w:val="00BC31D3"/>
    <w:rsid w:val="00BC335E"/>
    <w:rsid w:val="00BC34E1"/>
    <w:rsid w:val="00BC38F5"/>
    <w:rsid w:val="00BC3D1C"/>
    <w:rsid w:val="00BC3D99"/>
    <w:rsid w:val="00BC3F73"/>
    <w:rsid w:val="00BC4434"/>
    <w:rsid w:val="00BC46A9"/>
    <w:rsid w:val="00BC4A16"/>
    <w:rsid w:val="00BC4D41"/>
    <w:rsid w:val="00BC53CB"/>
    <w:rsid w:val="00BC582E"/>
    <w:rsid w:val="00BC5BB4"/>
    <w:rsid w:val="00BC616D"/>
    <w:rsid w:val="00BC61EE"/>
    <w:rsid w:val="00BC6248"/>
    <w:rsid w:val="00BC6258"/>
    <w:rsid w:val="00BC6380"/>
    <w:rsid w:val="00BC6A51"/>
    <w:rsid w:val="00BC6BD7"/>
    <w:rsid w:val="00BC6D8C"/>
    <w:rsid w:val="00BC716A"/>
    <w:rsid w:val="00BC7C60"/>
    <w:rsid w:val="00BC7E95"/>
    <w:rsid w:val="00BC7F96"/>
    <w:rsid w:val="00BD00AF"/>
    <w:rsid w:val="00BD012D"/>
    <w:rsid w:val="00BD01A7"/>
    <w:rsid w:val="00BD0247"/>
    <w:rsid w:val="00BD07AA"/>
    <w:rsid w:val="00BD0879"/>
    <w:rsid w:val="00BD0CBC"/>
    <w:rsid w:val="00BD0D17"/>
    <w:rsid w:val="00BD111E"/>
    <w:rsid w:val="00BD1412"/>
    <w:rsid w:val="00BD14D0"/>
    <w:rsid w:val="00BD16AE"/>
    <w:rsid w:val="00BD1C47"/>
    <w:rsid w:val="00BD1F8E"/>
    <w:rsid w:val="00BD2000"/>
    <w:rsid w:val="00BD2278"/>
    <w:rsid w:val="00BD23C1"/>
    <w:rsid w:val="00BD2459"/>
    <w:rsid w:val="00BD2A8C"/>
    <w:rsid w:val="00BD2FA1"/>
    <w:rsid w:val="00BD2FB3"/>
    <w:rsid w:val="00BD307B"/>
    <w:rsid w:val="00BD30D4"/>
    <w:rsid w:val="00BD3218"/>
    <w:rsid w:val="00BD3359"/>
    <w:rsid w:val="00BD3828"/>
    <w:rsid w:val="00BD3968"/>
    <w:rsid w:val="00BD3BC7"/>
    <w:rsid w:val="00BD3D0D"/>
    <w:rsid w:val="00BD3F91"/>
    <w:rsid w:val="00BD4566"/>
    <w:rsid w:val="00BD45E1"/>
    <w:rsid w:val="00BD49A9"/>
    <w:rsid w:val="00BD4B87"/>
    <w:rsid w:val="00BD51CF"/>
    <w:rsid w:val="00BD521E"/>
    <w:rsid w:val="00BD532F"/>
    <w:rsid w:val="00BD5554"/>
    <w:rsid w:val="00BD5708"/>
    <w:rsid w:val="00BD578A"/>
    <w:rsid w:val="00BD5B91"/>
    <w:rsid w:val="00BD5F06"/>
    <w:rsid w:val="00BD5FC7"/>
    <w:rsid w:val="00BD60B5"/>
    <w:rsid w:val="00BD66EA"/>
    <w:rsid w:val="00BD692A"/>
    <w:rsid w:val="00BD6FF7"/>
    <w:rsid w:val="00BD7B8D"/>
    <w:rsid w:val="00BD7C49"/>
    <w:rsid w:val="00BD7CD5"/>
    <w:rsid w:val="00BE01DD"/>
    <w:rsid w:val="00BE0296"/>
    <w:rsid w:val="00BE0805"/>
    <w:rsid w:val="00BE0F6A"/>
    <w:rsid w:val="00BE1012"/>
    <w:rsid w:val="00BE12BA"/>
    <w:rsid w:val="00BE12E7"/>
    <w:rsid w:val="00BE1481"/>
    <w:rsid w:val="00BE15C8"/>
    <w:rsid w:val="00BE18D9"/>
    <w:rsid w:val="00BE1929"/>
    <w:rsid w:val="00BE194F"/>
    <w:rsid w:val="00BE1CCD"/>
    <w:rsid w:val="00BE1D0A"/>
    <w:rsid w:val="00BE1D56"/>
    <w:rsid w:val="00BE1EBA"/>
    <w:rsid w:val="00BE2047"/>
    <w:rsid w:val="00BE20CE"/>
    <w:rsid w:val="00BE232E"/>
    <w:rsid w:val="00BE24A4"/>
    <w:rsid w:val="00BE296E"/>
    <w:rsid w:val="00BE2CDE"/>
    <w:rsid w:val="00BE2EAC"/>
    <w:rsid w:val="00BE30D5"/>
    <w:rsid w:val="00BE3242"/>
    <w:rsid w:val="00BE3891"/>
    <w:rsid w:val="00BE3A4A"/>
    <w:rsid w:val="00BE3A6B"/>
    <w:rsid w:val="00BE3C29"/>
    <w:rsid w:val="00BE3C41"/>
    <w:rsid w:val="00BE3F96"/>
    <w:rsid w:val="00BE4007"/>
    <w:rsid w:val="00BE4290"/>
    <w:rsid w:val="00BE4347"/>
    <w:rsid w:val="00BE4451"/>
    <w:rsid w:val="00BE4591"/>
    <w:rsid w:val="00BE463C"/>
    <w:rsid w:val="00BE4930"/>
    <w:rsid w:val="00BE4E01"/>
    <w:rsid w:val="00BE5464"/>
    <w:rsid w:val="00BE55C0"/>
    <w:rsid w:val="00BE57A2"/>
    <w:rsid w:val="00BE57F4"/>
    <w:rsid w:val="00BE5834"/>
    <w:rsid w:val="00BE59F8"/>
    <w:rsid w:val="00BE5FE0"/>
    <w:rsid w:val="00BE600F"/>
    <w:rsid w:val="00BE67DE"/>
    <w:rsid w:val="00BE6CE9"/>
    <w:rsid w:val="00BE716F"/>
    <w:rsid w:val="00BE75A5"/>
    <w:rsid w:val="00BE79AE"/>
    <w:rsid w:val="00BE7AA3"/>
    <w:rsid w:val="00BF003B"/>
    <w:rsid w:val="00BF0319"/>
    <w:rsid w:val="00BF0395"/>
    <w:rsid w:val="00BF03B0"/>
    <w:rsid w:val="00BF03CA"/>
    <w:rsid w:val="00BF0710"/>
    <w:rsid w:val="00BF07A0"/>
    <w:rsid w:val="00BF0A3D"/>
    <w:rsid w:val="00BF0D58"/>
    <w:rsid w:val="00BF0D80"/>
    <w:rsid w:val="00BF0EF0"/>
    <w:rsid w:val="00BF0F95"/>
    <w:rsid w:val="00BF0FCD"/>
    <w:rsid w:val="00BF13B4"/>
    <w:rsid w:val="00BF1493"/>
    <w:rsid w:val="00BF1758"/>
    <w:rsid w:val="00BF1786"/>
    <w:rsid w:val="00BF1891"/>
    <w:rsid w:val="00BF1B11"/>
    <w:rsid w:val="00BF1E18"/>
    <w:rsid w:val="00BF1F08"/>
    <w:rsid w:val="00BF2293"/>
    <w:rsid w:val="00BF27F3"/>
    <w:rsid w:val="00BF291A"/>
    <w:rsid w:val="00BF2F3A"/>
    <w:rsid w:val="00BF34A5"/>
    <w:rsid w:val="00BF3525"/>
    <w:rsid w:val="00BF3CB3"/>
    <w:rsid w:val="00BF4011"/>
    <w:rsid w:val="00BF4385"/>
    <w:rsid w:val="00BF44C7"/>
    <w:rsid w:val="00BF46D9"/>
    <w:rsid w:val="00BF4B52"/>
    <w:rsid w:val="00BF4D5E"/>
    <w:rsid w:val="00BF4EB4"/>
    <w:rsid w:val="00BF4EC4"/>
    <w:rsid w:val="00BF4ED3"/>
    <w:rsid w:val="00BF4EF9"/>
    <w:rsid w:val="00BF5109"/>
    <w:rsid w:val="00BF598B"/>
    <w:rsid w:val="00BF59BE"/>
    <w:rsid w:val="00BF59D4"/>
    <w:rsid w:val="00BF5AEA"/>
    <w:rsid w:val="00BF5AF9"/>
    <w:rsid w:val="00BF5DF7"/>
    <w:rsid w:val="00BF5F71"/>
    <w:rsid w:val="00BF6038"/>
    <w:rsid w:val="00BF6040"/>
    <w:rsid w:val="00BF61A0"/>
    <w:rsid w:val="00BF6559"/>
    <w:rsid w:val="00BF66C8"/>
    <w:rsid w:val="00BF67FE"/>
    <w:rsid w:val="00BF6A96"/>
    <w:rsid w:val="00BF6C43"/>
    <w:rsid w:val="00BF6CD6"/>
    <w:rsid w:val="00BF72C3"/>
    <w:rsid w:val="00BF72FB"/>
    <w:rsid w:val="00BF73B0"/>
    <w:rsid w:val="00BF7415"/>
    <w:rsid w:val="00BF742A"/>
    <w:rsid w:val="00BF758F"/>
    <w:rsid w:val="00BF7ABE"/>
    <w:rsid w:val="00BF7C1A"/>
    <w:rsid w:val="00BF7EA7"/>
    <w:rsid w:val="00BF7F5F"/>
    <w:rsid w:val="00C00273"/>
    <w:rsid w:val="00C0035D"/>
    <w:rsid w:val="00C0091D"/>
    <w:rsid w:val="00C00E04"/>
    <w:rsid w:val="00C00E24"/>
    <w:rsid w:val="00C00FC6"/>
    <w:rsid w:val="00C01029"/>
    <w:rsid w:val="00C0102C"/>
    <w:rsid w:val="00C01063"/>
    <w:rsid w:val="00C01182"/>
    <w:rsid w:val="00C014D4"/>
    <w:rsid w:val="00C014EB"/>
    <w:rsid w:val="00C015C5"/>
    <w:rsid w:val="00C01D54"/>
    <w:rsid w:val="00C01DB8"/>
    <w:rsid w:val="00C01DDF"/>
    <w:rsid w:val="00C020A1"/>
    <w:rsid w:val="00C020AA"/>
    <w:rsid w:val="00C020AB"/>
    <w:rsid w:val="00C02292"/>
    <w:rsid w:val="00C02986"/>
    <w:rsid w:val="00C029B2"/>
    <w:rsid w:val="00C02A43"/>
    <w:rsid w:val="00C02A5A"/>
    <w:rsid w:val="00C02A97"/>
    <w:rsid w:val="00C02C0F"/>
    <w:rsid w:val="00C02C9F"/>
    <w:rsid w:val="00C02CB9"/>
    <w:rsid w:val="00C02D7A"/>
    <w:rsid w:val="00C02EA2"/>
    <w:rsid w:val="00C02ECA"/>
    <w:rsid w:val="00C03166"/>
    <w:rsid w:val="00C03379"/>
    <w:rsid w:val="00C0349C"/>
    <w:rsid w:val="00C03B0E"/>
    <w:rsid w:val="00C03BA7"/>
    <w:rsid w:val="00C03C95"/>
    <w:rsid w:val="00C03E54"/>
    <w:rsid w:val="00C04073"/>
    <w:rsid w:val="00C04572"/>
    <w:rsid w:val="00C045E4"/>
    <w:rsid w:val="00C0469A"/>
    <w:rsid w:val="00C04BA5"/>
    <w:rsid w:val="00C04BBC"/>
    <w:rsid w:val="00C04BC1"/>
    <w:rsid w:val="00C04EC4"/>
    <w:rsid w:val="00C05792"/>
    <w:rsid w:val="00C0587B"/>
    <w:rsid w:val="00C058FD"/>
    <w:rsid w:val="00C05AD1"/>
    <w:rsid w:val="00C05F1B"/>
    <w:rsid w:val="00C05FDF"/>
    <w:rsid w:val="00C06199"/>
    <w:rsid w:val="00C061DF"/>
    <w:rsid w:val="00C06317"/>
    <w:rsid w:val="00C0658B"/>
    <w:rsid w:val="00C06AF6"/>
    <w:rsid w:val="00C06BF2"/>
    <w:rsid w:val="00C06DBB"/>
    <w:rsid w:val="00C06F60"/>
    <w:rsid w:val="00C0776F"/>
    <w:rsid w:val="00C0784B"/>
    <w:rsid w:val="00C07958"/>
    <w:rsid w:val="00C07BFF"/>
    <w:rsid w:val="00C07CA0"/>
    <w:rsid w:val="00C07DAB"/>
    <w:rsid w:val="00C101DE"/>
    <w:rsid w:val="00C10370"/>
    <w:rsid w:val="00C10376"/>
    <w:rsid w:val="00C103C6"/>
    <w:rsid w:val="00C1056B"/>
    <w:rsid w:val="00C105D9"/>
    <w:rsid w:val="00C107A5"/>
    <w:rsid w:val="00C1084E"/>
    <w:rsid w:val="00C109BD"/>
    <w:rsid w:val="00C1109F"/>
    <w:rsid w:val="00C1111C"/>
    <w:rsid w:val="00C1128F"/>
    <w:rsid w:val="00C11381"/>
    <w:rsid w:val="00C11421"/>
    <w:rsid w:val="00C1181B"/>
    <w:rsid w:val="00C1185C"/>
    <w:rsid w:val="00C11A2B"/>
    <w:rsid w:val="00C120B3"/>
    <w:rsid w:val="00C121C2"/>
    <w:rsid w:val="00C1227F"/>
    <w:rsid w:val="00C12436"/>
    <w:rsid w:val="00C124B6"/>
    <w:rsid w:val="00C1264B"/>
    <w:rsid w:val="00C12651"/>
    <w:rsid w:val="00C12C30"/>
    <w:rsid w:val="00C13070"/>
    <w:rsid w:val="00C130F4"/>
    <w:rsid w:val="00C1333E"/>
    <w:rsid w:val="00C134DA"/>
    <w:rsid w:val="00C135B8"/>
    <w:rsid w:val="00C13A40"/>
    <w:rsid w:val="00C13DAC"/>
    <w:rsid w:val="00C13F64"/>
    <w:rsid w:val="00C14087"/>
    <w:rsid w:val="00C14262"/>
    <w:rsid w:val="00C144B3"/>
    <w:rsid w:val="00C144FD"/>
    <w:rsid w:val="00C1450A"/>
    <w:rsid w:val="00C1466B"/>
    <w:rsid w:val="00C14D71"/>
    <w:rsid w:val="00C15224"/>
    <w:rsid w:val="00C15299"/>
    <w:rsid w:val="00C15366"/>
    <w:rsid w:val="00C15869"/>
    <w:rsid w:val="00C15BDF"/>
    <w:rsid w:val="00C15F67"/>
    <w:rsid w:val="00C16064"/>
    <w:rsid w:val="00C16255"/>
    <w:rsid w:val="00C16287"/>
    <w:rsid w:val="00C1699F"/>
    <w:rsid w:val="00C16AF2"/>
    <w:rsid w:val="00C16F8F"/>
    <w:rsid w:val="00C17106"/>
    <w:rsid w:val="00C17370"/>
    <w:rsid w:val="00C174F0"/>
    <w:rsid w:val="00C1782A"/>
    <w:rsid w:val="00C17CE0"/>
    <w:rsid w:val="00C17E23"/>
    <w:rsid w:val="00C200B0"/>
    <w:rsid w:val="00C2029F"/>
    <w:rsid w:val="00C203B1"/>
    <w:rsid w:val="00C206F8"/>
    <w:rsid w:val="00C20733"/>
    <w:rsid w:val="00C20851"/>
    <w:rsid w:val="00C20BAE"/>
    <w:rsid w:val="00C20C64"/>
    <w:rsid w:val="00C20E2B"/>
    <w:rsid w:val="00C2102B"/>
    <w:rsid w:val="00C2113C"/>
    <w:rsid w:val="00C21167"/>
    <w:rsid w:val="00C21202"/>
    <w:rsid w:val="00C213FE"/>
    <w:rsid w:val="00C2177A"/>
    <w:rsid w:val="00C21857"/>
    <w:rsid w:val="00C219D7"/>
    <w:rsid w:val="00C21B1B"/>
    <w:rsid w:val="00C21B3B"/>
    <w:rsid w:val="00C21EC0"/>
    <w:rsid w:val="00C21F4D"/>
    <w:rsid w:val="00C21F82"/>
    <w:rsid w:val="00C22045"/>
    <w:rsid w:val="00C222E1"/>
    <w:rsid w:val="00C22730"/>
    <w:rsid w:val="00C22895"/>
    <w:rsid w:val="00C228E6"/>
    <w:rsid w:val="00C22CE9"/>
    <w:rsid w:val="00C230A2"/>
    <w:rsid w:val="00C23264"/>
    <w:rsid w:val="00C233AF"/>
    <w:rsid w:val="00C237D7"/>
    <w:rsid w:val="00C23C4C"/>
    <w:rsid w:val="00C23C85"/>
    <w:rsid w:val="00C23E8B"/>
    <w:rsid w:val="00C23EDD"/>
    <w:rsid w:val="00C240A7"/>
    <w:rsid w:val="00C2439A"/>
    <w:rsid w:val="00C2492D"/>
    <w:rsid w:val="00C24941"/>
    <w:rsid w:val="00C249D5"/>
    <w:rsid w:val="00C24BE6"/>
    <w:rsid w:val="00C24F33"/>
    <w:rsid w:val="00C25185"/>
    <w:rsid w:val="00C255D0"/>
    <w:rsid w:val="00C257C3"/>
    <w:rsid w:val="00C2595D"/>
    <w:rsid w:val="00C25B0E"/>
    <w:rsid w:val="00C2602E"/>
    <w:rsid w:val="00C260EC"/>
    <w:rsid w:val="00C26281"/>
    <w:rsid w:val="00C265D3"/>
    <w:rsid w:val="00C266AC"/>
    <w:rsid w:val="00C26730"/>
    <w:rsid w:val="00C2687D"/>
    <w:rsid w:val="00C269DB"/>
    <w:rsid w:val="00C26D08"/>
    <w:rsid w:val="00C270EC"/>
    <w:rsid w:val="00C2712E"/>
    <w:rsid w:val="00C27246"/>
    <w:rsid w:val="00C27397"/>
    <w:rsid w:val="00C27417"/>
    <w:rsid w:val="00C2774C"/>
    <w:rsid w:val="00C277B8"/>
    <w:rsid w:val="00C27CEA"/>
    <w:rsid w:val="00C27F6B"/>
    <w:rsid w:val="00C306D4"/>
    <w:rsid w:val="00C30710"/>
    <w:rsid w:val="00C30BAA"/>
    <w:rsid w:val="00C30E2C"/>
    <w:rsid w:val="00C30ECA"/>
    <w:rsid w:val="00C30FBA"/>
    <w:rsid w:val="00C311BE"/>
    <w:rsid w:val="00C311CD"/>
    <w:rsid w:val="00C312D2"/>
    <w:rsid w:val="00C31315"/>
    <w:rsid w:val="00C31679"/>
    <w:rsid w:val="00C317CC"/>
    <w:rsid w:val="00C3188B"/>
    <w:rsid w:val="00C31ADE"/>
    <w:rsid w:val="00C31EB5"/>
    <w:rsid w:val="00C31EFD"/>
    <w:rsid w:val="00C31F8E"/>
    <w:rsid w:val="00C32227"/>
    <w:rsid w:val="00C3234C"/>
    <w:rsid w:val="00C324C5"/>
    <w:rsid w:val="00C32640"/>
    <w:rsid w:val="00C328B2"/>
    <w:rsid w:val="00C3293D"/>
    <w:rsid w:val="00C32CB9"/>
    <w:rsid w:val="00C32D1D"/>
    <w:rsid w:val="00C32E18"/>
    <w:rsid w:val="00C32EAD"/>
    <w:rsid w:val="00C32F8A"/>
    <w:rsid w:val="00C33143"/>
    <w:rsid w:val="00C33316"/>
    <w:rsid w:val="00C33461"/>
    <w:rsid w:val="00C3356C"/>
    <w:rsid w:val="00C335E9"/>
    <w:rsid w:val="00C335EF"/>
    <w:rsid w:val="00C33668"/>
    <w:rsid w:val="00C336E5"/>
    <w:rsid w:val="00C3388E"/>
    <w:rsid w:val="00C33AF1"/>
    <w:rsid w:val="00C33F84"/>
    <w:rsid w:val="00C34006"/>
    <w:rsid w:val="00C3420A"/>
    <w:rsid w:val="00C343A2"/>
    <w:rsid w:val="00C34434"/>
    <w:rsid w:val="00C34492"/>
    <w:rsid w:val="00C34517"/>
    <w:rsid w:val="00C3458C"/>
    <w:rsid w:val="00C3459E"/>
    <w:rsid w:val="00C34653"/>
    <w:rsid w:val="00C3479A"/>
    <w:rsid w:val="00C34940"/>
    <w:rsid w:val="00C34CAB"/>
    <w:rsid w:val="00C34CE7"/>
    <w:rsid w:val="00C34E45"/>
    <w:rsid w:val="00C35340"/>
    <w:rsid w:val="00C353A0"/>
    <w:rsid w:val="00C353A5"/>
    <w:rsid w:val="00C353D6"/>
    <w:rsid w:val="00C355EF"/>
    <w:rsid w:val="00C359C2"/>
    <w:rsid w:val="00C35AB9"/>
    <w:rsid w:val="00C35C16"/>
    <w:rsid w:val="00C35FA1"/>
    <w:rsid w:val="00C36128"/>
    <w:rsid w:val="00C36254"/>
    <w:rsid w:val="00C36290"/>
    <w:rsid w:val="00C363D1"/>
    <w:rsid w:val="00C364BE"/>
    <w:rsid w:val="00C3664A"/>
    <w:rsid w:val="00C36A45"/>
    <w:rsid w:val="00C36C30"/>
    <w:rsid w:val="00C36CBF"/>
    <w:rsid w:val="00C36D32"/>
    <w:rsid w:val="00C36EB1"/>
    <w:rsid w:val="00C370A3"/>
    <w:rsid w:val="00C37111"/>
    <w:rsid w:val="00C37172"/>
    <w:rsid w:val="00C3722D"/>
    <w:rsid w:val="00C37362"/>
    <w:rsid w:val="00C374D1"/>
    <w:rsid w:val="00C37541"/>
    <w:rsid w:val="00C3773C"/>
    <w:rsid w:val="00C3793A"/>
    <w:rsid w:val="00C37A86"/>
    <w:rsid w:val="00C37B37"/>
    <w:rsid w:val="00C37B3D"/>
    <w:rsid w:val="00C37E7D"/>
    <w:rsid w:val="00C402AA"/>
    <w:rsid w:val="00C402FE"/>
    <w:rsid w:val="00C40330"/>
    <w:rsid w:val="00C405B3"/>
    <w:rsid w:val="00C406C0"/>
    <w:rsid w:val="00C40870"/>
    <w:rsid w:val="00C40B75"/>
    <w:rsid w:val="00C40E43"/>
    <w:rsid w:val="00C4101B"/>
    <w:rsid w:val="00C41061"/>
    <w:rsid w:val="00C4115D"/>
    <w:rsid w:val="00C4157B"/>
    <w:rsid w:val="00C41978"/>
    <w:rsid w:val="00C419CF"/>
    <w:rsid w:val="00C41DCA"/>
    <w:rsid w:val="00C41E14"/>
    <w:rsid w:val="00C41E40"/>
    <w:rsid w:val="00C41E8E"/>
    <w:rsid w:val="00C41EF1"/>
    <w:rsid w:val="00C421D5"/>
    <w:rsid w:val="00C4235C"/>
    <w:rsid w:val="00C423B3"/>
    <w:rsid w:val="00C426B1"/>
    <w:rsid w:val="00C42775"/>
    <w:rsid w:val="00C42C24"/>
    <w:rsid w:val="00C42D98"/>
    <w:rsid w:val="00C42F91"/>
    <w:rsid w:val="00C4304E"/>
    <w:rsid w:val="00C43085"/>
    <w:rsid w:val="00C4326A"/>
    <w:rsid w:val="00C43467"/>
    <w:rsid w:val="00C43677"/>
    <w:rsid w:val="00C4379A"/>
    <w:rsid w:val="00C43A05"/>
    <w:rsid w:val="00C43CCF"/>
    <w:rsid w:val="00C43D02"/>
    <w:rsid w:val="00C44803"/>
    <w:rsid w:val="00C452AA"/>
    <w:rsid w:val="00C452AB"/>
    <w:rsid w:val="00C4540F"/>
    <w:rsid w:val="00C4545E"/>
    <w:rsid w:val="00C456C5"/>
    <w:rsid w:val="00C457B6"/>
    <w:rsid w:val="00C45B25"/>
    <w:rsid w:val="00C45B53"/>
    <w:rsid w:val="00C45C4C"/>
    <w:rsid w:val="00C45D6E"/>
    <w:rsid w:val="00C45E44"/>
    <w:rsid w:val="00C460D8"/>
    <w:rsid w:val="00C460D9"/>
    <w:rsid w:val="00C46288"/>
    <w:rsid w:val="00C467F2"/>
    <w:rsid w:val="00C46D23"/>
    <w:rsid w:val="00C46F42"/>
    <w:rsid w:val="00C46FE7"/>
    <w:rsid w:val="00C472CC"/>
    <w:rsid w:val="00C473C7"/>
    <w:rsid w:val="00C47525"/>
    <w:rsid w:val="00C475B5"/>
    <w:rsid w:val="00C475F2"/>
    <w:rsid w:val="00C47B44"/>
    <w:rsid w:val="00C47B4B"/>
    <w:rsid w:val="00C47BAE"/>
    <w:rsid w:val="00C47C4E"/>
    <w:rsid w:val="00C47D02"/>
    <w:rsid w:val="00C47FC3"/>
    <w:rsid w:val="00C5017F"/>
    <w:rsid w:val="00C50242"/>
    <w:rsid w:val="00C503CA"/>
    <w:rsid w:val="00C503D8"/>
    <w:rsid w:val="00C5078F"/>
    <w:rsid w:val="00C50835"/>
    <w:rsid w:val="00C50AD7"/>
    <w:rsid w:val="00C50D79"/>
    <w:rsid w:val="00C50DF3"/>
    <w:rsid w:val="00C50F1B"/>
    <w:rsid w:val="00C513D5"/>
    <w:rsid w:val="00C51805"/>
    <w:rsid w:val="00C51E01"/>
    <w:rsid w:val="00C51F71"/>
    <w:rsid w:val="00C52094"/>
    <w:rsid w:val="00C52096"/>
    <w:rsid w:val="00C520DD"/>
    <w:rsid w:val="00C52363"/>
    <w:rsid w:val="00C52364"/>
    <w:rsid w:val="00C525DF"/>
    <w:rsid w:val="00C526D4"/>
    <w:rsid w:val="00C528BB"/>
    <w:rsid w:val="00C52C80"/>
    <w:rsid w:val="00C52CE2"/>
    <w:rsid w:val="00C52CF2"/>
    <w:rsid w:val="00C52FBC"/>
    <w:rsid w:val="00C532CD"/>
    <w:rsid w:val="00C53465"/>
    <w:rsid w:val="00C535E5"/>
    <w:rsid w:val="00C536E0"/>
    <w:rsid w:val="00C5378B"/>
    <w:rsid w:val="00C537A4"/>
    <w:rsid w:val="00C53BAD"/>
    <w:rsid w:val="00C53DB6"/>
    <w:rsid w:val="00C53E71"/>
    <w:rsid w:val="00C5411D"/>
    <w:rsid w:val="00C54145"/>
    <w:rsid w:val="00C541C5"/>
    <w:rsid w:val="00C54267"/>
    <w:rsid w:val="00C5439E"/>
    <w:rsid w:val="00C54652"/>
    <w:rsid w:val="00C5475F"/>
    <w:rsid w:val="00C54BC6"/>
    <w:rsid w:val="00C54DB4"/>
    <w:rsid w:val="00C54F9B"/>
    <w:rsid w:val="00C55089"/>
    <w:rsid w:val="00C551B8"/>
    <w:rsid w:val="00C55234"/>
    <w:rsid w:val="00C55286"/>
    <w:rsid w:val="00C554A4"/>
    <w:rsid w:val="00C55559"/>
    <w:rsid w:val="00C5565B"/>
    <w:rsid w:val="00C556AD"/>
    <w:rsid w:val="00C557A4"/>
    <w:rsid w:val="00C5584D"/>
    <w:rsid w:val="00C55B91"/>
    <w:rsid w:val="00C55E3A"/>
    <w:rsid w:val="00C56049"/>
    <w:rsid w:val="00C56152"/>
    <w:rsid w:val="00C561E2"/>
    <w:rsid w:val="00C561E3"/>
    <w:rsid w:val="00C5650D"/>
    <w:rsid w:val="00C5651D"/>
    <w:rsid w:val="00C56798"/>
    <w:rsid w:val="00C56AFE"/>
    <w:rsid w:val="00C56C27"/>
    <w:rsid w:val="00C56CD0"/>
    <w:rsid w:val="00C56D6E"/>
    <w:rsid w:val="00C56EC4"/>
    <w:rsid w:val="00C5719E"/>
    <w:rsid w:val="00C5723A"/>
    <w:rsid w:val="00C5788C"/>
    <w:rsid w:val="00C57F37"/>
    <w:rsid w:val="00C600BF"/>
    <w:rsid w:val="00C602A8"/>
    <w:rsid w:val="00C603A1"/>
    <w:rsid w:val="00C60499"/>
    <w:rsid w:val="00C60703"/>
    <w:rsid w:val="00C60AD4"/>
    <w:rsid w:val="00C60E33"/>
    <w:rsid w:val="00C610BE"/>
    <w:rsid w:val="00C611A0"/>
    <w:rsid w:val="00C61628"/>
    <w:rsid w:val="00C61643"/>
    <w:rsid w:val="00C61696"/>
    <w:rsid w:val="00C61761"/>
    <w:rsid w:val="00C6193E"/>
    <w:rsid w:val="00C619DF"/>
    <w:rsid w:val="00C61C4B"/>
    <w:rsid w:val="00C61D6B"/>
    <w:rsid w:val="00C61E71"/>
    <w:rsid w:val="00C61EEA"/>
    <w:rsid w:val="00C61F72"/>
    <w:rsid w:val="00C620BF"/>
    <w:rsid w:val="00C6212E"/>
    <w:rsid w:val="00C62284"/>
    <w:rsid w:val="00C62637"/>
    <w:rsid w:val="00C627AE"/>
    <w:rsid w:val="00C62BD1"/>
    <w:rsid w:val="00C631B4"/>
    <w:rsid w:val="00C6352A"/>
    <w:rsid w:val="00C6363F"/>
    <w:rsid w:val="00C636D7"/>
    <w:rsid w:val="00C6382D"/>
    <w:rsid w:val="00C638AB"/>
    <w:rsid w:val="00C63A2E"/>
    <w:rsid w:val="00C63CE2"/>
    <w:rsid w:val="00C63E2F"/>
    <w:rsid w:val="00C640FC"/>
    <w:rsid w:val="00C6414A"/>
    <w:rsid w:val="00C644DE"/>
    <w:rsid w:val="00C64E6D"/>
    <w:rsid w:val="00C64ED1"/>
    <w:rsid w:val="00C64F39"/>
    <w:rsid w:val="00C65024"/>
    <w:rsid w:val="00C6516C"/>
    <w:rsid w:val="00C655DE"/>
    <w:rsid w:val="00C6563E"/>
    <w:rsid w:val="00C6576B"/>
    <w:rsid w:val="00C65B10"/>
    <w:rsid w:val="00C65C68"/>
    <w:rsid w:val="00C65D2E"/>
    <w:rsid w:val="00C66008"/>
    <w:rsid w:val="00C6603D"/>
    <w:rsid w:val="00C661CC"/>
    <w:rsid w:val="00C66479"/>
    <w:rsid w:val="00C666F4"/>
    <w:rsid w:val="00C66C5D"/>
    <w:rsid w:val="00C66EA4"/>
    <w:rsid w:val="00C67300"/>
    <w:rsid w:val="00C67334"/>
    <w:rsid w:val="00C67ABE"/>
    <w:rsid w:val="00C67D6A"/>
    <w:rsid w:val="00C7001C"/>
    <w:rsid w:val="00C700E4"/>
    <w:rsid w:val="00C700EE"/>
    <w:rsid w:val="00C702AA"/>
    <w:rsid w:val="00C704A9"/>
    <w:rsid w:val="00C7067F"/>
    <w:rsid w:val="00C70892"/>
    <w:rsid w:val="00C709AC"/>
    <w:rsid w:val="00C70E58"/>
    <w:rsid w:val="00C70F05"/>
    <w:rsid w:val="00C70F29"/>
    <w:rsid w:val="00C71199"/>
    <w:rsid w:val="00C712A4"/>
    <w:rsid w:val="00C712E6"/>
    <w:rsid w:val="00C71445"/>
    <w:rsid w:val="00C715E0"/>
    <w:rsid w:val="00C716CB"/>
    <w:rsid w:val="00C71772"/>
    <w:rsid w:val="00C71BEE"/>
    <w:rsid w:val="00C71BF7"/>
    <w:rsid w:val="00C71CAB"/>
    <w:rsid w:val="00C71D8D"/>
    <w:rsid w:val="00C7212B"/>
    <w:rsid w:val="00C721EA"/>
    <w:rsid w:val="00C72420"/>
    <w:rsid w:val="00C72B15"/>
    <w:rsid w:val="00C72B3C"/>
    <w:rsid w:val="00C72DDC"/>
    <w:rsid w:val="00C72ECC"/>
    <w:rsid w:val="00C72F77"/>
    <w:rsid w:val="00C72FB3"/>
    <w:rsid w:val="00C73427"/>
    <w:rsid w:val="00C734B6"/>
    <w:rsid w:val="00C7358E"/>
    <w:rsid w:val="00C73772"/>
    <w:rsid w:val="00C7382F"/>
    <w:rsid w:val="00C73830"/>
    <w:rsid w:val="00C738AF"/>
    <w:rsid w:val="00C73933"/>
    <w:rsid w:val="00C739A6"/>
    <w:rsid w:val="00C73B5C"/>
    <w:rsid w:val="00C73B8A"/>
    <w:rsid w:val="00C73DE6"/>
    <w:rsid w:val="00C7405E"/>
    <w:rsid w:val="00C740B0"/>
    <w:rsid w:val="00C744B4"/>
    <w:rsid w:val="00C746AD"/>
    <w:rsid w:val="00C74868"/>
    <w:rsid w:val="00C74892"/>
    <w:rsid w:val="00C74B60"/>
    <w:rsid w:val="00C74F02"/>
    <w:rsid w:val="00C7534C"/>
    <w:rsid w:val="00C754A9"/>
    <w:rsid w:val="00C75982"/>
    <w:rsid w:val="00C75B28"/>
    <w:rsid w:val="00C75B46"/>
    <w:rsid w:val="00C761D2"/>
    <w:rsid w:val="00C7622C"/>
    <w:rsid w:val="00C76275"/>
    <w:rsid w:val="00C76390"/>
    <w:rsid w:val="00C76676"/>
    <w:rsid w:val="00C76765"/>
    <w:rsid w:val="00C76D8A"/>
    <w:rsid w:val="00C76DCC"/>
    <w:rsid w:val="00C772DF"/>
    <w:rsid w:val="00C77340"/>
    <w:rsid w:val="00C77867"/>
    <w:rsid w:val="00C7791A"/>
    <w:rsid w:val="00C77A01"/>
    <w:rsid w:val="00C77B02"/>
    <w:rsid w:val="00C77CC3"/>
    <w:rsid w:val="00C77E38"/>
    <w:rsid w:val="00C77E85"/>
    <w:rsid w:val="00C77EB7"/>
    <w:rsid w:val="00C80082"/>
    <w:rsid w:val="00C80191"/>
    <w:rsid w:val="00C801B0"/>
    <w:rsid w:val="00C803BC"/>
    <w:rsid w:val="00C8055B"/>
    <w:rsid w:val="00C80637"/>
    <w:rsid w:val="00C80839"/>
    <w:rsid w:val="00C80A00"/>
    <w:rsid w:val="00C80B55"/>
    <w:rsid w:val="00C8129B"/>
    <w:rsid w:val="00C816E4"/>
    <w:rsid w:val="00C819BF"/>
    <w:rsid w:val="00C81AED"/>
    <w:rsid w:val="00C82194"/>
    <w:rsid w:val="00C821E0"/>
    <w:rsid w:val="00C822DD"/>
    <w:rsid w:val="00C822FB"/>
    <w:rsid w:val="00C8231B"/>
    <w:rsid w:val="00C8238D"/>
    <w:rsid w:val="00C823A5"/>
    <w:rsid w:val="00C82825"/>
    <w:rsid w:val="00C82926"/>
    <w:rsid w:val="00C82965"/>
    <w:rsid w:val="00C82A0B"/>
    <w:rsid w:val="00C82B2A"/>
    <w:rsid w:val="00C82B6B"/>
    <w:rsid w:val="00C82E0F"/>
    <w:rsid w:val="00C82F35"/>
    <w:rsid w:val="00C83063"/>
    <w:rsid w:val="00C8330A"/>
    <w:rsid w:val="00C83430"/>
    <w:rsid w:val="00C83492"/>
    <w:rsid w:val="00C834B4"/>
    <w:rsid w:val="00C8369D"/>
    <w:rsid w:val="00C836B2"/>
    <w:rsid w:val="00C83702"/>
    <w:rsid w:val="00C83A5D"/>
    <w:rsid w:val="00C83B5A"/>
    <w:rsid w:val="00C83DB6"/>
    <w:rsid w:val="00C83EE2"/>
    <w:rsid w:val="00C843F6"/>
    <w:rsid w:val="00C84B59"/>
    <w:rsid w:val="00C84D27"/>
    <w:rsid w:val="00C84DC9"/>
    <w:rsid w:val="00C84E8D"/>
    <w:rsid w:val="00C85077"/>
    <w:rsid w:val="00C850EC"/>
    <w:rsid w:val="00C8526D"/>
    <w:rsid w:val="00C853B6"/>
    <w:rsid w:val="00C853C4"/>
    <w:rsid w:val="00C854A8"/>
    <w:rsid w:val="00C8597E"/>
    <w:rsid w:val="00C85985"/>
    <w:rsid w:val="00C85B8F"/>
    <w:rsid w:val="00C85DB4"/>
    <w:rsid w:val="00C85F71"/>
    <w:rsid w:val="00C86037"/>
    <w:rsid w:val="00C860D4"/>
    <w:rsid w:val="00C8639D"/>
    <w:rsid w:val="00C867D5"/>
    <w:rsid w:val="00C86CDD"/>
    <w:rsid w:val="00C86E71"/>
    <w:rsid w:val="00C872D4"/>
    <w:rsid w:val="00C8743D"/>
    <w:rsid w:val="00C87843"/>
    <w:rsid w:val="00C87ABC"/>
    <w:rsid w:val="00C87EE6"/>
    <w:rsid w:val="00C87FCC"/>
    <w:rsid w:val="00C900E2"/>
    <w:rsid w:val="00C90140"/>
    <w:rsid w:val="00C904BF"/>
    <w:rsid w:val="00C90614"/>
    <w:rsid w:val="00C907E7"/>
    <w:rsid w:val="00C90824"/>
    <w:rsid w:val="00C90ADE"/>
    <w:rsid w:val="00C90D6A"/>
    <w:rsid w:val="00C90DFC"/>
    <w:rsid w:val="00C91161"/>
    <w:rsid w:val="00C9129B"/>
    <w:rsid w:val="00C912B3"/>
    <w:rsid w:val="00C912C2"/>
    <w:rsid w:val="00C9136E"/>
    <w:rsid w:val="00C918AB"/>
    <w:rsid w:val="00C91B79"/>
    <w:rsid w:val="00C91BEA"/>
    <w:rsid w:val="00C91FD0"/>
    <w:rsid w:val="00C920A3"/>
    <w:rsid w:val="00C922AF"/>
    <w:rsid w:val="00C9239A"/>
    <w:rsid w:val="00C92483"/>
    <w:rsid w:val="00C929A3"/>
    <w:rsid w:val="00C92B6F"/>
    <w:rsid w:val="00C92E8E"/>
    <w:rsid w:val="00C930A5"/>
    <w:rsid w:val="00C930E1"/>
    <w:rsid w:val="00C9369D"/>
    <w:rsid w:val="00C93760"/>
    <w:rsid w:val="00C937BF"/>
    <w:rsid w:val="00C93925"/>
    <w:rsid w:val="00C93995"/>
    <w:rsid w:val="00C939A2"/>
    <w:rsid w:val="00C93F92"/>
    <w:rsid w:val="00C94565"/>
    <w:rsid w:val="00C94685"/>
    <w:rsid w:val="00C946DA"/>
    <w:rsid w:val="00C95122"/>
    <w:rsid w:val="00C9534C"/>
    <w:rsid w:val="00C9540A"/>
    <w:rsid w:val="00C955C7"/>
    <w:rsid w:val="00C9584F"/>
    <w:rsid w:val="00C95C42"/>
    <w:rsid w:val="00C95E20"/>
    <w:rsid w:val="00C960F4"/>
    <w:rsid w:val="00C964A8"/>
    <w:rsid w:val="00C964D4"/>
    <w:rsid w:val="00C96969"/>
    <w:rsid w:val="00C96C4F"/>
    <w:rsid w:val="00C97252"/>
    <w:rsid w:val="00C9749A"/>
    <w:rsid w:val="00C97579"/>
    <w:rsid w:val="00C978D6"/>
    <w:rsid w:val="00C97A6C"/>
    <w:rsid w:val="00C97BFE"/>
    <w:rsid w:val="00CA0015"/>
    <w:rsid w:val="00CA03F5"/>
    <w:rsid w:val="00CA06CE"/>
    <w:rsid w:val="00CA0762"/>
    <w:rsid w:val="00CA0C47"/>
    <w:rsid w:val="00CA0CF7"/>
    <w:rsid w:val="00CA0ECA"/>
    <w:rsid w:val="00CA0F1A"/>
    <w:rsid w:val="00CA128D"/>
    <w:rsid w:val="00CA12EB"/>
    <w:rsid w:val="00CA14B9"/>
    <w:rsid w:val="00CA153F"/>
    <w:rsid w:val="00CA1578"/>
    <w:rsid w:val="00CA179D"/>
    <w:rsid w:val="00CA181C"/>
    <w:rsid w:val="00CA197C"/>
    <w:rsid w:val="00CA1F42"/>
    <w:rsid w:val="00CA2032"/>
    <w:rsid w:val="00CA20AA"/>
    <w:rsid w:val="00CA23D6"/>
    <w:rsid w:val="00CA2608"/>
    <w:rsid w:val="00CA28B1"/>
    <w:rsid w:val="00CA2E12"/>
    <w:rsid w:val="00CA3054"/>
    <w:rsid w:val="00CA3138"/>
    <w:rsid w:val="00CA37BB"/>
    <w:rsid w:val="00CA37C0"/>
    <w:rsid w:val="00CA3891"/>
    <w:rsid w:val="00CA392F"/>
    <w:rsid w:val="00CA395F"/>
    <w:rsid w:val="00CA3A28"/>
    <w:rsid w:val="00CA3D2F"/>
    <w:rsid w:val="00CA3DB0"/>
    <w:rsid w:val="00CA402A"/>
    <w:rsid w:val="00CA4220"/>
    <w:rsid w:val="00CA4408"/>
    <w:rsid w:val="00CA44DA"/>
    <w:rsid w:val="00CA478B"/>
    <w:rsid w:val="00CA4934"/>
    <w:rsid w:val="00CA4986"/>
    <w:rsid w:val="00CA4A56"/>
    <w:rsid w:val="00CA4CAA"/>
    <w:rsid w:val="00CA4E09"/>
    <w:rsid w:val="00CA4E33"/>
    <w:rsid w:val="00CA4E3D"/>
    <w:rsid w:val="00CA523E"/>
    <w:rsid w:val="00CA548B"/>
    <w:rsid w:val="00CA558B"/>
    <w:rsid w:val="00CA5AC2"/>
    <w:rsid w:val="00CA5D89"/>
    <w:rsid w:val="00CA5EC1"/>
    <w:rsid w:val="00CA5F74"/>
    <w:rsid w:val="00CA6286"/>
    <w:rsid w:val="00CA65DA"/>
    <w:rsid w:val="00CA66E5"/>
    <w:rsid w:val="00CA69C8"/>
    <w:rsid w:val="00CA6AA4"/>
    <w:rsid w:val="00CA6BBC"/>
    <w:rsid w:val="00CA6D6B"/>
    <w:rsid w:val="00CA6DF7"/>
    <w:rsid w:val="00CA6E27"/>
    <w:rsid w:val="00CA6F2D"/>
    <w:rsid w:val="00CA7127"/>
    <w:rsid w:val="00CA71E9"/>
    <w:rsid w:val="00CA7255"/>
    <w:rsid w:val="00CA73F7"/>
    <w:rsid w:val="00CA7696"/>
    <w:rsid w:val="00CA77C4"/>
    <w:rsid w:val="00CA7832"/>
    <w:rsid w:val="00CA7A76"/>
    <w:rsid w:val="00CA7AAC"/>
    <w:rsid w:val="00CA7B48"/>
    <w:rsid w:val="00CA7B5A"/>
    <w:rsid w:val="00CA7EB5"/>
    <w:rsid w:val="00CB01E2"/>
    <w:rsid w:val="00CB040E"/>
    <w:rsid w:val="00CB07C1"/>
    <w:rsid w:val="00CB0C29"/>
    <w:rsid w:val="00CB0C57"/>
    <w:rsid w:val="00CB0E26"/>
    <w:rsid w:val="00CB11C1"/>
    <w:rsid w:val="00CB1324"/>
    <w:rsid w:val="00CB1354"/>
    <w:rsid w:val="00CB1406"/>
    <w:rsid w:val="00CB1829"/>
    <w:rsid w:val="00CB1902"/>
    <w:rsid w:val="00CB1C0F"/>
    <w:rsid w:val="00CB1C64"/>
    <w:rsid w:val="00CB1F24"/>
    <w:rsid w:val="00CB1FC1"/>
    <w:rsid w:val="00CB1FE6"/>
    <w:rsid w:val="00CB2056"/>
    <w:rsid w:val="00CB2122"/>
    <w:rsid w:val="00CB25D5"/>
    <w:rsid w:val="00CB2778"/>
    <w:rsid w:val="00CB2BD7"/>
    <w:rsid w:val="00CB2F5A"/>
    <w:rsid w:val="00CB2FD6"/>
    <w:rsid w:val="00CB305A"/>
    <w:rsid w:val="00CB30F5"/>
    <w:rsid w:val="00CB336F"/>
    <w:rsid w:val="00CB3530"/>
    <w:rsid w:val="00CB378E"/>
    <w:rsid w:val="00CB39D1"/>
    <w:rsid w:val="00CB3E5F"/>
    <w:rsid w:val="00CB407E"/>
    <w:rsid w:val="00CB4253"/>
    <w:rsid w:val="00CB4339"/>
    <w:rsid w:val="00CB4547"/>
    <w:rsid w:val="00CB461F"/>
    <w:rsid w:val="00CB4635"/>
    <w:rsid w:val="00CB46A5"/>
    <w:rsid w:val="00CB47F6"/>
    <w:rsid w:val="00CB4A5E"/>
    <w:rsid w:val="00CB4C31"/>
    <w:rsid w:val="00CB4D3C"/>
    <w:rsid w:val="00CB504D"/>
    <w:rsid w:val="00CB505B"/>
    <w:rsid w:val="00CB5063"/>
    <w:rsid w:val="00CB509F"/>
    <w:rsid w:val="00CB5184"/>
    <w:rsid w:val="00CB5386"/>
    <w:rsid w:val="00CB54FC"/>
    <w:rsid w:val="00CB56B7"/>
    <w:rsid w:val="00CB5801"/>
    <w:rsid w:val="00CB58BA"/>
    <w:rsid w:val="00CB5941"/>
    <w:rsid w:val="00CB5A8F"/>
    <w:rsid w:val="00CB5D1E"/>
    <w:rsid w:val="00CB5D4F"/>
    <w:rsid w:val="00CB5D7B"/>
    <w:rsid w:val="00CB5D7D"/>
    <w:rsid w:val="00CB6072"/>
    <w:rsid w:val="00CB6288"/>
    <w:rsid w:val="00CB6CBE"/>
    <w:rsid w:val="00CB7190"/>
    <w:rsid w:val="00CB71FA"/>
    <w:rsid w:val="00CB7290"/>
    <w:rsid w:val="00CB747F"/>
    <w:rsid w:val="00CB7651"/>
    <w:rsid w:val="00CB7771"/>
    <w:rsid w:val="00CB7862"/>
    <w:rsid w:val="00CB79D2"/>
    <w:rsid w:val="00CB7C0A"/>
    <w:rsid w:val="00CB7E10"/>
    <w:rsid w:val="00CC02A0"/>
    <w:rsid w:val="00CC02B3"/>
    <w:rsid w:val="00CC0306"/>
    <w:rsid w:val="00CC03D2"/>
    <w:rsid w:val="00CC040B"/>
    <w:rsid w:val="00CC0C6A"/>
    <w:rsid w:val="00CC1010"/>
    <w:rsid w:val="00CC1185"/>
    <w:rsid w:val="00CC11E4"/>
    <w:rsid w:val="00CC146C"/>
    <w:rsid w:val="00CC15D5"/>
    <w:rsid w:val="00CC18CF"/>
    <w:rsid w:val="00CC1BC6"/>
    <w:rsid w:val="00CC1D61"/>
    <w:rsid w:val="00CC1F12"/>
    <w:rsid w:val="00CC1F5B"/>
    <w:rsid w:val="00CC2123"/>
    <w:rsid w:val="00CC21D2"/>
    <w:rsid w:val="00CC24FB"/>
    <w:rsid w:val="00CC2A87"/>
    <w:rsid w:val="00CC2B9B"/>
    <w:rsid w:val="00CC2E2C"/>
    <w:rsid w:val="00CC321C"/>
    <w:rsid w:val="00CC3416"/>
    <w:rsid w:val="00CC3D29"/>
    <w:rsid w:val="00CC3D9D"/>
    <w:rsid w:val="00CC4188"/>
    <w:rsid w:val="00CC42B7"/>
    <w:rsid w:val="00CC4708"/>
    <w:rsid w:val="00CC474B"/>
    <w:rsid w:val="00CC4866"/>
    <w:rsid w:val="00CC4B4E"/>
    <w:rsid w:val="00CC4EDD"/>
    <w:rsid w:val="00CC5191"/>
    <w:rsid w:val="00CC537E"/>
    <w:rsid w:val="00CC57D8"/>
    <w:rsid w:val="00CC5898"/>
    <w:rsid w:val="00CC5B80"/>
    <w:rsid w:val="00CC5CCE"/>
    <w:rsid w:val="00CC5F4D"/>
    <w:rsid w:val="00CC60CE"/>
    <w:rsid w:val="00CC651B"/>
    <w:rsid w:val="00CC673B"/>
    <w:rsid w:val="00CC674A"/>
    <w:rsid w:val="00CC6914"/>
    <w:rsid w:val="00CC69A8"/>
    <w:rsid w:val="00CC6BD0"/>
    <w:rsid w:val="00CC6D42"/>
    <w:rsid w:val="00CC6EA5"/>
    <w:rsid w:val="00CC7251"/>
    <w:rsid w:val="00CC72B6"/>
    <w:rsid w:val="00CC77DB"/>
    <w:rsid w:val="00CC7B53"/>
    <w:rsid w:val="00CC7C34"/>
    <w:rsid w:val="00CD0370"/>
    <w:rsid w:val="00CD060D"/>
    <w:rsid w:val="00CD0693"/>
    <w:rsid w:val="00CD091D"/>
    <w:rsid w:val="00CD0A3D"/>
    <w:rsid w:val="00CD0D6B"/>
    <w:rsid w:val="00CD0DC4"/>
    <w:rsid w:val="00CD0FC5"/>
    <w:rsid w:val="00CD156D"/>
    <w:rsid w:val="00CD183B"/>
    <w:rsid w:val="00CD1906"/>
    <w:rsid w:val="00CD1C66"/>
    <w:rsid w:val="00CD1DAE"/>
    <w:rsid w:val="00CD1FA3"/>
    <w:rsid w:val="00CD2002"/>
    <w:rsid w:val="00CD2282"/>
    <w:rsid w:val="00CD2370"/>
    <w:rsid w:val="00CD2738"/>
    <w:rsid w:val="00CD2863"/>
    <w:rsid w:val="00CD2AD9"/>
    <w:rsid w:val="00CD2F77"/>
    <w:rsid w:val="00CD2F98"/>
    <w:rsid w:val="00CD300A"/>
    <w:rsid w:val="00CD30BD"/>
    <w:rsid w:val="00CD3401"/>
    <w:rsid w:val="00CD3661"/>
    <w:rsid w:val="00CD36B5"/>
    <w:rsid w:val="00CD390D"/>
    <w:rsid w:val="00CD3C77"/>
    <w:rsid w:val="00CD3DA0"/>
    <w:rsid w:val="00CD3FEF"/>
    <w:rsid w:val="00CD4452"/>
    <w:rsid w:val="00CD45F6"/>
    <w:rsid w:val="00CD4A7F"/>
    <w:rsid w:val="00CD5286"/>
    <w:rsid w:val="00CD5357"/>
    <w:rsid w:val="00CD55FA"/>
    <w:rsid w:val="00CD5891"/>
    <w:rsid w:val="00CD5AE8"/>
    <w:rsid w:val="00CD5B79"/>
    <w:rsid w:val="00CD5B9E"/>
    <w:rsid w:val="00CD6088"/>
    <w:rsid w:val="00CD60A6"/>
    <w:rsid w:val="00CD636F"/>
    <w:rsid w:val="00CD6519"/>
    <w:rsid w:val="00CD67F3"/>
    <w:rsid w:val="00CD695F"/>
    <w:rsid w:val="00CD6CA1"/>
    <w:rsid w:val="00CD709D"/>
    <w:rsid w:val="00CD7136"/>
    <w:rsid w:val="00CD72F3"/>
    <w:rsid w:val="00CD73A8"/>
    <w:rsid w:val="00CD752F"/>
    <w:rsid w:val="00CD75B0"/>
    <w:rsid w:val="00CD75BC"/>
    <w:rsid w:val="00CD7609"/>
    <w:rsid w:val="00CD776C"/>
    <w:rsid w:val="00CD7B35"/>
    <w:rsid w:val="00CD7C0D"/>
    <w:rsid w:val="00CE03F9"/>
    <w:rsid w:val="00CE0C71"/>
    <w:rsid w:val="00CE0DE5"/>
    <w:rsid w:val="00CE151E"/>
    <w:rsid w:val="00CE1796"/>
    <w:rsid w:val="00CE17C3"/>
    <w:rsid w:val="00CE1B3E"/>
    <w:rsid w:val="00CE1B4B"/>
    <w:rsid w:val="00CE1C1E"/>
    <w:rsid w:val="00CE1D74"/>
    <w:rsid w:val="00CE1FBB"/>
    <w:rsid w:val="00CE22B7"/>
    <w:rsid w:val="00CE22C0"/>
    <w:rsid w:val="00CE2C3C"/>
    <w:rsid w:val="00CE2F37"/>
    <w:rsid w:val="00CE2F91"/>
    <w:rsid w:val="00CE301D"/>
    <w:rsid w:val="00CE349B"/>
    <w:rsid w:val="00CE34AC"/>
    <w:rsid w:val="00CE37CB"/>
    <w:rsid w:val="00CE385F"/>
    <w:rsid w:val="00CE38DD"/>
    <w:rsid w:val="00CE38ED"/>
    <w:rsid w:val="00CE3A17"/>
    <w:rsid w:val="00CE3AA4"/>
    <w:rsid w:val="00CE3F63"/>
    <w:rsid w:val="00CE3F7A"/>
    <w:rsid w:val="00CE468B"/>
    <w:rsid w:val="00CE484A"/>
    <w:rsid w:val="00CE4A9B"/>
    <w:rsid w:val="00CE4C09"/>
    <w:rsid w:val="00CE54BA"/>
    <w:rsid w:val="00CE5824"/>
    <w:rsid w:val="00CE5A51"/>
    <w:rsid w:val="00CE5E10"/>
    <w:rsid w:val="00CE5F15"/>
    <w:rsid w:val="00CE6229"/>
    <w:rsid w:val="00CE635C"/>
    <w:rsid w:val="00CE66B7"/>
    <w:rsid w:val="00CE698B"/>
    <w:rsid w:val="00CE69FB"/>
    <w:rsid w:val="00CE6A0F"/>
    <w:rsid w:val="00CE7641"/>
    <w:rsid w:val="00CE791D"/>
    <w:rsid w:val="00CE7D82"/>
    <w:rsid w:val="00CF0069"/>
    <w:rsid w:val="00CF03C9"/>
    <w:rsid w:val="00CF04DE"/>
    <w:rsid w:val="00CF074F"/>
    <w:rsid w:val="00CF0BB3"/>
    <w:rsid w:val="00CF0E25"/>
    <w:rsid w:val="00CF12B2"/>
    <w:rsid w:val="00CF13E6"/>
    <w:rsid w:val="00CF1545"/>
    <w:rsid w:val="00CF16C5"/>
    <w:rsid w:val="00CF17B6"/>
    <w:rsid w:val="00CF1BEE"/>
    <w:rsid w:val="00CF2156"/>
    <w:rsid w:val="00CF22FA"/>
    <w:rsid w:val="00CF25F6"/>
    <w:rsid w:val="00CF2776"/>
    <w:rsid w:val="00CF281B"/>
    <w:rsid w:val="00CF292B"/>
    <w:rsid w:val="00CF29DF"/>
    <w:rsid w:val="00CF2A38"/>
    <w:rsid w:val="00CF2AAD"/>
    <w:rsid w:val="00CF2E9D"/>
    <w:rsid w:val="00CF3022"/>
    <w:rsid w:val="00CF30F9"/>
    <w:rsid w:val="00CF33BD"/>
    <w:rsid w:val="00CF3617"/>
    <w:rsid w:val="00CF3694"/>
    <w:rsid w:val="00CF3AB3"/>
    <w:rsid w:val="00CF3AC0"/>
    <w:rsid w:val="00CF3C32"/>
    <w:rsid w:val="00CF4310"/>
    <w:rsid w:val="00CF4342"/>
    <w:rsid w:val="00CF44F1"/>
    <w:rsid w:val="00CF4CA0"/>
    <w:rsid w:val="00CF4EF7"/>
    <w:rsid w:val="00CF522D"/>
    <w:rsid w:val="00CF5529"/>
    <w:rsid w:val="00CF55BF"/>
    <w:rsid w:val="00CF5659"/>
    <w:rsid w:val="00CF57C4"/>
    <w:rsid w:val="00CF58E1"/>
    <w:rsid w:val="00CF5ABB"/>
    <w:rsid w:val="00CF5C35"/>
    <w:rsid w:val="00CF5CF0"/>
    <w:rsid w:val="00CF5D9C"/>
    <w:rsid w:val="00CF5DC2"/>
    <w:rsid w:val="00CF5E54"/>
    <w:rsid w:val="00CF6035"/>
    <w:rsid w:val="00CF673F"/>
    <w:rsid w:val="00CF6878"/>
    <w:rsid w:val="00CF6CB8"/>
    <w:rsid w:val="00CF6ECF"/>
    <w:rsid w:val="00CF7310"/>
    <w:rsid w:val="00CF751E"/>
    <w:rsid w:val="00CF75A6"/>
    <w:rsid w:val="00D00359"/>
    <w:rsid w:val="00D006C3"/>
    <w:rsid w:val="00D00813"/>
    <w:rsid w:val="00D00850"/>
    <w:rsid w:val="00D008E6"/>
    <w:rsid w:val="00D00BD6"/>
    <w:rsid w:val="00D00C60"/>
    <w:rsid w:val="00D00D6E"/>
    <w:rsid w:val="00D00EAA"/>
    <w:rsid w:val="00D010BC"/>
    <w:rsid w:val="00D01164"/>
    <w:rsid w:val="00D0158E"/>
    <w:rsid w:val="00D015C2"/>
    <w:rsid w:val="00D0168A"/>
    <w:rsid w:val="00D018E4"/>
    <w:rsid w:val="00D01969"/>
    <w:rsid w:val="00D01A03"/>
    <w:rsid w:val="00D01A5C"/>
    <w:rsid w:val="00D01A88"/>
    <w:rsid w:val="00D01EA8"/>
    <w:rsid w:val="00D0218D"/>
    <w:rsid w:val="00D021BF"/>
    <w:rsid w:val="00D02660"/>
    <w:rsid w:val="00D02A54"/>
    <w:rsid w:val="00D02C2C"/>
    <w:rsid w:val="00D02CB7"/>
    <w:rsid w:val="00D02CC4"/>
    <w:rsid w:val="00D02E06"/>
    <w:rsid w:val="00D0321D"/>
    <w:rsid w:val="00D03471"/>
    <w:rsid w:val="00D03592"/>
    <w:rsid w:val="00D0363A"/>
    <w:rsid w:val="00D038E7"/>
    <w:rsid w:val="00D038F0"/>
    <w:rsid w:val="00D03964"/>
    <w:rsid w:val="00D039B9"/>
    <w:rsid w:val="00D03AE5"/>
    <w:rsid w:val="00D03E6C"/>
    <w:rsid w:val="00D03FDB"/>
    <w:rsid w:val="00D04031"/>
    <w:rsid w:val="00D0414C"/>
    <w:rsid w:val="00D041B2"/>
    <w:rsid w:val="00D04285"/>
    <w:rsid w:val="00D04328"/>
    <w:rsid w:val="00D0438E"/>
    <w:rsid w:val="00D04984"/>
    <w:rsid w:val="00D04AB9"/>
    <w:rsid w:val="00D04B95"/>
    <w:rsid w:val="00D0508B"/>
    <w:rsid w:val="00D056A9"/>
    <w:rsid w:val="00D05972"/>
    <w:rsid w:val="00D05A1E"/>
    <w:rsid w:val="00D05AE8"/>
    <w:rsid w:val="00D05B5A"/>
    <w:rsid w:val="00D05E8B"/>
    <w:rsid w:val="00D060B7"/>
    <w:rsid w:val="00D06267"/>
    <w:rsid w:val="00D06395"/>
    <w:rsid w:val="00D06635"/>
    <w:rsid w:val="00D0664D"/>
    <w:rsid w:val="00D06C83"/>
    <w:rsid w:val="00D06C8D"/>
    <w:rsid w:val="00D06E2A"/>
    <w:rsid w:val="00D06F39"/>
    <w:rsid w:val="00D072A9"/>
    <w:rsid w:val="00D0743E"/>
    <w:rsid w:val="00D0746D"/>
    <w:rsid w:val="00D074B3"/>
    <w:rsid w:val="00D07826"/>
    <w:rsid w:val="00D07E25"/>
    <w:rsid w:val="00D07FC7"/>
    <w:rsid w:val="00D07FFA"/>
    <w:rsid w:val="00D10021"/>
    <w:rsid w:val="00D10035"/>
    <w:rsid w:val="00D10091"/>
    <w:rsid w:val="00D100B1"/>
    <w:rsid w:val="00D1023F"/>
    <w:rsid w:val="00D10770"/>
    <w:rsid w:val="00D107EA"/>
    <w:rsid w:val="00D109B1"/>
    <w:rsid w:val="00D10A2E"/>
    <w:rsid w:val="00D10CA5"/>
    <w:rsid w:val="00D11F79"/>
    <w:rsid w:val="00D12049"/>
    <w:rsid w:val="00D1242E"/>
    <w:rsid w:val="00D1276F"/>
    <w:rsid w:val="00D127F8"/>
    <w:rsid w:val="00D12CAE"/>
    <w:rsid w:val="00D12D4A"/>
    <w:rsid w:val="00D12DBA"/>
    <w:rsid w:val="00D1307C"/>
    <w:rsid w:val="00D130F0"/>
    <w:rsid w:val="00D138B2"/>
    <w:rsid w:val="00D13A81"/>
    <w:rsid w:val="00D13E13"/>
    <w:rsid w:val="00D13F91"/>
    <w:rsid w:val="00D13FC9"/>
    <w:rsid w:val="00D1453B"/>
    <w:rsid w:val="00D145D6"/>
    <w:rsid w:val="00D14658"/>
    <w:rsid w:val="00D14686"/>
    <w:rsid w:val="00D146FF"/>
    <w:rsid w:val="00D14709"/>
    <w:rsid w:val="00D14729"/>
    <w:rsid w:val="00D14751"/>
    <w:rsid w:val="00D14A41"/>
    <w:rsid w:val="00D14D71"/>
    <w:rsid w:val="00D14F34"/>
    <w:rsid w:val="00D151A5"/>
    <w:rsid w:val="00D1525A"/>
    <w:rsid w:val="00D15339"/>
    <w:rsid w:val="00D1556D"/>
    <w:rsid w:val="00D15583"/>
    <w:rsid w:val="00D155F0"/>
    <w:rsid w:val="00D1560D"/>
    <w:rsid w:val="00D15867"/>
    <w:rsid w:val="00D15954"/>
    <w:rsid w:val="00D159D7"/>
    <w:rsid w:val="00D15A95"/>
    <w:rsid w:val="00D15B55"/>
    <w:rsid w:val="00D15B74"/>
    <w:rsid w:val="00D15CDF"/>
    <w:rsid w:val="00D15E47"/>
    <w:rsid w:val="00D15F98"/>
    <w:rsid w:val="00D16063"/>
    <w:rsid w:val="00D161DD"/>
    <w:rsid w:val="00D162B2"/>
    <w:rsid w:val="00D1634E"/>
    <w:rsid w:val="00D163C2"/>
    <w:rsid w:val="00D16643"/>
    <w:rsid w:val="00D16667"/>
    <w:rsid w:val="00D167AE"/>
    <w:rsid w:val="00D16A5A"/>
    <w:rsid w:val="00D16C4C"/>
    <w:rsid w:val="00D16D88"/>
    <w:rsid w:val="00D16DCB"/>
    <w:rsid w:val="00D16F75"/>
    <w:rsid w:val="00D17094"/>
    <w:rsid w:val="00D1733A"/>
    <w:rsid w:val="00D17423"/>
    <w:rsid w:val="00D17441"/>
    <w:rsid w:val="00D17489"/>
    <w:rsid w:val="00D17711"/>
    <w:rsid w:val="00D178C3"/>
    <w:rsid w:val="00D17A6A"/>
    <w:rsid w:val="00D17B36"/>
    <w:rsid w:val="00D20078"/>
    <w:rsid w:val="00D20163"/>
    <w:rsid w:val="00D20183"/>
    <w:rsid w:val="00D20432"/>
    <w:rsid w:val="00D204DB"/>
    <w:rsid w:val="00D20546"/>
    <w:rsid w:val="00D2079E"/>
    <w:rsid w:val="00D2081B"/>
    <w:rsid w:val="00D20A1A"/>
    <w:rsid w:val="00D20E3A"/>
    <w:rsid w:val="00D2112E"/>
    <w:rsid w:val="00D21491"/>
    <w:rsid w:val="00D216CD"/>
    <w:rsid w:val="00D21A36"/>
    <w:rsid w:val="00D21A48"/>
    <w:rsid w:val="00D21B0F"/>
    <w:rsid w:val="00D21D55"/>
    <w:rsid w:val="00D220C3"/>
    <w:rsid w:val="00D22240"/>
    <w:rsid w:val="00D22407"/>
    <w:rsid w:val="00D227DF"/>
    <w:rsid w:val="00D22BE7"/>
    <w:rsid w:val="00D2305D"/>
    <w:rsid w:val="00D23396"/>
    <w:rsid w:val="00D233A5"/>
    <w:rsid w:val="00D233DD"/>
    <w:rsid w:val="00D23820"/>
    <w:rsid w:val="00D23A17"/>
    <w:rsid w:val="00D23BCD"/>
    <w:rsid w:val="00D23D90"/>
    <w:rsid w:val="00D24208"/>
    <w:rsid w:val="00D242F1"/>
    <w:rsid w:val="00D24376"/>
    <w:rsid w:val="00D2453C"/>
    <w:rsid w:val="00D24554"/>
    <w:rsid w:val="00D24843"/>
    <w:rsid w:val="00D2493B"/>
    <w:rsid w:val="00D2496C"/>
    <w:rsid w:val="00D249B6"/>
    <w:rsid w:val="00D24B50"/>
    <w:rsid w:val="00D24CDC"/>
    <w:rsid w:val="00D24EEB"/>
    <w:rsid w:val="00D250D9"/>
    <w:rsid w:val="00D2524A"/>
    <w:rsid w:val="00D25537"/>
    <w:rsid w:val="00D257A7"/>
    <w:rsid w:val="00D25A27"/>
    <w:rsid w:val="00D25B97"/>
    <w:rsid w:val="00D25C8B"/>
    <w:rsid w:val="00D25FB5"/>
    <w:rsid w:val="00D26075"/>
    <w:rsid w:val="00D2642B"/>
    <w:rsid w:val="00D26645"/>
    <w:rsid w:val="00D2676E"/>
    <w:rsid w:val="00D267ED"/>
    <w:rsid w:val="00D26B3B"/>
    <w:rsid w:val="00D26FA3"/>
    <w:rsid w:val="00D270F5"/>
    <w:rsid w:val="00D272DC"/>
    <w:rsid w:val="00D27438"/>
    <w:rsid w:val="00D275D9"/>
    <w:rsid w:val="00D2781A"/>
    <w:rsid w:val="00D278B4"/>
    <w:rsid w:val="00D2793C"/>
    <w:rsid w:val="00D27B0D"/>
    <w:rsid w:val="00D27B56"/>
    <w:rsid w:val="00D27EE5"/>
    <w:rsid w:val="00D300B8"/>
    <w:rsid w:val="00D30134"/>
    <w:rsid w:val="00D30420"/>
    <w:rsid w:val="00D304FE"/>
    <w:rsid w:val="00D306F4"/>
    <w:rsid w:val="00D30807"/>
    <w:rsid w:val="00D30AC0"/>
    <w:rsid w:val="00D30D77"/>
    <w:rsid w:val="00D3101D"/>
    <w:rsid w:val="00D311E0"/>
    <w:rsid w:val="00D315C1"/>
    <w:rsid w:val="00D316BF"/>
    <w:rsid w:val="00D31A8D"/>
    <w:rsid w:val="00D31B3A"/>
    <w:rsid w:val="00D31B86"/>
    <w:rsid w:val="00D31C09"/>
    <w:rsid w:val="00D31D29"/>
    <w:rsid w:val="00D31EA0"/>
    <w:rsid w:val="00D321E8"/>
    <w:rsid w:val="00D325E1"/>
    <w:rsid w:val="00D325EF"/>
    <w:rsid w:val="00D3272C"/>
    <w:rsid w:val="00D328CD"/>
    <w:rsid w:val="00D32A59"/>
    <w:rsid w:val="00D32E9A"/>
    <w:rsid w:val="00D33139"/>
    <w:rsid w:val="00D334D1"/>
    <w:rsid w:val="00D3359E"/>
    <w:rsid w:val="00D336CC"/>
    <w:rsid w:val="00D3396E"/>
    <w:rsid w:val="00D34049"/>
    <w:rsid w:val="00D3408C"/>
    <w:rsid w:val="00D3423C"/>
    <w:rsid w:val="00D342EC"/>
    <w:rsid w:val="00D34714"/>
    <w:rsid w:val="00D348B8"/>
    <w:rsid w:val="00D34966"/>
    <w:rsid w:val="00D34B56"/>
    <w:rsid w:val="00D34E3A"/>
    <w:rsid w:val="00D34F07"/>
    <w:rsid w:val="00D34F42"/>
    <w:rsid w:val="00D353E7"/>
    <w:rsid w:val="00D35654"/>
    <w:rsid w:val="00D35A7F"/>
    <w:rsid w:val="00D35FF6"/>
    <w:rsid w:val="00D363EC"/>
    <w:rsid w:val="00D364A4"/>
    <w:rsid w:val="00D366CF"/>
    <w:rsid w:val="00D3679E"/>
    <w:rsid w:val="00D36809"/>
    <w:rsid w:val="00D36A97"/>
    <w:rsid w:val="00D36E9D"/>
    <w:rsid w:val="00D36FE0"/>
    <w:rsid w:val="00D3703B"/>
    <w:rsid w:val="00D373D2"/>
    <w:rsid w:val="00D37402"/>
    <w:rsid w:val="00D37586"/>
    <w:rsid w:val="00D37864"/>
    <w:rsid w:val="00D379FD"/>
    <w:rsid w:val="00D407FB"/>
    <w:rsid w:val="00D408D7"/>
    <w:rsid w:val="00D40BD4"/>
    <w:rsid w:val="00D40CDA"/>
    <w:rsid w:val="00D40EAD"/>
    <w:rsid w:val="00D41971"/>
    <w:rsid w:val="00D41A80"/>
    <w:rsid w:val="00D41AA5"/>
    <w:rsid w:val="00D421B6"/>
    <w:rsid w:val="00D424F8"/>
    <w:rsid w:val="00D42926"/>
    <w:rsid w:val="00D42B35"/>
    <w:rsid w:val="00D42C17"/>
    <w:rsid w:val="00D42CDA"/>
    <w:rsid w:val="00D42D77"/>
    <w:rsid w:val="00D432DF"/>
    <w:rsid w:val="00D43669"/>
    <w:rsid w:val="00D436EF"/>
    <w:rsid w:val="00D437F5"/>
    <w:rsid w:val="00D43B33"/>
    <w:rsid w:val="00D43CB1"/>
    <w:rsid w:val="00D43D3F"/>
    <w:rsid w:val="00D443DB"/>
    <w:rsid w:val="00D4447F"/>
    <w:rsid w:val="00D444C3"/>
    <w:rsid w:val="00D44753"/>
    <w:rsid w:val="00D4499D"/>
    <w:rsid w:val="00D44C4D"/>
    <w:rsid w:val="00D44C84"/>
    <w:rsid w:val="00D44FEF"/>
    <w:rsid w:val="00D45013"/>
    <w:rsid w:val="00D450B3"/>
    <w:rsid w:val="00D4522D"/>
    <w:rsid w:val="00D452F9"/>
    <w:rsid w:val="00D4536E"/>
    <w:rsid w:val="00D45793"/>
    <w:rsid w:val="00D457BB"/>
    <w:rsid w:val="00D458C5"/>
    <w:rsid w:val="00D45D3F"/>
    <w:rsid w:val="00D45F14"/>
    <w:rsid w:val="00D45F1B"/>
    <w:rsid w:val="00D460A6"/>
    <w:rsid w:val="00D4620A"/>
    <w:rsid w:val="00D46DF2"/>
    <w:rsid w:val="00D46EC1"/>
    <w:rsid w:val="00D4716E"/>
    <w:rsid w:val="00D4734E"/>
    <w:rsid w:val="00D474DC"/>
    <w:rsid w:val="00D47552"/>
    <w:rsid w:val="00D477B1"/>
    <w:rsid w:val="00D477BE"/>
    <w:rsid w:val="00D47DF4"/>
    <w:rsid w:val="00D5018F"/>
    <w:rsid w:val="00D50317"/>
    <w:rsid w:val="00D503EC"/>
    <w:rsid w:val="00D504E6"/>
    <w:rsid w:val="00D506D7"/>
    <w:rsid w:val="00D508AB"/>
    <w:rsid w:val="00D50A39"/>
    <w:rsid w:val="00D50A62"/>
    <w:rsid w:val="00D50C33"/>
    <w:rsid w:val="00D510EE"/>
    <w:rsid w:val="00D513D2"/>
    <w:rsid w:val="00D517D6"/>
    <w:rsid w:val="00D517E3"/>
    <w:rsid w:val="00D51ACC"/>
    <w:rsid w:val="00D51B51"/>
    <w:rsid w:val="00D51E93"/>
    <w:rsid w:val="00D51ED7"/>
    <w:rsid w:val="00D524B6"/>
    <w:rsid w:val="00D525BF"/>
    <w:rsid w:val="00D525DE"/>
    <w:rsid w:val="00D526E3"/>
    <w:rsid w:val="00D5292A"/>
    <w:rsid w:val="00D52950"/>
    <w:rsid w:val="00D52E60"/>
    <w:rsid w:val="00D53062"/>
    <w:rsid w:val="00D530BB"/>
    <w:rsid w:val="00D531A5"/>
    <w:rsid w:val="00D5334E"/>
    <w:rsid w:val="00D5336F"/>
    <w:rsid w:val="00D533A0"/>
    <w:rsid w:val="00D5345C"/>
    <w:rsid w:val="00D53856"/>
    <w:rsid w:val="00D539EF"/>
    <w:rsid w:val="00D53A40"/>
    <w:rsid w:val="00D53AF2"/>
    <w:rsid w:val="00D53F31"/>
    <w:rsid w:val="00D54034"/>
    <w:rsid w:val="00D54261"/>
    <w:rsid w:val="00D542DC"/>
    <w:rsid w:val="00D543AA"/>
    <w:rsid w:val="00D5448C"/>
    <w:rsid w:val="00D549E4"/>
    <w:rsid w:val="00D54B79"/>
    <w:rsid w:val="00D54FD2"/>
    <w:rsid w:val="00D552EB"/>
    <w:rsid w:val="00D5538E"/>
    <w:rsid w:val="00D555D1"/>
    <w:rsid w:val="00D555F0"/>
    <w:rsid w:val="00D55740"/>
    <w:rsid w:val="00D557CF"/>
    <w:rsid w:val="00D559A2"/>
    <w:rsid w:val="00D55A23"/>
    <w:rsid w:val="00D55B5D"/>
    <w:rsid w:val="00D55C46"/>
    <w:rsid w:val="00D55C73"/>
    <w:rsid w:val="00D55CFB"/>
    <w:rsid w:val="00D55D0E"/>
    <w:rsid w:val="00D55DAA"/>
    <w:rsid w:val="00D55E52"/>
    <w:rsid w:val="00D55F22"/>
    <w:rsid w:val="00D561AD"/>
    <w:rsid w:val="00D5621A"/>
    <w:rsid w:val="00D56284"/>
    <w:rsid w:val="00D564AA"/>
    <w:rsid w:val="00D5660C"/>
    <w:rsid w:val="00D567D0"/>
    <w:rsid w:val="00D56E6B"/>
    <w:rsid w:val="00D57001"/>
    <w:rsid w:val="00D57635"/>
    <w:rsid w:val="00D5775E"/>
    <w:rsid w:val="00D5784B"/>
    <w:rsid w:val="00D5784E"/>
    <w:rsid w:val="00D57CC5"/>
    <w:rsid w:val="00D57D39"/>
    <w:rsid w:val="00D57F11"/>
    <w:rsid w:val="00D57FD1"/>
    <w:rsid w:val="00D60030"/>
    <w:rsid w:val="00D60058"/>
    <w:rsid w:val="00D60321"/>
    <w:rsid w:val="00D60553"/>
    <w:rsid w:val="00D607AE"/>
    <w:rsid w:val="00D60B26"/>
    <w:rsid w:val="00D60E55"/>
    <w:rsid w:val="00D60E7A"/>
    <w:rsid w:val="00D61010"/>
    <w:rsid w:val="00D61435"/>
    <w:rsid w:val="00D614E4"/>
    <w:rsid w:val="00D61A49"/>
    <w:rsid w:val="00D61CF8"/>
    <w:rsid w:val="00D61DA6"/>
    <w:rsid w:val="00D61E15"/>
    <w:rsid w:val="00D61EF5"/>
    <w:rsid w:val="00D61F67"/>
    <w:rsid w:val="00D6210A"/>
    <w:rsid w:val="00D62154"/>
    <w:rsid w:val="00D6268F"/>
    <w:rsid w:val="00D627F0"/>
    <w:rsid w:val="00D6293C"/>
    <w:rsid w:val="00D62973"/>
    <w:rsid w:val="00D62A01"/>
    <w:rsid w:val="00D62A2B"/>
    <w:rsid w:val="00D62E1D"/>
    <w:rsid w:val="00D62EA0"/>
    <w:rsid w:val="00D63095"/>
    <w:rsid w:val="00D63419"/>
    <w:rsid w:val="00D6354E"/>
    <w:rsid w:val="00D636DA"/>
    <w:rsid w:val="00D6379B"/>
    <w:rsid w:val="00D63866"/>
    <w:rsid w:val="00D63871"/>
    <w:rsid w:val="00D638A6"/>
    <w:rsid w:val="00D63BB8"/>
    <w:rsid w:val="00D63C74"/>
    <w:rsid w:val="00D63CD9"/>
    <w:rsid w:val="00D63F5E"/>
    <w:rsid w:val="00D6422B"/>
    <w:rsid w:val="00D643B6"/>
    <w:rsid w:val="00D64462"/>
    <w:rsid w:val="00D646F6"/>
    <w:rsid w:val="00D647EC"/>
    <w:rsid w:val="00D647FD"/>
    <w:rsid w:val="00D6495C"/>
    <w:rsid w:val="00D64C76"/>
    <w:rsid w:val="00D64FC7"/>
    <w:rsid w:val="00D6502D"/>
    <w:rsid w:val="00D65056"/>
    <w:rsid w:val="00D6515C"/>
    <w:rsid w:val="00D6525E"/>
    <w:rsid w:val="00D654A9"/>
    <w:rsid w:val="00D6555B"/>
    <w:rsid w:val="00D6578E"/>
    <w:rsid w:val="00D65AC7"/>
    <w:rsid w:val="00D6622D"/>
    <w:rsid w:val="00D66495"/>
    <w:rsid w:val="00D665C9"/>
    <w:rsid w:val="00D668B5"/>
    <w:rsid w:val="00D66944"/>
    <w:rsid w:val="00D66BAB"/>
    <w:rsid w:val="00D66DAF"/>
    <w:rsid w:val="00D66DB4"/>
    <w:rsid w:val="00D66EDF"/>
    <w:rsid w:val="00D66FB2"/>
    <w:rsid w:val="00D66FF8"/>
    <w:rsid w:val="00D6718D"/>
    <w:rsid w:val="00D6721B"/>
    <w:rsid w:val="00D67249"/>
    <w:rsid w:val="00D67265"/>
    <w:rsid w:val="00D67488"/>
    <w:rsid w:val="00D674B7"/>
    <w:rsid w:val="00D67772"/>
    <w:rsid w:val="00D6777D"/>
    <w:rsid w:val="00D67859"/>
    <w:rsid w:val="00D67866"/>
    <w:rsid w:val="00D67887"/>
    <w:rsid w:val="00D7025B"/>
    <w:rsid w:val="00D70283"/>
    <w:rsid w:val="00D705E1"/>
    <w:rsid w:val="00D7071C"/>
    <w:rsid w:val="00D708EF"/>
    <w:rsid w:val="00D70AD3"/>
    <w:rsid w:val="00D70D39"/>
    <w:rsid w:val="00D70F74"/>
    <w:rsid w:val="00D71091"/>
    <w:rsid w:val="00D71167"/>
    <w:rsid w:val="00D7120B"/>
    <w:rsid w:val="00D712EB"/>
    <w:rsid w:val="00D7168F"/>
    <w:rsid w:val="00D716C3"/>
    <w:rsid w:val="00D71AF9"/>
    <w:rsid w:val="00D71C84"/>
    <w:rsid w:val="00D71C9B"/>
    <w:rsid w:val="00D72057"/>
    <w:rsid w:val="00D7227E"/>
    <w:rsid w:val="00D72C72"/>
    <w:rsid w:val="00D7309C"/>
    <w:rsid w:val="00D734CD"/>
    <w:rsid w:val="00D73674"/>
    <w:rsid w:val="00D736CB"/>
    <w:rsid w:val="00D737CE"/>
    <w:rsid w:val="00D737E7"/>
    <w:rsid w:val="00D74096"/>
    <w:rsid w:val="00D74181"/>
    <w:rsid w:val="00D74238"/>
    <w:rsid w:val="00D74379"/>
    <w:rsid w:val="00D74408"/>
    <w:rsid w:val="00D747D4"/>
    <w:rsid w:val="00D74D67"/>
    <w:rsid w:val="00D751AE"/>
    <w:rsid w:val="00D75359"/>
    <w:rsid w:val="00D75616"/>
    <w:rsid w:val="00D756C8"/>
    <w:rsid w:val="00D75977"/>
    <w:rsid w:val="00D759AF"/>
    <w:rsid w:val="00D75A2B"/>
    <w:rsid w:val="00D75BB3"/>
    <w:rsid w:val="00D75BE2"/>
    <w:rsid w:val="00D764A7"/>
    <w:rsid w:val="00D7654D"/>
    <w:rsid w:val="00D765E0"/>
    <w:rsid w:val="00D7660F"/>
    <w:rsid w:val="00D766B7"/>
    <w:rsid w:val="00D76997"/>
    <w:rsid w:val="00D76E2C"/>
    <w:rsid w:val="00D770C6"/>
    <w:rsid w:val="00D771CA"/>
    <w:rsid w:val="00D77357"/>
    <w:rsid w:val="00D77448"/>
    <w:rsid w:val="00D7756E"/>
    <w:rsid w:val="00D777A6"/>
    <w:rsid w:val="00D7784F"/>
    <w:rsid w:val="00D77A0A"/>
    <w:rsid w:val="00D77EBD"/>
    <w:rsid w:val="00D808B9"/>
    <w:rsid w:val="00D80C96"/>
    <w:rsid w:val="00D80D13"/>
    <w:rsid w:val="00D80D42"/>
    <w:rsid w:val="00D81324"/>
    <w:rsid w:val="00D81690"/>
    <w:rsid w:val="00D819FD"/>
    <w:rsid w:val="00D81F9D"/>
    <w:rsid w:val="00D82022"/>
    <w:rsid w:val="00D82146"/>
    <w:rsid w:val="00D821A7"/>
    <w:rsid w:val="00D82336"/>
    <w:rsid w:val="00D82354"/>
    <w:rsid w:val="00D826D9"/>
    <w:rsid w:val="00D8278E"/>
    <w:rsid w:val="00D82816"/>
    <w:rsid w:val="00D82875"/>
    <w:rsid w:val="00D82944"/>
    <w:rsid w:val="00D82973"/>
    <w:rsid w:val="00D82DFB"/>
    <w:rsid w:val="00D82F9D"/>
    <w:rsid w:val="00D8347F"/>
    <w:rsid w:val="00D838C9"/>
    <w:rsid w:val="00D83DDA"/>
    <w:rsid w:val="00D83DFF"/>
    <w:rsid w:val="00D84150"/>
    <w:rsid w:val="00D84F14"/>
    <w:rsid w:val="00D850FB"/>
    <w:rsid w:val="00D8512E"/>
    <w:rsid w:val="00D85191"/>
    <w:rsid w:val="00D851BA"/>
    <w:rsid w:val="00D853C8"/>
    <w:rsid w:val="00D856BA"/>
    <w:rsid w:val="00D8577D"/>
    <w:rsid w:val="00D859E4"/>
    <w:rsid w:val="00D85B3C"/>
    <w:rsid w:val="00D85BD0"/>
    <w:rsid w:val="00D85D85"/>
    <w:rsid w:val="00D85E1B"/>
    <w:rsid w:val="00D85EF6"/>
    <w:rsid w:val="00D869A6"/>
    <w:rsid w:val="00D86AA4"/>
    <w:rsid w:val="00D86F85"/>
    <w:rsid w:val="00D87011"/>
    <w:rsid w:val="00D870A2"/>
    <w:rsid w:val="00D872AE"/>
    <w:rsid w:val="00D874F3"/>
    <w:rsid w:val="00D874F4"/>
    <w:rsid w:val="00D87909"/>
    <w:rsid w:val="00D87A84"/>
    <w:rsid w:val="00D87C2F"/>
    <w:rsid w:val="00D87E27"/>
    <w:rsid w:val="00D87E56"/>
    <w:rsid w:val="00D87F41"/>
    <w:rsid w:val="00D90063"/>
    <w:rsid w:val="00D901BE"/>
    <w:rsid w:val="00D90295"/>
    <w:rsid w:val="00D90346"/>
    <w:rsid w:val="00D90468"/>
    <w:rsid w:val="00D9098B"/>
    <w:rsid w:val="00D90996"/>
    <w:rsid w:val="00D90AC4"/>
    <w:rsid w:val="00D90C95"/>
    <w:rsid w:val="00D90EA1"/>
    <w:rsid w:val="00D90FE1"/>
    <w:rsid w:val="00D911F9"/>
    <w:rsid w:val="00D912E7"/>
    <w:rsid w:val="00D91416"/>
    <w:rsid w:val="00D91664"/>
    <w:rsid w:val="00D9191D"/>
    <w:rsid w:val="00D919F0"/>
    <w:rsid w:val="00D91AD9"/>
    <w:rsid w:val="00D91AE2"/>
    <w:rsid w:val="00D91EB0"/>
    <w:rsid w:val="00D91EFD"/>
    <w:rsid w:val="00D91FF2"/>
    <w:rsid w:val="00D9214F"/>
    <w:rsid w:val="00D922D5"/>
    <w:rsid w:val="00D92424"/>
    <w:rsid w:val="00D927FD"/>
    <w:rsid w:val="00D92A6A"/>
    <w:rsid w:val="00D92C6B"/>
    <w:rsid w:val="00D9309F"/>
    <w:rsid w:val="00D9323E"/>
    <w:rsid w:val="00D93AD7"/>
    <w:rsid w:val="00D93ADD"/>
    <w:rsid w:val="00D93B63"/>
    <w:rsid w:val="00D93C05"/>
    <w:rsid w:val="00D93C74"/>
    <w:rsid w:val="00D93D77"/>
    <w:rsid w:val="00D93FAD"/>
    <w:rsid w:val="00D93FBE"/>
    <w:rsid w:val="00D940BA"/>
    <w:rsid w:val="00D940D4"/>
    <w:rsid w:val="00D9429E"/>
    <w:rsid w:val="00D94349"/>
    <w:rsid w:val="00D94451"/>
    <w:rsid w:val="00D9448E"/>
    <w:rsid w:val="00D9459C"/>
    <w:rsid w:val="00D9477B"/>
    <w:rsid w:val="00D9485C"/>
    <w:rsid w:val="00D94B43"/>
    <w:rsid w:val="00D94DC5"/>
    <w:rsid w:val="00D94E9D"/>
    <w:rsid w:val="00D94ED4"/>
    <w:rsid w:val="00D94F1B"/>
    <w:rsid w:val="00D94F6C"/>
    <w:rsid w:val="00D9514E"/>
    <w:rsid w:val="00D9551A"/>
    <w:rsid w:val="00D9558D"/>
    <w:rsid w:val="00D958FE"/>
    <w:rsid w:val="00D95A08"/>
    <w:rsid w:val="00D95B78"/>
    <w:rsid w:val="00D95C3B"/>
    <w:rsid w:val="00D95FF6"/>
    <w:rsid w:val="00D9600B"/>
    <w:rsid w:val="00D962FA"/>
    <w:rsid w:val="00D96358"/>
    <w:rsid w:val="00D96484"/>
    <w:rsid w:val="00D96682"/>
    <w:rsid w:val="00D96816"/>
    <w:rsid w:val="00D969E9"/>
    <w:rsid w:val="00D96D37"/>
    <w:rsid w:val="00D96E58"/>
    <w:rsid w:val="00D971A2"/>
    <w:rsid w:val="00D97211"/>
    <w:rsid w:val="00D972C6"/>
    <w:rsid w:val="00D97559"/>
    <w:rsid w:val="00D97572"/>
    <w:rsid w:val="00D9760F"/>
    <w:rsid w:val="00D976AB"/>
    <w:rsid w:val="00D97844"/>
    <w:rsid w:val="00D978FB"/>
    <w:rsid w:val="00D97A2E"/>
    <w:rsid w:val="00D97A3E"/>
    <w:rsid w:val="00D97D24"/>
    <w:rsid w:val="00D97DB4"/>
    <w:rsid w:val="00DA04B2"/>
    <w:rsid w:val="00DA052D"/>
    <w:rsid w:val="00DA06B0"/>
    <w:rsid w:val="00DA07DC"/>
    <w:rsid w:val="00DA0CC1"/>
    <w:rsid w:val="00DA0E0C"/>
    <w:rsid w:val="00DA111A"/>
    <w:rsid w:val="00DA1147"/>
    <w:rsid w:val="00DA114C"/>
    <w:rsid w:val="00DA1187"/>
    <w:rsid w:val="00DA1321"/>
    <w:rsid w:val="00DA14E4"/>
    <w:rsid w:val="00DA16E6"/>
    <w:rsid w:val="00DA1866"/>
    <w:rsid w:val="00DA1E3F"/>
    <w:rsid w:val="00DA213D"/>
    <w:rsid w:val="00DA21DA"/>
    <w:rsid w:val="00DA2292"/>
    <w:rsid w:val="00DA22C0"/>
    <w:rsid w:val="00DA2339"/>
    <w:rsid w:val="00DA2529"/>
    <w:rsid w:val="00DA2760"/>
    <w:rsid w:val="00DA295E"/>
    <w:rsid w:val="00DA2AFA"/>
    <w:rsid w:val="00DA2B52"/>
    <w:rsid w:val="00DA2D86"/>
    <w:rsid w:val="00DA2F78"/>
    <w:rsid w:val="00DA2F99"/>
    <w:rsid w:val="00DA3224"/>
    <w:rsid w:val="00DA3441"/>
    <w:rsid w:val="00DA349D"/>
    <w:rsid w:val="00DA3569"/>
    <w:rsid w:val="00DA35E6"/>
    <w:rsid w:val="00DA365F"/>
    <w:rsid w:val="00DA3A48"/>
    <w:rsid w:val="00DA3ADB"/>
    <w:rsid w:val="00DA3D30"/>
    <w:rsid w:val="00DA3E7C"/>
    <w:rsid w:val="00DA40DA"/>
    <w:rsid w:val="00DA45C9"/>
    <w:rsid w:val="00DA470B"/>
    <w:rsid w:val="00DA4783"/>
    <w:rsid w:val="00DA47EE"/>
    <w:rsid w:val="00DA488C"/>
    <w:rsid w:val="00DA4B6F"/>
    <w:rsid w:val="00DA4C82"/>
    <w:rsid w:val="00DA4D17"/>
    <w:rsid w:val="00DA4D5E"/>
    <w:rsid w:val="00DA52F5"/>
    <w:rsid w:val="00DA534A"/>
    <w:rsid w:val="00DA53D3"/>
    <w:rsid w:val="00DA5651"/>
    <w:rsid w:val="00DA5819"/>
    <w:rsid w:val="00DA5D6D"/>
    <w:rsid w:val="00DA605B"/>
    <w:rsid w:val="00DA6217"/>
    <w:rsid w:val="00DA6288"/>
    <w:rsid w:val="00DA6A33"/>
    <w:rsid w:val="00DA72F8"/>
    <w:rsid w:val="00DA7796"/>
    <w:rsid w:val="00DA7813"/>
    <w:rsid w:val="00DA7BCF"/>
    <w:rsid w:val="00DA7CE7"/>
    <w:rsid w:val="00DA7D4A"/>
    <w:rsid w:val="00DA7F81"/>
    <w:rsid w:val="00DB01FC"/>
    <w:rsid w:val="00DB0618"/>
    <w:rsid w:val="00DB0ABB"/>
    <w:rsid w:val="00DB0C36"/>
    <w:rsid w:val="00DB0CCB"/>
    <w:rsid w:val="00DB0E03"/>
    <w:rsid w:val="00DB130A"/>
    <w:rsid w:val="00DB148B"/>
    <w:rsid w:val="00DB1715"/>
    <w:rsid w:val="00DB1A0D"/>
    <w:rsid w:val="00DB1A78"/>
    <w:rsid w:val="00DB1C61"/>
    <w:rsid w:val="00DB24E8"/>
    <w:rsid w:val="00DB2658"/>
    <w:rsid w:val="00DB286F"/>
    <w:rsid w:val="00DB2909"/>
    <w:rsid w:val="00DB2942"/>
    <w:rsid w:val="00DB2A0D"/>
    <w:rsid w:val="00DB2B82"/>
    <w:rsid w:val="00DB2C86"/>
    <w:rsid w:val="00DB2E94"/>
    <w:rsid w:val="00DB2FAE"/>
    <w:rsid w:val="00DB2FAF"/>
    <w:rsid w:val="00DB35E4"/>
    <w:rsid w:val="00DB37CB"/>
    <w:rsid w:val="00DB3872"/>
    <w:rsid w:val="00DB3A5A"/>
    <w:rsid w:val="00DB3C78"/>
    <w:rsid w:val="00DB3D69"/>
    <w:rsid w:val="00DB3FEC"/>
    <w:rsid w:val="00DB401D"/>
    <w:rsid w:val="00DB4480"/>
    <w:rsid w:val="00DB45F8"/>
    <w:rsid w:val="00DB4653"/>
    <w:rsid w:val="00DB466E"/>
    <w:rsid w:val="00DB4B59"/>
    <w:rsid w:val="00DB4BC2"/>
    <w:rsid w:val="00DB4C30"/>
    <w:rsid w:val="00DB4C8A"/>
    <w:rsid w:val="00DB4E20"/>
    <w:rsid w:val="00DB4FDA"/>
    <w:rsid w:val="00DB5020"/>
    <w:rsid w:val="00DB5192"/>
    <w:rsid w:val="00DB5296"/>
    <w:rsid w:val="00DB5681"/>
    <w:rsid w:val="00DB5729"/>
    <w:rsid w:val="00DB589D"/>
    <w:rsid w:val="00DB59B0"/>
    <w:rsid w:val="00DB5AFB"/>
    <w:rsid w:val="00DB5FEF"/>
    <w:rsid w:val="00DB6589"/>
    <w:rsid w:val="00DB665A"/>
    <w:rsid w:val="00DB6753"/>
    <w:rsid w:val="00DB68F0"/>
    <w:rsid w:val="00DB6C26"/>
    <w:rsid w:val="00DB7A74"/>
    <w:rsid w:val="00DB7C11"/>
    <w:rsid w:val="00DB7D4E"/>
    <w:rsid w:val="00DB7D8E"/>
    <w:rsid w:val="00DB7E46"/>
    <w:rsid w:val="00DC05AD"/>
    <w:rsid w:val="00DC05E2"/>
    <w:rsid w:val="00DC0659"/>
    <w:rsid w:val="00DC0785"/>
    <w:rsid w:val="00DC0966"/>
    <w:rsid w:val="00DC0F73"/>
    <w:rsid w:val="00DC10A1"/>
    <w:rsid w:val="00DC13E5"/>
    <w:rsid w:val="00DC16FF"/>
    <w:rsid w:val="00DC2013"/>
    <w:rsid w:val="00DC22E1"/>
    <w:rsid w:val="00DC2372"/>
    <w:rsid w:val="00DC2546"/>
    <w:rsid w:val="00DC27F1"/>
    <w:rsid w:val="00DC2A22"/>
    <w:rsid w:val="00DC2BFC"/>
    <w:rsid w:val="00DC2EDC"/>
    <w:rsid w:val="00DC2F93"/>
    <w:rsid w:val="00DC3160"/>
    <w:rsid w:val="00DC3400"/>
    <w:rsid w:val="00DC343C"/>
    <w:rsid w:val="00DC3501"/>
    <w:rsid w:val="00DC3945"/>
    <w:rsid w:val="00DC3B99"/>
    <w:rsid w:val="00DC3C58"/>
    <w:rsid w:val="00DC3DD9"/>
    <w:rsid w:val="00DC41B6"/>
    <w:rsid w:val="00DC42A7"/>
    <w:rsid w:val="00DC42CA"/>
    <w:rsid w:val="00DC4A78"/>
    <w:rsid w:val="00DC4CF2"/>
    <w:rsid w:val="00DC4E11"/>
    <w:rsid w:val="00DC50BB"/>
    <w:rsid w:val="00DC50EE"/>
    <w:rsid w:val="00DC58BE"/>
    <w:rsid w:val="00DC5B27"/>
    <w:rsid w:val="00DC5C42"/>
    <w:rsid w:val="00DC5D1E"/>
    <w:rsid w:val="00DC5E9C"/>
    <w:rsid w:val="00DC5ED9"/>
    <w:rsid w:val="00DC633B"/>
    <w:rsid w:val="00DC64CF"/>
    <w:rsid w:val="00DC655F"/>
    <w:rsid w:val="00DC6641"/>
    <w:rsid w:val="00DC69E5"/>
    <w:rsid w:val="00DC6E54"/>
    <w:rsid w:val="00DC6EAB"/>
    <w:rsid w:val="00DC6F51"/>
    <w:rsid w:val="00DC70DA"/>
    <w:rsid w:val="00DC729C"/>
    <w:rsid w:val="00DC7425"/>
    <w:rsid w:val="00DC78A6"/>
    <w:rsid w:val="00DC7A3E"/>
    <w:rsid w:val="00DC7BAA"/>
    <w:rsid w:val="00DC7FBF"/>
    <w:rsid w:val="00DD0346"/>
    <w:rsid w:val="00DD0385"/>
    <w:rsid w:val="00DD03A2"/>
    <w:rsid w:val="00DD0506"/>
    <w:rsid w:val="00DD06D4"/>
    <w:rsid w:val="00DD0873"/>
    <w:rsid w:val="00DD0900"/>
    <w:rsid w:val="00DD0F83"/>
    <w:rsid w:val="00DD122F"/>
    <w:rsid w:val="00DD149A"/>
    <w:rsid w:val="00DD1512"/>
    <w:rsid w:val="00DD1598"/>
    <w:rsid w:val="00DD1673"/>
    <w:rsid w:val="00DD1749"/>
    <w:rsid w:val="00DD1892"/>
    <w:rsid w:val="00DD195B"/>
    <w:rsid w:val="00DD2195"/>
    <w:rsid w:val="00DD222C"/>
    <w:rsid w:val="00DD2370"/>
    <w:rsid w:val="00DD2512"/>
    <w:rsid w:val="00DD26DF"/>
    <w:rsid w:val="00DD2836"/>
    <w:rsid w:val="00DD2FC6"/>
    <w:rsid w:val="00DD2FC8"/>
    <w:rsid w:val="00DD306D"/>
    <w:rsid w:val="00DD30F5"/>
    <w:rsid w:val="00DD3204"/>
    <w:rsid w:val="00DD32BA"/>
    <w:rsid w:val="00DD37F4"/>
    <w:rsid w:val="00DD3907"/>
    <w:rsid w:val="00DD3EAD"/>
    <w:rsid w:val="00DD3F2D"/>
    <w:rsid w:val="00DD4356"/>
    <w:rsid w:val="00DD47C8"/>
    <w:rsid w:val="00DD496E"/>
    <w:rsid w:val="00DD4B52"/>
    <w:rsid w:val="00DD5522"/>
    <w:rsid w:val="00DD55EF"/>
    <w:rsid w:val="00DD5717"/>
    <w:rsid w:val="00DD5A07"/>
    <w:rsid w:val="00DD5AC0"/>
    <w:rsid w:val="00DD5C06"/>
    <w:rsid w:val="00DD5CA9"/>
    <w:rsid w:val="00DD5E26"/>
    <w:rsid w:val="00DD64EB"/>
    <w:rsid w:val="00DD6517"/>
    <w:rsid w:val="00DD669E"/>
    <w:rsid w:val="00DD69D1"/>
    <w:rsid w:val="00DD69E1"/>
    <w:rsid w:val="00DD6A99"/>
    <w:rsid w:val="00DD6B4B"/>
    <w:rsid w:val="00DD6BCD"/>
    <w:rsid w:val="00DD6F0B"/>
    <w:rsid w:val="00DD72E3"/>
    <w:rsid w:val="00DD7781"/>
    <w:rsid w:val="00DD7790"/>
    <w:rsid w:val="00DD7B51"/>
    <w:rsid w:val="00DD7C99"/>
    <w:rsid w:val="00DD7EBD"/>
    <w:rsid w:val="00DE072B"/>
    <w:rsid w:val="00DE07C5"/>
    <w:rsid w:val="00DE0FBD"/>
    <w:rsid w:val="00DE1042"/>
    <w:rsid w:val="00DE1215"/>
    <w:rsid w:val="00DE12DB"/>
    <w:rsid w:val="00DE1343"/>
    <w:rsid w:val="00DE1387"/>
    <w:rsid w:val="00DE15E1"/>
    <w:rsid w:val="00DE1A24"/>
    <w:rsid w:val="00DE1C98"/>
    <w:rsid w:val="00DE22A3"/>
    <w:rsid w:val="00DE2359"/>
    <w:rsid w:val="00DE25EA"/>
    <w:rsid w:val="00DE2628"/>
    <w:rsid w:val="00DE2729"/>
    <w:rsid w:val="00DE2792"/>
    <w:rsid w:val="00DE2BF3"/>
    <w:rsid w:val="00DE2CEA"/>
    <w:rsid w:val="00DE2FAF"/>
    <w:rsid w:val="00DE341D"/>
    <w:rsid w:val="00DE37DB"/>
    <w:rsid w:val="00DE38F4"/>
    <w:rsid w:val="00DE3935"/>
    <w:rsid w:val="00DE3B21"/>
    <w:rsid w:val="00DE3DCF"/>
    <w:rsid w:val="00DE4093"/>
    <w:rsid w:val="00DE4539"/>
    <w:rsid w:val="00DE4853"/>
    <w:rsid w:val="00DE4966"/>
    <w:rsid w:val="00DE49C1"/>
    <w:rsid w:val="00DE4AEC"/>
    <w:rsid w:val="00DE4C35"/>
    <w:rsid w:val="00DE4CE6"/>
    <w:rsid w:val="00DE4EA6"/>
    <w:rsid w:val="00DE50E8"/>
    <w:rsid w:val="00DE5122"/>
    <w:rsid w:val="00DE5237"/>
    <w:rsid w:val="00DE564E"/>
    <w:rsid w:val="00DE5778"/>
    <w:rsid w:val="00DE5BF2"/>
    <w:rsid w:val="00DE5C29"/>
    <w:rsid w:val="00DE61AB"/>
    <w:rsid w:val="00DE61E2"/>
    <w:rsid w:val="00DE6295"/>
    <w:rsid w:val="00DE65DE"/>
    <w:rsid w:val="00DE681E"/>
    <w:rsid w:val="00DE6922"/>
    <w:rsid w:val="00DE6E95"/>
    <w:rsid w:val="00DE6F56"/>
    <w:rsid w:val="00DE72CF"/>
    <w:rsid w:val="00DE75D7"/>
    <w:rsid w:val="00DE76C7"/>
    <w:rsid w:val="00DE79DB"/>
    <w:rsid w:val="00DE7C72"/>
    <w:rsid w:val="00DE7FD1"/>
    <w:rsid w:val="00DF01B8"/>
    <w:rsid w:val="00DF028F"/>
    <w:rsid w:val="00DF03D1"/>
    <w:rsid w:val="00DF0404"/>
    <w:rsid w:val="00DF0A3B"/>
    <w:rsid w:val="00DF0F3D"/>
    <w:rsid w:val="00DF0FE1"/>
    <w:rsid w:val="00DF111C"/>
    <w:rsid w:val="00DF1159"/>
    <w:rsid w:val="00DF1292"/>
    <w:rsid w:val="00DF152E"/>
    <w:rsid w:val="00DF157C"/>
    <w:rsid w:val="00DF1F21"/>
    <w:rsid w:val="00DF1FA9"/>
    <w:rsid w:val="00DF21DF"/>
    <w:rsid w:val="00DF2313"/>
    <w:rsid w:val="00DF2591"/>
    <w:rsid w:val="00DF25D8"/>
    <w:rsid w:val="00DF2883"/>
    <w:rsid w:val="00DF2899"/>
    <w:rsid w:val="00DF28D8"/>
    <w:rsid w:val="00DF2924"/>
    <w:rsid w:val="00DF2DE8"/>
    <w:rsid w:val="00DF2E09"/>
    <w:rsid w:val="00DF2EEF"/>
    <w:rsid w:val="00DF30D0"/>
    <w:rsid w:val="00DF31CE"/>
    <w:rsid w:val="00DF33E9"/>
    <w:rsid w:val="00DF33F0"/>
    <w:rsid w:val="00DF3532"/>
    <w:rsid w:val="00DF394A"/>
    <w:rsid w:val="00DF3972"/>
    <w:rsid w:val="00DF39FF"/>
    <w:rsid w:val="00DF3A23"/>
    <w:rsid w:val="00DF3D45"/>
    <w:rsid w:val="00DF3E50"/>
    <w:rsid w:val="00DF3E70"/>
    <w:rsid w:val="00DF4138"/>
    <w:rsid w:val="00DF4194"/>
    <w:rsid w:val="00DF4711"/>
    <w:rsid w:val="00DF483A"/>
    <w:rsid w:val="00DF491B"/>
    <w:rsid w:val="00DF4A3B"/>
    <w:rsid w:val="00DF4C24"/>
    <w:rsid w:val="00DF4C84"/>
    <w:rsid w:val="00DF52D7"/>
    <w:rsid w:val="00DF55CF"/>
    <w:rsid w:val="00DF583F"/>
    <w:rsid w:val="00DF5881"/>
    <w:rsid w:val="00DF58A3"/>
    <w:rsid w:val="00DF5BE1"/>
    <w:rsid w:val="00DF5F57"/>
    <w:rsid w:val="00DF5FD4"/>
    <w:rsid w:val="00DF60BC"/>
    <w:rsid w:val="00DF62B6"/>
    <w:rsid w:val="00DF6CB7"/>
    <w:rsid w:val="00DF7311"/>
    <w:rsid w:val="00DF7334"/>
    <w:rsid w:val="00DF744D"/>
    <w:rsid w:val="00DF7485"/>
    <w:rsid w:val="00DF7AE2"/>
    <w:rsid w:val="00DF7BC3"/>
    <w:rsid w:val="00DF7DBF"/>
    <w:rsid w:val="00DF7F02"/>
    <w:rsid w:val="00E001FF"/>
    <w:rsid w:val="00E008CE"/>
    <w:rsid w:val="00E009CD"/>
    <w:rsid w:val="00E00A22"/>
    <w:rsid w:val="00E00B86"/>
    <w:rsid w:val="00E00DEA"/>
    <w:rsid w:val="00E00E31"/>
    <w:rsid w:val="00E00FB1"/>
    <w:rsid w:val="00E010AC"/>
    <w:rsid w:val="00E0159D"/>
    <w:rsid w:val="00E019CD"/>
    <w:rsid w:val="00E019F7"/>
    <w:rsid w:val="00E01F15"/>
    <w:rsid w:val="00E0201E"/>
    <w:rsid w:val="00E02163"/>
    <w:rsid w:val="00E0250F"/>
    <w:rsid w:val="00E025AB"/>
    <w:rsid w:val="00E026B0"/>
    <w:rsid w:val="00E02C46"/>
    <w:rsid w:val="00E02CC8"/>
    <w:rsid w:val="00E02EE4"/>
    <w:rsid w:val="00E02EE5"/>
    <w:rsid w:val="00E0303D"/>
    <w:rsid w:val="00E03643"/>
    <w:rsid w:val="00E03E6F"/>
    <w:rsid w:val="00E0402A"/>
    <w:rsid w:val="00E04045"/>
    <w:rsid w:val="00E0406F"/>
    <w:rsid w:val="00E0455C"/>
    <w:rsid w:val="00E04657"/>
    <w:rsid w:val="00E046AE"/>
    <w:rsid w:val="00E04B70"/>
    <w:rsid w:val="00E04CA3"/>
    <w:rsid w:val="00E04F9C"/>
    <w:rsid w:val="00E0551C"/>
    <w:rsid w:val="00E05643"/>
    <w:rsid w:val="00E05A7D"/>
    <w:rsid w:val="00E0610B"/>
    <w:rsid w:val="00E061B0"/>
    <w:rsid w:val="00E061BC"/>
    <w:rsid w:val="00E061F2"/>
    <w:rsid w:val="00E06716"/>
    <w:rsid w:val="00E06940"/>
    <w:rsid w:val="00E06FDF"/>
    <w:rsid w:val="00E07000"/>
    <w:rsid w:val="00E07225"/>
    <w:rsid w:val="00E075DB"/>
    <w:rsid w:val="00E0769B"/>
    <w:rsid w:val="00E0788F"/>
    <w:rsid w:val="00E10028"/>
    <w:rsid w:val="00E10173"/>
    <w:rsid w:val="00E104A4"/>
    <w:rsid w:val="00E109E7"/>
    <w:rsid w:val="00E10D20"/>
    <w:rsid w:val="00E10F4A"/>
    <w:rsid w:val="00E114FF"/>
    <w:rsid w:val="00E11685"/>
    <w:rsid w:val="00E116F2"/>
    <w:rsid w:val="00E11B96"/>
    <w:rsid w:val="00E11D7B"/>
    <w:rsid w:val="00E11FAE"/>
    <w:rsid w:val="00E1210B"/>
    <w:rsid w:val="00E121B5"/>
    <w:rsid w:val="00E12522"/>
    <w:rsid w:val="00E128C1"/>
    <w:rsid w:val="00E129BD"/>
    <w:rsid w:val="00E12ADD"/>
    <w:rsid w:val="00E130BA"/>
    <w:rsid w:val="00E130F1"/>
    <w:rsid w:val="00E1328A"/>
    <w:rsid w:val="00E132C2"/>
    <w:rsid w:val="00E133FF"/>
    <w:rsid w:val="00E13496"/>
    <w:rsid w:val="00E134A4"/>
    <w:rsid w:val="00E134C3"/>
    <w:rsid w:val="00E134E2"/>
    <w:rsid w:val="00E13574"/>
    <w:rsid w:val="00E135C6"/>
    <w:rsid w:val="00E13875"/>
    <w:rsid w:val="00E138A6"/>
    <w:rsid w:val="00E1391C"/>
    <w:rsid w:val="00E13A0B"/>
    <w:rsid w:val="00E13A1B"/>
    <w:rsid w:val="00E13BA7"/>
    <w:rsid w:val="00E13CD4"/>
    <w:rsid w:val="00E140BF"/>
    <w:rsid w:val="00E1438E"/>
    <w:rsid w:val="00E14782"/>
    <w:rsid w:val="00E14B28"/>
    <w:rsid w:val="00E14C5A"/>
    <w:rsid w:val="00E14D23"/>
    <w:rsid w:val="00E14F8A"/>
    <w:rsid w:val="00E14F95"/>
    <w:rsid w:val="00E1504B"/>
    <w:rsid w:val="00E152D3"/>
    <w:rsid w:val="00E155B7"/>
    <w:rsid w:val="00E15861"/>
    <w:rsid w:val="00E15918"/>
    <w:rsid w:val="00E1592C"/>
    <w:rsid w:val="00E15A70"/>
    <w:rsid w:val="00E161DC"/>
    <w:rsid w:val="00E16257"/>
    <w:rsid w:val="00E162E1"/>
    <w:rsid w:val="00E163F9"/>
    <w:rsid w:val="00E164EC"/>
    <w:rsid w:val="00E165BE"/>
    <w:rsid w:val="00E1687C"/>
    <w:rsid w:val="00E16D8D"/>
    <w:rsid w:val="00E17299"/>
    <w:rsid w:val="00E172D4"/>
    <w:rsid w:val="00E178D1"/>
    <w:rsid w:val="00E179E0"/>
    <w:rsid w:val="00E17A83"/>
    <w:rsid w:val="00E17AA4"/>
    <w:rsid w:val="00E17BF0"/>
    <w:rsid w:val="00E17D95"/>
    <w:rsid w:val="00E20167"/>
    <w:rsid w:val="00E20234"/>
    <w:rsid w:val="00E20CA7"/>
    <w:rsid w:val="00E21028"/>
    <w:rsid w:val="00E21137"/>
    <w:rsid w:val="00E21174"/>
    <w:rsid w:val="00E2174C"/>
    <w:rsid w:val="00E21840"/>
    <w:rsid w:val="00E21CC1"/>
    <w:rsid w:val="00E21E48"/>
    <w:rsid w:val="00E22008"/>
    <w:rsid w:val="00E2222F"/>
    <w:rsid w:val="00E223DD"/>
    <w:rsid w:val="00E224F7"/>
    <w:rsid w:val="00E22576"/>
    <w:rsid w:val="00E2293A"/>
    <w:rsid w:val="00E22D03"/>
    <w:rsid w:val="00E22D44"/>
    <w:rsid w:val="00E22DDC"/>
    <w:rsid w:val="00E22E1A"/>
    <w:rsid w:val="00E22E29"/>
    <w:rsid w:val="00E22E5F"/>
    <w:rsid w:val="00E2339D"/>
    <w:rsid w:val="00E23519"/>
    <w:rsid w:val="00E23666"/>
    <w:rsid w:val="00E236DF"/>
    <w:rsid w:val="00E23989"/>
    <w:rsid w:val="00E23C36"/>
    <w:rsid w:val="00E23CAA"/>
    <w:rsid w:val="00E241D9"/>
    <w:rsid w:val="00E24242"/>
    <w:rsid w:val="00E24269"/>
    <w:rsid w:val="00E2496C"/>
    <w:rsid w:val="00E24A92"/>
    <w:rsid w:val="00E24B79"/>
    <w:rsid w:val="00E24C21"/>
    <w:rsid w:val="00E24D52"/>
    <w:rsid w:val="00E24D5C"/>
    <w:rsid w:val="00E24F9F"/>
    <w:rsid w:val="00E25200"/>
    <w:rsid w:val="00E25435"/>
    <w:rsid w:val="00E2580E"/>
    <w:rsid w:val="00E25E3F"/>
    <w:rsid w:val="00E25ED6"/>
    <w:rsid w:val="00E25FA6"/>
    <w:rsid w:val="00E26061"/>
    <w:rsid w:val="00E26207"/>
    <w:rsid w:val="00E262E0"/>
    <w:rsid w:val="00E26648"/>
    <w:rsid w:val="00E26B00"/>
    <w:rsid w:val="00E26D10"/>
    <w:rsid w:val="00E26FBC"/>
    <w:rsid w:val="00E26FCD"/>
    <w:rsid w:val="00E271A3"/>
    <w:rsid w:val="00E2744D"/>
    <w:rsid w:val="00E2748E"/>
    <w:rsid w:val="00E27C57"/>
    <w:rsid w:val="00E27D9A"/>
    <w:rsid w:val="00E27DBD"/>
    <w:rsid w:val="00E30814"/>
    <w:rsid w:val="00E30A7B"/>
    <w:rsid w:val="00E30DA6"/>
    <w:rsid w:val="00E30E4C"/>
    <w:rsid w:val="00E30E78"/>
    <w:rsid w:val="00E31030"/>
    <w:rsid w:val="00E3118D"/>
    <w:rsid w:val="00E314A1"/>
    <w:rsid w:val="00E31536"/>
    <w:rsid w:val="00E31672"/>
    <w:rsid w:val="00E31675"/>
    <w:rsid w:val="00E31825"/>
    <w:rsid w:val="00E31828"/>
    <w:rsid w:val="00E319FE"/>
    <w:rsid w:val="00E31A2D"/>
    <w:rsid w:val="00E31B15"/>
    <w:rsid w:val="00E31E86"/>
    <w:rsid w:val="00E321F3"/>
    <w:rsid w:val="00E321FC"/>
    <w:rsid w:val="00E32375"/>
    <w:rsid w:val="00E32520"/>
    <w:rsid w:val="00E325B3"/>
    <w:rsid w:val="00E32687"/>
    <w:rsid w:val="00E329B2"/>
    <w:rsid w:val="00E32B89"/>
    <w:rsid w:val="00E32ED5"/>
    <w:rsid w:val="00E32FC3"/>
    <w:rsid w:val="00E33052"/>
    <w:rsid w:val="00E3374E"/>
    <w:rsid w:val="00E33802"/>
    <w:rsid w:val="00E33986"/>
    <w:rsid w:val="00E340F8"/>
    <w:rsid w:val="00E343A1"/>
    <w:rsid w:val="00E343B0"/>
    <w:rsid w:val="00E34879"/>
    <w:rsid w:val="00E34A12"/>
    <w:rsid w:val="00E34A42"/>
    <w:rsid w:val="00E34B56"/>
    <w:rsid w:val="00E34DB9"/>
    <w:rsid w:val="00E34EB1"/>
    <w:rsid w:val="00E34FBF"/>
    <w:rsid w:val="00E3538F"/>
    <w:rsid w:val="00E35E6F"/>
    <w:rsid w:val="00E35F48"/>
    <w:rsid w:val="00E36152"/>
    <w:rsid w:val="00E3626E"/>
    <w:rsid w:val="00E3661D"/>
    <w:rsid w:val="00E3668F"/>
    <w:rsid w:val="00E369B8"/>
    <w:rsid w:val="00E36A92"/>
    <w:rsid w:val="00E36B9D"/>
    <w:rsid w:val="00E36CAA"/>
    <w:rsid w:val="00E371A1"/>
    <w:rsid w:val="00E37255"/>
    <w:rsid w:val="00E374DC"/>
    <w:rsid w:val="00E37575"/>
    <w:rsid w:val="00E375E0"/>
    <w:rsid w:val="00E37A7F"/>
    <w:rsid w:val="00E37CA1"/>
    <w:rsid w:val="00E37DAE"/>
    <w:rsid w:val="00E400CE"/>
    <w:rsid w:val="00E40139"/>
    <w:rsid w:val="00E4019D"/>
    <w:rsid w:val="00E402DF"/>
    <w:rsid w:val="00E407DD"/>
    <w:rsid w:val="00E41052"/>
    <w:rsid w:val="00E4126F"/>
    <w:rsid w:val="00E4137F"/>
    <w:rsid w:val="00E41742"/>
    <w:rsid w:val="00E417DD"/>
    <w:rsid w:val="00E41BD2"/>
    <w:rsid w:val="00E41C1B"/>
    <w:rsid w:val="00E41C33"/>
    <w:rsid w:val="00E41CC6"/>
    <w:rsid w:val="00E41ED2"/>
    <w:rsid w:val="00E42059"/>
    <w:rsid w:val="00E42177"/>
    <w:rsid w:val="00E421C0"/>
    <w:rsid w:val="00E42248"/>
    <w:rsid w:val="00E424BA"/>
    <w:rsid w:val="00E4254B"/>
    <w:rsid w:val="00E42613"/>
    <w:rsid w:val="00E426D6"/>
    <w:rsid w:val="00E42FCB"/>
    <w:rsid w:val="00E432C3"/>
    <w:rsid w:val="00E4347D"/>
    <w:rsid w:val="00E435A6"/>
    <w:rsid w:val="00E437C2"/>
    <w:rsid w:val="00E438BA"/>
    <w:rsid w:val="00E43ED3"/>
    <w:rsid w:val="00E44413"/>
    <w:rsid w:val="00E447A4"/>
    <w:rsid w:val="00E448AD"/>
    <w:rsid w:val="00E44D59"/>
    <w:rsid w:val="00E44E16"/>
    <w:rsid w:val="00E44FB7"/>
    <w:rsid w:val="00E4529B"/>
    <w:rsid w:val="00E4541C"/>
    <w:rsid w:val="00E455F0"/>
    <w:rsid w:val="00E4637D"/>
    <w:rsid w:val="00E4651E"/>
    <w:rsid w:val="00E46588"/>
    <w:rsid w:val="00E4699A"/>
    <w:rsid w:val="00E469EA"/>
    <w:rsid w:val="00E46A4C"/>
    <w:rsid w:val="00E46B22"/>
    <w:rsid w:val="00E46B3C"/>
    <w:rsid w:val="00E46C1D"/>
    <w:rsid w:val="00E46E27"/>
    <w:rsid w:val="00E46EB5"/>
    <w:rsid w:val="00E4772B"/>
    <w:rsid w:val="00E47A0E"/>
    <w:rsid w:val="00E47BB1"/>
    <w:rsid w:val="00E47BB8"/>
    <w:rsid w:val="00E47F1B"/>
    <w:rsid w:val="00E50079"/>
    <w:rsid w:val="00E50266"/>
    <w:rsid w:val="00E502CF"/>
    <w:rsid w:val="00E504A9"/>
    <w:rsid w:val="00E50537"/>
    <w:rsid w:val="00E50650"/>
    <w:rsid w:val="00E506E0"/>
    <w:rsid w:val="00E507B8"/>
    <w:rsid w:val="00E50802"/>
    <w:rsid w:val="00E50A4A"/>
    <w:rsid w:val="00E50B7E"/>
    <w:rsid w:val="00E51135"/>
    <w:rsid w:val="00E51273"/>
    <w:rsid w:val="00E5128B"/>
    <w:rsid w:val="00E51402"/>
    <w:rsid w:val="00E5149D"/>
    <w:rsid w:val="00E5164E"/>
    <w:rsid w:val="00E519AD"/>
    <w:rsid w:val="00E51C75"/>
    <w:rsid w:val="00E51C82"/>
    <w:rsid w:val="00E51DC8"/>
    <w:rsid w:val="00E51E02"/>
    <w:rsid w:val="00E5219A"/>
    <w:rsid w:val="00E527BA"/>
    <w:rsid w:val="00E5280A"/>
    <w:rsid w:val="00E52B60"/>
    <w:rsid w:val="00E52ED4"/>
    <w:rsid w:val="00E52EDF"/>
    <w:rsid w:val="00E533A2"/>
    <w:rsid w:val="00E53447"/>
    <w:rsid w:val="00E538C3"/>
    <w:rsid w:val="00E53957"/>
    <w:rsid w:val="00E53A3F"/>
    <w:rsid w:val="00E53DB2"/>
    <w:rsid w:val="00E53EFA"/>
    <w:rsid w:val="00E5403A"/>
    <w:rsid w:val="00E5409F"/>
    <w:rsid w:val="00E540DF"/>
    <w:rsid w:val="00E54170"/>
    <w:rsid w:val="00E547FD"/>
    <w:rsid w:val="00E54800"/>
    <w:rsid w:val="00E54905"/>
    <w:rsid w:val="00E54B1D"/>
    <w:rsid w:val="00E54DDD"/>
    <w:rsid w:val="00E54E48"/>
    <w:rsid w:val="00E55313"/>
    <w:rsid w:val="00E55332"/>
    <w:rsid w:val="00E558A1"/>
    <w:rsid w:val="00E5599F"/>
    <w:rsid w:val="00E559C8"/>
    <w:rsid w:val="00E55AE6"/>
    <w:rsid w:val="00E55B30"/>
    <w:rsid w:val="00E55B7F"/>
    <w:rsid w:val="00E55D18"/>
    <w:rsid w:val="00E55EF1"/>
    <w:rsid w:val="00E55EFE"/>
    <w:rsid w:val="00E561E2"/>
    <w:rsid w:val="00E56336"/>
    <w:rsid w:val="00E565A7"/>
    <w:rsid w:val="00E5670B"/>
    <w:rsid w:val="00E56761"/>
    <w:rsid w:val="00E56C05"/>
    <w:rsid w:val="00E56E28"/>
    <w:rsid w:val="00E570FC"/>
    <w:rsid w:val="00E57221"/>
    <w:rsid w:val="00E5740F"/>
    <w:rsid w:val="00E576A2"/>
    <w:rsid w:val="00E57744"/>
    <w:rsid w:val="00E578B4"/>
    <w:rsid w:val="00E579AE"/>
    <w:rsid w:val="00E57B24"/>
    <w:rsid w:val="00E57BC1"/>
    <w:rsid w:val="00E57BFF"/>
    <w:rsid w:val="00E57C9E"/>
    <w:rsid w:val="00E57E36"/>
    <w:rsid w:val="00E60069"/>
    <w:rsid w:val="00E60808"/>
    <w:rsid w:val="00E60B8A"/>
    <w:rsid w:val="00E60DF2"/>
    <w:rsid w:val="00E60F66"/>
    <w:rsid w:val="00E61056"/>
    <w:rsid w:val="00E6122C"/>
    <w:rsid w:val="00E612E2"/>
    <w:rsid w:val="00E61C0A"/>
    <w:rsid w:val="00E61C2D"/>
    <w:rsid w:val="00E61C89"/>
    <w:rsid w:val="00E61D1E"/>
    <w:rsid w:val="00E61F00"/>
    <w:rsid w:val="00E61F93"/>
    <w:rsid w:val="00E62190"/>
    <w:rsid w:val="00E62388"/>
    <w:rsid w:val="00E624AB"/>
    <w:rsid w:val="00E6268E"/>
    <w:rsid w:val="00E62A37"/>
    <w:rsid w:val="00E62CBD"/>
    <w:rsid w:val="00E62DE1"/>
    <w:rsid w:val="00E62E2A"/>
    <w:rsid w:val="00E632C6"/>
    <w:rsid w:val="00E633CC"/>
    <w:rsid w:val="00E6340D"/>
    <w:rsid w:val="00E63A16"/>
    <w:rsid w:val="00E63ED5"/>
    <w:rsid w:val="00E63F1D"/>
    <w:rsid w:val="00E63F88"/>
    <w:rsid w:val="00E64030"/>
    <w:rsid w:val="00E64392"/>
    <w:rsid w:val="00E646C0"/>
    <w:rsid w:val="00E647AC"/>
    <w:rsid w:val="00E647E6"/>
    <w:rsid w:val="00E64C89"/>
    <w:rsid w:val="00E6506F"/>
    <w:rsid w:val="00E6529D"/>
    <w:rsid w:val="00E6535E"/>
    <w:rsid w:val="00E65A08"/>
    <w:rsid w:val="00E65A45"/>
    <w:rsid w:val="00E65B2D"/>
    <w:rsid w:val="00E65BDB"/>
    <w:rsid w:val="00E65C7D"/>
    <w:rsid w:val="00E66247"/>
    <w:rsid w:val="00E66592"/>
    <w:rsid w:val="00E6662A"/>
    <w:rsid w:val="00E6677E"/>
    <w:rsid w:val="00E66D87"/>
    <w:rsid w:val="00E66E3F"/>
    <w:rsid w:val="00E66F48"/>
    <w:rsid w:val="00E672AF"/>
    <w:rsid w:val="00E67578"/>
    <w:rsid w:val="00E67595"/>
    <w:rsid w:val="00E67825"/>
    <w:rsid w:val="00E67873"/>
    <w:rsid w:val="00E678A0"/>
    <w:rsid w:val="00E678D7"/>
    <w:rsid w:val="00E67A29"/>
    <w:rsid w:val="00E67AC2"/>
    <w:rsid w:val="00E67CA8"/>
    <w:rsid w:val="00E67D29"/>
    <w:rsid w:val="00E67D8F"/>
    <w:rsid w:val="00E7013B"/>
    <w:rsid w:val="00E701AA"/>
    <w:rsid w:val="00E703B2"/>
    <w:rsid w:val="00E7040D"/>
    <w:rsid w:val="00E70732"/>
    <w:rsid w:val="00E70787"/>
    <w:rsid w:val="00E70874"/>
    <w:rsid w:val="00E70B8C"/>
    <w:rsid w:val="00E70EEA"/>
    <w:rsid w:val="00E70F63"/>
    <w:rsid w:val="00E71579"/>
    <w:rsid w:val="00E71A4A"/>
    <w:rsid w:val="00E71E3D"/>
    <w:rsid w:val="00E71F29"/>
    <w:rsid w:val="00E72047"/>
    <w:rsid w:val="00E722CC"/>
    <w:rsid w:val="00E723D9"/>
    <w:rsid w:val="00E7248B"/>
    <w:rsid w:val="00E725B7"/>
    <w:rsid w:val="00E7261E"/>
    <w:rsid w:val="00E72687"/>
    <w:rsid w:val="00E727BF"/>
    <w:rsid w:val="00E727EA"/>
    <w:rsid w:val="00E72B8F"/>
    <w:rsid w:val="00E72DFF"/>
    <w:rsid w:val="00E72F7C"/>
    <w:rsid w:val="00E730B7"/>
    <w:rsid w:val="00E732C6"/>
    <w:rsid w:val="00E73802"/>
    <w:rsid w:val="00E7385C"/>
    <w:rsid w:val="00E73A01"/>
    <w:rsid w:val="00E73A55"/>
    <w:rsid w:val="00E73AF0"/>
    <w:rsid w:val="00E73DD9"/>
    <w:rsid w:val="00E73E76"/>
    <w:rsid w:val="00E73FD1"/>
    <w:rsid w:val="00E74354"/>
    <w:rsid w:val="00E7440A"/>
    <w:rsid w:val="00E7483F"/>
    <w:rsid w:val="00E74D45"/>
    <w:rsid w:val="00E74DC4"/>
    <w:rsid w:val="00E74DE9"/>
    <w:rsid w:val="00E74F3C"/>
    <w:rsid w:val="00E7505B"/>
    <w:rsid w:val="00E7522F"/>
    <w:rsid w:val="00E75588"/>
    <w:rsid w:val="00E75D10"/>
    <w:rsid w:val="00E763BA"/>
    <w:rsid w:val="00E7672A"/>
    <w:rsid w:val="00E76953"/>
    <w:rsid w:val="00E76D1D"/>
    <w:rsid w:val="00E76F5E"/>
    <w:rsid w:val="00E77174"/>
    <w:rsid w:val="00E77341"/>
    <w:rsid w:val="00E77574"/>
    <w:rsid w:val="00E776EA"/>
    <w:rsid w:val="00E77855"/>
    <w:rsid w:val="00E77874"/>
    <w:rsid w:val="00E77A28"/>
    <w:rsid w:val="00E77B5F"/>
    <w:rsid w:val="00E77BE3"/>
    <w:rsid w:val="00E77E19"/>
    <w:rsid w:val="00E77F63"/>
    <w:rsid w:val="00E77FFA"/>
    <w:rsid w:val="00E801D7"/>
    <w:rsid w:val="00E8085A"/>
    <w:rsid w:val="00E80B53"/>
    <w:rsid w:val="00E80C23"/>
    <w:rsid w:val="00E80E23"/>
    <w:rsid w:val="00E810B0"/>
    <w:rsid w:val="00E81493"/>
    <w:rsid w:val="00E8152B"/>
    <w:rsid w:val="00E81589"/>
    <w:rsid w:val="00E81672"/>
    <w:rsid w:val="00E81C44"/>
    <w:rsid w:val="00E81D0E"/>
    <w:rsid w:val="00E82192"/>
    <w:rsid w:val="00E82463"/>
    <w:rsid w:val="00E82672"/>
    <w:rsid w:val="00E828DA"/>
    <w:rsid w:val="00E82A3C"/>
    <w:rsid w:val="00E82C90"/>
    <w:rsid w:val="00E82D6E"/>
    <w:rsid w:val="00E82DC1"/>
    <w:rsid w:val="00E834B2"/>
    <w:rsid w:val="00E83611"/>
    <w:rsid w:val="00E836D0"/>
    <w:rsid w:val="00E8395C"/>
    <w:rsid w:val="00E83C8A"/>
    <w:rsid w:val="00E83CF9"/>
    <w:rsid w:val="00E83E6D"/>
    <w:rsid w:val="00E8401C"/>
    <w:rsid w:val="00E840DA"/>
    <w:rsid w:val="00E84132"/>
    <w:rsid w:val="00E8451B"/>
    <w:rsid w:val="00E84744"/>
    <w:rsid w:val="00E84BAD"/>
    <w:rsid w:val="00E84CC1"/>
    <w:rsid w:val="00E85606"/>
    <w:rsid w:val="00E856B4"/>
    <w:rsid w:val="00E856C3"/>
    <w:rsid w:val="00E858F6"/>
    <w:rsid w:val="00E859FC"/>
    <w:rsid w:val="00E85C60"/>
    <w:rsid w:val="00E85D50"/>
    <w:rsid w:val="00E85D9A"/>
    <w:rsid w:val="00E86520"/>
    <w:rsid w:val="00E86535"/>
    <w:rsid w:val="00E865F8"/>
    <w:rsid w:val="00E867B2"/>
    <w:rsid w:val="00E8685A"/>
    <w:rsid w:val="00E86F22"/>
    <w:rsid w:val="00E86F2C"/>
    <w:rsid w:val="00E8718A"/>
    <w:rsid w:val="00E871C7"/>
    <w:rsid w:val="00E87456"/>
    <w:rsid w:val="00E87481"/>
    <w:rsid w:val="00E87485"/>
    <w:rsid w:val="00E87561"/>
    <w:rsid w:val="00E87694"/>
    <w:rsid w:val="00E877FE"/>
    <w:rsid w:val="00E87828"/>
    <w:rsid w:val="00E8795B"/>
    <w:rsid w:val="00E87CCA"/>
    <w:rsid w:val="00E87F1A"/>
    <w:rsid w:val="00E90614"/>
    <w:rsid w:val="00E90617"/>
    <w:rsid w:val="00E90793"/>
    <w:rsid w:val="00E908DF"/>
    <w:rsid w:val="00E90A1E"/>
    <w:rsid w:val="00E90BB8"/>
    <w:rsid w:val="00E90BCA"/>
    <w:rsid w:val="00E91056"/>
    <w:rsid w:val="00E9130F"/>
    <w:rsid w:val="00E9135B"/>
    <w:rsid w:val="00E91470"/>
    <w:rsid w:val="00E91610"/>
    <w:rsid w:val="00E916CB"/>
    <w:rsid w:val="00E9189C"/>
    <w:rsid w:val="00E918B1"/>
    <w:rsid w:val="00E918DD"/>
    <w:rsid w:val="00E91CBF"/>
    <w:rsid w:val="00E91F51"/>
    <w:rsid w:val="00E920BF"/>
    <w:rsid w:val="00E923B0"/>
    <w:rsid w:val="00E9275E"/>
    <w:rsid w:val="00E92A5C"/>
    <w:rsid w:val="00E92DC9"/>
    <w:rsid w:val="00E9303B"/>
    <w:rsid w:val="00E93105"/>
    <w:rsid w:val="00E933B5"/>
    <w:rsid w:val="00E9352E"/>
    <w:rsid w:val="00E9354E"/>
    <w:rsid w:val="00E93AB5"/>
    <w:rsid w:val="00E93C9B"/>
    <w:rsid w:val="00E93FB9"/>
    <w:rsid w:val="00E941BE"/>
    <w:rsid w:val="00E94308"/>
    <w:rsid w:val="00E94625"/>
    <w:rsid w:val="00E9487A"/>
    <w:rsid w:val="00E94FE5"/>
    <w:rsid w:val="00E952FB"/>
    <w:rsid w:val="00E95321"/>
    <w:rsid w:val="00E955FC"/>
    <w:rsid w:val="00E95623"/>
    <w:rsid w:val="00E959EA"/>
    <w:rsid w:val="00E95C30"/>
    <w:rsid w:val="00E95CA3"/>
    <w:rsid w:val="00E95EE7"/>
    <w:rsid w:val="00E960E6"/>
    <w:rsid w:val="00E96A1A"/>
    <w:rsid w:val="00E96A44"/>
    <w:rsid w:val="00E96E6C"/>
    <w:rsid w:val="00E96FDE"/>
    <w:rsid w:val="00E977B0"/>
    <w:rsid w:val="00E977D9"/>
    <w:rsid w:val="00E97855"/>
    <w:rsid w:val="00E97CBD"/>
    <w:rsid w:val="00E97F2A"/>
    <w:rsid w:val="00EA00D8"/>
    <w:rsid w:val="00EA0898"/>
    <w:rsid w:val="00EA0E33"/>
    <w:rsid w:val="00EA0FCE"/>
    <w:rsid w:val="00EA0FDF"/>
    <w:rsid w:val="00EA14C8"/>
    <w:rsid w:val="00EA1811"/>
    <w:rsid w:val="00EA1D40"/>
    <w:rsid w:val="00EA20B7"/>
    <w:rsid w:val="00EA23A7"/>
    <w:rsid w:val="00EA244A"/>
    <w:rsid w:val="00EA2479"/>
    <w:rsid w:val="00EA26D9"/>
    <w:rsid w:val="00EA2903"/>
    <w:rsid w:val="00EA2A2A"/>
    <w:rsid w:val="00EA2AA7"/>
    <w:rsid w:val="00EA2C65"/>
    <w:rsid w:val="00EA2FF8"/>
    <w:rsid w:val="00EA327F"/>
    <w:rsid w:val="00EA336C"/>
    <w:rsid w:val="00EA33C2"/>
    <w:rsid w:val="00EA3CDA"/>
    <w:rsid w:val="00EA3D3C"/>
    <w:rsid w:val="00EA3EC4"/>
    <w:rsid w:val="00EA3F92"/>
    <w:rsid w:val="00EA4129"/>
    <w:rsid w:val="00EA4138"/>
    <w:rsid w:val="00EA431D"/>
    <w:rsid w:val="00EA4486"/>
    <w:rsid w:val="00EA44C1"/>
    <w:rsid w:val="00EA44E2"/>
    <w:rsid w:val="00EA4811"/>
    <w:rsid w:val="00EA4A20"/>
    <w:rsid w:val="00EA4BD3"/>
    <w:rsid w:val="00EA4FE0"/>
    <w:rsid w:val="00EA51AE"/>
    <w:rsid w:val="00EA51BA"/>
    <w:rsid w:val="00EA525E"/>
    <w:rsid w:val="00EA5653"/>
    <w:rsid w:val="00EA57E4"/>
    <w:rsid w:val="00EA5E17"/>
    <w:rsid w:val="00EA5EC7"/>
    <w:rsid w:val="00EA5FDA"/>
    <w:rsid w:val="00EA61AA"/>
    <w:rsid w:val="00EA61C1"/>
    <w:rsid w:val="00EA63A3"/>
    <w:rsid w:val="00EA63F9"/>
    <w:rsid w:val="00EA66F9"/>
    <w:rsid w:val="00EA6B08"/>
    <w:rsid w:val="00EA6C69"/>
    <w:rsid w:val="00EA6CA6"/>
    <w:rsid w:val="00EA6D08"/>
    <w:rsid w:val="00EA6E13"/>
    <w:rsid w:val="00EA6E56"/>
    <w:rsid w:val="00EA6F40"/>
    <w:rsid w:val="00EA6F6B"/>
    <w:rsid w:val="00EA6F97"/>
    <w:rsid w:val="00EA70E0"/>
    <w:rsid w:val="00EA7237"/>
    <w:rsid w:val="00EA72E2"/>
    <w:rsid w:val="00EA7837"/>
    <w:rsid w:val="00EA7922"/>
    <w:rsid w:val="00EA7941"/>
    <w:rsid w:val="00EA7CF1"/>
    <w:rsid w:val="00EA7DE8"/>
    <w:rsid w:val="00EA7E4E"/>
    <w:rsid w:val="00EA7EB0"/>
    <w:rsid w:val="00EB0228"/>
    <w:rsid w:val="00EB0375"/>
    <w:rsid w:val="00EB03E6"/>
    <w:rsid w:val="00EB05E4"/>
    <w:rsid w:val="00EB06B4"/>
    <w:rsid w:val="00EB06D7"/>
    <w:rsid w:val="00EB07E5"/>
    <w:rsid w:val="00EB07FC"/>
    <w:rsid w:val="00EB089B"/>
    <w:rsid w:val="00EB0C1E"/>
    <w:rsid w:val="00EB0F55"/>
    <w:rsid w:val="00EB0FEF"/>
    <w:rsid w:val="00EB1149"/>
    <w:rsid w:val="00EB115E"/>
    <w:rsid w:val="00EB12A7"/>
    <w:rsid w:val="00EB14E3"/>
    <w:rsid w:val="00EB155A"/>
    <w:rsid w:val="00EB16FA"/>
    <w:rsid w:val="00EB18F6"/>
    <w:rsid w:val="00EB1955"/>
    <w:rsid w:val="00EB1B01"/>
    <w:rsid w:val="00EB20F7"/>
    <w:rsid w:val="00EB2BE3"/>
    <w:rsid w:val="00EB2C93"/>
    <w:rsid w:val="00EB2ED1"/>
    <w:rsid w:val="00EB2F00"/>
    <w:rsid w:val="00EB3117"/>
    <w:rsid w:val="00EB3267"/>
    <w:rsid w:val="00EB335F"/>
    <w:rsid w:val="00EB3420"/>
    <w:rsid w:val="00EB3C62"/>
    <w:rsid w:val="00EB3D3D"/>
    <w:rsid w:val="00EB3E07"/>
    <w:rsid w:val="00EB3F31"/>
    <w:rsid w:val="00EB4262"/>
    <w:rsid w:val="00EB43EB"/>
    <w:rsid w:val="00EB44AB"/>
    <w:rsid w:val="00EB4BDF"/>
    <w:rsid w:val="00EB4C72"/>
    <w:rsid w:val="00EB4F3A"/>
    <w:rsid w:val="00EB4F7D"/>
    <w:rsid w:val="00EB4FFE"/>
    <w:rsid w:val="00EB5139"/>
    <w:rsid w:val="00EB525A"/>
    <w:rsid w:val="00EB56BF"/>
    <w:rsid w:val="00EB5700"/>
    <w:rsid w:val="00EB5759"/>
    <w:rsid w:val="00EB58A3"/>
    <w:rsid w:val="00EB58CD"/>
    <w:rsid w:val="00EB5BE1"/>
    <w:rsid w:val="00EB5D3B"/>
    <w:rsid w:val="00EB5FBE"/>
    <w:rsid w:val="00EB601F"/>
    <w:rsid w:val="00EB6371"/>
    <w:rsid w:val="00EB6407"/>
    <w:rsid w:val="00EB64C9"/>
    <w:rsid w:val="00EB64E5"/>
    <w:rsid w:val="00EB6577"/>
    <w:rsid w:val="00EB69EB"/>
    <w:rsid w:val="00EB6CD5"/>
    <w:rsid w:val="00EB6D04"/>
    <w:rsid w:val="00EB6D7C"/>
    <w:rsid w:val="00EB701A"/>
    <w:rsid w:val="00EB712A"/>
    <w:rsid w:val="00EB7132"/>
    <w:rsid w:val="00EB71B9"/>
    <w:rsid w:val="00EB72B8"/>
    <w:rsid w:val="00EB747B"/>
    <w:rsid w:val="00EB7580"/>
    <w:rsid w:val="00EB771B"/>
    <w:rsid w:val="00EB77CD"/>
    <w:rsid w:val="00EB7FAE"/>
    <w:rsid w:val="00EC0185"/>
    <w:rsid w:val="00EC0214"/>
    <w:rsid w:val="00EC02F0"/>
    <w:rsid w:val="00EC04C6"/>
    <w:rsid w:val="00EC0635"/>
    <w:rsid w:val="00EC0CB1"/>
    <w:rsid w:val="00EC112F"/>
    <w:rsid w:val="00EC1332"/>
    <w:rsid w:val="00EC14B7"/>
    <w:rsid w:val="00EC1A4C"/>
    <w:rsid w:val="00EC1BB5"/>
    <w:rsid w:val="00EC1E2A"/>
    <w:rsid w:val="00EC23AC"/>
    <w:rsid w:val="00EC273F"/>
    <w:rsid w:val="00EC2874"/>
    <w:rsid w:val="00EC2896"/>
    <w:rsid w:val="00EC2BF0"/>
    <w:rsid w:val="00EC2EE3"/>
    <w:rsid w:val="00EC3111"/>
    <w:rsid w:val="00EC350E"/>
    <w:rsid w:val="00EC361B"/>
    <w:rsid w:val="00EC3B18"/>
    <w:rsid w:val="00EC3DD3"/>
    <w:rsid w:val="00EC3DF2"/>
    <w:rsid w:val="00EC3E51"/>
    <w:rsid w:val="00EC3FB4"/>
    <w:rsid w:val="00EC3FF7"/>
    <w:rsid w:val="00EC41E5"/>
    <w:rsid w:val="00EC4D8D"/>
    <w:rsid w:val="00EC4FE8"/>
    <w:rsid w:val="00EC522C"/>
    <w:rsid w:val="00EC58A2"/>
    <w:rsid w:val="00EC58DA"/>
    <w:rsid w:val="00EC5C0E"/>
    <w:rsid w:val="00EC5EE6"/>
    <w:rsid w:val="00EC608D"/>
    <w:rsid w:val="00EC6481"/>
    <w:rsid w:val="00EC65BC"/>
    <w:rsid w:val="00EC6785"/>
    <w:rsid w:val="00EC6B90"/>
    <w:rsid w:val="00EC6D49"/>
    <w:rsid w:val="00EC6E0E"/>
    <w:rsid w:val="00EC6E94"/>
    <w:rsid w:val="00EC6EF0"/>
    <w:rsid w:val="00EC6F81"/>
    <w:rsid w:val="00EC6FCD"/>
    <w:rsid w:val="00EC703A"/>
    <w:rsid w:val="00EC7094"/>
    <w:rsid w:val="00EC7116"/>
    <w:rsid w:val="00EC72B7"/>
    <w:rsid w:val="00EC75D7"/>
    <w:rsid w:val="00EC7628"/>
    <w:rsid w:val="00EC7B28"/>
    <w:rsid w:val="00EC7C02"/>
    <w:rsid w:val="00EC7F8E"/>
    <w:rsid w:val="00ED0492"/>
    <w:rsid w:val="00ED050A"/>
    <w:rsid w:val="00ED0773"/>
    <w:rsid w:val="00ED099D"/>
    <w:rsid w:val="00ED0C44"/>
    <w:rsid w:val="00ED1320"/>
    <w:rsid w:val="00ED13CC"/>
    <w:rsid w:val="00ED13E0"/>
    <w:rsid w:val="00ED15DA"/>
    <w:rsid w:val="00ED17EE"/>
    <w:rsid w:val="00ED1BCB"/>
    <w:rsid w:val="00ED1F6A"/>
    <w:rsid w:val="00ED202D"/>
    <w:rsid w:val="00ED22A1"/>
    <w:rsid w:val="00ED231E"/>
    <w:rsid w:val="00ED2515"/>
    <w:rsid w:val="00ED256E"/>
    <w:rsid w:val="00ED25D4"/>
    <w:rsid w:val="00ED263F"/>
    <w:rsid w:val="00ED27C6"/>
    <w:rsid w:val="00ED2A98"/>
    <w:rsid w:val="00ED2CD0"/>
    <w:rsid w:val="00ED2F22"/>
    <w:rsid w:val="00ED2F4D"/>
    <w:rsid w:val="00ED3063"/>
    <w:rsid w:val="00ED343E"/>
    <w:rsid w:val="00ED34D4"/>
    <w:rsid w:val="00ED383D"/>
    <w:rsid w:val="00ED3ED4"/>
    <w:rsid w:val="00ED4379"/>
    <w:rsid w:val="00ED4433"/>
    <w:rsid w:val="00ED4547"/>
    <w:rsid w:val="00ED4690"/>
    <w:rsid w:val="00ED49BC"/>
    <w:rsid w:val="00ED4A4D"/>
    <w:rsid w:val="00ED4A80"/>
    <w:rsid w:val="00ED4B96"/>
    <w:rsid w:val="00ED4CF4"/>
    <w:rsid w:val="00ED4E19"/>
    <w:rsid w:val="00ED4F59"/>
    <w:rsid w:val="00ED5212"/>
    <w:rsid w:val="00ED55C9"/>
    <w:rsid w:val="00ED55EE"/>
    <w:rsid w:val="00ED5977"/>
    <w:rsid w:val="00ED5F48"/>
    <w:rsid w:val="00ED61F9"/>
    <w:rsid w:val="00ED6472"/>
    <w:rsid w:val="00ED6B6F"/>
    <w:rsid w:val="00ED6FAF"/>
    <w:rsid w:val="00ED6FFB"/>
    <w:rsid w:val="00ED719F"/>
    <w:rsid w:val="00ED71CA"/>
    <w:rsid w:val="00ED72B8"/>
    <w:rsid w:val="00ED75CF"/>
    <w:rsid w:val="00ED76EA"/>
    <w:rsid w:val="00ED77FB"/>
    <w:rsid w:val="00ED7C76"/>
    <w:rsid w:val="00ED7D17"/>
    <w:rsid w:val="00ED7DED"/>
    <w:rsid w:val="00EE018B"/>
    <w:rsid w:val="00EE0890"/>
    <w:rsid w:val="00EE09B4"/>
    <w:rsid w:val="00EE0D4E"/>
    <w:rsid w:val="00EE0FF7"/>
    <w:rsid w:val="00EE1078"/>
    <w:rsid w:val="00EE18A3"/>
    <w:rsid w:val="00EE18AB"/>
    <w:rsid w:val="00EE19F5"/>
    <w:rsid w:val="00EE1B7C"/>
    <w:rsid w:val="00EE1C05"/>
    <w:rsid w:val="00EE1F88"/>
    <w:rsid w:val="00EE20D2"/>
    <w:rsid w:val="00EE210B"/>
    <w:rsid w:val="00EE21C6"/>
    <w:rsid w:val="00EE21E5"/>
    <w:rsid w:val="00EE21FB"/>
    <w:rsid w:val="00EE22C9"/>
    <w:rsid w:val="00EE23DF"/>
    <w:rsid w:val="00EE2A0C"/>
    <w:rsid w:val="00EE2ADD"/>
    <w:rsid w:val="00EE2FEB"/>
    <w:rsid w:val="00EE32D1"/>
    <w:rsid w:val="00EE335E"/>
    <w:rsid w:val="00EE352D"/>
    <w:rsid w:val="00EE357F"/>
    <w:rsid w:val="00EE3586"/>
    <w:rsid w:val="00EE362B"/>
    <w:rsid w:val="00EE363E"/>
    <w:rsid w:val="00EE38B8"/>
    <w:rsid w:val="00EE39BD"/>
    <w:rsid w:val="00EE3D3C"/>
    <w:rsid w:val="00EE4208"/>
    <w:rsid w:val="00EE43D2"/>
    <w:rsid w:val="00EE45D4"/>
    <w:rsid w:val="00EE4657"/>
    <w:rsid w:val="00EE474B"/>
    <w:rsid w:val="00EE48A6"/>
    <w:rsid w:val="00EE4B2F"/>
    <w:rsid w:val="00EE4BFF"/>
    <w:rsid w:val="00EE4C74"/>
    <w:rsid w:val="00EE50A0"/>
    <w:rsid w:val="00EE570B"/>
    <w:rsid w:val="00EE5C55"/>
    <w:rsid w:val="00EE5ED3"/>
    <w:rsid w:val="00EE5F0F"/>
    <w:rsid w:val="00EE624B"/>
    <w:rsid w:val="00EE62EF"/>
    <w:rsid w:val="00EE6565"/>
    <w:rsid w:val="00EE6697"/>
    <w:rsid w:val="00EE6787"/>
    <w:rsid w:val="00EE6887"/>
    <w:rsid w:val="00EE6B87"/>
    <w:rsid w:val="00EE6CB9"/>
    <w:rsid w:val="00EE75BC"/>
    <w:rsid w:val="00EE768A"/>
    <w:rsid w:val="00EE76EF"/>
    <w:rsid w:val="00EE7713"/>
    <w:rsid w:val="00EE7EE6"/>
    <w:rsid w:val="00EE7F66"/>
    <w:rsid w:val="00EF017D"/>
    <w:rsid w:val="00EF04FA"/>
    <w:rsid w:val="00EF086D"/>
    <w:rsid w:val="00EF0A0E"/>
    <w:rsid w:val="00EF114E"/>
    <w:rsid w:val="00EF150A"/>
    <w:rsid w:val="00EF16AA"/>
    <w:rsid w:val="00EF17F1"/>
    <w:rsid w:val="00EF1984"/>
    <w:rsid w:val="00EF1999"/>
    <w:rsid w:val="00EF1AEC"/>
    <w:rsid w:val="00EF1E61"/>
    <w:rsid w:val="00EF1F30"/>
    <w:rsid w:val="00EF1FCA"/>
    <w:rsid w:val="00EF21D1"/>
    <w:rsid w:val="00EF250D"/>
    <w:rsid w:val="00EF273B"/>
    <w:rsid w:val="00EF2B01"/>
    <w:rsid w:val="00EF2B64"/>
    <w:rsid w:val="00EF2C73"/>
    <w:rsid w:val="00EF31AD"/>
    <w:rsid w:val="00EF3392"/>
    <w:rsid w:val="00EF33A0"/>
    <w:rsid w:val="00EF33C8"/>
    <w:rsid w:val="00EF343D"/>
    <w:rsid w:val="00EF367A"/>
    <w:rsid w:val="00EF389B"/>
    <w:rsid w:val="00EF3BEE"/>
    <w:rsid w:val="00EF3E70"/>
    <w:rsid w:val="00EF3F82"/>
    <w:rsid w:val="00EF40FF"/>
    <w:rsid w:val="00EF4355"/>
    <w:rsid w:val="00EF439D"/>
    <w:rsid w:val="00EF43CB"/>
    <w:rsid w:val="00EF4535"/>
    <w:rsid w:val="00EF495F"/>
    <w:rsid w:val="00EF4DAD"/>
    <w:rsid w:val="00EF4EAD"/>
    <w:rsid w:val="00EF4ED0"/>
    <w:rsid w:val="00EF5184"/>
    <w:rsid w:val="00EF56E9"/>
    <w:rsid w:val="00EF5BB4"/>
    <w:rsid w:val="00EF5DBA"/>
    <w:rsid w:val="00EF6230"/>
    <w:rsid w:val="00EF6430"/>
    <w:rsid w:val="00EF67CB"/>
    <w:rsid w:val="00EF67CE"/>
    <w:rsid w:val="00EF6CBB"/>
    <w:rsid w:val="00EF6E4F"/>
    <w:rsid w:val="00EF6FA6"/>
    <w:rsid w:val="00EF70C0"/>
    <w:rsid w:val="00EF71E5"/>
    <w:rsid w:val="00EF759D"/>
    <w:rsid w:val="00EF75CC"/>
    <w:rsid w:val="00EF76D3"/>
    <w:rsid w:val="00EF791B"/>
    <w:rsid w:val="00EF7AC8"/>
    <w:rsid w:val="00EF7FA8"/>
    <w:rsid w:val="00F00016"/>
    <w:rsid w:val="00F0009F"/>
    <w:rsid w:val="00F000B4"/>
    <w:rsid w:val="00F00310"/>
    <w:rsid w:val="00F0035C"/>
    <w:rsid w:val="00F0078F"/>
    <w:rsid w:val="00F00AD3"/>
    <w:rsid w:val="00F00B92"/>
    <w:rsid w:val="00F00C86"/>
    <w:rsid w:val="00F01059"/>
    <w:rsid w:val="00F013F5"/>
    <w:rsid w:val="00F0161A"/>
    <w:rsid w:val="00F01639"/>
    <w:rsid w:val="00F016AF"/>
    <w:rsid w:val="00F01744"/>
    <w:rsid w:val="00F01946"/>
    <w:rsid w:val="00F01ABE"/>
    <w:rsid w:val="00F01CC6"/>
    <w:rsid w:val="00F01E55"/>
    <w:rsid w:val="00F01FDB"/>
    <w:rsid w:val="00F0208F"/>
    <w:rsid w:val="00F020C8"/>
    <w:rsid w:val="00F021FA"/>
    <w:rsid w:val="00F02534"/>
    <w:rsid w:val="00F0258A"/>
    <w:rsid w:val="00F02818"/>
    <w:rsid w:val="00F02989"/>
    <w:rsid w:val="00F02B08"/>
    <w:rsid w:val="00F02B4A"/>
    <w:rsid w:val="00F02BCE"/>
    <w:rsid w:val="00F02C43"/>
    <w:rsid w:val="00F0300B"/>
    <w:rsid w:val="00F0337B"/>
    <w:rsid w:val="00F0355D"/>
    <w:rsid w:val="00F035A7"/>
    <w:rsid w:val="00F03963"/>
    <w:rsid w:val="00F03A67"/>
    <w:rsid w:val="00F03AEE"/>
    <w:rsid w:val="00F03F93"/>
    <w:rsid w:val="00F0405F"/>
    <w:rsid w:val="00F041B5"/>
    <w:rsid w:val="00F04381"/>
    <w:rsid w:val="00F045C6"/>
    <w:rsid w:val="00F045FC"/>
    <w:rsid w:val="00F04790"/>
    <w:rsid w:val="00F048E5"/>
    <w:rsid w:val="00F04C74"/>
    <w:rsid w:val="00F04CEC"/>
    <w:rsid w:val="00F04CF2"/>
    <w:rsid w:val="00F04E1F"/>
    <w:rsid w:val="00F04F6C"/>
    <w:rsid w:val="00F05142"/>
    <w:rsid w:val="00F05732"/>
    <w:rsid w:val="00F059F2"/>
    <w:rsid w:val="00F05B59"/>
    <w:rsid w:val="00F05D3F"/>
    <w:rsid w:val="00F05E91"/>
    <w:rsid w:val="00F05EA2"/>
    <w:rsid w:val="00F05EF1"/>
    <w:rsid w:val="00F05FF8"/>
    <w:rsid w:val="00F061C9"/>
    <w:rsid w:val="00F06450"/>
    <w:rsid w:val="00F066FF"/>
    <w:rsid w:val="00F068CF"/>
    <w:rsid w:val="00F06BF3"/>
    <w:rsid w:val="00F06C8F"/>
    <w:rsid w:val="00F06C9D"/>
    <w:rsid w:val="00F0710C"/>
    <w:rsid w:val="00F100C7"/>
    <w:rsid w:val="00F100DF"/>
    <w:rsid w:val="00F1033A"/>
    <w:rsid w:val="00F10528"/>
    <w:rsid w:val="00F105C2"/>
    <w:rsid w:val="00F10760"/>
    <w:rsid w:val="00F1077E"/>
    <w:rsid w:val="00F10EA6"/>
    <w:rsid w:val="00F11204"/>
    <w:rsid w:val="00F11315"/>
    <w:rsid w:val="00F11BF0"/>
    <w:rsid w:val="00F1269B"/>
    <w:rsid w:val="00F126F6"/>
    <w:rsid w:val="00F12C7F"/>
    <w:rsid w:val="00F13164"/>
    <w:rsid w:val="00F133D0"/>
    <w:rsid w:val="00F1342B"/>
    <w:rsid w:val="00F134BC"/>
    <w:rsid w:val="00F13503"/>
    <w:rsid w:val="00F13880"/>
    <w:rsid w:val="00F13932"/>
    <w:rsid w:val="00F13A00"/>
    <w:rsid w:val="00F13B62"/>
    <w:rsid w:val="00F1463A"/>
    <w:rsid w:val="00F148AD"/>
    <w:rsid w:val="00F14B26"/>
    <w:rsid w:val="00F14B33"/>
    <w:rsid w:val="00F14DB7"/>
    <w:rsid w:val="00F154C3"/>
    <w:rsid w:val="00F1579C"/>
    <w:rsid w:val="00F15C87"/>
    <w:rsid w:val="00F15D5E"/>
    <w:rsid w:val="00F16167"/>
    <w:rsid w:val="00F161F2"/>
    <w:rsid w:val="00F1620F"/>
    <w:rsid w:val="00F16514"/>
    <w:rsid w:val="00F16B86"/>
    <w:rsid w:val="00F16C6A"/>
    <w:rsid w:val="00F16C6F"/>
    <w:rsid w:val="00F16C81"/>
    <w:rsid w:val="00F1751E"/>
    <w:rsid w:val="00F177CF"/>
    <w:rsid w:val="00F179BE"/>
    <w:rsid w:val="00F17DEE"/>
    <w:rsid w:val="00F20332"/>
    <w:rsid w:val="00F205A6"/>
    <w:rsid w:val="00F2066B"/>
    <w:rsid w:val="00F20AAC"/>
    <w:rsid w:val="00F20C01"/>
    <w:rsid w:val="00F20DC3"/>
    <w:rsid w:val="00F21107"/>
    <w:rsid w:val="00F21279"/>
    <w:rsid w:val="00F21647"/>
    <w:rsid w:val="00F21B9B"/>
    <w:rsid w:val="00F21C65"/>
    <w:rsid w:val="00F21FBE"/>
    <w:rsid w:val="00F220FA"/>
    <w:rsid w:val="00F22294"/>
    <w:rsid w:val="00F22889"/>
    <w:rsid w:val="00F22B8E"/>
    <w:rsid w:val="00F23589"/>
    <w:rsid w:val="00F2365D"/>
    <w:rsid w:val="00F239C0"/>
    <w:rsid w:val="00F23FF2"/>
    <w:rsid w:val="00F24250"/>
    <w:rsid w:val="00F24318"/>
    <w:rsid w:val="00F2432B"/>
    <w:rsid w:val="00F2434A"/>
    <w:rsid w:val="00F247A5"/>
    <w:rsid w:val="00F2485F"/>
    <w:rsid w:val="00F24DA1"/>
    <w:rsid w:val="00F24FC3"/>
    <w:rsid w:val="00F25561"/>
    <w:rsid w:val="00F25735"/>
    <w:rsid w:val="00F25752"/>
    <w:rsid w:val="00F25AD6"/>
    <w:rsid w:val="00F25E0A"/>
    <w:rsid w:val="00F25E92"/>
    <w:rsid w:val="00F25F1D"/>
    <w:rsid w:val="00F26062"/>
    <w:rsid w:val="00F2634F"/>
    <w:rsid w:val="00F26676"/>
    <w:rsid w:val="00F26823"/>
    <w:rsid w:val="00F26A58"/>
    <w:rsid w:val="00F26AF8"/>
    <w:rsid w:val="00F26E91"/>
    <w:rsid w:val="00F26EE3"/>
    <w:rsid w:val="00F2704D"/>
    <w:rsid w:val="00F270DF"/>
    <w:rsid w:val="00F27473"/>
    <w:rsid w:val="00F27561"/>
    <w:rsid w:val="00F27798"/>
    <w:rsid w:val="00F278DB"/>
    <w:rsid w:val="00F27A19"/>
    <w:rsid w:val="00F27ABC"/>
    <w:rsid w:val="00F27E32"/>
    <w:rsid w:val="00F27EC0"/>
    <w:rsid w:val="00F27F16"/>
    <w:rsid w:val="00F27FDE"/>
    <w:rsid w:val="00F3071A"/>
    <w:rsid w:val="00F3081C"/>
    <w:rsid w:val="00F30892"/>
    <w:rsid w:val="00F30A99"/>
    <w:rsid w:val="00F30CB9"/>
    <w:rsid w:val="00F30E64"/>
    <w:rsid w:val="00F3110D"/>
    <w:rsid w:val="00F3117E"/>
    <w:rsid w:val="00F312B7"/>
    <w:rsid w:val="00F3133D"/>
    <w:rsid w:val="00F31375"/>
    <w:rsid w:val="00F313F3"/>
    <w:rsid w:val="00F31518"/>
    <w:rsid w:val="00F3178B"/>
    <w:rsid w:val="00F31C34"/>
    <w:rsid w:val="00F31F99"/>
    <w:rsid w:val="00F32221"/>
    <w:rsid w:val="00F32515"/>
    <w:rsid w:val="00F32C4C"/>
    <w:rsid w:val="00F33132"/>
    <w:rsid w:val="00F33582"/>
    <w:rsid w:val="00F335B5"/>
    <w:rsid w:val="00F3376F"/>
    <w:rsid w:val="00F337FD"/>
    <w:rsid w:val="00F33A4F"/>
    <w:rsid w:val="00F341D3"/>
    <w:rsid w:val="00F3427F"/>
    <w:rsid w:val="00F342F7"/>
    <w:rsid w:val="00F34408"/>
    <w:rsid w:val="00F34428"/>
    <w:rsid w:val="00F3448F"/>
    <w:rsid w:val="00F34658"/>
    <w:rsid w:val="00F3475D"/>
    <w:rsid w:val="00F348DA"/>
    <w:rsid w:val="00F34AE9"/>
    <w:rsid w:val="00F34C84"/>
    <w:rsid w:val="00F35217"/>
    <w:rsid w:val="00F352AB"/>
    <w:rsid w:val="00F353CC"/>
    <w:rsid w:val="00F3570A"/>
    <w:rsid w:val="00F35793"/>
    <w:rsid w:val="00F35834"/>
    <w:rsid w:val="00F359D0"/>
    <w:rsid w:val="00F35A05"/>
    <w:rsid w:val="00F3608F"/>
    <w:rsid w:val="00F36364"/>
    <w:rsid w:val="00F36842"/>
    <w:rsid w:val="00F36C1F"/>
    <w:rsid w:val="00F37070"/>
    <w:rsid w:val="00F370FA"/>
    <w:rsid w:val="00F3737B"/>
    <w:rsid w:val="00F377BD"/>
    <w:rsid w:val="00F37895"/>
    <w:rsid w:val="00F37923"/>
    <w:rsid w:val="00F37967"/>
    <w:rsid w:val="00F37D4E"/>
    <w:rsid w:val="00F37E6B"/>
    <w:rsid w:val="00F401E3"/>
    <w:rsid w:val="00F4039E"/>
    <w:rsid w:val="00F40687"/>
    <w:rsid w:val="00F40835"/>
    <w:rsid w:val="00F40D04"/>
    <w:rsid w:val="00F4106D"/>
    <w:rsid w:val="00F411BB"/>
    <w:rsid w:val="00F412E4"/>
    <w:rsid w:val="00F417AC"/>
    <w:rsid w:val="00F41B34"/>
    <w:rsid w:val="00F41D09"/>
    <w:rsid w:val="00F41F07"/>
    <w:rsid w:val="00F4217B"/>
    <w:rsid w:val="00F428AA"/>
    <w:rsid w:val="00F428C0"/>
    <w:rsid w:val="00F42A3C"/>
    <w:rsid w:val="00F42F91"/>
    <w:rsid w:val="00F4301D"/>
    <w:rsid w:val="00F430FC"/>
    <w:rsid w:val="00F4314C"/>
    <w:rsid w:val="00F431C7"/>
    <w:rsid w:val="00F431CB"/>
    <w:rsid w:val="00F4364F"/>
    <w:rsid w:val="00F43690"/>
    <w:rsid w:val="00F4373E"/>
    <w:rsid w:val="00F43D18"/>
    <w:rsid w:val="00F43EBC"/>
    <w:rsid w:val="00F441BB"/>
    <w:rsid w:val="00F4426B"/>
    <w:rsid w:val="00F44282"/>
    <w:rsid w:val="00F442FF"/>
    <w:rsid w:val="00F443E8"/>
    <w:rsid w:val="00F44AAE"/>
    <w:rsid w:val="00F44AEC"/>
    <w:rsid w:val="00F44C18"/>
    <w:rsid w:val="00F44CC4"/>
    <w:rsid w:val="00F44FE0"/>
    <w:rsid w:val="00F4505F"/>
    <w:rsid w:val="00F451AE"/>
    <w:rsid w:val="00F45364"/>
    <w:rsid w:val="00F45417"/>
    <w:rsid w:val="00F45649"/>
    <w:rsid w:val="00F4585E"/>
    <w:rsid w:val="00F458C0"/>
    <w:rsid w:val="00F45AE3"/>
    <w:rsid w:val="00F45CDA"/>
    <w:rsid w:val="00F45F61"/>
    <w:rsid w:val="00F46145"/>
    <w:rsid w:val="00F4627C"/>
    <w:rsid w:val="00F4633D"/>
    <w:rsid w:val="00F467F8"/>
    <w:rsid w:val="00F469A0"/>
    <w:rsid w:val="00F46EE0"/>
    <w:rsid w:val="00F4786E"/>
    <w:rsid w:val="00F479BF"/>
    <w:rsid w:val="00F47C24"/>
    <w:rsid w:val="00F47D3D"/>
    <w:rsid w:val="00F5008D"/>
    <w:rsid w:val="00F5037E"/>
    <w:rsid w:val="00F50F22"/>
    <w:rsid w:val="00F50F34"/>
    <w:rsid w:val="00F51046"/>
    <w:rsid w:val="00F51331"/>
    <w:rsid w:val="00F5147D"/>
    <w:rsid w:val="00F51A7F"/>
    <w:rsid w:val="00F52249"/>
    <w:rsid w:val="00F52690"/>
    <w:rsid w:val="00F52896"/>
    <w:rsid w:val="00F529D1"/>
    <w:rsid w:val="00F52CD9"/>
    <w:rsid w:val="00F52EF2"/>
    <w:rsid w:val="00F52FEC"/>
    <w:rsid w:val="00F53090"/>
    <w:rsid w:val="00F5324B"/>
    <w:rsid w:val="00F53428"/>
    <w:rsid w:val="00F5346B"/>
    <w:rsid w:val="00F536B6"/>
    <w:rsid w:val="00F539F9"/>
    <w:rsid w:val="00F53E65"/>
    <w:rsid w:val="00F541EA"/>
    <w:rsid w:val="00F54303"/>
    <w:rsid w:val="00F54895"/>
    <w:rsid w:val="00F54983"/>
    <w:rsid w:val="00F54A9B"/>
    <w:rsid w:val="00F54AB4"/>
    <w:rsid w:val="00F54D93"/>
    <w:rsid w:val="00F54E9A"/>
    <w:rsid w:val="00F54EEE"/>
    <w:rsid w:val="00F554F0"/>
    <w:rsid w:val="00F55822"/>
    <w:rsid w:val="00F56115"/>
    <w:rsid w:val="00F564F4"/>
    <w:rsid w:val="00F56783"/>
    <w:rsid w:val="00F569B7"/>
    <w:rsid w:val="00F56C5B"/>
    <w:rsid w:val="00F56C76"/>
    <w:rsid w:val="00F56CAB"/>
    <w:rsid w:val="00F56D3E"/>
    <w:rsid w:val="00F56D63"/>
    <w:rsid w:val="00F56DAF"/>
    <w:rsid w:val="00F56DEC"/>
    <w:rsid w:val="00F56F29"/>
    <w:rsid w:val="00F57339"/>
    <w:rsid w:val="00F57382"/>
    <w:rsid w:val="00F57510"/>
    <w:rsid w:val="00F5753F"/>
    <w:rsid w:val="00F576BB"/>
    <w:rsid w:val="00F577D1"/>
    <w:rsid w:val="00F57ACA"/>
    <w:rsid w:val="00F57AD4"/>
    <w:rsid w:val="00F57BB7"/>
    <w:rsid w:val="00F57DBC"/>
    <w:rsid w:val="00F57EFD"/>
    <w:rsid w:val="00F60273"/>
    <w:rsid w:val="00F6036C"/>
    <w:rsid w:val="00F60377"/>
    <w:rsid w:val="00F6043F"/>
    <w:rsid w:val="00F6061B"/>
    <w:rsid w:val="00F6078E"/>
    <w:rsid w:val="00F60C3B"/>
    <w:rsid w:val="00F60D54"/>
    <w:rsid w:val="00F60EBB"/>
    <w:rsid w:val="00F60FF6"/>
    <w:rsid w:val="00F6101F"/>
    <w:rsid w:val="00F61155"/>
    <w:rsid w:val="00F6161D"/>
    <w:rsid w:val="00F61943"/>
    <w:rsid w:val="00F61983"/>
    <w:rsid w:val="00F61F18"/>
    <w:rsid w:val="00F620C1"/>
    <w:rsid w:val="00F625E1"/>
    <w:rsid w:val="00F62B8E"/>
    <w:rsid w:val="00F62CB0"/>
    <w:rsid w:val="00F62D40"/>
    <w:rsid w:val="00F62E40"/>
    <w:rsid w:val="00F62E97"/>
    <w:rsid w:val="00F62EF0"/>
    <w:rsid w:val="00F62FA6"/>
    <w:rsid w:val="00F630B5"/>
    <w:rsid w:val="00F63225"/>
    <w:rsid w:val="00F6359B"/>
    <w:rsid w:val="00F638AE"/>
    <w:rsid w:val="00F63B99"/>
    <w:rsid w:val="00F63C1A"/>
    <w:rsid w:val="00F63D1A"/>
    <w:rsid w:val="00F63DFA"/>
    <w:rsid w:val="00F63EBD"/>
    <w:rsid w:val="00F640AA"/>
    <w:rsid w:val="00F64209"/>
    <w:rsid w:val="00F6432A"/>
    <w:rsid w:val="00F64537"/>
    <w:rsid w:val="00F64538"/>
    <w:rsid w:val="00F647B7"/>
    <w:rsid w:val="00F648C8"/>
    <w:rsid w:val="00F649CB"/>
    <w:rsid w:val="00F64D42"/>
    <w:rsid w:val="00F64FEC"/>
    <w:rsid w:val="00F65210"/>
    <w:rsid w:val="00F65A4A"/>
    <w:rsid w:val="00F65B30"/>
    <w:rsid w:val="00F65BBF"/>
    <w:rsid w:val="00F65E35"/>
    <w:rsid w:val="00F65E6E"/>
    <w:rsid w:val="00F66293"/>
    <w:rsid w:val="00F66544"/>
    <w:rsid w:val="00F66A4C"/>
    <w:rsid w:val="00F66B19"/>
    <w:rsid w:val="00F66F16"/>
    <w:rsid w:val="00F6701A"/>
    <w:rsid w:val="00F6729F"/>
    <w:rsid w:val="00F67611"/>
    <w:rsid w:val="00F6764A"/>
    <w:rsid w:val="00F676C6"/>
    <w:rsid w:val="00F67758"/>
    <w:rsid w:val="00F67ADF"/>
    <w:rsid w:val="00F67AF6"/>
    <w:rsid w:val="00F67B6E"/>
    <w:rsid w:val="00F70738"/>
    <w:rsid w:val="00F70824"/>
    <w:rsid w:val="00F70CAD"/>
    <w:rsid w:val="00F70CBA"/>
    <w:rsid w:val="00F70DB3"/>
    <w:rsid w:val="00F70F81"/>
    <w:rsid w:val="00F70FBC"/>
    <w:rsid w:val="00F712EA"/>
    <w:rsid w:val="00F712F9"/>
    <w:rsid w:val="00F7156E"/>
    <w:rsid w:val="00F71663"/>
    <w:rsid w:val="00F71679"/>
    <w:rsid w:val="00F716F9"/>
    <w:rsid w:val="00F7173E"/>
    <w:rsid w:val="00F71BD2"/>
    <w:rsid w:val="00F71D50"/>
    <w:rsid w:val="00F72578"/>
    <w:rsid w:val="00F72AF1"/>
    <w:rsid w:val="00F72AF9"/>
    <w:rsid w:val="00F72B1E"/>
    <w:rsid w:val="00F72B40"/>
    <w:rsid w:val="00F72D4E"/>
    <w:rsid w:val="00F73007"/>
    <w:rsid w:val="00F733E2"/>
    <w:rsid w:val="00F73457"/>
    <w:rsid w:val="00F73468"/>
    <w:rsid w:val="00F73542"/>
    <w:rsid w:val="00F735E5"/>
    <w:rsid w:val="00F736E5"/>
    <w:rsid w:val="00F73906"/>
    <w:rsid w:val="00F73929"/>
    <w:rsid w:val="00F73ACC"/>
    <w:rsid w:val="00F73C5A"/>
    <w:rsid w:val="00F73FEE"/>
    <w:rsid w:val="00F74108"/>
    <w:rsid w:val="00F7449C"/>
    <w:rsid w:val="00F74760"/>
    <w:rsid w:val="00F747FE"/>
    <w:rsid w:val="00F749FB"/>
    <w:rsid w:val="00F74B36"/>
    <w:rsid w:val="00F74C8B"/>
    <w:rsid w:val="00F75221"/>
    <w:rsid w:val="00F75255"/>
    <w:rsid w:val="00F75290"/>
    <w:rsid w:val="00F753E3"/>
    <w:rsid w:val="00F75470"/>
    <w:rsid w:val="00F7579D"/>
    <w:rsid w:val="00F757EE"/>
    <w:rsid w:val="00F758D7"/>
    <w:rsid w:val="00F759B9"/>
    <w:rsid w:val="00F75A59"/>
    <w:rsid w:val="00F75B2A"/>
    <w:rsid w:val="00F75B8E"/>
    <w:rsid w:val="00F75CF9"/>
    <w:rsid w:val="00F75D76"/>
    <w:rsid w:val="00F760C9"/>
    <w:rsid w:val="00F761B8"/>
    <w:rsid w:val="00F76386"/>
    <w:rsid w:val="00F7658F"/>
    <w:rsid w:val="00F76766"/>
    <w:rsid w:val="00F76B7E"/>
    <w:rsid w:val="00F76E77"/>
    <w:rsid w:val="00F76FD9"/>
    <w:rsid w:val="00F77327"/>
    <w:rsid w:val="00F775E9"/>
    <w:rsid w:val="00F77666"/>
    <w:rsid w:val="00F77763"/>
    <w:rsid w:val="00F778ED"/>
    <w:rsid w:val="00F77D0E"/>
    <w:rsid w:val="00F77D17"/>
    <w:rsid w:val="00F77D3A"/>
    <w:rsid w:val="00F77E19"/>
    <w:rsid w:val="00F77E37"/>
    <w:rsid w:val="00F80603"/>
    <w:rsid w:val="00F80625"/>
    <w:rsid w:val="00F80A14"/>
    <w:rsid w:val="00F80B36"/>
    <w:rsid w:val="00F80B8E"/>
    <w:rsid w:val="00F80C77"/>
    <w:rsid w:val="00F80FF3"/>
    <w:rsid w:val="00F8101A"/>
    <w:rsid w:val="00F811D2"/>
    <w:rsid w:val="00F81231"/>
    <w:rsid w:val="00F818F7"/>
    <w:rsid w:val="00F81CBC"/>
    <w:rsid w:val="00F81EA9"/>
    <w:rsid w:val="00F81EB4"/>
    <w:rsid w:val="00F8250C"/>
    <w:rsid w:val="00F825B8"/>
    <w:rsid w:val="00F826ED"/>
    <w:rsid w:val="00F827C9"/>
    <w:rsid w:val="00F828EB"/>
    <w:rsid w:val="00F82C91"/>
    <w:rsid w:val="00F8301A"/>
    <w:rsid w:val="00F830D3"/>
    <w:rsid w:val="00F8319D"/>
    <w:rsid w:val="00F835FC"/>
    <w:rsid w:val="00F836E7"/>
    <w:rsid w:val="00F8394C"/>
    <w:rsid w:val="00F83A0C"/>
    <w:rsid w:val="00F83C1E"/>
    <w:rsid w:val="00F83C53"/>
    <w:rsid w:val="00F83D79"/>
    <w:rsid w:val="00F83EA3"/>
    <w:rsid w:val="00F84085"/>
    <w:rsid w:val="00F8441E"/>
    <w:rsid w:val="00F84673"/>
    <w:rsid w:val="00F846B9"/>
    <w:rsid w:val="00F84839"/>
    <w:rsid w:val="00F84AE6"/>
    <w:rsid w:val="00F84BFD"/>
    <w:rsid w:val="00F84EF8"/>
    <w:rsid w:val="00F852AF"/>
    <w:rsid w:val="00F8548B"/>
    <w:rsid w:val="00F854D7"/>
    <w:rsid w:val="00F8553E"/>
    <w:rsid w:val="00F85554"/>
    <w:rsid w:val="00F8572D"/>
    <w:rsid w:val="00F85840"/>
    <w:rsid w:val="00F85B37"/>
    <w:rsid w:val="00F85E6B"/>
    <w:rsid w:val="00F86093"/>
    <w:rsid w:val="00F863A9"/>
    <w:rsid w:val="00F86550"/>
    <w:rsid w:val="00F86BD7"/>
    <w:rsid w:val="00F86D12"/>
    <w:rsid w:val="00F86F43"/>
    <w:rsid w:val="00F877F1"/>
    <w:rsid w:val="00F878C2"/>
    <w:rsid w:val="00F87AB5"/>
    <w:rsid w:val="00F87E41"/>
    <w:rsid w:val="00F90074"/>
    <w:rsid w:val="00F90152"/>
    <w:rsid w:val="00F9018B"/>
    <w:rsid w:val="00F90240"/>
    <w:rsid w:val="00F907E0"/>
    <w:rsid w:val="00F90899"/>
    <w:rsid w:val="00F90C2B"/>
    <w:rsid w:val="00F90D1B"/>
    <w:rsid w:val="00F90F9D"/>
    <w:rsid w:val="00F91106"/>
    <w:rsid w:val="00F9149E"/>
    <w:rsid w:val="00F918AC"/>
    <w:rsid w:val="00F91971"/>
    <w:rsid w:val="00F91AED"/>
    <w:rsid w:val="00F91C78"/>
    <w:rsid w:val="00F91D96"/>
    <w:rsid w:val="00F91DA3"/>
    <w:rsid w:val="00F91E96"/>
    <w:rsid w:val="00F920C6"/>
    <w:rsid w:val="00F92696"/>
    <w:rsid w:val="00F9296E"/>
    <w:rsid w:val="00F92A04"/>
    <w:rsid w:val="00F92BE2"/>
    <w:rsid w:val="00F92C28"/>
    <w:rsid w:val="00F93736"/>
    <w:rsid w:val="00F938FA"/>
    <w:rsid w:val="00F9399C"/>
    <w:rsid w:val="00F93BF5"/>
    <w:rsid w:val="00F93D4C"/>
    <w:rsid w:val="00F94466"/>
    <w:rsid w:val="00F9457F"/>
    <w:rsid w:val="00F945D5"/>
    <w:rsid w:val="00F9466B"/>
    <w:rsid w:val="00F9467F"/>
    <w:rsid w:val="00F9476A"/>
    <w:rsid w:val="00F9476B"/>
    <w:rsid w:val="00F949FD"/>
    <w:rsid w:val="00F94B98"/>
    <w:rsid w:val="00F94D99"/>
    <w:rsid w:val="00F94E77"/>
    <w:rsid w:val="00F95659"/>
    <w:rsid w:val="00F958B7"/>
    <w:rsid w:val="00F95AFC"/>
    <w:rsid w:val="00F96567"/>
    <w:rsid w:val="00F9675C"/>
    <w:rsid w:val="00F968B3"/>
    <w:rsid w:val="00F96B1D"/>
    <w:rsid w:val="00F96E21"/>
    <w:rsid w:val="00F96F63"/>
    <w:rsid w:val="00F97023"/>
    <w:rsid w:val="00F97915"/>
    <w:rsid w:val="00F97DEB"/>
    <w:rsid w:val="00FA031B"/>
    <w:rsid w:val="00FA0571"/>
    <w:rsid w:val="00FA05F3"/>
    <w:rsid w:val="00FA0609"/>
    <w:rsid w:val="00FA062E"/>
    <w:rsid w:val="00FA0753"/>
    <w:rsid w:val="00FA08A6"/>
    <w:rsid w:val="00FA0FBD"/>
    <w:rsid w:val="00FA0FC6"/>
    <w:rsid w:val="00FA103F"/>
    <w:rsid w:val="00FA10D9"/>
    <w:rsid w:val="00FA11D2"/>
    <w:rsid w:val="00FA138C"/>
    <w:rsid w:val="00FA17D0"/>
    <w:rsid w:val="00FA19AA"/>
    <w:rsid w:val="00FA278C"/>
    <w:rsid w:val="00FA28DD"/>
    <w:rsid w:val="00FA2A9D"/>
    <w:rsid w:val="00FA342F"/>
    <w:rsid w:val="00FA3853"/>
    <w:rsid w:val="00FA39AF"/>
    <w:rsid w:val="00FA3AD5"/>
    <w:rsid w:val="00FA3BB1"/>
    <w:rsid w:val="00FA3C1D"/>
    <w:rsid w:val="00FA3F1C"/>
    <w:rsid w:val="00FA3F9F"/>
    <w:rsid w:val="00FA4113"/>
    <w:rsid w:val="00FA42A7"/>
    <w:rsid w:val="00FA432E"/>
    <w:rsid w:val="00FA47D2"/>
    <w:rsid w:val="00FA48EC"/>
    <w:rsid w:val="00FA4953"/>
    <w:rsid w:val="00FA49C2"/>
    <w:rsid w:val="00FA4A71"/>
    <w:rsid w:val="00FA4C61"/>
    <w:rsid w:val="00FA4C80"/>
    <w:rsid w:val="00FA4DE2"/>
    <w:rsid w:val="00FA51C8"/>
    <w:rsid w:val="00FA5340"/>
    <w:rsid w:val="00FA539F"/>
    <w:rsid w:val="00FA5570"/>
    <w:rsid w:val="00FA56E7"/>
    <w:rsid w:val="00FA5A91"/>
    <w:rsid w:val="00FA5B99"/>
    <w:rsid w:val="00FA5F60"/>
    <w:rsid w:val="00FA62C6"/>
    <w:rsid w:val="00FA64B4"/>
    <w:rsid w:val="00FA6632"/>
    <w:rsid w:val="00FA6693"/>
    <w:rsid w:val="00FA6755"/>
    <w:rsid w:val="00FA6B51"/>
    <w:rsid w:val="00FA6B65"/>
    <w:rsid w:val="00FA6D88"/>
    <w:rsid w:val="00FA6ED8"/>
    <w:rsid w:val="00FA7148"/>
    <w:rsid w:val="00FA72DF"/>
    <w:rsid w:val="00FA72F5"/>
    <w:rsid w:val="00FA7319"/>
    <w:rsid w:val="00FA74A6"/>
    <w:rsid w:val="00FA75BB"/>
    <w:rsid w:val="00FA775C"/>
    <w:rsid w:val="00FA791A"/>
    <w:rsid w:val="00FA7939"/>
    <w:rsid w:val="00FA7A6A"/>
    <w:rsid w:val="00FA7D5C"/>
    <w:rsid w:val="00FB00AA"/>
    <w:rsid w:val="00FB05E4"/>
    <w:rsid w:val="00FB0BB2"/>
    <w:rsid w:val="00FB0C24"/>
    <w:rsid w:val="00FB11F2"/>
    <w:rsid w:val="00FB1307"/>
    <w:rsid w:val="00FB134A"/>
    <w:rsid w:val="00FB13D4"/>
    <w:rsid w:val="00FB152B"/>
    <w:rsid w:val="00FB1982"/>
    <w:rsid w:val="00FB1AAA"/>
    <w:rsid w:val="00FB1EC1"/>
    <w:rsid w:val="00FB2218"/>
    <w:rsid w:val="00FB2412"/>
    <w:rsid w:val="00FB2613"/>
    <w:rsid w:val="00FB289A"/>
    <w:rsid w:val="00FB2AD5"/>
    <w:rsid w:val="00FB2C57"/>
    <w:rsid w:val="00FB2C71"/>
    <w:rsid w:val="00FB2D48"/>
    <w:rsid w:val="00FB30D8"/>
    <w:rsid w:val="00FB31F5"/>
    <w:rsid w:val="00FB3547"/>
    <w:rsid w:val="00FB3686"/>
    <w:rsid w:val="00FB36FD"/>
    <w:rsid w:val="00FB378E"/>
    <w:rsid w:val="00FB37CF"/>
    <w:rsid w:val="00FB386C"/>
    <w:rsid w:val="00FB3A84"/>
    <w:rsid w:val="00FB3B04"/>
    <w:rsid w:val="00FB3BA6"/>
    <w:rsid w:val="00FB3CD6"/>
    <w:rsid w:val="00FB3D68"/>
    <w:rsid w:val="00FB3DB4"/>
    <w:rsid w:val="00FB3F02"/>
    <w:rsid w:val="00FB40A2"/>
    <w:rsid w:val="00FB4294"/>
    <w:rsid w:val="00FB47D9"/>
    <w:rsid w:val="00FB4817"/>
    <w:rsid w:val="00FB4A13"/>
    <w:rsid w:val="00FB4AB5"/>
    <w:rsid w:val="00FB4B48"/>
    <w:rsid w:val="00FB4CFD"/>
    <w:rsid w:val="00FB4EEB"/>
    <w:rsid w:val="00FB50B3"/>
    <w:rsid w:val="00FB5367"/>
    <w:rsid w:val="00FB5444"/>
    <w:rsid w:val="00FB56A5"/>
    <w:rsid w:val="00FB5A34"/>
    <w:rsid w:val="00FB5B59"/>
    <w:rsid w:val="00FB5E33"/>
    <w:rsid w:val="00FB5FBD"/>
    <w:rsid w:val="00FB6123"/>
    <w:rsid w:val="00FB6218"/>
    <w:rsid w:val="00FB628C"/>
    <w:rsid w:val="00FB653C"/>
    <w:rsid w:val="00FB6704"/>
    <w:rsid w:val="00FB6B4C"/>
    <w:rsid w:val="00FB70A8"/>
    <w:rsid w:val="00FB751D"/>
    <w:rsid w:val="00FB781E"/>
    <w:rsid w:val="00FB7D5A"/>
    <w:rsid w:val="00FC0056"/>
    <w:rsid w:val="00FC0099"/>
    <w:rsid w:val="00FC01CF"/>
    <w:rsid w:val="00FC05C7"/>
    <w:rsid w:val="00FC09B0"/>
    <w:rsid w:val="00FC0A89"/>
    <w:rsid w:val="00FC101A"/>
    <w:rsid w:val="00FC10AC"/>
    <w:rsid w:val="00FC14D6"/>
    <w:rsid w:val="00FC17E4"/>
    <w:rsid w:val="00FC1863"/>
    <w:rsid w:val="00FC19ED"/>
    <w:rsid w:val="00FC1ACA"/>
    <w:rsid w:val="00FC1D8C"/>
    <w:rsid w:val="00FC1EDA"/>
    <w:rsid w:val="00FC203D"/>
    <w:rsid w:val="00FC2649"/>
    <w:rsid w:val="00FC288B"/>
    <w:rsid w:val="00FC28BB"/>
    <w:rsid w:val="00FC29B0"/>
    <w:rsid w:val="00FC2AB1"/>
    <w:rsid w:val="00FC2DEE"/>
    <w:rsid w:val="00FC2F52"/>
    <w:rsid w:val="00FC2F62"/>
    <w:rsid w:val="00FC3097"/>
    <w:rsid w:val="00FC3470"/>
    <w:rsid w:val="00FC380B"/>
    <w:rsid w:val="00FC3845"/>
    <w:rsid w:val="00FC39C1"/>
    <w:rsid w:val="00FC3BC2"/>
    <w:rsid w:val="00FC4243"/>
    <w:rsid w:val="00FC444E"/>
    <w:rsid w:val="00FC4592"/>
    <w:rsid w:val="00FC4746"/>
    <w:rsid w:val="00FC4C95"/>
    <w:rsid w:val="00FC4CE2"/>
    <w:rsid w:val="00FC4F61"/>
    <w:rsid w:val="00FC5034"/>
    <w:rsid w:val="00FC509A"/>
    <w:rsid w:val="00FC51D5"/>
    <w:rsid w:val="00FC5317"/>
    <w:rsid w:val="00FC5643"/>
    <w:rsid w:val="00FC5745"/>
    <w:rsid w:val="00FC5AA7"/>
    <w:rsid w:val="00FC5AEE"/>
    <w:rsid w:val="00FC5B76"/>
    <w:rsid w:val="00FC5B86"/>
    <w:rsid w:val="00FC5DDA"/>
    <w:rsid w:val="00FC5F4C"/>
    <w:rsid w:val="00FC6117"/>
    <w:rsid w:val="00FC6250"/>
    <w:rsid w:val="00FC62D0"/>
    <w:rsid w:val="00FC65FD"/>
    <w:rsid w:val="00FC6726"/>
    <w:rsid w:val="00FC69D6"/>
    <w:rsid w:val="00FC6B42"/>
    <w:rsid w:val="00FC700F"/>
    <w:rsid w:val="00FC7325"/>
    <w:rsid w:val="00FC73B8"/>
    <w:rsid w:val="00FC7A54"/>
    <w:rsid w:val="00FC7F52"/>
    <w:rsid w:val="00FC7FA7"/>
    <w:rsid w:val="00FC7FC8"/>
    <w:rsid w:val="00FD039A"/>
    <w:rsid w:val="00FD0758"/>
    <w:rsid w:val="00FD08CA"/>
    <w:rsid w:val="00FD0B89"/>
    <w:rsid w:val="00FD110B"/>
    <w:rsid w:val="00FD13A0"/>
    <w:rsid w:val="00FD13BC"/>
    <w:rsid w:val="00FD1647"/>
    <w:rsid w:val="00FD18EC"/>
    <w:rsid w:val="00FD1BC4"/>
    <w:rsid w:val="00FD1D80"/>
    <w:rsid w:val="00FD25AB"/>
    <w:rsid w:val="00FD269F"/>
    <w:rsid w:val="00FD2DFF"/>
    <w:rsid w:val="00FD2F36"/>
    <w:rsid w:val="00FD325C"/>
    <w:rsid w:val="00FD35F2"/>
    <w:rsid w:val="00FD3962"/>
    <w:rsid w:val="00FD3CC6"/>
    <w:rsid w:val="00FD3F72"/>
    <w:rsid w:val="00FD4047"/>
    <w:rsid w:val="00FD4049"/>
    <w:rsid w:val="00FD430B"/>
    <w:rsid w:val="00FD43B3"/>
    <w:rsid w:val="00FD43E3"/>
    <w:rsid w:val="00FD44AE"/>
    <w:rsid w:val="00FD4843"/>
    <w:rsid w:val="00FD4B97"/>
    <w:rsid w:val="00FD4CBC"/>
    <w:rsid w:val="00FD4D1D"/>
    <w:rsid w:val="00FD4DD6"/>
    <w:rsid w:val="00FD4EE8"/>
    <w:rsid w:val="00FD4F6C"/>
    <w:rsid w:val="00FD5032"/>
    <w:rsid w:val="00FD5043"/>
    <w:rsid w:val="00FD5182"/>
    <w:rsid w:val="00FD518D"/>
    <w:rsid w:val="00FD5203"/>
    <w:rsid w:val="00FD5249"/>
    <w:rsid w:val="00FD53C6"/>
    <w:rsid w:val="00FD53F8"/>
    <w:rsid w:val="00FD543C"/>
    <w:rsid w:val="00FD5544"/>
    <w:rsid w:val="00FD5640"/>
    <w:rsid w:val="00FD5937"/>
    <w:rsid w:val="00FD5A79"/>
    <w:rsid w:val="00FD5A95"/>
    <w:rsid w:val="00FD5B25"/>
    <w:rsid w:val="00FD5ECF"/>
    <w:rsid w:val="00FD5ED5"/>
    <w:rsid w:val="00FD627A"/>
    <w:rsid w:val="00FD685E"/>
    <w:rsid w:val="00FD6AB7"/>
    <w:rsid w:val="00FD6B0A"/>
    <w:rsid w:val="00FD7322"/>
    <w:rsid w:val="00FD7347"/>
    <w:rsid w:val="00FD7555"/>
    <w:rsid w:val="00FD7837"/>
    <w:rsid w:val="00FD79D2"/>
    <w:rsid w:val="00FD7C82"/>
    <w:rsid w:val="00FD7D09"/>
    <w:rsid w:val="00FD7E04"/>
    <w:rsid w:val="00FD7E16"/>
    <w:rsid w:val="00FE001A"/>
    <w:rsid w:val="00FE02AD"/>
    <w:rsid w:val="00FE05F2"/>
    <w:rsid w:val="00FE062F"/>
    <w:rsid w:val="00FE0E3B"/>
    <w:rsid w:val="00FE0F28"/>
    <w:rsid w:val="00FE1096"/>
    <w:rsid w:val="00FE111D"/>
    <w:rsid w:val="00FE1249"/>
    <w:rsid w:val="00FE145F"/>
    <w:rsid w:val="00FE14E4"/>
    <w:rsid w:val="00FE158D"/>
    <w:rsid w:val="00FE1726"/>
    <w:rsid w:val="00FE1863"/>
    <w:rsid w:val="00FE19ED"/>
    <w:rsid w:val="00FE1C67"/>
    <w:rsid w:val="00FE1FA4"/>
    <w:rsid w:val="00FE208E"/>
    <w:rsid w:val="00FE218B"/>
    <w:rsid w:val="00FE24FB"/>
    <w:rsid w:val="00FE288D"/>
    <w:rsid w:val="00FE2C19"/>
    <w:rsid w:val="00FE2D02"/>
    <w:rsid w:val="00FE2E15"/>
    <w:rsid w:val="00FE2E92"/>
    <w:rsid w:val="00FE3266"/>
    <w:rsid w:val="00FE3423"/>
    <w:rsid w:val="00FE3469"/>
    <w:rsid w:val="00FE34C3"/>
    <w:rsid w:val="00FE3524"/>
    <w:rsid w:val="00FE35A4"/>
    <w:rsid w:val="00FE3B8D"/>
    <w:rsid w:val="00FE3DE8"/>
    <w:rsid w:val="00FE3FE0"/>
    <w:rsid w:val="00FE4161"/>
    <w:rsid w:val="00FE420E"/>
    <w:rsid w:val="00FE42BE"/>
    <w:rsid w:val="00FE4625"/>
    <w:rsid w:val="00FE46FD"/>
    <w:rsid w:val="00FE47BC"/>
    <w:rsid w:val="00FE48C7"/>
    <w:rsid w:val="00FE4925"/>
    <w:rsid w:val="00FE4B23"/>
    <w:rsid w:val="00FE4CE3"/>
    <w:rsid w:val="00FE4D4D"/>
    <w:rsid w:val="00FE4F2B"/>
    <w:rsid w:val="00FE4F8A"/>
    <w:rsid w:val="00FE4F93"/>
    <w:rsid w:val="00FE5427"/>
    <w:rsid w:val="00FE560A"/>
    <w:rsid w:val="00FE5A51"/>
    <w:rsid w:val="00FE5A76"/>
    <w:rsid w:val="00FE5C63"/>
    <w:rsid w:val="00FE5F00"/>
    <w:rsid w:val="00FE5F98"/>
    <w:rsid w:val="00FE6221"/>
    <w:rsid w:val="00FE6582"/>
    <w:rsid w:val="00FE66C8"/>
    <w:rsid w:val="00FE6B18"/>
    <w:rsid w:val="00FE6B8B"/>
    <w:rsid w:val="00FE6CDB"/>
    <w:rsid w:val="00FE6D11"/>
    <w:rsid w:val="00FE6F6E"/>
    <w:rsid w:val="00FE6FE3"/>
    <w:rsid w:val="00FE74AF"/>
    <w:rsid w:val="00FE77DA"/>
    <w:rsid w:val="00FE790A"/>
    <w:rsid w:val="00FE7D82"/>
    <w:rsid w:val="00FE7DD1"/>
    <w:rsid w:val="00FE7DFE"/>
    <w:rsid w:val="00FE7F36"/>
    <w:rsid w:val="00FF014A"/>
    <w:rsid w:val="00FF0215"/>
    <w:rsid w:val="00FF025E"/>
    <w:rsid w:val="00FF0375"/>
    <w:rsid w:val="00FF0393"/>
    <w:rsid w:val="00FF03E5"/>
    <w:rsid w:val="00FF050B"/>
    <w:rsid w:val="00FF0786"/>
    <w:rsid w:val="00FF0F6B"/>
    <w:rsid w:val="00FF134C"/>
    <w:rsid w:val="00FF1857"/>
    <w:rsid w:val="00FF1925"/>
    <w:rsid w:val="00FF19BA"/>
    <w:rsid w:val="00FF1BB5"/>
    <w:rsid w:val="00FF1E95"/>
    <w:rsid w:val="00FF210E"/>
    <w:rsid w:val="00FF22D8"/>
    <w:rsid w:val="00FF27EB"/>
    <w:rsid w:val="00FF27F1"/>
    <w:rsid w:val="00FF28FD"/>
    <w:rsid w:val="00FF2BF7"/>
    <w:rsid w:val="00FF3A51"/>
    <w:rsid w:val="00FF429D"/>
    <w:rsid w:val="00FF44C7"/>
    <w:rsid w:val="00FF4506"/>
    <w:rsid w:val="00FF489A"/>
    <w:rsid w:val="00FF4A9B"/>
    <w:rsid w:val="00FF4B6F"/>
    <w:rsid w:val="00FF4B7B"/>
    <w:rsid w:val="00FF4D69"/>
    <w:rsid w:val="00FF4EB3"/>
    <w:rsid w:val="00FF5045"/>
    <w:rsid w:val="00FF51E9"/>
    <w:rsid w:val="00FF5369"/>
    <w:rsid w:val="00FF562C"/>
    <w:rsid w:val="00FF5649"/>
    <w:rsid w:val="00FF57F4"/>
    <w:rsid w:val="00FF5B09"/>
    <w:rsid w:val="00FF5B83"/>
    <w:rsid w:val="00FF5C1D"/>
    <w:rsid w:val="00FF5D86"/>
    <w:rsid w:val="00FF5F4E"/>
    <w:rsid w:val="00FF61BC"/>
    <w:rsid w:val="00FF6610"/>
    <w:rsid w:val="00FF66E8"/>
    <w:rsid w:val="00FF68D5"/>
    <w:rsid w:val="00FF69B8"/>
    <w:rsid w:val="00FF6BAD"/>
    <w:rsid w:val="00FF715C"/>
    <w:rsid w:val="00FF73E5"/>
    <w:rsid w:val="00FF73ED"/>
    <w:rsid w:val="00FF7456"/>
    <w:rsid w:val="00FF788D"/>
    <w:rsid w:val="00FF7A26"/>
    <w:rsid w:val="00FF7D5A"/>
    <w:rsid w:val="00FF7F69"/>
    <w:rsid w:val="00FF7FA9"/>
    <w:rsid w:val="00FF7FAB"/>
    <w:rsid w:val="00FF7FBE"/>
    <w:rsid w:val="1D86B2C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AE38E42-D450-46CD-A9CE-8CE4F4B8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AB"/>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880CA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880CAB"/>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880CAB"/>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1"/>
    <w:qFormat/>
    <w:rsid w:val="00880CAB"/>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880CAB"/>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880CA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80CA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0CAB"/>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880CA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80C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80CAB"/>
  </w:style>
  <w:style w:type="paragraph" w:customStyle="1" w:styleId="ParaNum">
    <w:name w:val="ParaNum"/>
    <w:basedOn w:val="Normal"/>
    <w:link w:val="ParaNumChar"/>
    <w:rsid w:val="00880CAB"/>
    <w:pPr>
      <w:numPr>
        <w:numId w:val="2"/>
      </w:numPr>
      <w:tabs>
        <w:tab w:val="clear" w:pos="1080"/>
        <w:tab w:val="num" w:pos="1440"/>
      </w:tabs>
      <w:spacing w:after="120"/>
    </w:pPr>
  </w:style>
  <w:style w:type="paragraph" w:styleId="EndnoteText">
    <w:name w:val="endnote text"/>
    <w:basedOn w:val="Normal"/>
    <w:semiHidden/>
    <w:rsid w:val="00880CAB"/>
    <w:rPr>
      <w:sz w:val="20"/>
    </w:rPr>
  </w:style>
  <w:style w:type="character" w:styleId="EndnoteReference">
    <w:name w:val="endnote reference"/>
    <w:semiHidden/>
    <w:rsid w:val="00880CAB"/>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880CA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80CAB"/>
    <w:rPr>
      <w:rFonts w:ascii="Times New Roman" w:hAnsi="Times New Roman"/>
      <w:dstrike w:val="0"/>
      <w:color w:val="auto"/>
      <w:sz w:val="22"/>
      <w:vertAlign w:val="superscript"/>
    </w:rPr>
  </w:style>
  <w:style w:type="paragraph" w:styleId="TOC1">
    <w:name w:val="toc 1"/>
    <w:basedOn w:val="Normal"/>
    <w:next w:val="Normal"/>
    <w:uiPriority w:val="39"/>
    <w:rsid w:val="00880CAB"/>
    <w:pPr>
      <w:tabs>
        <w:tab w:val="left" w:pos="360"/>
        <w:tab w:val="right" w:leader="dot" w:pos="9360"/>
      </w:tabs>
      <w:suppressAutoHyphens/>
      <w:ind w:left="360" w:right="720" w:hanging="360"/>
    </w:pPr>
    <w:rPr>
      <w:caps/>
      <w:noProof/>
    </w:rPr>
  </w:style>
  <w:style w:type="paragraph" w:styleId="TOC2">
    <w:name w:val="toc 2"/>
    <w:basedOn w:val="Normal"/>
    <w:next w:val="Normal"/>
    <w:rsid w:val="00880CAB"/>
    <w:pPr>
      <w:tabs>
        <w:tab w:val="left" w:pos="720"/>
        <w:tab w:val="right" w:leader="dot" w:pos="9360"/>
      </w:tabs>
      <w:suppressAutoHyphens/>
      <w:ind w:left="720" w:right="720" w:hanging="360"/>
    </w:pPr>
    <w:rPr>
      <w:noProof/>
    </w:rPr>
  </w:style>
  <w:style w:type="paragraph" w:styleId="TOC3">
    <w:name w:val="toc 3"/>
    <w:basedOn w:val="Normal"/>
    <w:next w:val="Normal"/>
    <w:rsid w:val="00880CA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80C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0C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0C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0C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0C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0C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0CAB"/>
    <w:pPr>
      <w:tabs>
        <w:tab w:val="right" w:pos="9360"/>
      </w:tabs>
      <w:suppressAutoHyphens/>
    </w:pPr>
  </w:style>
  <w:style w:type="character" w:customStyle="1" w:styleId="EquationCaption">
    <w:name w:val="_Equation Caption"/>
    <w:rsid w:val="00880CAB"/>
  </w:style>
  <w:style w:type="paragraph" w:styleId="Header">
    <w:name w:val="header"/>
    <w:basedOn w:val="Normal"/>
    <w:autoRedefine/>
    <w:rsid w:val="00880CA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80CAB"/>
    <w:pPr>
      <w:tabs>
        <w:tab w:val="center" w:pos="4320"/>
        <w:tab w:val="right" w:pos="8640"/>
      </w:tabs>
    </w:pPr>
  </w:style>
  <w:style w:type="character" w:styleId="PageNumber">
    <w:name w:val="page number"/>
    <w:basedOn w:val="DefaultParagraphFont"/>
    <w:rsid w:val="00880CAB"/>
  </w:style>
  <w:style w:type="paragraph" w:styleId="BlockText">
    <w:name w:val="Block Text"/>
    <w:basedOn w:val="Normal"/>
    <w:rsid w:val="00880CAB"/>
    <w:pPr>
      <w:spacing w:after="240"/>
      <w:ind w:left="1440" w:right="1440"/>
    </w:pPr>
  </w:style>
  <w:style w:type="paragraph" w:customStyle="1" w:styleId="Paratitle">
    <w:name w:val="Para title"/>
    <w:basedOn w:val="Normal"/>
    <w:rsid w:val="00880CAB"/>
    <w:pPr>
      <w:tabs>
        <w:tab w:val="center" w:pos="9270"/>
      </w:tabs>
      <w:spacing w:after="240"/>
    </w:pPr>
    <w:rPr>
      <w:spacing w:val="-2"/>
    </w:rPr>
  </w:style>
  <w:style w:type="paragraph" w:customStyle="1" w:styleId="Bullet">
    <w:name w:val="Bullet"/>
    <w:basedOn w:val="Normal"/>
    <w:rsid w:val="00880CAB"/>
    <w:pPr>
      <w:numPr>
        <w:numId w:val="1"/>
      </w:numPr>
      <w:tabs>
        <w:tab w:val="clear" w:pos="360"/>
        <w:tab w:val="left" w:pos="2160"/>
      </w:tabs>
      <w:spacing w:after="220"/>
      <w:ind w:left="2160" w:hanging="720"/>
    </w:pPr>
  </w:style>
  <w:style w:type="paragraph" w:customStyle="1" w:styleId="TableFormat">
    <w:name w:val="TableFormat"/>
    <w:basedOn w:val="Bullet"/>
    <w:rsid w:val="00880CAB"/>
    <w:pPr>
      <w:numPr>
        <w:numId w:val="0"/>
      </w:numPr>
      <w:tabs>
        <w:tab w:val="clear" w:pos="2160"/>
        <w:tab w:val="left" w:pos="5040"/>
      </w:tabs>
      <w:ind w:left="5040" w:hanging="3600"/>
    </w:pPr>
  </w:style>
  <w:style w:type="paragraph" w:customStyle="1" w:styleId="TOCTitle">
    <w:name w:val="TOC Title"/>
    <w:basedOn w:val="Normal"/>
    <w:rsid w:val="00880C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0CAB"/>
    <w:pPr>
      <w:jc w:val="center"/>
    </w:pPr>
    <w:rPr>
      <w:rFonts w:ascii="Times New Roman Bold" w:hAnsi="Times New Roman Bold"/>
      <w:b/>
      <w:bCs/>
      <w:caps/>
      <w:szCs w:val="22"/>
    </w:rPr>
  </w:style>
  <w:style w:type="character" w:styleId="Hyperlink">
    <w:name w:val="Hyperlink"/>
    <w:rsid w:val="00880CAB"/>
    <w:rPr>
      <w:color w:val="0000FF"/>
      <w:u w:val="single"/>
    </w:rPr>
  </w:style>
  <w:style w:type="character" w:customStyle="1" w:styleId="FooterChar">
    <w:name w:val="Footer Char"/>
    <w:link w:val="Footer"/>
    <w:uiPriority w:val="99"/>
    <w:rsid w:val="00880CAB"/>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D6515C"/>
  </w:style>
  <w:style w:type="character" w:customStyle="1" w:styleId="ParaNumChar">
    <w:name w:val="ParaNum Char"/>
    <w:link w:val="ParaNum"/>
    <w:rsid w:val="00D6515C"/>
    <w:rPr>
      <w:snapToGrid w:val="0"/>
      <w:kern w:val="28"/>
      <w:sz w:val="22"/>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D6515C"/>
    <w:rPr>
      <w:lang w:val="en-US" w:eastAsia="en-US" w:bidi="ar-SA"/>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D6515C"/>
    <w:rPr>
      <w:b/>
      <w:snapToGrid w:val="0"/>
      <w:kern w:val="28"/>
      <w:sz w:val="22"/>
    </w:rPr>
  </w:style>
  <w:style w:type="character" w:styleId="CommentReference">
    <w:name w:val="annotation reference"/>
    <w:uiPriority w:val="99"/>
    <w:rsid w:val="00D6515C"/>
    <w:rPr>
      <w:sz w:val="16"/>
      <w:szCs w:val="16"/>
    </w:rPr>
  </w:style>
  <w:style w:type="character" w:customStyle="1" w:styleId="footnote">
    <w:name w:val="footnote"/>
    <w:rsid w:val="00D6515C"/>
  </w:style>
  <w:style w:type="character" w:styleId="Emphasis">
    <w:name w:val="Emphasis"/>
    <w:uiPriority w:val="20"/>
    <w:qFormat/>
    <w:rsid w:val="00D6515C"/>
    <w:rPr>
      <w:i/>
      <w:iCs/>
    </w:rPr>
  </w:style>
  <w:style w:type="character" w:customStyle="1" w:styleId="Heading4Char1">
    <w:name w:val="Heading 4 Char1"/>
    <w:aliases w:val="Heading 4 Char Char,Heading 4 Char Char Char Char Char Char1 Char,Heading 4 Char Char Char1 Char Char1 Char,Heading 4 Char Char1 Char Char1 Char,Heading 4 Char1 Char Char,Heading 4 Char1 Char Char Char Char1 Char"/>
    <w:link w:val="Heading4"/>
    <w:rsid w:val="00D6515C"/>
    <w:rPr>
      <w:b/>
      <w:snapToGrid w:val="0"/>
      <w:kern w:val="28"/>
      <w:sz w:val="22"/>
    </w:rPr>
  </w:style>
  <w:style w:type="character" w:customStyle="1" w:styleId="docketinfotitle">
    <w:name w:val="docketinfotitle"/>
    <w:rsid w:val="00D6515C"/>
  </w:style>
  <w:style w:type="character" w:customStyle="1" w:styleId="UnresolvedMention1">
    <w:name w:val="Unresolved Mention1"/>
    <w:uiPriority w:val="99"/>
    <w:semiHidden/>
    <w:unhideWhenUsed/>
    <w:rsid w:val="00D6515C"/>
    <w:rPr>
      <w:color w:val="605E5C"/>
      <w:shd w:val="clear" w:color="auto" w:fill="E1DFDD"/>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D6515C"/>
    <w:rPr>
      <w:rFonts w:ascii="Times New Roman Bold" w:hAnsi="Times New Roman Bold"/>
      <w:b/>
      <w:caps/>
      <w:snapToGrid w:val="0"/>
      <w:kern w:val="28"/>
      <w:sz w:val="22"/>
    </w:rPr>
  </w:style>
  <w:style w:type="paragraph" w:customStyle="1" w:styleId="BulletCharChar">
    <w:name w:val="Bullet Char Char"/>
    <w:basedOn w:val="Normal"/>
    <w:link w:val="BulletCharCharChar"/>
    <w:rsid w:val="00D6515C"/>
    <w:pPr>
      <w:tabs>
        <w:tab w:val="left" w:pos="2160"/>
      </w:tabs>
      <w:spacing w:after="220" w:line="276" w:lineRule="auto"/>
      <w:ind w:left="2160" w:hanging="720"/>
    </w:pPr>
  </w:style>
  <w:style w:type="character" w:customStyle="1" w:styleId="BulletCharCharChar">
    <w:name w:val="Bullet Char Char Char"/>
    <w:link w:val="BulletCharChar"/>
    <w:rsid w:val="00D6515C"/>
    <w:rPr>
      <w:snapToGrid w:val="0"/>
      <w:kern w:val="28"/>
      <w:sz w:val="22"/>
    </w:rPr>
  </w:style>
  <w:style w:type="character" w:customStyle="1" w:styleId="text-black-small">
    <w:name w:val="text-black-small"/>
    <w:rsid w:val="00D6515C"/>
  </w:style>
  <w:style w:type="paragraph" w:styleId="ListParagraph">
    <w:name w:val="List Paragraph"/>
    <w:basedOn w:val="Normal"/>
    <w:uiPriority w:val="34"/>
    <w:qFormat/>
    <w:rsid w:val="00D6515C"/>
    <w:pPr>
      <w:ind w:left="720"/>
    </w:pPr>
  </w:style>
  <w:style w:type="character" w:customStyle="1" w:styleId="normaltextrun">
    <w:name w:val="normaltextrun"/>
    <w:rsid w:val="00D6515C"/>
  </w:style>
  <w:style w:type="character" w:styleId="PlaceholderText">
    <w:name w:val="Placeholder Text"/>
    <w:uiPriority w:val="99"/>
    <w:semiHidden/>
    <w:rsid w:val="00D6515C"/>
    <w:rPr>
      <w:color w:val="808080"/>
    </w:rPr>
  </w:style>
  <w:style w:type="paragraph" w:styleId="CommentText">
    <w:name w:val="annotation text"/>
    <w:basedOn w:val="Normal"/>
    <w:link w:val="CommentTextChar"/>
    <w:uiPriority w:val="99"/>
    <w:unhideWhenUsed/>
    <w:rsid w:val="00D6515C"/>
    <w:rPr>
      <w:sz w:val="20"/>
    </w:rPr>
  </w:style>
  <w:style w:type="character" w:customStyle="1" w:styleId="CommentTextChar">
    <w:name w:val="Comment Text Char"/>
    <w:link w:val="CommentText"/>
    <w:uiPriority w:val="99"/>
    <w:rsid w:val="00D6515C"/>
    <w:rPr>
      <w:snapToGrid w:val="0"/>
      <w:kern w:val="28"/>
    </w:rPr>
  </w:style>
  <w:style w:type="paragraph" w:styleId="CommentSubject">
    <w:name w:val="annotation subject"/>
    <w:basedOn w:val="CommentText"/>
    <w:next w:val="CommentText"/>
    <w:link w:val="CommentSubjectChar"/>
    <w:uiPriority w:val="99"/>
    <w:semiHidden/>
    <w:unhideWhenUsed/>
    <w:rsid w:val="00D6515C"/>
    <w:rPr>
      <w:b/>
      <w:bCs/>
    </w:rPr>
  </w:style>
  <w:style w:type="character" w:customStyle="1" w:styleId="CommentSubjectChar">
    <w:name w:val="Comment Subject Char"/>
    <w:link w:val="CommentSubject"/>
    <w:uiPriority w:val="99"/>
    <w:semiHidden/>
    <w:rsid w:val="00D6515C"/>
    <w:rPr>
      <w:b/>
      <w:bCs/>
      <w:snapToGrid w:val="0"/>
      <w:kern w:val="28"/>
    </w:rPr>
  </w:style>
  <w:style w:type="paragraph" w:styleId="BalloonText">
    <w:name w:val="Balloon Text"/>
    <w:basedOn w:val="Normal"/>
    <w:link w:val="BalloonTextChar"/>
    <w:uiPriority w:val="99"/>
    <w:semiHidden/>
    <w:unhideWhenUsed/>
    <w:rsid w:val="00D6515C"/>
    <w:rPr>
      <w:rFonts w:ascii="Segoe UI" w:hAnsi="Segoe UI" w:cs="Segoe UI"/>
      <w:sz w:val="18"/>
      <w:szCs w:val="18"/>
    </w:rPr>
  </w:style>
  <w:style w:type="character" w:customStyle="1" w:styleId="BalloonTextChar">
    <w:name w:val="Balloon Text Char"/>
    <w:link w:val="BalloonText"/>
    <w:uiPriority w:val="99"/>
    <w:semiHidden/>
    <w:rsid w:val="00D6515C"/>
    <w:rPr>
      <w:rFonts w:ascii="Segoe UI" w:hAnsi="Segoe UI" w:cs="Segoe UI"/>
      <w:snapToGrid w:val="0"/>
      <w:kern w:val="28"/>
      <w:sz w:val="18"/>
      <w:szCs w:val="18"/>
    </w:rPr>
  </w:style>
  <w:style w:type="character" w:styleId="FollowedHyperlink">
    <w:name w:val="FollowedHyperlink"/>
    <w:uiPriority w:val="99"/>
    <w:semiHidden/>
    <w:unhideWhenUsed/>
    <w:rsid w:val="00D6515C"/>
    <w:rPr>
      <w:color w:val="954F72"/>
      <w:u w:val="single"/>
    </w:rPr>
  </w:style>
  <w:style w:type="paragraph" w:styleId="Revision">
    <w:name w:val="Revision"/>
    <w:hidden/>
    <w:uiPriority w:val="99"/>
    <w:semiHidden/>
    <w:rsid w:val="00D6515C"/>
    <w:rPr>
      <w:snapToGrid w:val="0"/>
      <w:kern w:val="28"/>
      <w:sz w:val="22"/>
    </w:rPr>
  </w:style>
  <w:style w:type="character" w:customStyle="1" w:styleId="UnresolvedMention2">
    <w:name w:val="Unresolved Mention2"/>
    <w:uiPriority w:val="99"/>
    <w:rsid w:val="004D27BC"/>
    <w:rPr>
      <w:color w:val="605E5C"/>
      <w:shd w:val="clear" w:color="auto" w:fill="E1DFDD"/>
    </w:rPr>
  </w:style>
  <w:style w:type="paragraph" w:styleId="NormalWeb">
    <w:name w:val="Normal (Web)"/>
    <w:basedOn w:val="Normal"/>
    <w:uiPriority w:val="99"/>
    <w:unhideWhenUsed/>
    <w:rsid w:val="009E0263"/>
    <w:rPr>
      <w:sz w:val="24"/>
      <w:szCs w:val="24"/>
    </w:rPr>
  </w:style>
  <w:style w:type="paragraph" w:styleId="Bibliography">
    <w:name w:val="Bibliography"/>
    <w:basedOn w:val="Normal"/>
    <w:next w:val="Normal"/>
    <w:uiPriority w:val="37"/>
    <w:semiHidden/>
    <w:unhideWhenUsed/>
    <w:rsid w:val="00D2793C"/>
  </w:style>
  <w:style w:type="paragraph" w:styleId="BodyText">
    <w:name w:val="Body Text"/>
    <w:basedOn w:val="Normal"/>
    <w:link w:val="BodyTextChar"/>
    <w:uiPriority w:val="99"/>
    <w:semiHidden/>
    <w:unhideWhenUsed/>
    <w:rsid w:val="00D2793C"/>
    <w:pPr>
      <w:spacing w:after="120"/>
    </w:pPr>
  </w:style>
  <w:style w:type="character" w:customStyle="1" w:styleId="BodyTextChar">
    <w:name w:val="Body Text Char"/>
    <w:basedOn w:val="DefaultParagraphFont"/>
    <w:link w:val="BodyText"/>
    <w:uiPriority w:val="99"/>
    <w:semiHidden/>
    <w:rsid w:val="00D2793C"/>
    <w:rPr>
      <w:snapToGrid w:val="0"/>
      <w:kern w:val="28"/>
      <w:sz w:val="22"/>
    </w:rPr>
  </w:style>
  <w:style w:type="paragraph" w:styleId="BodyText2">
    <w:name w:val="Body Text 2"/>
    <w:basedOn w:val="Normal"/>
    <w:link w:val="BodyText2Char"/>
    <w:uiPriority w:val="99"/>
    <w:semiHidden/>
    <w:unhideWhenUsed/>
    <w:rsid w:val="00D2793C"/>
    <w:pPr>
      <w:spacing w:after="120" w:line="480" w:lineRule="auto"/>
    </w:pPr>
  </w:style>
  <w:style w:type="character" w:customStyle="1" w:styleId="BodyText2Char">
    <w:name w:val="Body Text 2 Char"/>
    <w:basedOn w:val="DefaultParagraphFont"/>
    <w:link w:val="BodyText2"/>
    <w:uiPriority w:val="99"/>
    <w:semiHidden/>
    <w:rsid w:val="00D2793C"/>
    <w:rPr>
      <w:snapToGrid w:val="0"/>
      <w:kern w:val="28"/>
      <w:sz w:val="22"/>
    </w:rPr>
  </w:style>
  <w:style w:type="paragraph" w:styleId="BodyText3">
    <w:name w:val="Body Text 3"/>
    <w:basedOn w:val="Normal"/>
    <w:link w:val="BodyText3Char"/>
    <w:uiPriority w:val="99"/>
    <w:semiHidden/>
    <w:unhideWhenUsed/>
    <w:rsid w:val="00D2793C"/>
    <w:pPr>
      <w:spacing w:after="120"/>
    </w:pPr>
    <w:rPr>
      <w:sz w:val="16"/>
      <w:szCs w:val="16"/>
    </w:rPr>
  </w:style>
  <w:style w:type="character" w:customStyle="1" w:styleId="BodyText3Char">
    <w:name w:val="Body Text 3 Char"/>
    <w:basedOn w:val="DefaultParagraphFont"/>
    <w:link w:val="BodyText3"/>
    <w:uiPriority w:val="99"/>
    <w:semiHidden/>
    <w:rsid w:val="00D2793C"/>
    <w:rPr>
      <w:snapToGrid w:val="0"/>
      <w:kern w:val="28"/>
      <w:sz w:val="16"/>
      <w:szCs w:val="16"/>
    </w:rPr>
  </w:style>
  <w:style w:type="paragraph" w:styleId="BodyTextFirstIndent">
    <w:name w:val="Body Text First Indent"/>
    <w:basedOn w:val="BodyText"/>
    <w:link w:val="BodyTextFirstIndentChar"/>
    <w:uiPriority w:val="99"/>
    <w:semiHidden/>
    <w:unhideWhenUsed/>
    <w:rsid w:val="00D2793C"/>
    <w:pPr>
      <w:spacing w:after="0"/>
      <w:ind w:firstLine="360"/>
    </w:pPr>
  </w:style>
  <w:style w:type="character" w:customStyle="1" w:styleId="BodyTextFirstIndentChar">
    <w:name w:val="Body Text First Indent Char"/>
    <w:basedOn w:val="BodyTextChar"/>
    <w:link w:val="BodyTextFirstIndent"/>
    <w:uiPriority w:val="99"/>
    <w:semiHidden/>
    <w:rsid w:val="00D2793C"/>
    <w:rPr>
      <w:snapToGrid w:val="0"/>
      <w:kern w:val="28"/>
      <w:sz w:val="22"/>
    </w:rPr>
  </w:style>
  <w:style w:type="paragraph" w:styleId="BodyTextIndent">
    <w:name w:val="Body Text Indent"/>
    <w:basedOn w:val="Normal"/>
    <w:link w:val="BodyTextIndentChar"/>
    <w:uiPriority w:val="99"/>
    <w:semiHidden/>
    <w:unhideWhenUsed/>
    <w:rsid w:val="00D2793C"/>
    <w:pPr>
      <w:spacing w:after="120"/>
      <w:ind w:left="360"/>
    </w:pPr>
  </w:style>
  <w:style w:type="character" w:customStyle="1" w:styleId="BodyTextIndentChar">
    <w:name w:val="Body Text Indent Char"/>
    <w:basedOn w:val="DefaultParagraphFont"/>
    <w:link w:val="BodyTextIndent"/>
    <w:uiPriority w:val="99"/>
    <w:semiHidden/>
    <w:rsid w:val="00D2793C"/>
    <w:rPr>
      <w:snapToGrid w:val="0"/>
      <w:kern w:val="28"/>
      <w:sz w:val="22"/>
    </w:rPr>
  </w:style>
  <w:style w:type="paragraph" w:styleId="BodyTextFirstIndent2">
    <w:name w:val="Body Text First Indent 2"/>
    <w:basedOn w:val="BodyTextIndent"/>
    <w:link w:val="BodyTextFirstIndent2Char"/>
    <w:uiPriority w:val="99"/>
    <w:semiHidden/>
    <w:unhideWhenUsed/>
    <w:rsid w:val="00D2793C"/>
    <w:pPr>
      <w:spacing w:after="0"/>
      <w:ind w:firstLine="360"/>
    </w:pPr>
  </w:style>
  <w:style w:type="character" w:customStyle="1" w:styleId="BodyTextFirstIndent2Char">
    <w:name w:val="Body Text First Indent 2 Char"/>
    <w:basedOn w:val="BodyTextIndentChar"/>
    <w:link w:val="BodyTextFirstIndent2"/>
    <w:uiPriority w:val="99"/>
    <w:semiHidden/>
    <w:rsid w:val="00D2793C"/>
    <w:rPr>
      <w:snapToGrid w:val="0"/>
      <w:kern w:val="28"/>
      <w:sz w:val="22"/>
    </w:rPr>
  </w:style>
  <w:style w:type="paragraph" w:styleId="BodyTextIndent2">
    <w:name w:val="Body Text Indent 2"/>
    <w:basedOn w:val="Normal"/>
    <w:link w:val="BodyTextIndent2Char"/>
    <w:uiPriority w:val="99"/>
    <w:semiHidden/>
    <w:unhideWhenUsed/>
    <w:rsid w:val="00D2793C"/>
    <w:pPr>
      <w:spacing w:after="120" w:line="480" w:lineRule="auto"/>
      <w:ind w:left="360"/>
    </w:pPr>
  </w:style>
  <w:style w:type="character" w:customStyle="1" w:styleId="BodyTextIndent2Char">
    <w:name w:val="Body Text Indent 2 Char"/>
    <w:basedOn w:val="DefaultParagraphFont"/>
    <w:link w:val="BodyTextIndent2"/>
    <w:uiPriority w:val="99"/>
    <w:semiHidden/>
    <w:rsid w:val="00D2793C"/>
    <w:rPr>
      <w:snapToGrid w:val="0"/>
      <w:kern w:val="28"/>
      <w:sz w:val="22"/>
    </w:rPr>
  </w:style>
  <w:style w:type="paragraph" w:styleId="BodyTextIndent3">
    <w:name w:val="Body Text Indent 3"/>
    <w:basedOn w:val="Normal"/>
    <w:link w:val="BodyTextIndent3Char"/>
    <w:uiPriority w:val="99"/>
    <w:semiHidden/>
    <w:unhideWhenUsed/>
    <w:rsid w:val="00D279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793C"/>
    <w:rPr>
      <w:snapToGrid w:val="0"/>
      <w:kern w:val="28"/>
      <w:sz w:val="16"/>
      <w:szCs w:val="16"/>
    </w:rPr>
  </w:style>
  <w:style w:type="paragraph" w:styleId="Caption">
    <w:name w:val="caption"/>
    <w:basedOn w:val="Normal"/>
    <w:next w:val="Normal"/>
    <w:uiPriority w:val="35"/>
    <w:semiHidden/>
    <w:unhideWhenUsed/>
    <w:qFormat/>
    <w:rsid w:val="00D2793C"/>
    <w:pPr>
      <w:spacing w:after="200"/>
    </w:pPr>
    <w:rPr>
      <w:i/>
      <w:iCs/>
      <w:color w:val="44546A" w:themeColor="text2"/>
      <w:sz w:val="18"/>
      <w:szCs w:val="18"/>
    </w:rPr>
  </w:style>
  <w:style w:type="paragraph" w:styleId="Closing">
    <w:name w:val="Closing"/>
    <w:basedOn w:val="Normal"/>
    <w:link w:val="ClosingChar"/>
    <w:uiPriority w:val="99"/>
    <w:semiHidden/>
    <w:unhideWhenUsed/>
    <w:rsid w:val="00D2793C"/>
    <w:pPr>
      <w:ind w:left="4320"/>
    </w:pPr>
  </w:style>
  <w:style w:type="character" w:customStyle="1" w:styleId="ClosingChar">
    <w:name w:val="Closing Char"/>
    <w:basedOn w:val="DefaultParagraphFont"/>
    <w:link w:val="Closing"/>
    <w:uiPriority w:val="99"/>
    <w:semiHidden/>
    <w:rsid w:val="00D2793C"/>
    <w:rPr>
      <w:snapToGrid w:val="0"/>
      <w:kern w:val="28"/>
      <w:sz w:val="22"/>
    </w:rPr>
  </w:style>
  <w:style w:type="paragraph" w:styleId="Date">
    <w:name w:val="Date"/>
    <w:basedOn w:val="Normal"/>
    <w:next w:val="Normal"/>
    <w:link w:val="DateChar"/>
    <w:uiPriority w:val="99"/>
    <w:semiHidden/>
    <w:unhideWhenUsed/>
    <w:rsid w:val="00D2793C"/>
  </w:style>
  <w:style w:type="character" w:customStyle="1" w:styleId="DateChar">
    <w:name w:val="Date Char"/>
    <w:basedOn w:val="DefaultParagraphFont"/>
    <w:link w:val="Date"/>
    <w:uiPriority w:val="99"/>
    <w:semiHidden/>
    <w:rsid w:val="00D2793C"/>
    <w:rPr>
      <w:snapToGrid w:val="0"/>
      <w:kern w:val="28"/>
      <w:sz w:val="22"/>
    </w:rPr>
  </w:style>
  <w:style w:type="paragraph" w:styleId="DocumentMap">
    <w:name w:val="Document Map"/>
    <w:basedOn w:val="Normal"/>
    <w:link w:val="DocumentMapChar"/>
    <w:uiPriority w:val="99"/>
    <w:semiHidden/>
    <w:unhideWhenUsed/>
    <w:rsid w:val="00D2793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793C"/>
    <w:rPr>
      <w:rFonts w:ascii="Segoe UI" w:hAnsi="Segoe UI" w:cs="Segoe UI"/>
      <w:snapToGrid w:val="0"/>
      <w:kern w:val="28"/>
      <w:sz w:val="16"/>
      <w:szCs w:val="16"/>
    </w:rPr>
  </w:style>
  <w:style w:type="paragraph" w:styleId="E-mailSignature">
    <w:name w:val="E-mail Signature"/>
    <w:basedOn w:val="Normal"/>
    <w:link w:val="E-mailSignatureChar"/>
    <w:uiPriority w:val="99"/>
    <w:semiHidden/>
    <w:unhideWhenUsed/>
    <w:rsid w:val="00D2793C"/>
  </w:style>
  <w:style w:type="character" w:customStyle="1" w:styleId="E-mailSignatureChar">
    <w:name w:val="E-mail Signature Char"/>
    <w:basedOn w:val="DefaultParagraphFont"/>
    <w:link w:val="E-mailSignature"/>
    <w:uiPriority w:val="99"/>
    <w:semiHidden/>
    <w:rsid w:val="00D2793C"/>
    <w:rPr>
      <w:snapToGrid w:val="0"/>
      <w:kern w:val="28"/>
      <w:sz w:val="22"/>
    </w:rPr>
  </w:style>
  <w:style w:type="paragraph" w:styleId="EnvelopeAddress">
    <w:name w:val="envelope address"/>
    <w:basedOn w:val="Normal"/>
    <w:uiPriority w:val="99"/>
    <w:semiHidden/>
    <w:unhideWhenUsed/>
    <w:rsid w:val="00D2793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793C"/>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D2793C"/>
    <w:rPr>
      <w:i/>
      <w:iCs/>
    </w:rPr>
  </w:style>
  <w:style w:type="character" w:customStyle="1" w:styleId="HTMLAddressChar">
    <w:name w:val="HTML Address Char"/>
    <w:basedOn w:val="DefaultParagraphFont"/>
    <w:link w:val="HTMLAddress"/>
    <w:uiPriority w:val="99"/>
    <w:semiHidden/>
    <w:rsid w:val="00D2793C"/>
    <w:rPr>
      <w:i/>
      <w:iCs/>
      <w:snapToGrid w:val="0"/>
      <w:kern w:val="28"/>
      <w:sz w:val="22"/>
    </w:rPr>
  </w:style>
  <w:style w:type="paragraph" w:styleId="HTMLPreformatted">
    <w:name w:val="HTML Preformatted"/>
    <w:basedOn w:val="Normal"/>
    <w:link w:val="HTMLPreformattedChar"/>
    <w:uiPriority w:val="99"/>
    <w:semiHidden/>
    <w:unhideWhenUsed/>
    <w:rsid w:val="00D2793C"/>
    <w:rPr>
      <w:rFonts w:ascii="Consolas" w:hAnsi="Consolas"/>
      <w:sz w:val="20"/>
    </w:rPr>
  </w:style>
  <w:style w:type="character" w:customStyle="1" w:styleId="HTMLPreformattedChar">
    <w:name w:val="HTML Preformatted Char"/>
    <w:basedOn w:val="DefaultParagraphFont"/>
    <w:link w:val="HTMLPreformatted"/>
    <w:uiPriority w:val="99"/>
    <w:semiHidden/>
    <w:rsid w:val="00D2793C"/>
    <w:rPr>
      <w:rFonts w:ascii="Consolas" w:hAnsi="Consolas"/>
      <w:snapToGrid w:val="0"/>
      <w:kern w:val="28"/>
    </w:rPr>
  </w:style>
  <w:style w:type="paragraph" w:styleId="Index1">
    <w:name w:val="index 1"/>
    <w:basedOn w:val="Normal"/>
    <w:next w:val="Normal"/>
    <w:autoRedefine/>
    <w:uiPriority w:val="99"/>
    <w:semiHidden/>
    <w:unhideWhenUsed/>
    <w:rsid w:val="00D2793C"/>
    <w:pPr>
      <w:ind w:left="220" w:hanging="220"/>
    </w:pPr>
  </w:style>
  <w:style w:type="paragraph" w:styleId="Index2">
    <w:name w:val="index 2"/>
    <w:basedOn w:val="Normal"/>
    <w:next w:val="Normal"/>
    <w:autoRedefine/>
    <w:uiPriority w:val="99"/>
    <w:semiHidden/>
    <w:unhideWhenUsed/>
    <w:rsid w:val="00D2793C"/>
    <w:pPr>
      <w:ind w:left="440" w:hanging="220"/>
    </w:pPr>
  </w:style>
  <w:style w:type="paragraph" w:styleId="Index3">
    <w:name w:val="index 3"/>
    <w:basedOn w:val="Normal"/>
    <w:next w:val="Normal"/>
    <w:autoRedefine/>
    <w:uiPriority w:val="99"/>
    <w:semiHidden/>
    <w:unhideWhenUsed/>
    <w:rsid w:val="00D2793C"/>
    <w:pPr>
      <w:ind w:left="660" w:hanging="220"/>
    </w:pPr>
  </w:style>
  <w:style w:type="paragraph" w:styleId="Index4">
    <w:name w:val="index 4"/>
    <w:basedOn w:val="Normal"/>
    <w:next w:val="Normal"/>
    <w:autoRedefine/>
    <w:uiPriority w:val="99"/>
    <w:semiHidden/>
    <w:unhideWhenUsed/>
    <w:rsid w:val="00D2793C"/>
    <w:pPr>
      <w:ind w:left="880" w:hanging="220"/>
    </w:pPr>
  </w:style>
  <w:style w:type="paragraph" w:styleId="Index5">
    <w:name w:val="index 5"/>
    <w:basedOn w:val="Normal"/>
    <w:next w:val="Normal"/>
    <w:autoRedefine/>
    <w:uiPriority w:val="99"/>
    <w:semiHidden/>
    <w:unhideWhenUsed/>
    <w:rsid w:val="00D2793C"/>
    <w:pPr>
      <w:ind w:left="1100" w:hanging="220"/>
    </w:pPr>
  </w:style>
  <w:style w:type="paragraph" w:styleId="Index6">
    <w:name w:val="index 6"/>
    <w:basedOn w:val="Normal"/>
    <w:next w:val="Normal"/>
    <w:autoRedefine/>
    <w:uiPriority w:val="99"/>
    <w:semiHidden/>
    <w:unhideWhenUsed/>
    <w:rsid w:val="00D2793C"/>
    <w:pPr>
      <w:ind w:left="1320" w:hanging="220"/>
    </w:pPr>
  </w:style>
  <w:style w:type="paragraph" w:styleId="Index7">
    <w:name w:val="index 7"/>
    <w:basedOn w:val="Normal"/>
    <w:next w:val="Normal"/>
    <w:autoRedefine/>
    <w:uiPriority w:val="99"/>
    <w:semiHidden/>
    <w:unhideWhenUsed/>
    <w:rsid w:val="00D2793C"/>
    <w:pPr>
      <w:ind w:left="1540" w:hanging="220"/>
    </w:pPr>
  </w:style>
  <w:style w:type="paragraph" w:styleId="Index8">
    <w:name w:val="index 8"/>
    <w:basedOn w:val="Normal"/>
    <w:next w:val="Normal"/>
    <w:autoRedefine/>
    <w:uiPriority w:val="99"/>
    <w:semiHidden/>
    <w:unhideWhenUsed/>
    <w:rsid w:val="00D2793C"/>
    <w:pPr>
      <w:ind w:left="1760" w:hanging="220"/>
    </w:pPr>
  </w:style>
  <w:style w:type="paragraph" w:styleId="Index9">
    <w:name w:val="index 9"/>
    <w:basedOn w:val="Normal"/>
    <w:next w:val="Normal"/>
    <w:autoRedefine/>
    <w:uiPriority w:val="99"/>
    <w:semiHidden/>
    <w:unhideWhenUsed/>
    <w:rsid w:val="00D2793C"/>
    <w:pPr>
      <w:ind w:left="1980" w:hanging="220"/>
    </w:pPr>
  </w:style>
  <w:style w:type="paragraph" w:styleId="IndexHeading">
    <w:name w:val="index heading"/>
    <w:basedOn w:val="Normal"/>
    <w:next w:val="Index1"/>
    <w:uiPriority w:val="99"/>
    <w:semiHidden/>
    <w:unhideWhenUsed/>
    <w:rsid w:val="00D2793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279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793C"/>
    <w:rPr>
      <w:i/>
      <w:iCs/>
      <w:snapToGrid w:val="0"/>
      <w:color w:val="4472C4" w:themeColor="accent1"/>
      <w:kern w:val="28"/>
      <w:sz w:val="22"/>
    </w:rPr>
  </w:style>
  <w:style w:type="paragraph" w:styleId="List">
    <w:name w:val="List"/>
    <w:basedOn w:val="Normal"/>
    <w:uiPriority w:val="99"/>
    <w:semiHidden/>
    <w:unhideWhenUsed/>
    <w:rsid w:val="00D2793C"/>
    <w:pPr>
      <w:ind w:left="360" w:hanging="360"/>
      <w:contextualSpacing/>
    </w:pPr>
  </w:style>
  <w:style w:type="paragraph" w:styleId="List2">
    <w:name w:val="List 2"/>
    <w:basedOn w:val="Normal"/>
    <w:uiPriority w:val="99"/>
    <w:semiHidden/>
    <w:unhideWhenUsed/>
    <w:rsid w:val="00D2793C"/>
    <w:pPr>
      <w:ind w:left="720" w:hanging="360"/>
      <w:contextualSpacing/>
    </w:pPr>
  </w:style>
  <w:style w:type="paragraph" w:styleId="List3">
    <w:name w:val="List 3"/>
    <w:basedOn w:val="Normal"/>
    <w:uiPriority w:val="99"/>
    <w:semiHidden/>
    <w:unhideWhenUsed/>
    <w:rsid w:val="00D2793C"/>
    <w:pPr>
      <w:ind w:left="1080" w:hanging="360"/>
      <w:contextualSpacing/>
    </w:pPr>
  </w:style>
  <w:style w:type="paragraph" w:styleId="List4">
    <w:name w:val="List 4"/>
    <w:basedOn w:val="Normal"/>
    <w:uiPriority w:val="99"/>
    <w:semiHidden/>
    <w:unhideWhenUsed/>
    <w:rsid w:val="00D2793C"/>
    <w:pPr>
      <w:ind w:left="1440" w:hanging="360"/>
      <w:contextualSpacing/>
    </w:pPr>
  </w:style>
  <w:style w:type="paragraph" w:styleId="List5">
    <w:name w:val="List 5"/>
    <w:basedOn w:val="Normal"/>
    <w:uiPriority w:val="99"/>
    <w:semiHidden/>
    <w:unhideWhenUsed/>
    <w:rsid w:val="00D2793C"/>
    <w:pPr>
      <w:ind w:left="1800" w:hanging="360"/>
      <w:contextualSpacing/>
    </w:pPr>
  </w:style>
  <w:style w:type="paragraph" w:styleId="ListBullet">
    <w:name w:val="List Bullet"/>
    <w:basedOn w:val="Normal"/>
    <w:uiPriority w:val="99"/>
    <w:semiHidden/>
    <w:unhideWhenUsed/>
    <w:rsid w:val="00D2793C"/>
    <w:pPr>
      <w:numPr>
        <w:numId w:val="13"/>
      </w:numPr>
      <w:contextualSpacing/>
    </w:pPr>
  </w:style>
  <w:style w:type="paragraph" w:styleId="ListBullet2">
    <w:name w:val="List Bullet 2"/>
    <w:basedOn w:val="Normal"/>
    <w:uiPriority w:val="99"/>
    <w:semiHidden/>
    <w:unhideWhenUsed/>
    <w:rsid w:val="00D2793C"/>
    <w:pPr>
      <w:numPr>
        <w:numId w:val="14"/>
      </w:numPr>
      <w:contextualSpacing/>
    </w:pPr>
  </w:style>
  <w:style w:type="paragraph" w:styleId="ListBullet3">
    <w:name w:val="List Bullet 3"/>
    <w:basedOn w:val="Normal"/>
    <w:uiPriority w:val="99"/>
    <w:semiHidden/>
    <w:unhideWhenUsed/>
    <w:rsid w:val="00D2793C"/>
    <w:pPr>
      <w:numPr>
        <w:numId w:val="15"/>
      </w:numPr>
      <w:contextualSpacing/>
    </w:pPr>
  </w:style>
  <w:style w:type="paragraph" w:styleId="ListBullet4">
    <w:name w:val="List Bullet 4"/>
    <w:basedOn w:val="Normal"/>
    <w:uiPriority w:val="99"/>
    <w:semiHidden/>
    <w:unhideWhenUsed/>
    <w:rsid w:val="00D2793C"/>
    <w:pPr>
      <w:numPr>
        <w:numId w:val="16"/>
      </w:numPr>
      <w:contextualSpacing/>
    </w:pPr>
  </w:style>
  <w:style w:type="paragraph" w:styleId="ListBullet5">
    <w:name w:val="List Bullet 5"/>
    <w:basedOn w:val="Normal"/>
    <w:uiPriority w:val="99"/>
    <w:semiHidden/>
    <w:unhideWhenUsed/>
    <w:rsid w:val="00D2793C"/>
    <w:pPr>
      <w:numPr>
        <w:numId w:val="17"/>
      </w:numPr>
      <w:contextualSpacing/>
    </w:pPr>
  </w:style>
  <w:style w:type="paragraph" w:styleId="ListContinue">
    <w:name w:val="List Continue"/>
    <w:basedOn w:val="Normal"/>
    <w:uiPriority w:val="99"/>
    <w:semiHidden/>
    <w:unhideWhenUsed/>
    <w:rsid w:val="00D2793C"/>
    <w:pPr>
      <w:spacing w:after="120"/>
      <w:ind w:left="360"/>
      <w:contextualSpacing/>
    </w:pPr>
  </w:style>
  <w:style w:type="paragraph" w:styleId="ListContinue2">
    <w:name w:val="List Continue 2"/>
    <w:basedOn w:val="Normal"/>
    <w:uiPriority w:val="99"/>
    <w:semiHidden/>
    <w:unhideWhenUsed/>
    <w:rsid w:val="00D2793C"/>
    <w:pPr>
      <w:spacing w:after="120"/>
      <w:ind w:left="720"/>
      <w:contextualSpacing/>
    </w:pPr>
  </w:style>
  <w:style w:type="paragraph" w:styleId="ListContinue3">
    <w:name w:val="List Continue 3"/>
    <w:basedOn w:val="Normal"/>
    <w:uiPriority w:val="99"/>
    <w:semiHidden/>
    <w:unhideWhenUsed/>
    <w:rsid w:val="00D2793C"/>
    <w:pPr>
      <w:spacing w:after="120"/>
      <w:ind w:left="1080"/>
      <w:contextualSpacing/>
    </w:pPr>
  </w:style>
  <w:style w:type="paragraph" w:styleId="ListContinue4">
    <w:name w:val="List Continue 4"/>
    <w:basedOn w:val="Normal"/>
    <w:uiPriority w:val="99"/>
    <w:semiHidden/>
    <w:unhideWhenUsed/>
    <w:rsid w:val="00D2793C"/>
    <w:pPr>
      <w:spacing w:after="120"/>
      <w:ind w:left="1440"/>
      <w:contextualSpacing/>
    </w:pPr>
  </w:style>
  <w:style w:type="paragraph" w:styleId="ListContinue5">
    <w:name w:val="List Continue 5"/>
    <w:basedOn w:val="Normal"/>
    <w:uiPriority w:val="99"/>
    <w:semiHidden/>
    <w:unhideWhenUsed/>
    <w:rsid w:val="00D2793C"/>
    <w:pPr>
      <w:spacing w:after="120"/>
      <w:ind w:left="1800"/>
      <w:contextualSpacing/>
    </w:pPr>
  </w:style>
  <w:style w:type="paragraph" w:styleId="ListNumber">
    <w:name w:val="List Number"/>
    <w:basedOn w:val="Normal"/>
    <w:uiPriority w:val="99"/>
    <w:semiHidden/>
    <w:unhideWhenUsed/>
    <w:rsid w:val="00D2793C"/>
    <w:pPr>
      <w:numPr>
        <w:numId w:val="18"/>
      </w:numPr>
      <w:contextualSpacing/>
    </w:pPr>
  </w:style>
  <w:style w:type="paragraph" w:styleId="ListNumber2">
    <w:name w:val="List Number 2"/>
    <w:basedOn w:val="Normal"/>
    <w:uiPriority w:val="99"/>
    <w:semiHidden/>
    <w:unhideWhenUsed/>
    <w:rsid w:val="00D2793C"/>
    <w:pPr>
      <w:numPr>
        <w:numId w:val="19"/>
      </w:numPr>
      <w:contextualSpacing/>
    </w:pPr>
  </w:style>
  <w:style w:type="paragraph" w:styleId="ListNumber3">
    <w:name w:val="List Number 3"/>
    <w:basedOn w:val="Normal"/>
    <w:uiPriority w:val="99"/>
    <w:semiHidden/>
    <w:unhideWhenUsed/>
    <w:rsid w:val="00D2793C"/>
    <w:pPr>
      <w:numPr>
        <w:numId w:val="20"/>
      </w:numPr>
      <w:contextualSpacing/>
    </w:pPr>
  </w:style>
  <w:style w:type="paragraph" w:styleId="ListNumber4">
    <w:name w:val="List Number 4"/>
    <w:basedOn w:val="Normal"/>
    <w:uiPriority w:val="99"/>
    <w:semiHidden/>
    <w:unhideWhenUsed/>
    <w:rsid w:val="00D2793C"/>
    <w:pPr>
      <w:numPr>
        <w:numId w:val="21"/>
      </w:numPr>
      <w:contextualSpacing/>
    </w:pPr>
  </w:style>
  <w:style w:type="paragraph" w:styleId="ListNumber5">
    <w:name w:val="List Number 5"/>
    <w:basedOn w:val="Normal"/>
    <w:uiPriority w:val="99"/>
    <w:semiHidden/>
    <w:unhideWhenUsed/>
    <w:rsid w:val="00D2793C"/>
    <w:pPr>
      <w:numPr>
        <w:numId w:val="22"/>
      </w:numPr>
      <w:contextualSpacing/>
    </w:pPr>
  </w:style>
  <w:style w:type="paragraph" w:styleId="Macro">
    <w:name w:val="macro"/>
    <w:link w:val="MacroTextChar"/>
    <w:uiPriority w:val="99"/>
    <w:semiHidden/>
    <w:unhideWhenUsed/>
    <w:rsid w:val="00D2793C"/>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kern w:val="28"/>
    </w:rPr>
  </w:style>
  <w:style w:type="character" w:customStyle="1" w:styleId="MacroTextChar">
    <w:name w:val="Macro Text Char"/>
    <w:basedOn w:val="DefaultParagraphFont"/>
    <w:link w:val="Macro"/>
    <w:uiPriority w:val="99"/>
    <w:semiHidden/>
    <w:rsid w:val="00D2793C"/>
    <w:rPr>
      <w:rFonts w:ascii="Consolas" w:hAnsi="Consolas"/>
      <w:snapToGrid w:val="0"/>
      <w:kern w:val="28"/>
    </w:rPr>
  </w:style>
  <w:style w:type="paragraph" w:styleId="MessageHeader">
    <w:name w:val="Message Header"/>
    <w:basedOn w:val="Normal"/>
    <w:link w:val="MessageHeaderChar"/>
    <w:uiPriority w:val="99"/>
    <w:semiHidden/>
    <w:unhideWhenUsed/>
    <w:rsid w:val="00D2793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793C"/>
    <w:rPr>
      <w:rFonts w:asciiTheme="majorHAnsi" w:eastAsiaTheme="majorEastAsia" w:hAnsiTheme="majorHAnsi" w:cstheme="majorBidi"/>
      <w:snapToGrid w:val="0"/>
      <w:kern w:val="28"/>
      <w:sz w:val="24"/>
      <w:szCs w:val="24"/>
      <w:shd w:val="pct20" w:color="auto" w:fill="auto"/>
    </w:rPr>
  </w:style>
  <w:style w:type="paragraph" w:styleId="NoSpacing">
    <w:name w:val="No Spacing"/>
    <w:uiPriority w:val="1"/>
    <w:qFormat/>
    <w:rsid w:val="00D2793C"/>
    <w:pPr>
      <w:widowControl w:val="0"/>
    </w:pPr>
    <w:rPr>
      <w:snapToGrid w:val="0"/>
      <w:kern w:val="28"/>
      <w:sz w:val="22"/>
    </w:rPr>
  </w:style>
  <w:style w:type="paragraph" w:styleId="NormalIndent">
    <w:name w:val="Normal Indent"/>
    <w:basedOn w:val="Normal"/>
    <w:uiPriority w:val="99"/>
    <w:semiHidden/>
    <w:unhideWhenUsed/>
    <w:rsid w:val="00D2793C"/>
    <w:pPr>
      <w:ind w:left="720"/>
    </w:pPr>
  </w:style>
  <w:style w:type="paragraph" w:styleId="NoteHeading">
    <w:name w:val="Note Heading"/>
    <w:basedOn w:val="Normal"/>
    <w:next w:val="Normal"/>
    <w:link w:val="NoteHeadingChar"/>
    <w:uiPriority w:val="99"/>
    <w:semiHidden/>
    <w:unhideWhenUsed/>
    <w:rsid w:val="00D2793C"/>
  </w:style>
  <w:style w:type="character" w:customStyle="1" w:styleId="NoteHeadingChar">
    <w:name w:val="Note Heading Char"/>
    <w:basedOn w:val="DefaultParagraphFont"/>
    <w:link w:val="NoteHeading"/>
    <w:uiPriority w:val="99"/>
    <w:semiHidden/>
    <w:rsid w:val="00D2793C"/>
    <w:rPr>
      <w:snapToGrid w:val="0"/>
      <w:kern w:val="28"/>
      <w:sz w:val="22"/>
    </w:rPr>
  </w:style>
  <w:style w:type="paragraph" w:styleId="PlainText">
    <w:name w:val="Plain Text"/>
    <w:basedOn w:val="Normal"/>
    <w:link w:val="PlainTextChar"/>
    <w:uiPriority w:val="99"/>
    <w:semiHidden/>
    <w:unhideWhenUsed/>
    <w:rsid w:val="00D2793C"/>
    <w:rPr>
      <w:rFonts w:ascii="Consolas" w:hAnsi="Consolas"/>
      <w:sz w:val="21"/>
      <w:szCs w:val="21"/>
    </w:rPr>
  </w:style>
  <w:style w:type="character" w:customStyle="1" w:styleId="PlainTextChar">
    <w:name w:val="Plain Text Char"/>
    <w:basedOn w:val="DefaultParagraphFont"/>
    <w:link w:val="PlainText"/>
    <w:uiPriority w:val="99"/>
    <w:semiHidden/>
    <w:rsid w:val="00D2793C"/>
    <w:rPr>
      <w:rFonts w:ascii="Consolas" w:hAnsi="Consolas"/>
      <w:snapToGrid w:val="0"/>
      <w:kern w:val="28"/>
      <w:sz w:val="21"/>
      <w:szCs w:val="21"/>
    </w:rPr>
  </w:style>
  <w:style w:type="paragraph" w:styleId="Quote">
    <w:name w:val="Quote"/>
    <w:basedOn w:val="Normal"/>
    <w:next w:val="Normal"/>
    <w:link w:val="QuoteChar"/>
    <w:uiPriority w:val="29"/>
    <w:qFormat/>
    <w:rsid w:val="00D279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793C"/>
    <w:rPr>
      <w:i/>
      <w:iCs/>
      <w:snapToGrid w:val="0"/>
      <w:color w:val="404040" w:themeColor="text1" w:themeTint="BF"/>
      <w:kern w:val="28"/>
      <w:sz w:val="22"/>
    </w:rPr>
  </w:style>
  <w:style w:type="paragraph" w:styleId="Salutation">
    <w:name w:val="Salutation"/>
    <w:basedOn w:val="Normal"/>
    <w:next w:val="Normal"/>
    <w:link w:val="SalutationChar"/>
    <w:uiPriority w:val="99"/>
    <w:semiHidden/>
    <w:unhideWhenUsed/>
    <w:rsid w:val="00D2793C"/>
  </w:style>
  <w:style w:type="character" w:customStyle="1" w:styleId="SalutationChar">
    <w:name w:val="Salutation Char"/>
    <w:basedOn w:val="DefaultParagraphFont"/>
    <w:link w:val="Salutation"/>
    <w:uiPriority w:val="99"/>
    <w:semiHidden/>
    <w:rsid w:val="00D2793C"/>
    <w:rPr>
      <w:snapToGrid w:val="0"/>
      <w:kern w:val="28"/>
      <w:sz w:val="22"/>
    </w:rPr>
  </w:style>
  <w:style w:type="paragraph" w:styleId="Signature">
    <w:name w:val="Signature"/>
    <w:basedOn w:val="Normal"/>
    <w:link w:val="SignatureChar"/>
    <w:uiPriority w:val="99"/>
    <w:semiHidden/>
    <w:unhideWhenUsed/>
    <w:rsid w:val="00D2793C"/>
    <w:pPr>
      <w:ind w:left="4320"/>
    </w:pPr>
  </w:style>
  <w:style w:type="character" w:customStyle="1" w:styleId="SignatureChar">
    <w:name w:val="Signature Char"/>
    <w:basedOn w:val="DefaultParagraphFont"/>
    <w:link w:val="Signature"/>
    <w:uiPriority w:val="99"/>
    <w:semiHidden/>
    <w:rsid w:val="00D2793C"/>
    <w:rPr>
      <w:snapToGrid w:val="0"/>
      <w:kern w:val="28"/>
      <w:sz w:val="22"/>
    </w:rPr>
  </w:style>
  <w:style w:type="paragraph" w:styleId="Subtitle">
    <w:name w:val="Subtitle"/>
    <w:basedOn w:val="Normal"/>
    <w:next w:val="Normal"/>
    <w:link w:val="SubtitleChar"/>
    <w:uiPriority w:val="11"/>
    <w:qFormat/>
    <w:rsid w:val="00D279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2793C"/>
    <w:rPr>
      <w:rFonts w:asciiTheme="minorHAnsi" w:eastAsiaTheme="minorEastAsia" w:hAnsiTheme="minorHAnsi" w:cstheme="minorBidi"/>
      <w:snapToGrid w:val="0"/>
      <w:color w:val="5A5A5A" w:themeColor="text1" w:themeTint="A5"/>
      <w:spacing w:val="15"/>
      <w:kern w:val="28"/>
      <w:sz w:val="22"/>
      <w:szCs w:val="22"/>
    </w:rPr>
  </w:style>
  <w:style w:type="paragraph" w:styleId="TableofAuthorities">
    <w:name w:val="table of authorities"/>
    <w:basedOn w:val="Normal"/>
    <w:next w:val="Normal"/>
    <w:uiPriority w:val="99"/>
    <w:semiHidden/>
    <w:unhideWhenUsed/>
    <w:rsid w:val="00D2793C"/>
    <w:pPr>
      <w:ind w:left="220" w:hanging="220"/>
    </w:pPr>
  </w:style>
  <w:style w:type="paragraph" w:styleId="TableofFigures">
    <w:name w:val="table of figures"/>
    <w:basedOn w:val="Normal"/>
    <w:next w:val="Normal"/>
    <w:uiPriority w:val="99"/>
    <w:semiHidden/>
    <w:unhideWhenUsed/>
    <w:rsid w:val="00D2793C"/>
  </w:style>
  <w:style w:type="paragraph" w:styleId="Title">
    <w:name w:val="Title"/>
    <w:basedOn w:val="Normal"/>
    <w:next w:val="Normal"/>
    <w:link w:val="TitleChar"/>
    <w:uiPriority w:val="10"/>
    <w:qFormat/>
    <w:rsid w:val="00D2793C"/>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2793C"/>
    <w:rPr>
      <w:rFonts w:asciiTheme="majorHAnsi" w:eastAsiaTheme="majorEastAsia" w:hAnsiTheme="majorHAnsi" w:cstheme="majorBidi"/>
      <w:snapToGrid w:val="0"/>
      <w:spacing w:val="-10"/>
      <w:kern w:val="28"/>
      <w:sz w:val="56"/>
      <w:szCs w:val="56"/>
    </w:rPr>
  </w:style>
  <w:style w:type="paragraph" w:styleId="TOCHeading">
    <w:name w:val="TOC Heading"/>
    <w:basedOn w:val="Heading1"/>
    <w:next w:val="Normal"/>
    <w:uiPriority w:val="39"/>
    <w:semiHidden/>
    <w:unhideWhenUsed/>
    <w:qFormat/>
    <w:rsid w:val="00D2793C"/>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frauds-scams-and-alerts-guides" TargetMode="External" /><Relationship Id="rId11" Type="http://schemas.openxmlformats.org/officeDocument/2006/relationships/hyperlink" Target="https://www.consumer.ftc.gov/articles/0238-investment-risks" TargetMode="External" /><Relationship Id="rId12" Type="http://schemas.openxmlformats.org/officeDocument/2006/relationships/hyperlink" Target="https://www.sec.gov/investor" TargetMode="External" /><Relationship Id="rId13" Type="http://schemas.openxmlformats.org/officeDocument/2006/relationships/hyperlink" Target="https://www.fcc.gov/formpage.html" TargetMode="External" /><Relationship Id="rId14" Type="http://schemas.openxmlformats.org/officeDocument/2006/relationships/hyperlink" Target="mailto:fcc504@fcc.gov" TargetMode="External" /><Relationship Id="rId15" Type="http://schemas.openxmlformats.org/officeDocument/2006/relationships/hyperlink" Target="https://www.fcc.gov/ocbo/" TargetMode="External" /><Relationship Id="rId16" Type="http://schemas.openxmlformats.org/officeDocument/2006/relationships/hyperlink" Target="https://www.fcc.gov/"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oter" Target="footer4.xml" /><Relationship Id="rId24" Type="http://schemas.openxmlformats.org/officeDocument/2006/relationships/header" Target="header4.xml" /><Relationship Id="rId25" Type="http://schemas.openxmlformats.org/officeDocument/2006/relationships/footer" Target="footer5.xml" /><Relationship Id="rId26" Type="http://schemas.openxmlformats.org/officeDocument/2006/relationships/header" Target="header5.xml" /><Relationship Id="rId27" Type="http://schemas.openxmlformats.org/officeDocument/2006/relationships/footer" Target="footer6.xml" /><Relationship Id="rId28" Type="http://schemas.openxmlformats.org/officeDocument/2006/relationships/footer" Target="footer7.xml" /><Relationship Id="rId29" Type="http://schemas.openxmlformats.org/officeDocument/2006/relationships/header" Target="header6.xml" /><Relationship Id="rId3" Type="http://schemas.openxmlformats.org/officeDocument/2006/relationships/webSettings" Target="webSettings.xml" /><Relationship Id="rId30" Type="http://schemas.openxmlformats.org/officeDocument/2006/relationships/footer" Target="footer8.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auctions" TargetMode="External" /><Relationship Id="rId6" Type="http://schemas.openxmlformats.org/officeDocument/2006/relationships/hyperlink" Target="mailto:auction107@fcc.gov" TargetMode="External" /><Relationship Id="rId7" Type="http://schemas.openxmlformats.org/officeDocument/2006/relationships/hyperlink" Target="https://www.fcc.gov/auction/107/" TargetMode="External" /><Relationship Id="rId8" Type="http://schemas.openxmlformats.org/officeDocument/2006/relationships/hyperlink" Target="https://www.fcc.gov/summary-listing-documents-addressing-application-rule-prohibiting-certain-communications" TargetMode="External" /><Relationship Id="rId9" Type="http://schemas.openxmlformats.org/officeDocument/2006/relationships/hyperlink" Target="mailto:RROGWireFax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 TargetMode="External" /><Relationship Id="rId2" Type="http://schemas.openxmlformats.org/officeDocument/2006/relationships/hyperlink" Target="https://docs.fcc.gov/public/attachments/DOC-363007A1.pdf" TargetMode="External" /><Relationship Id="rId3" Type="http://schemas.openxmlformats.org/officeDocument/2006/relationships/hyperlink" Target="https://www.fcc.gov/auction/107/" TargetMode="External" /><Relationship Id="rId4" Type="http://schemas.openxmlformats.org/officeDocument/2006/relationships/hyperlink" Target="https://www.t-mobile.com/news/t-mobile-sprint-one-company" TargetMode="External" /><Relationship Id="rId5" Type="http://schemas.openxmlformats.org/officeDocument/2006/relationships/hyperlink" Target="https://www.justice.gov/archive/atr/public/press_releases/1998/2068.htm" TargetMode="External" /><Relationship Id="rId6" Type="http://schemas.openxmlformats.org/officeDocument/2006/relationships/hyperlink" Target="https://www.fcc.gov/auction/58/" TargetMode="External" /><Relationship Id="rId7" Type="http://schemas.openxmlformats.org/officeDocument/2006/relationships/hyperlink" Target="https://apps.fcc.gov/redlight/login.cfm"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